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40C0F">
      <w:pPr>
        <w:pStyle w:val="17"/>
        <w:ind w:left="0" w:leftChars="0" w:firstLine="0" w:firstLineChars="0"/>
        <w:jc w:val="center"/>
        <w:rPr>
          <w:rFonts w:hint="eastAsia" w:ascii="仿宋" w:hAnsi="仿宋" w:eastAsia="仿宋" w:cs="仿宋"/>
          <w:b/>
          <w:color w:val="auto"/>
          <w:sz w:val="72"/>
          <w:szCs w:val="72"/>
          <w:highlight w:val="none"/>
        </w:rPr>
      </w:pPr>
      <w:r>
        <w:rPr>
          <w:rFonts w:hint="eastAsia"/>
          <w:color w:val="auto"/>
          <w:highlight w:val="none"/>
        </w:rPr>
        <w:drawing>
          <wp:inline distT="0" distB="0" distL="114300" distR="114300">
            <wp:extent cx="1188720" cy="1479550"/>
            <wp:effectExtent l="0" t="0" r="1143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188720" cy="1479550"/>
                    </a:xfrm>
                    <a:prstGeom prst="rect">
                      <a:avLst/>
                    </a:prstGeom>
                    <a:noFill/>
                    <a:ln>
                      <a:noFill/>
                    </a:ln>
                  </pic:spPr>
                </pic:pic>
              </a:graphicData>
            </a:graphic>
          </wp:inline>
        </w:drawing>
      </w:r>
    </w:p>
    <w:p w14:paraId="295D556F">
      <w:pPr>
        <w:bidi w:val="0"/>
        <w:rPr>
          <w:rFonts w:hint="eastAsia"/>
          <w:color w:val="auto"/>
          <w:highlight w:val="none"/>
        </w:rPr>
      </w:pPr>
    </w:p>
    <w:p w14:paraId="40733406">
      <w:pPr>
        <w:pStyle w:val="17"/>
        <w:ind w:left="0" w:leftChars="0" w:firstLine="0" w:firstLineChars="0"/>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竞争性磋商文件</w:t>
      </w:r>
    </w:p>
    <w:p w14:paraId="64035783">
      <w:pPr>
        <w:pStyle w:val="17"/>
        <w:rPr>
          <w:rFonts w:hint="eastAsia" w:ascii="仿宋" w:hAnsi="仿宋" w:eastAsia="仿宋" w:cs="仿宋"/>
          <w:b/>
          <w:color w:val="auto"/>
          <w:highlight w:val="none"/>
        </w:rPr>
      </w:pPr>
    </w:p>
    <w:p w14:paraId="04113B7E">
      <w:pPr>
        <w:snapToGrid w:val="0"/>
        <w:spacing w:before="120" w:beforeLines="50" w:line="360" w:lineRule="auto"/>
        <w:jc w:val="center"/>
        <w:rPr>
          <w:rFonts w:hint="eastAsia" w:ascii="仿宋_GB2312" w:hAnsi="宋体" w:eastAsia="仿宋_GB2312"/>
          <w:b/>
          <w:color w:val="auto"/>
          <w:sz w:val="48"/>
          <w:szCs w:val="48"/>
          <w:highlight w:val="none"/>
        </w:rPr>
      </w:pPr>
      <w:r>
        <w:rPr>
          <w:rFonts w:hint="eastAsia" w:ascii="仿宋_GB2312" w:hAnsi="宋体" w:eastAsia="仿宋_GB2312"/>
          <w:b/>
          <w:color w:val="auto"/>
          <w:sz w:val="48"/>
          <w:szCs w:val="48"/>
          <w:highlight w:val="none"/>
        </w:rPr>
        <w:t>（全流程电子化采购）</w:t>
      </w:r>
    </w:p>
    <w:p w14:paraId="13B145AE">
      <w:pPr>
        <w:pStyle w:val="17"/>
        <w:rPr>
          <w:rFonts w:hint="eastAsia" w:ascii="仿宋" w:hAnsi="仿宋" w:eastAsia="仿宋" w:cs="仿宋"/>
          <w:b/>
          <w:color w:val="auto"/>
          <w:highlight w:val="none"/>
        </w:rPr>
      </w:pPr>
    </w:p>
    <w:p w14:paraId="6EFCDFDC">
      <w:pPr>
        <w:pStyle w:val="17"/>
        <w:rPr>
          <w:rFonts w:hint="eastAsia" w:ascii="仿宋" w:hAnsi="仿宋" w:eastAsia="仿宋" w:cs="仿宋"/>
          <w:b/>
          <w:color w:val="auto"/>
          <w:highlight w:val="none"/>
        </w:rPr>
      </w:pPr>
    </w:p>
    <w:p w14:paraId="6BF340F8">
      <w:pPr>
        <w:pStyle w:val="17"/>
        <w:rPr>
          <w:rFonts w:hint="eastAsia" w:ascii="仿宋" w:hAnsi="仿宋" w:eastAsia="仿宋" w:cs="仿宋"/>
          <w:b/>
          <w:color w:val="auto"/>
          <w:highlight w:val="none"/>
        </w:rPr>
      </w:pPr>
    </w:p>
    <w:p w14:paraId="735B1956">
      <w:pPr>
        <w:pStyle w:val="17"/>
        <w:rPr>
          <w:rFonts w:hint="eastAsia" w:ascii="仿宋" w:hAnsi="仿宋" w:eastAsia="仿宋" w:cs="仿宋"/>
          <w:b/>
          <w:color w:val="auto"/>
          <w:highlight w:val="none"/>
        </w:rPr>
      </w:pPr>
    </w:p>
    <w:p w14:paraId="5B6B12EA">
      <w:pPr>
        <w:pStyle w:val="17"/>
        <w:ind w:left="0" w:leftChars="0" w:firstLine="0" w:firstLineChars="0"/>
        <w:jc w:val="left"/>
        <w:rPr>
          <w:rFonts w:hint="eastAsia" w:ascii="宋体" w:hAnsi="宋体" w:eastAsia="宋体" w:cs="宋体"/>
          <w:b w:val="0"/>
          <w:bCs/>
          <w:color w:val="auto"/>
          <w:sz w:val="30"/>
          <w:szCs w:val="72"/>
          <w:highlight w:val="none"/>
          <w:lang w:val="en-US" w:eastAsia="zh-CN"/>
        </w:rPr>
      </w:pPr>
      <w:r>
        <w:rPr>
          <w:rFonts w:hint="eastAsia" w:hAnsi="宋体" w:cs="宋体"/>
          <w:b w:val="0"/>
          <w:bCs/>
          <w:color w:val="auto"/>
          <w:sz w:val="30"/>
          <w:szCs w:val="72"/>
          <w:highlight w:val="none"/>
          <w:lang w:val="en-US" w:eastAsia="zh-CN"/>
        </w:rPr>
        <w:t xml:space="preserve">      </w:t>
      </w:r>
      <w:r>
        <w:rPr>
          <w:rFonts w:hint="eastAsia" w:ascii="宋体" w:hAnsi="宋体" w:eastAsia="宋体" w:cs="宋体"/>
          <w:b w:val="0"/>
          <w:bCs/>
          <w:color w:val="auto"/>
          <w:sz w:val="30"/>
          <w:szCs w:val="72"/>
          <w:highlight w:val="none"/>
        </w:rPr>
        <w:t>项目名称：</w:t>
      </w:r>
      <w:r>
        <w:rPr>
          <w:rFonts w:hint="eastAsia" w:hAnsi="宋体" w:cs="宋体"/>
          <w:b w:val="0"/>
          <w:bCs/>
          <w:color w:val="auto"/>
          <w:sz w:val="30"/>
          <w:szCs w:val="72"/>
          <w:highlight w:val="none"/>
          <w:lang w:eastAsia="zh-CN"/>
        </w:rPr>
        <w:t>区直住房保障中心2025-2026年劳务外包服务项目</w:t>
      </w:r>
    </w:p>
    <w:p w14:paraId="7CA482DA">
      <w:pPr>
        <w:pStyle w:val="17"/>
        <w:ind w:firstLine="1500" w:firstLineChars="500"/>
        <w:rPr>
          <w:rFonts w:hint="eastAsia" w:ascii="宋体" w:hAnsi="宋体" w:eastAsia="宋体" w:cs="宋体"/>
          <w:b w:val="0"/>
          <w:bCs/>
          <w:color w:val="auto"/>
          <w:sz w:val="30"/>
          <w:szCs w:val="72"/>
          <w:highlight w:val="none"/>
        </w:rPr>
      </w:pPr>
    </w:p>
    <w:p w14:paraId="1E34BBC8">
      <w:pPr>
        <w:pStyle w:val="17"/>
        <w:ind w:firstLine="900" w:firstLineChars="300"/>
        <w:rPr>
          <w:rFonts w:hint="default" w:ascii="宋体" w:hAnsi="宋体" w:eastAsia="宋体" w:cs="宋体"/>
          <w:b w:val="0"/>
          <w:bCs/>
          <w:color w:val="auto"/>
          <w:sz w:val="30"/>
          <w:szCs w:val="72"/>
          <w:highlight w:val="none"/>
          <w:lang w:val="en-US" w:eastAsia="zh-CN"/>
        </w:rPr>
      </w:pPr>
      <w:r>
        <w:rPr>
          <w:rFonts w:hint="eastAsia" w:ascii="宋体" w:hAnsi="宋体" w:eastAsia="宋体" w:cs="宋体"/>
          <w:b w:val="0"/>
          <w:bCs/>
          <w:color w:val="auto"/>
          <w:sz w:val="30"/>
          <w:szCs w:val="72"/>
          <w:highlight w:val="none"/>
        </w:rPr>
        <w:t>项目编号：</w:t>
      </w:r>
      <w:r>
        <w:rPr>
          <w:rFonts w:hint="eastAsia" w:hAnsi="宋体" w:cs="宋体"/>
          <w:b w:val="0"/>
          <w:bCs/>
          <w:color w:val="auto"/>
          <w:sz w:val="30"/>
          <w:szCs w:val="72"/>
          <w:highlight w:val="none"/>
          <w:lang w:val="en-US" w:eastAsia="zh-CN"/>
        </w:rPr>
        <w:t>GXZC2025-C3-001411-ZHZB</w:t>
      </w:r>
    </w:p>
    <w:p w14:paraId="78CD7FDF">
      <w:pPr>
        <w:pStyle w:val="5"/>
        <w:ind w:left="0" w:firstLine="0" w:firstLineChars="0"/>
        <w:rPr>
          <w:rFonts w:hint="eastAsia"/>
          <w:b w:val="0"/>
          <w:bCs/>
          <w:color w:val="auto"/>
          <w:highlight w:val="none"/>
        </w:rPr>
      </w:pPr>
    </w:p>
    <w:p w14:paraId="7E525C4F">
      <w:pPr>
        <w:pStyle w:val="17"/>
        <w:rPr>
          <w:rFonts w:hint="eastAsia" w:hAnsi="宋体" w:cs="宋体"/>
          <w:b w:val="0"/>
          <w:bCs/>
          <w:color w:val="auto"/>
          <w:sz w:val="30"/>
          <w:szCs w:val="72"/>
          <w:highlight w:val="none"/>
          <w:lang w:eastAsia="zh-CN"/>
        </w:rPr>
      </w:pPr>
      <w:r>
        <w:rPr>
          <w:rFonts w:hint="eastAsia" w:ascii="宋体" w:hAnsi="宋体" w:eastAsia="宋体" w:cs="宋体"/>
          <w:b w:val="0"/>
          <w:bCs/>
          <w:color w:val="auto"/>
          <w:sz w:val="30"/>
          <w:szCs w:val="72"/>
          <w:highlight w:val="none"/>
        </w:rPr>
        <w:t xml:space="preserve">  采购人：</w:t>
      </w:r>
      <w:r>
        <w:rPr>
          <w:rFonts w:hint="eastAsia" w:hAnsi="宋体" w:cs="宋体"/>
          <w:b w:val="0"/>
          <w:bCs/>
          <w:color w:val="auto"/>
          <w:sz w:val="30"/>
          <w:szCs w:val="72"/>
          <w:highlight w:val="none"/>
          <w:lang w:eastAsia="zh-CN"/>
        </w:rPr>
        <w:t>广西壮族自治区直属单位住房保障中心</w:t>
      </w:r>
    </w:p>
    <w:p w14:paraId="5E6EB728">
      <w:pPr>
        <w:pStyle w:val="17"/>
        <w:rPr>
          <w:rFonts w:hint="eastAsia" w:ascii="宋体" w:hAnsi="宋体" w:eastAsia="宋体" w:cs="宋体"/>
          <w:b w:val="0"/>
          <w:bCs/>
          <w:color w:val="auto"/>
          <w:sz w:val="30"/>
          <w:szCs w:val="72"/>
          <w:highlight w:val="none"/>
        </w:rPr>
      </w:pPr>
      <w:r>
        <w:rPr>
          <w:rFonts w:hint="eastAsia" w:ascii="宋体" w:hAnsi="宋体" w:eastAsia="宋体" w:cs="宋体"/>
          <w:b w:val="0"/>
          <w:bCs/>
          <w:color w:val="auto"/>
          <w:sz w:val="30"/>
          <w:szCs w:val="72"/>
          <w:highlight w:val="none"/>
        </w:rPr>
        <w:t xml:space="preserve">      </w:t>
      </w:r>
    </w:p>
    <w:p w14:paraId="5ACE4301">
      <w:pPr>
        <w:pStyle w:val="17"/>
        <w:ind w:left="0" w:leftChars="0" w:firstLine="900" w:firstLineChars="300"/>
        <w:rPr>
          <w:rFonts w:hint="eastAsia" w:ascii="宋体" w:hAnsi="宋体" w:eastAsia="宋体" w:cs="宋体"/>
          <w:b w:val="0"/>
          <w:bCs/>
          <w:color w:val="auto"/>
          <w:sz w:val="30"/>
          <w:szCs w:val="72"/>
          <w:highlight w:val="none"/>
        </w:rPr>
      </w:pPr>
      <w:r>
        <w:rPr>
          <w:rFonts w:hint="eastAsia" w:ascii="宋体" w:hAnsi="宋体" w:eastAsia="宋体" w:cs="宋体"/>
          <w:b w:val="0"/>
          <w:bCs/>
          <w:color w:val="auto"/>
          <w:sz w:val="30"/>
          <w:szCs w:val="72"/>
          <w:highlight w:val="none"/>
        </w:rPr>
        <w:t>采购代理机构：广西正海招标有限公司</w:t>
      </w:r>
    </w:p>
    <w:p w14:paraId="57807347">
      <w:pPr>
        <w:pStyle w:val="17"/>
        <w:ind w:firstLine="3300" w:firstLineChars="1100"/>
        <w:rPr>
          <w:rFonts w:hint="eastAsia" w:ascii="宋体" w:hAnsi="宋体" w:eastAsia="宋体" w:cs="宋体"/>
          <w:b w:val="0"/>
          <w:bCs/>
          <w:color w:val="auto"/>
          <w:sz w:val="30"/>
          <w:szCs w:val="72"/>
          <w:highlight w:val="none"/>
        </w:rPr>
      </w:pPr>
      <w:r>
        <w:rPr>
          <w:rFonts w:hint="eastAsia" w:ascii="宋体" w:hAnsi="宋体" w:eastAsia="宋体" w:cs="宋体"/>
          <w:b w:val="0"/>
          <w:bCs/>
          <w:color w:val="auto"/>
          <w:sz w:val="30"/>
          <w:szCs w:val="72"/>
          <w:highlight w:val="none"/>
        </w:rPr>
        <w:t xml:space="preserve">    </w:t>
      </w:r>
    </w:p>
    <w:p w14:paraId="7566630A">
      <w:pPr>
        <w:pStyle w:val="17"/>
        <w:ind w:firstLine="3300" w:firstLineChars="1100"/>
        <w:rPr>
          <w:rFonts w:hint="eastAsia" w:ascii="宋体" w:hAnsi="宋体" w:eastAsia="宋体" w:cs="宋体"/>
          <w:b w:val="0"/>
          <w:bCs/>
          <w:color w:val="auto"/>
          <w:sz w:val="30"/>
          <w:szCs w:val="72"/>
          <w:highlight w:val="none"/>
        </w:rPr>
      </w:pPr>
      <w:r>
        <w:rPr>
          <w:rFonts w:hint="eastAsia" w:hAnsi="宋体" w:cs="宋体"/>
          <w:b w:val="0"/>
          <w:bCs/>
          <w:color w:val="auto"/>
          <w:sz w:val="30"/>
          <w:szCs w:val="72"/>
          <w:highlight w:val="none"/>
          <w:lang w:val="en-US" w:eastAsia="zh-CN"/>
        </w:rPr>
        <w:t>2025</w:t>
      </w:r>
      <w:r>
        <w:rPr>
          <w:rFonts w:hint="eastAsia" w:ascii="宋体" w:hAnsi="宋体" w:eastAsia="宋体" w:cs="宋体"/>
          <w:b w:val="0"/>
          <w:bCs/>
          <w:color w:val="auto"/>
          <w:sz w:val="30"/>
          <w:szCs w:val="72"/>
          <w:highlight w:val="none"/>
        </w:rPr>
        <w:t>年</w:t>
      </w:r>
      <w:r>
        <w:rPr>
          <w:rFonts w:hint="eastAsia" w:hAnsi="宋体" w:cs="宋体"/>
          <w:b w:val="0"/>
          <w:bCs/>
          <w:color w:val="auto"/>
          <w:sz w:val="30"/>
          <w:szCs w:val="72"/>
          <w:highlight w:val="none"/>
          <w:lang w:val="en-US" w:eastAsia="zh-CN"/>
        </w:rPr>
        <w:t>5</w:t>
      </w:r>
      <w:r>
        <w:rPr>
          <w:rFonts w:hint="eastAsia" w:ascii="宋体" w:hAnsi="宋体" w:eastAsia="宋体" w:cs="宋体"/>
          <w:b w:val="0"/>
          <w:bCs/>
          <w:color w:val="auto"/>
          <w:sz w:val="30"/>
          <w:szCs w:val="72"/>
          <w:highlight w:val="none"/>
        </w:rPr>
        <w:t>月</w:t>
      </w:r>
    </w:p>
    <w:p w14:paraId="6782E696">
      <w:pPr>
        <w:ind w:firstLine="574"/>
        <w:rPr>
          <w:rFonts w:ascii="仿宋_GB2312" w:hAnsi="宋体" w:eastAsia="仿宋_GB2312" w:cs="Times New Roman"/>
          <w:b/>
          <w:bCs/>
          <w:color w:val="auto"/>
          <w:w w:val="95"/>
          <w:kern w:val="0"/>
          <w:sz w:val="30"/>
          <w:szCs w:val="30"/>
          <w:highlight w:val="none"/>
          <w:lang w:val="zh-CN"/>
        </w:rPr>
        <w:sectPr>
          <w:footerReference r:id="rId3" w:type="default"/>
          <w:pgSz w:w="11906" w:h="16838"/>
          <w:pgMar w:top="1332" w:right="1434" w:bottom="1332" w:left="1434" w:header="850" w:footer="992" w:gutter="0"/>
          <w:cols w:space="0" w:num="1"/>
          <w:rtlGutter w:val="0"/>
          <w:docGrid w:type="lines" w:linePitch="315" w:charSpace="0"/>
        </w:sectPr>
      </w:pPr>
    </w:p>
    <w:p w14:paraId="098D8CD5">
      <w:pPr>
        <w:widowControl/>
        <w:spacing w:line="360" w:lineRule="auto"/>
        <w:jc w:val="left"/>
        <w:rPr>
          <w:rFonts w:ascii="宋体" w:hAnsi="宋体" w:eastAsia="宋体" w:cs="宋体"/>
          <w:color w:val="auto"/>
          <w:szCs w:val="20"/>
          <w:highlight w:val="none"/>
          <w:lang w:val="zh-CN"/>
        </w:rPr>
      </w:pPr>
    </w:p>
    <w:sdt>
      <w:sdtPr>
        <w:rPr>
          <w:rFonts w:hint="eastAsia" w:ascii="宋体" w:hAnsi="宋体" w:eastAsia="宋体" w:cs="宋体"/>
          <w:color w:val="auto"/>
          <w:szCs w:val="21"/>
          <w:highlight w:val="none"/>
          <w:lang w:val="zh-CN"/>
        </w:rPr>
        <w:id w:val="493773562"/>
        <w:docPartObj>
          <w:docPartGallery w:val="Table of Contents"/>
          <w:docPartUnique/>
        </w:docPartObj>
      </w:sdtPr>
      <w:sdtEndPr>
        <w:rPr>
          <w:rFonts w:hint="eastAsia" w:ascii="宋体" w:hAnsi="宋体" w:eastAsia="宋体" w:cs="宋体"/>
          <w:color w:val="auto"/>
          <w:szCs w:val="21"/>
          <w:highlight w:val="none"/>
          <w:lang w:val="zh-CN"/>
        </w:rPr>
      </w:sdtEndPr>
      <w:sdtContent>
        <w:p w14:paraId="788FFF83">
          <w:pPr>
            <w:keepNext/>
            <w:keepLines/>
            <w:widowControl/>
            <w:spacing w:line="360" w:lineRule="auto"/>
            <w:jc w:val="center"/>
            <w:rPr>
              <w:rFonts w:ascii="宋体" w:hAnsi="宋体" w:eastAsia="宋体" w:cs="宋体"/>
              <w:b/>
              <w:bCs/>
              <w:color w:val="auto"/>
              <w:kern w:val="0"/>
              <w:sz w:val="44"/>
              <w:szCs w:val="44"/>
              <w:highlight w:val="none"/>
            </w:rPr>
          </w:pPr>
          <w:r>
            <w:rPr>
              <w:rFonts w:hint="eastAsia" w:ascii="宋体" w:hAnsi="宋体" w:eastAsia="宋体" w:cs="宋体"/>
              <w:b/>
              <w:bCs/>
              <w:color w:val="auto"/>
              <w:kern w:val="0"/>
              <w:sz w:val="44"/>
              <w:szCs w:val="44"/>
              <w:highlight w:val="none"/>
              <w:lang w:val="zh-CN"/>
            </w:rPr>
            <w:t>目  录</w:t>
          </w:r>
        </w:p>
        <w:p w14:paraId="0571DBD5">
          <w:pPr>
            <w:pStyle w:val="21"/>
            <w:rPr>
              <w:rFonts w:ascii="宋体" w:hAnsi="宋体" w:eastAsia="宋体" w:cs="宋体"/>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TOC \o "1-1" \h \z \u </w:instrText>
          </w:r>
          <w:r>
            <w:rPr>
              <w:rFonts w:hint="eastAsia" w:ascii="宋体" w:hAnsi="宋体" w:eastAsia="宋体" w:cs="宋体"/>
              <w:b/>
              <w:bCs/>
              <w:color w:val="auto"/>
              <w:sz w:val="28"/>
              <w:szCs w:val="28"/>
              <w:highlight w:val="none"/>
            </w:rPr>
            <w:fldChar w:fldCharType="separate"/>
          </w:r>
          <w:r>
            <w:rPr>
              <w:color w:val="auto"/>
              <w:highlight w:val="none"/>
            </w:rPr>
            <w:fldChar w:fldCharType="begin"/>
          </w:r>
          <w:r>
            <w:rPr>
              <w:color w:val="auto"/>
              <w:highlight w:val="none"/>
            </w:rPr>
            <w:instrText xml:space="preserve"> HYPERLINK \l "_Toc108596902" </w:instrText>
          </w:r>
          <w:r>
            <w:rPr>
              <w:color w:val="auto"/>
              <w:highlight w:val="none"/>
            </w:rPr>
            <w:fldChar w:fldCharType="separate"/>
          </w:r>
          <w:r>
            <w:rPr>
              <w:rStyle w:val="31"/>
              <w:rFonts w:hint="eastAsia" w:ascii="宋体" w:hAnsi="宋体" w:eastAsia="宋体" w:cs="宋体"/>
              <w:b/>
              <w:bCs/>
              <w:color w:val="auto"/>
              <w:kern w:val="44"/>
              <w:sz w:val="28"/>
              <w:szCs w:val="28"/>
              <w:highlight w:val="none"/>
            </w:rPr>
            <w:t>第一章 竞争性磋商公告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_Toc108596902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95463C9">
          <w:pPr>
            <w:pStyle w:val="21"/>
            <w:rPr>
              <w:rFonts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"_Toc108596903" </w:instrText>
          </w:r>
          <w:r>
            <w:rPr>
              <w:color w:val="auto"/>
              <w:highlight w:val="none"/>
            </w:rPr>
            <w:fldChar w:fldCharType="separate"/>
          </w:r>
          <w:r>
            <w:rPr>
              <w:rStyle w:val="31"/>
              <w:rFonts w:hint="eastAsia" w:ascii="宋体" w:hAnsi="宋体" w:eastAsia="宋体" w:cs="宋体"/>
              <w:b/>
              <w:bCs/>
              <w:color w:val="auto"/>
              <w:kern w:val="44"/>
              <w:sz w:val="28"/>
              <w:szCs w:val="28"/>
              <w:highlight w:val="none"/>
            </w:rPr>
            <w:t>第二章 供应商须知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_Toc108596903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077C4C4">
          <w:pPr>
            <w:pStyle w:val="21"/>
            <w:rPr>
              <w:rFonts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"_Toc108596904" </w:instrText>
          </w:r>
          <w:r>
            <w:rPr>
              <w:color w:val="auto"/>
              <w:highlight w:val="none"/>
            </w:rPr>
            <w:fldChar w:fldCharType="separate"/>
          </w:r>
          <w:r>
            <w:rPr>
              <w:rStyle w:val="31"/>
              <w:rFonts w:hint="eastAsia" w:ascii="宋体" w:hAnsi="宋体" w:eastAsia="宋体" w:cs="宋体"/>
              <w:b/>
              <w:bCs/>
              <w:color w:val="auto"/>
              <w:kern w:val="44"/>
              <w:sz w:val="28"/>
              <w:szCs w:val="28"/>
              <w:highlight w:val="none"/>
            </w:rPr>
            <w:t>第三章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_Toc108596904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9B64F30">
          <w:pPr>
            <w:pStyle w:val="21"/>
            <w:rPr>
              <w:rFonts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"_Toc108596905" </w:instrText>
          </w:r>
          <w:r>
            <w:rPr>
              <w:color w:val="auto"/>
              <w:highlight w:val="none"/>
            </w:rPr>
            <w:fldChar w:fldCharType="separate"/>
          </w:r>
          <w:r>
            <w:rPr>
              <w:rStyle w:val="31"/>
              <w:rFonts w:hint="eastAsia" w:ascii="宋体" w:hAnsi="宋体" w:eastAsia="宋体" w:cs="宋体"/>
              <w:b/>
              <w:bCs/>
              <w:color w:val="auto"/>
              <w:kern w:val="44"/>
              <w:sz w:val="28"/>
              <w:szCs w:val="28"/>
              <w:highlight w:val="none"/>
            </w:rPr>
            <w:t>第四章 评审程序、评审方法和评审标准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_Toc108596905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DC7A430">
          <w:pPr>
            <w:pStyle w:val="21"/>
            <w:rPr>
              <w:rFonts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"_Toc108596906" </w:instrText>
          </w:r>
          <w:r>
            <w:rPr>
              <w:color w:val="auto"/>
              <w:highlight w:val="none"/>
            </w:rPr>
            <w:fldChar w:fldCharType="separate"/>
          </w:r>
          <w:r>
            <w:rPr>
              <w:rStyle w:val="31"/>
              <w:rFonts w:hint="eastAsia" w:ascii="宋体" w:hAnsi="宋体" w:eastAsia="宋体" w:cs="宋体"/>
              <w:b/>
              <w:bCs/>
              <w:color w:val="auto"/>
              <w:kern w:val="44"/>
              <w:sz w:val="28"/>
              <w:szCs w:val="28"/>
              <w:highlight w:val="none"/>
            </w:rPr>
            <w:t>第五章 响应文件格式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_Toc108596906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ABCE849">
          <w:pPr>
            <w:pStyle w:val="21"/>
            <w:rPr>
              <w:rFonts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"_Toc108596907" </w:instrText>
          </w:r>
          <w:r>
            <w:rPr>
              <w:color w:val="auto"/>
              <w:highlight w:val="none"/>
            </w:rPr>
            <w:fldChar w:fldCharType="separate"/>
          </w:r>
          <w:r>
            <w:rPr>
              <w:rStyle w:val="31"/>
              <w:rFonts w:hint="eastAsia" w:ascii="宋体" w:hAnsi="宋体" w:eastAsia="宋体" w:cs="宋体"/>
              <w:b/>
              <w:bCs/>
              <w:color w:val="auto"/>
              <w:kern w:val="44"/>
              <w:sz w:val="28"/>
              <w:szCs w:val="28"/>
              <w:highlight w:val="none"/>
            </w:rPr>
            <w:t>第六章 合同文本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_Toc108596907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B8B0216">
          <w:pPr>
            <w:widowControl/>
            <w:spacing w:line="480" w:lineRule="auto"/>
            <w:ind w:firstLine="492" w:firstLineChars="176"/>
            <w:jc w:val="left"/>
            <w:rPr>
              <w:rFonts w:ascii="宋体" w:hAnsi="宋体" w:eastAsia="宋体" w:cs="宋体"/>
              <w:color w:val="auto"/>
              <w:szCs w:val="21"/>
              <w:highlight w:val="none"/>
            </w:rPr>
          </w:pPr>
          <w:r>
            <w:rPr>
              <w:rFonts w:hint="eastAsia" w:ascii="宋体" w:hAnsi="宋体" w:eastAsia="宋体" w:cs="宋体"/>
              <w:bCs/>
              <w:color w:val="auto"/>
              <w:sz w:val="28"/>
              <w:szCs w:val="28"/>
              <w:highlight w:val="none"/>
            </w:rPr>
            <w:fldChar w:fldCharType="end"/>
          </w:r>
        </w:p>
      </w:sdtContent>
    </w:sdt>
    <w:p w14:paraId="3793B2B3">
      <w:pPr>
        <w:widowControl/>
        <w:tabs>
          <w:tab w:val="left" w:pos="5521"/>
        </w:tabs>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ab/>
      </w:r>
    </w:p>
    <w:p w14:paraId="3B6B5DCA">
      <w:pPr>
        <w:widowControl/>
        <w:spacing w:before="260" w:after="260" w:line="415" w:lineRule="auto"/>
        <w:jc w:val="left"/>
        <w:rPr>
          <w:rFonts w:ascii="宋体" w:hAnsi="宋体" w:eastAsia="宋体" w:cs="宋体"/>
          <w:color w:val="auto"/>
          <w:szCs w:val="21"/>
          <w:highlight w:val="none"/>
        </w:rPr>
        <w:sectPr>
          <w:footerReference r:id="rId4" w:type="default"/>
          <w:pgSz w:w="11906" w:h="16838"/>
          <w:pgMar w:top="1332" w:right="1434" w:bottom="1332" w:left="1434" w:header="850" w:footer="992" w:gutter="0"/>
          <w:cols w:space="0" w:num="1"/>
          <w:rtlGutter w:val="0"/>
          <w:docGrid w:type="lines" w:linePitch="315" w:charSpace="0"/>
        </w:sectPr>
      </w:pPr>
      <w:r>
        <w:rPr>
          <w:rFonts w:hint="eastAsia" w:ascii="宋体" w:hAnsi="宋体" w:eastAsia="宋体" w:cs="宋体"/>
          <w:color w:val="auto"/>
          <w:szCs w:val="21"/>
          <w:highlight w:val="none"/>
        </w:rPr>
        <w:br w:type="page"/>
      </w:r>
    </w:p>
    <w:p w14:paraId="2024E8F0">
      <w:pPr>
        <w:keepNext w:val="0"/>
        <w:keepLines w:val="0"/>
        <w:pageBreakBefore w:val="0"/>
        <w:widowControl/>
        <w:numPr>
          <w:ilvl w:val="0"/>
          <w:numId w:val="1"/>
        </w:numPr>
        <w:tabs>
          <w:tab w:val="left" w:pos="0"/>
          <w:tab w:val="left" w:pos="3165"/>
          <w:tab w:val="center" w:pos="4153"/>
        </w:tabs>
        <w:kinsoku/>
        <w:wordWrap/>
        <w:overflowPunct/>
        <w:topLinePunct w:val="0"/>
        <w:autoSpaceDE w:val="0"/>
        <w:autoSpaceDN w:val="0"/>
        <w:bidi w:val="0"/>
        <w:adjustRightInd w:val="0"/>
        <w:snapToGrid/>
        <w:spacing w:before="100" w:after="100" w:line="360" w:lineRule="auto"/>
        <w:ind w:firstLine="883" w:firstLineChars="200"/>
        <w:jc w:val="center"/>
        <w:textAlignment w:val="auto"/>
        <w:outlineLvl w:val="0"/>
        <w:rPr>
          <w:rFonts w:ascii="宋体" w:hAnsi="宋体" w:eastAsia="宋体" w:cs="宋体"/>
          <w:b/>
          <w:bCs/>
          <w:color w:val="auto"/>
          <w:kern w:val="44"/>
          <w:sz w:val="44"/>
          <w:szCs w:val="44"/>
          <w:highlight w:val="none"/>
        </w:rPr>
      </w:pPr>
      <w:bookmarkStart w:id="0" w:name="_Toc108596902"/>
      <w:r>
        <w:rPr>
          <w:rFonts w:hint="eastAsia" w:ascii="宋体" w:hAnsi="宋体" w:eastAsia="宋体" w:cs="宋体"/>
          <w:b/>
          <w:bCs/>
          <w:color w:val="auto"/>
          <w:kern w:val="44"/>
          <w:sz w:val="44"/>
          <w:szCs w:val="44"/>
          <w:highlight w:val="none"/>
        </w:rPr>
        <w:t>竞争性磋商公告</w:t>
      </w:r>
      <w:bookmarkEnd w:id="0"/>
    </w:p>
    <w:p w14:paraId="309CEA3B">
      <w:pPr>
        <w:keepNext/>
        <w:keepLines/>
        <w:widowControl/>
        <w:spacing w:line="440" w:lineRule="exact"/>
        <w:jc w:val="center"/>
        <w:outlineLvl w:val="2"/>
        <w:rPr>
          <w:rFonts w:hint="eastAsia" w:ascii="宋体" w:hAnsi="宋体" w:eastAsia="宋体" w:cs="宋体"/>
          <w:b/>
          <w:bCs/>
          <w:color w:val="auto"/>
          <w:kern w:val="44"/>
          <w:sz w:val="24"/>
          <w:szCs w:val="24"/>
          <w:highlight w:val="none"/>
          <w:lang w:eastAsia="zh-CN"/>
        </w:rPr>
      </w:pPr>
      <w:r>
        <w:rPr>
          <w:rFonts w:hint="eastAsia" w:ascii="宋体" w:hAnsi="宋体" w:eastAsia="宋体" w:cs="宋体"/>
          <w:b/>
          <w:bCs/>
          <w:color w:val="auto"/>
          <w:kern w:val="44"/>
          <w:sz w:val="24"/>
          <w:szCs w:val="24"/>
          <w:highlight w:val="none"/>
          <w:lang w:eastAsia="zh-CN"/>
        </w:rPr>
        <w:t>广西正海招标有限公司关于区直住房保障中心2025-2026年劳务外包服务项目</w:t>
      </w:r>
    </w:p>
    <w:p w14:paraId="6FCB2E6D">
      <w:pPr>
        <w:keepNext/>
        <w:keepLines/>
        <w:widowControl/>
        <w:spacing w:line="440" w:lineRule="exact"/>
        <w:jc w:val="center"/>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kern w:val="44"/>
          <w:sz w:val="24"/>
          <w:szCs w:val="24"/>
          <w:highlight w:val="none"/>
          <w:lang w:eastAsia="zh-CN"/>
        </w:rPr>
        <w:t>（</w:t>
      </w:r>
      <w:r>
        <w:rPr>
          <w:rFonts w:hint="eastAsia" w:ascii="宋体" w:hAnsi="宋体" w:eastAsia="宋体" w:cs="宋体"/>
          <w:b/>
          <w:bCs/>
          <w:color w:val="auto"/>
          <w:kern w:val="44"/>
          <w:sz w:val="24"/>
          <w:szCs w:val="24"/>
          <w:highlight w:val="none"/>
          <w:lang w:val="en-US" w:eastAsia="zh-CN"/>
        </w:rPr>
        <w:t>项目编号：</w:t>
      </w:r>
      <w:r>
        <w:rPr>
          <w:rFonts w:hint="eastAsia" w:ascii="宋体" w:hAnsi="宋体" w:eastAsia="宋体" w:cs="宋体"/>
          <w:b/>
          <w:bCs/>
          <w:color w:val="auto"/>
          <w:kern w:val="44"/>
          <w:sz w:val="24"/>
          <w:szCs w:val="24"/>
          <w:highlight w:val="none"/>
          <w:lang w:eastAsia="zh-CN"/>
        </w:rPr>
        <w:t>GXZC2025-C3-001411-ZHZB）的竞争性磋商公告</w:t>
      </w:r>
      <w:bookmarkStart w:id="1" w:name="_Toc44405601"/>
      <w:bookmarkStart w:id="2" w:name="_Toc72767522"/>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0"/>
      </w:tblGrid>
      <w:tr w14:paraId="4CCF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0" w:type="dxa"/>
          </w:tcPr>
          <w:p w14:paraId="3E15D969">
            <w:pPr>
              <w:pStyle w:val="33"/>
              <w:keepNext w:val="0"/>
              <w:keepLines w:val="0"/>
              <w:pageBreakBefore w:val="0"/>
              <w:widowControl/>
              <w:kinsoku/>
              <w:wordWrap/>
              <w:overflowPunct/>
              <w:topLinePunct w:val="0"/>
              <w:autoSpaceDE/>
              <w:autoSpaceDN/>
              <w:bidi w:val="0"/>
              <w:adjustRightInd w:val="0"/>
              <w:snapToGrid/>
              <w:spacing w:afterLines="0" w:line="360" w:lineRule="auto"/>
              <w:ind w:left="0" w:leftChars="0" w:firstLine="0" w:firstLineChars="0"/>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项目概况</w:t>
            </w:r>
            <w:r>
              <w:rPr>
                <w:rFonts w:hint="eastAsia" w:ascii="宋体" w:hAnsi="宋体" w:eastAsia="宋体" w:cs="宋体"/>
                <w:b/>
                <w:bCs/>
                <w:color w:val="auto"/>
                <w:sz w:val="21"/>
                <w:szCs w:val="21"/>
                <w:highlight w:val="none"/>
                <w:lang w:eastAsia="zh-CN"/>
              </w:rPr>
              <w:t>：</w:t>
            </w:r>
          </w:p>
          <w:p w14:paraId="4D8307C8">
            <w:pPr>
              <w:pStyle w:val="33"/>
              <w:keepNext w:val="0"/>
              <w:keepLines w:val="0"/>
              <w:pageBreakBefore w:val="0"/>
              <w:widowControl/>
              <w:kinsoku/>
              <w:wordWrap/>
              <w:overflowPunct/>
              <w:topLinePunct w:val="0"/>
              <w:autoSpaceDE/>
              <w:autoSpaceDN/>
              <w:bidi w:val="0"/>
              <w:adjustRightInd w:val="0"/>
              <w:snapToGrid/>
              <w:spacing w:afterLines="0" w:line="360" w:lineRule="auto"/>
              <w:ind w:left="0" w:leftChars="0" w:firstLine="422" w:firstLineChars="200"/>
              <w:jc w:val="both"/>
              <w:textAlignment w:val="baseline"/>
              <w:rPr>
                <w:rFonts w:hint="eastAsia" w:ascii="宋体" w:hAnsi="宋体" w:eastAsia="宋体" w:cs="宋体"/>
                <w:color w:val="auto"/>
                <w:highlight w:val="none"/>
                <w:lang w:eastAsia="zh-CN"/>
              </w:rPr>
            </w:pPr>
            <w:r>
              <w:rPr>
                <w:rFonts w:hint="eastAsia" w:ascii="宋体" w:hAnsi="宋体" w:eastAsia="宋体" w:cs="宋体"/>
                <w:b/>
                <w:bCs/>
                <w:color w:val="auto"/>
                <w:sz w:val="21"/>
                <w:szCs w:val="21"/>
                <w:highlight w:val="none"/>
                <w:u w:val="single"/>
                <w:lang w:eastAsia="zh-CN"/>
              </w:rPr>
              <w:t>区直住房保障中心2025-2026年劳务外包服务项目</w:t>
            </w:r>
            <w:r>
              <w:rPr>
                <w:rFonts w:hint="eastAsia" w:ascii="宋体" w:hAnsi="宋体" w:eastAsia="宋体" w:cs="宋体"/>
                <w:color w:val="auto"/>
                <w:sz w:val="21"/>
                <w:szCs w:val="21"/>
                <w:highlight w:val="none"/>
              </w:rPr>
              <w:t>的潜在供应商应在</w:t>
            </w:r>
            <w:r>
              <w:rPr>
                <w:rFonts w:hint="eastAsia" w:ascii="宋体" w:hAnsi="宋体" w:eastAsia="宋体" w:cs="宋体"/>
                <w:b/>
                <w:bCs/>
                <w:color w:val="auto"/>
                <w:sz w:val="21"/>
                <w:szCs w:val="21"/>
                <w:highlight w:val="none"/>
                <w:u w:val="single"/>
                <w:lang w:eastAsia="zh-CN"/>
              </w:rPr>
              <w:t>广西政府采购云平台</w:t>
            </w: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sz w:val="21"/>
                <w:szCs w:val="21"/>
                <w:highlight w:val="none"/>
                <w:u w:val="single"/>
                <w:lang w:eastAsia="zh-CN"/>
              </w:rPr>
              <w:t>https://www.gcy.zfcg.gxzf.gov.cn/</w:t>
            </w:r>
            <w:r>
              <w:rPr>
                <w:rFonts w:hint="eastAsia" w:ascii="宋体" w:hAnsi="宋体" w:eastAsia="宋体" w:cs="宋体"/>
                <w:b/>
                <w:bCs/>
                <w:color w:val="auto"/>
                <w:sz w:val="21"/>
                <w:szCs w:val="21"/>
                <w:highlight w:val="none"/>
                <w:u w:val="single"/>
              </w:rPr>
              <w:t>）</w:t>
            </w:r>
            <w:r>
              <w:rPr>
                <w:rFonts w:hint="eastAsia" w:ascii="宋体" w:hAnsi="宋体" w:eastAsia="宋体" w:cs="宋体"/>
                <w:color w:val="auto"/>
                <w:sz w:val="21"/>
                <w:szCs w:val="21"/>
                <w:highlight w:val="none"/>
              </w:rPr>
              <w:t>获取采购文件，并于</w:t>
            </w:r>
            <w:r>
              <w:rPr>
                <w:rFonts w:hint="eastAsia" w:ascii="宋体" w:hAnsi="宋体" w:eastAsia="宋体" w:cs="宋体"/>
                <w:b/>
                <w:bCs/>
                <w:color w:val="auto"/>
                <w:sz w:val="21"/>
                <w:szCs w:val="21"/>
                <w:highlight w:val="none"/>
                <w:u w:val="single"/>
                <w:lang w:eastAsia="zh-CN"/>
              </w:rPr>
              <w:t>202</w:t>
            </w:r>
            <w:r>
              <w:rPr>
                <w:rFonts w:hint="eastAsia" w:ascii="宋体" w:hAnsi="宋体" w:eastAsia="宋体" w:cs="宋体"/>
                <w:b/>
                <w:bCs/>
                <w:color w:val="auto"/>
                <w:sz w:val="21"/>
                <w:szCs w:val="21"/>
                <w:highlight w:val="none"/>
                <w:u w:val="single"/>
                <w:lang w:val="en-US" w:eastAsia="zh-CN"/>
              </w:rPr>
              <w:t>5</w:t>
            </w:r>
            <w:r>
              <w:rPr>
                <w:rFonts w:hint="eastAsia" w:ascii="宋体" w:hAnsi="宋体" w:eastAsia="宋体" w:cs="宋体"/>
                <w:b/>
                <w:bCs/>
                <w:color w:val="auto"/>
                <w:sz w:val="21"/>
                <w:szCs w:val="21"/>
                <w:highlight w:val="none"/>
                <w:u w:val="single"/>
                <w:lang w:eastAsia="zh-CN"/>
              </w:rPr>
              <w:t>年</w:t>
            </w:r>
            <w:r>
              <w:rPr>
                <w:rFonts w:hint="eastAsia" w:ascii="宋体" w:hAnsi="宋体" w:eastAsia="宋体" w:cs="宋体"/>
                <w:b/>
                <w:bCs/>
                <w:color w:val="auto"/>
                <w:sz w:val="21"/>
                <w:szCs w:val="21"/>
                <w:highlight w:val="none"/>
                <w:u w:val="single"/>
                <w:lang w:val="en-US" w:eastAsia="zh-CN"/>
              </w:rPr>
              <w:t>6</w:t>
            </w:r>
            <w:r>
              <w:rPr>
                <w:rFonts w:hint="eastAsia" w:ascii="宋体" w:hAnsi="宋体" w:eastAsia="宋体" w:cs="宋体"/>
                <w:b/>
                <w:bCs/>
                <w:color w:val="auto"/>
                <w:sz w:val="21"/>
                <w:szCs w:val="21"/>
                <w:highlight w:val="none"/>
                <w:u w:val="single"/>
                <w:lang w:eastAsia="zh-CN"/>
              </w:rPr>
              <w:t>月</w:t>
            </w:r>
            <w:r>
              <w:rPr>
                <w:rFonts w:hint="eastAsia" w:ascii="宋体" w:hAnsi="宋体" w:eastAsia="宋体" w:cs="宋体"/>
                <w:b/>
                <w:bCs/>
                <w:color w:val="auto"/>
                <w:sz w:val="21"/>
                <w:szCs w:val="21"/>
                <w:highlight w:val="none"/>
                <w:u w:val="single"/>
                <w:lang w:val="en-US" w:eastAsia="zh-CN"/>
              </w:rPr>
              <w:t>11</w:t>
            </w:r>
            <w:r>
              <w:rPr>
                <w:rFonts w:hint="eastAsia" w:ascii="宋体" w:hAnsi="宋体" w:eastAsia="宋体" w:cs="宋体"/>
                <w:b/>
                <w:bCs/>
                <w:color w:val="auto"/>
                <w:sz w:val="21"/>
                <w:szCs w:val="21"/>
                <w:highlight w:val="none"/>
                <w:u w:val="single"/>
                <w:lang w:eastAsia="zh-CN"/>
              </w:rPr>
              <w:t>日</w:t>
            </w:r>
            <w:r>
              <w:rPr>
                <w:rFonts w:hint="eastAsia" w:ascii="宋体" w:hAnsi="宋体" w:eastAsia="宋体" w:cs="宋体"/>
                <w:b/>
                <w:bCs/>
                <w:color w:val="auto"/>
                <w:sz w:val="21"/>
                <w:szCs w:val="21"/>
                <w:highlight w:val="none"/>
                <w:u w:val="single"/>
                <w:lang w:val="en-US" w:eastAsia="zh-CN"/>
              </w:rPr>
              <w:t>9</w:t>
            </w: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sz w:val="21"/>
                <w:szCs w:val="21"/>
                <w:highlight w:val="none"/>
                <w:u w:val="single"/>
                <w:lang w:val="en-US" w:eastAsia="zh-CN"/>
              </w:rPr>
              <w:t>0</w:t>
            </w:r>
            <w:r>
              <w:rPr>
                <w:rFonts w:hint="eastAsia" w:ascii="宋体" w:hAnsi="宋体" w:eastAsia="宋体" w:cs="宋体"/>
                <w:b/>
                <w:bCs/>
                <w:color w:val="auto"/>
                <w:sz w:val="21"/>
                <w:szCs w:val="21"/>
                <w:highlight w:val="none"/>
                <w:u w:val="single"/>
              </w:rPr>
              <w:t>0</w:t>
            </w:r>
            <w:r>
              <w:rPr>
                <w:rFonts w:hint="eastAsia" w:ascii="宋体" w:hAnsi="宋体" w:eastAsia="宋体" w:cs="宋体"/>
                <w:color w:val="auto"/>
                <w:sz w:val="21"/>
                <w:szCs w:val="21"/>
                <w:highlight w:val="none"/>
                <w:u w:val="single"/>
              </w:rPr>
              <w:t>（北京时间）</w:t>
            </w:r>
            <w:r>
              <w:rPr>
                <w:rFonts w:hint="eastAsia" w:ascii="宋体" w:hAnsi="宋体" w:eastAsia="宋体" w:cs="宋体"/>
                <w:color w:val="auto"/>
                <w:sz w:val="21"/>
                <w:szCs w:val="21"/>
                <w:highlight w:val="none"/>
              </w:rPr>
              <w:t>前提交响应文件</w:t>
            </w:r>
            <w:r>
              <w:rPr>
                <w:rFonts w:hint="eastAsia" w:ascii="宋体" w:hAnsi="宋体" w:eastAsia="宋体" w:cs="宋体"/>
                <w:color w:val="auto"/>
                <w:sz w:val="21"/>
                <w:szCs w:val="21"/>
                <w:highlight w:val="none"/>
                <w:lang w:eastAsia="zh-CN"/>
              </w:rPr>
              <w:t>。</w:t>
            </w:r>
          </w:p>
        </w:tc>
      </w:tr>
      <w:bookmarkEnd w:id="1"/>
      <w:bookmarkEnd w:id="2"/>
    </w:tbl>
    <w:p w14:paraId="3DDE7ED7">
      <w:pPr>
        <w:keepNext/>
        <w:keepLines/>
        <w:widowControl/>
        <w:spacing w:line="440" w:lineRule="exact"/>
        <w:jc w:val="left"/>
        <w:outlineLvl w:val="2"/>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一、项目基本情况</w:t>
      </w:r>
      <w:r>
        <w:rPr>
          <w:rFonts w:hint="eastAsia" w:ascii="宋体" w:hAnsi="宋体" w:eastAsia="宋体" w:cs="宋体"/>
          <w:b/>
          <w:color w:val="auto"/>
          <w:sz w:val="24"/>
          <w:szCs w:val="24"/>
          <w:highlight w:val="none"/>
          <w:lang w:eastAsia="zh-CN"/>
        </w:rPr>
        <w:t>：</w:t>
      </w:r>
    </w:p>
    <w:p w14:paraId="37D7A686">
      <w:pPr>
        <w:widowControl/>
        <w:spacing w:line="4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项目编号：</w:t>
      </w:r>
      <w:r>
        <w:rPr>
          <w:rFonts w:hint="eastAsia" w:ascii="宋体" w:hAnsi="宋体" w:eastAsia="宋体" w:cs="宋体"/>
          <w:color w:val="auto"/>
          <w:szCs w:val="21"/>
          <w:highlight w:val="none"/>
          <w:lang w:val="en-US" w:eastAsia="zh-CN"/>
        </w:rPr>
        <w:t>GXZC2025-C3-001411-ZHZB</w:t>
      </w:r>
    </w:p>
    <w:p w14:paraId="6618C976">
      <w:pPr>
        <w:widowControl/>
        <w:spacing w:line="4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政府采购计划编号：</w:t>
      </w:r>
      <w:r>
        <w:rPr>
          <w:rFonts w:hint="eastAsia" w:ascii="宋体" w:hAnsi="宋体" w:eastAsia="宋体" w:cs="宋体"/>
          <w:color w:val="auto"/>
          <w:szCs w:val="21"/>
          <w:highlight w:val="none"/>
          <w:lang w:eastAsia="zh-CN"/>
        </w:rPr>
        <w:fldChar w:fldCharType="begin"/>
      </w:r>
      <w:r>
        <w:rPr>
          <w:rFonts w:hint="eastAsia" w:ascii="宋体" w:hAnsi="宋体" w:eastAsia="宋体" w:cs="宋体"/>
          <w:color w:val="auto"/>
          <w:szCs w:val="21"/>
          <w:highlight w:val="none"/>
          <w:lang w:eastAsia="zh-CN"/>
        </w:rPr>
        <w:instrText xml:space="preserve"> HYPERLINK "https://pay.gcy.zfcg.gxzf.gov.cn/purchaseplan_front/" \l "/plan/list/detail?id=1000000000025712950&amp;encrypt=02853bad7778de6d7f7ba09bb4147f90&amp;_app_=zcy.procurement" \t "https://www.gcy.zfcg.gxzf.gov.cn/bid-inviting/_procurement_/purchaseFileMake/basisInfo/_blank" </w:instrText>
      </w:r>
      <w:r>
        <w:rPr>
          <w:rFonts w:hint="eastAsia" w:ascii="宋体" w:hAnsi="宋体" w:eastAsia="宋体" w:cs="宋体"/>
          <w:color w:val="auto"/>
          <w:szCs w:val="21"/>
          <w:highlight w:val="none"/>
          <w:lang w:eastAsia="zh-CN"/>
        </w:rPr>
        <w:fldChar w:fldCharType="separate"/>
      </w:r>
      <w:r>
        <w:rPr>
          <w:rFonts w:hint="eastAsia" w:ascii="宋体" w:hAnsi="宋体" w:eastAsia="宋体" w:cs="宋体"/>
          <w:color w:val="auto"/>
          <w:szCs w:val="21"/>
          <w:highlight w:val="none"/>
          <w:lang w:eastAsia="zh-CN"/>
        </w:rPr>
        <w:t>广西政采[2025]9942号-001</w:t>
      </w:r>
      <w:r>
        <w:rPr>
          <w:rFonts w:hint="eastAsia" w:ascii="宋体" w:hAnsi="宋体" w:eastAsia="宋体" w:cs="宋体"/>
          <w:color w:val="auto"/>
          <w:szCs w:val="21"/>
          <w:highlight w:val="none"/>
          <w:lang w:eastAsia="zh-CN"/>
        </w:rPr>
        <w:fldChar w:fldCharType="end"/>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-002</w:t>
      </w:r>
    </w:p>
    <w:p w14:paraId="07B0B497">
      <w:pPr>
        <w:widowControl/>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项目名称：区直住房保障中心2025-2026年劳务外包服务项目</w:t>
      </w:r>
    </w:p>
    <w:p w14:paraId="1006F526">
      <w:pPr>
        <w:widowControl/>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采购方式：竞争性磋商</w:t>
      </w:r>
    </w:p>
    <w:p w14:paraId="6841F379">
      <w:pPr>
        <w:widowControl/>
        <w:spacing w:line="44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预算金额：227.04</w:t>
      </w:r>
      <w:r>
        <w:rPr>
          <w:rFonts w:hint="eastAsia" w:ascii="宋体" w:hAnsi="宋体" w:eastAsia="宋体" w:cs="宋体"/>
          <w:color w:val="auto"/>
          <w:szCs w:val="21"/>
          <w:highlight w:val="none"/>
          <w:lang w:val="en-US" w:eastAsia="zh-CN"/>
        </w:rPr>
        <w:t>万元</w:t>
      </w:r>
    </w:p>
    <w:p w14:paraId="077CB062">
      <w:pPr>
        <w:widowControl/>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最高限价：227.04</w:t>
      </w:r>
      <w:r>
        <w:rPr>
          <w:rFonts w:hint="eastAsia" w:ascii="宋体" w:hAnsi="宋体" w:eastAsia="宋体" w:cs="宋体"/>
          <w:color w:val="auto"/>
          <w:szCs w:val="21"/>
          <w:highlight w:val="none"/>
          <w:lang w:val="en-US" w:eastAsia="zh-CN"/>
        </w:rPr>
        <w:t>万元</w:t>
      </w:r>
    </w:p>
    <w:p w14:paraId="560A0F6C">
      <w:pPr>
        <w:widowControl/>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采购需求：区直住房保障中心2025-2026年劳务外包服务</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详见采购文件第三章采购需求。</w:t>
      </w:r>
    </w:p>
    <w:p w14:paraId="4422C57F">
      <w:pPr>
        <w:widowControl/>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合同履行期限：自合同签订之日起两年。</w:t>
      </w:r>
    </w:p>
    <w:p w14:paraId="2CA44A4B">
      <w:pPr>
        <w:widowControl/>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本项目（</w:t>
      </w:r>
      <w:r>
        <w:rPr>
          <w:rFonts w:hint="eastAsia" w:ascii="宋体" w:hAnsi="宋体" w:eastAsia="宋体" w:cs="宋体"/>
          <w:b w:val="0"/>
          <w:bCs w:val="0"/>
          <w:color w:val="auto"/>
          <w:szCs w:val="21"/>
          <w:highlight w:val="none"/>
          <w:lang w:eastAsia="zh-CN"/>
        </w:rPr>
        <w:t>否）接受</w:t>
      </w:r>
      <w:r>
        <w:rPr>
          <w:rFonts w:hint="eastAsia" w:ascii="宋体" w:hAnsi="宋体" w:eastAsia="宋体" w:cs="宋体"/>
          <w:color w:val="auto"/>
          <w:szCs w:val="21"/>
          <w:highlight w:val="none"/>
          <w:lang w:eastAsia="zh-CN"/>
        </w:rPr>
        <w:t>联合体竞标。</w:t>
      </w:r>
    </w:p>
    <w:p w14:paraId="4975C689">
      <w:pPr>
        <w:keepNext/>
        <w:keepLines/>
        <w:widowControl/>
        <w:spacing w:line="440" w:lineRule="exact"/>
        <w:jc w:val="left"/>
        <w:outlineLvl w:val="2"/>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二、申请人的资格要求</w:t>
      </w:r>
      <w:r>
        <w:rPr>
          <w:rFonts w:hint="eastAsia" w:ascii="宋体" w:hAnsi="宋体" w:eastAsia="宋体" w:cs="宋体"/>
          <w:b/>
          <w:color w:val="auto"/>
          <w:sz w:val="24"/>
          <w:szCs w:val="24"/>
          <w:highlight w:val="none"/>
          <w:lang w:eastAsia="zh-CN"/>
        </w:rPr>
        <w:t>：</w:t>
      </w:r>
    </w:p>
    <w:p w14:paraId="6CADD6C0">
      <w:pPr>
        <w:widowControl/>
        <w:spacing w:line="4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1.满足《中华人民共和国政府采购法》第二十二条规定；</w:t>
      </w:r>
    </w:p>
    <w:p w14:paraId="3E4C03D7">
      <w:pPr>
        <w:widowControl/>
        <w:spacing w:line="4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2.落实政府采购政策需满足的资格要求：本项目专门面中小企业采购，供应商应为中小微企业或监狱企业或残疾人福利性单位；</w:t>
      </w:r>
    </w:p>
    <w:p w14:paraId="1E900F62">
      <w:pPr>
        <w:widowControl/>
        <w:spacing w:line="4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3.本项目的特定资格要求：无。</w:t>
      </w:r>
    </w:p>
    <w:p w14:paraId="16288B5A">
      <w:pPr>
        <w:keepNext/>
        <w:keepLines/>
        <w:widowControl/>
        <w:spacing w:line="440" w:lineRule="exact"/>
        <w:jc w:val="left"/>
        <w:outlineLvl w:val="2"/>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三、获取采购文件</w:t>
      </w:r>
      <w:r>
        <w:rPr>
          <w:rFonts w:hint="eastAsia" w:ascii="宋体" w:hAnsi="宋体" w:eastAsia="宋体" w:cs="宋体"/>
          <w:b/>
          <w:color w:val="auto"/>
          <w:sz w:val="24"/>
          <w:szCs w:val="24"/>
          <w:highlight w:val="none"/>
          <w:lang w:eastAsia="zh-CN"/>
        </w:rPr>
        <w:t>：</w:t>
      </w:r>
    </w:p>
    <w:p w14:paraId="79E27045">
      <w:pPr>
        <w:keepNext w:val="0"/>
        <w:pageBreakBefore w:val="0"/>
        <w:widowControl w:val="0"/>
        <w:kinsoku/>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时间：2025年5月30日至2025年6月9日，每天上午8:00至12:00，下午15:00至18:00（北京时间，法定节假日除外）。</w:t>
      </w:r>
    </w:p>
    <w:p w14:paraId="7C478B49">
      <w:pPr>
        <w:keepNext w:val="0"/>
        <w:pageBreakBefore w:val="0"/>
        <w:widowControl w:val="0"/>
        <w:kinsoku/>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地点（网址）：广西政府采购云平台（https://www.gcy.zfcg.gxzf.gov.cn/）。  </w:t>
      </w:r>
    </w:p>
    <w:p w14:paraId="469AFB5E">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方式：网上下载。本项目不提供纸质文件，潜在供应商需在广西政府采购云平台（https://www.gcy.zfcg.gxzf.gov.cn/）-进入“项目采购”应用，在获取采购文件菜单中选择项目，获取竞争性磋商文件。电子响应文件制作需要基于广西政府采购云平台获取的磋商文件编制，通过其他方式获取磋商文件的，将有可能导致供应商无法在广西政府采购云平台编制及上传响应文件。</w:t>
      </w:r>
    </w:p>
    <w:p w14:paraId="1EB8DC3C">
      <w:pPr>
        <w:keepNext w:val="0"/>
        <w:pageBreakBefore w:val="0"/>
        <w:widowControl w:val="0"/>
        <w:kinsoku/>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售价：0元。</w:t>
      </w:r>
    </w:p>
    <w:p w14:paraId="1578ADDB">
      <w:pPr>
        <w:keepNext w:val="0"/>
        <w:keepLines/>
        <w:pageBreakBefore w:val="0"/>
        <w:widowControl w:val="0"/>
        <w:kinsoku/>
        <w:overflowPunct/>
        <w:topLinePunct w:val="0"/>
        <w:autoSpaceDE/>
        <w:autoSpaceDN/>
        <w:bidi w:val="0"/>
        <w:adjustRightInd/>
        <w:snapToGrid/>
        <w:spacing w:line="440" w:lineRule="exact"/>
        <w:jc w:val="left"/>
        <w:textAlignment w:val="auto"/>
        <w:outlineLvl w:val="2"/>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四、响应文件提交</w:t>
      </w:r>
      <w:r>
        <w:rPr>
          <w:rFonts w:hint="eastAsia" w:ascii="宋体" w:hAnsi="宋体" w:eastAsia="宋体" w:cs="宋体"/>
          <w:b/>
          <w:color w:val="auto"/>
          <w:sz w:val="24"/>
          <w:szCs w:val="24"/>
          <w:highlight w:val="none"/>
          <w:lang w:eastAsia="zh-CN"/>
        </w:rPr>
        <w:t>：</w:t>
      </w:r>
    </w:p>
    <w:p w14:paraId="2E6189E0">
      <w:pPr>
        <w:keepNext w:val="0"/>
        <w:pageBreakBefore w:val="0"/>
        <w:widowControl w:val="0"/>
        <w:kinsoku/>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截止时间：</w:t>
      </w:r>
      <w:r>
        <w:rPr>
          <w:rFonts w:hint="eastAsia" w:ascii="宋体" w:hAnsi="宋体" w:eastAsia="宋体" w:cs="宋体"/>
          <w:color w:val="auto"/>
          <w:szCs w:val="21"/>
          <w:highlight w:val="none"/>
          <w:lang w:eastAsia="zh-CN"/>
        </w:rPr>
        <w:t>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年</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0（北京时间）</w:t>
      </w:r>
      <w:r>
        <w:rPr>
          <w:rFonts w:hint="eastAsia" w:ascii="宋体" w:hAnsi="宋体" w:eastAsia="宋体" w:cs="宋体"/>
          <w:color w:val="auto"/>
          <w:szCs w:val="21"/>
          <w:highlight w:val="none"/>
          <w:lang w:eastAsia="zh-CN"/>
        </w:rPr>
        <w:t>。</w:t>
      </w:r>
    </w:p>
    <w:p w14:paraId="679AC716">
      <w:pPr>
        <w:keepNext w:val="0"/>
        <w:pageBreakBefore w:val="0"/>
        <w:widowControl w:val="0"/>
        <w:kinsoku/>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网址</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：通过</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实行在线响应</w:t>
      </w:r>
      <w:r>
        <w:rPr>
          <w:rFonts w:hint="eastAsia" w:ascii="宋体" w:hAnsi="宋体" w:eastAsia="宋体" w:cs="宋体"/>
          <w:color w:val="auto"/>
          <w:szCs w:val="21"/>
          <w:highlight w:val="none"/>
          <w:lang w:eastAsia="zh-CN"/>
        </w:rPr>
        <w:t>。</w:t>
      </w:r>
    </w:p>
    <w:p w14:paraId="4CB0A603">
      <w:pPr>
        <w:keepNext/>
        <w:keepLines/>
        <w:widowControl/>
        <w:spacing w:line="440" w:lineRule="exact"/>
        <w:jc w:val="left"/>
        <w:outlineLvl w:val="2"/>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五、响应文件开启</w:t>
      </w:r>
      <w:r>
        <w:rPr>
          <w:rFonts w:hint="eastAsia" w:ascii="宋体" w:hAnsi="宋体" w:eastAsia="宋体" w:cs="宋体"/>
          <w:b/>
          <w:color w:val="auto"/>
          <w:sz w:val="24"/>
          <w:szCs w:val="24"/>
          <w:highlight w:val="none"/>
          <w:lang w:eastAsia="zh-CN"/>
        </w:rPr>
        <w:t>：</w:t>
      </w:r>
    </w:p>
    <w:p w14:paraId="35FA93F8">
      <w:pPr>
        <w:widowControl/>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开启时间：</w:t>
      </w:r>
      <w:r>
        <w:rPr>
          <w:rFonts w:hint="eastAsia" w:ascii="宋体" w:hAnsi="宋体" w:eastAsia="宋体" w:cs="宋体"/>
          <w:color w:val="auto"/>
          <w:szCs w:val="21"/>
          <w:highlight w:val="none"/>
          <w:lang w:eastAsia="zh-CN"/>
        </w:rPr>
        <w:t>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年</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0（北京时间）</w:t>
      </w:r>
      <w:r>
        <w:rPr>
          <w:rFonts w:hint="eastAsia" w:ascii="宋体" w:hAnsi="宋体" w:eastAsia="宋体" w:cs="宋体"/>
          <w:color w:val="auto"/>
          <w:szCs w:val="21"/>
          <w:highlight w:val="none"/>
          <w:lang w:eastAsia="zh-CN"/>
        </w:rPr>
        <w:t>。</w:t>
      </w:r>
    </w:p>
    <w:p w14:paraId="765C82F4">
      <w:pPr>
        <w:widowControl/>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地点：通过</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实行在线解密开启</w:t>
      </w:r>
      <w:r>
        <w:rPr>
          <w:rFonts w:hint="eastAsia" w:ascii="宋体" w:hAnsi="宋体" w:eastAsia="宋体" w:cs="宋体"/>
          <w:color w:val="auto"/>
          <w:szCs w:val="21"/>
          <w:highlight w:val="none"/>
          <w:lang w:eastAsia="zh-CN"/>
        </w:rPr>
        <w:t>。</w:t>
      </w:r>
    </w:p>
    <w:p w14:paraId="4A00B3B1">
      <w:pPr>
        <w:keepNext/>
        <w:keepLines/>
        <w:widowControl/>
        <w:spacing w:line="440" w:lineRule="exact"/>
        <w:jc w:val="left"/>
        <w:outlineLvl w:val="2"/>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六、公告期限</w:t>
      </w:r>
      <w:r>
        <w:rPr>
          <w:rFonts w:hint="eastAsia" w:ascii="宋体" w:hAnsi="宋体" w:eastAsia="宋体" w:cs="宋体"/>
          <w:b/>
          <w:color w:val="auto"/>
          <w:sz w:val="24"/>
          <w:szCs w:val="24"/>
          <w:highlight w:val="none"/>
          <w:lang w:eastAsia="zh-CN"/>
        </w:rPr>
        <w:t>：</w:t>
      </w:r>
    </w:p>
    <w:p w14:paraId="60CD6DC8">
      <w:pPr>
        <w:widowControl/>
        <w:spacing w:line="44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自本公告发布之日起</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个工作日。</w:t>
      </w:r>
    </w:p>
    <w:p w14:paraId="372E7381">
      <w:pPr>
        <w:keepNext/>
        <w:keepLines/>
        <w:widowControl/>
        <w:spacing w:line="440" w:lineRule="exact"/>
        <w:jc w:val="left"/>
        <w:outlineLvl w:val="2"/>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七、其他补充事宜</w:t>
      </w:r>
      <w:r>
        <w:rPr>
          <w:rFonts w:hint="eastAsia" w:ascii="宋体" w:hAnsi="宋体" w:eastAsia="宋体" w:cs="宋体"/>
          <w:b/>
          <w:color w:val="auto"/>
          <w:sz w:val="24"/>
          <w:szCs w:val="24"/>
          <w:highlight w:val="none"/>
          <w:lang w:eastAsia="zh-CN"/>
        </w:rPr>
        <w:t>：</w:t>
      </w:r>
    </w:p>
    <w:p w14:paraId="148FE8DD">
      <w:pPr>
        <w:keepLines/>
        <w:spacing w:line="440" w:lineRule="exact"/>
        <w:ind w:firstLine="420" w:firstLineChars="200"/>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1.网上查询地址</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中国政府采购网（http://www.ccgp.gov.cn）、广西壮族自治区政府采购网（http://zfcg.gxzf.gov.cn）</w:t>
      </w:r>
      <w:bookmarkStart w:id="3" w:name="_Hlk37429674"/>
      <w:r>
        <w:rPr>
          <w:rFonts w:hint="eastAsia" w:ascii="宋体" w:hAnsi="宋体" w:eastAsia="宋体" w:cs="宋体"/>
          <w:b w:val="0"/>
          <w:bCs/>
          <w:color w:val="auto"/>
          <w:sz w:val="21"/>
          <w:szCs w:val="21"/>
          <w:highlight w:val="none"/>
          <w:lang w:eastAsia="zh-CN"/>
        </w:rPr>
        <w:t>、广西正海招标有限公司</w:t>
      </w:r>
      <w:r>
        <w:rPr>
          <w:rFonts w:hint="eastAsia" w:ascii="宋体" w:hAnsi="宋体" w:eastAsia="宋体" w:cs="宋体"/>
          <w:b w:val="0"/>
          <w:bCs/>
          <w:color w:val="auto"/>
          <w:sz w:val="21"/>
          <w:szCs w:val="21"/>
          <w:highlight w:val="none"/>
        </w:rPr>
        <w:t>网</w:t>
      </w:r>
      <w:r>
        <w:rPr>
          <w:rFonts w:hint="eastAsia" w:ascii="宋体" w:hAnsi="宋体" w:eastAsia="宋体" w:cs="宋体"/>
          <w:b w:val="0"/>
          <w:bCs/>
          <w:color w:val="auto"/>
          <w:sz w:val="21"/>
          <w:szCs w:val="21"/>
          <w:highlight w:val="none"/>
          <w:lang w:eastAsia="zh-CN"/>
        </w:rPr>
        <w:t>（http://www.gxzhzb.com/）。</w:t>
      </w:r>
    </w:p>
    <w:p w14:paraId="1F6CF5BB">
      <w:pPr>
        <w:keepLines/>
        <w:spacing w:line="44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2.本项目需要落实的政府采购政策</w:t>
      </w:r>
    </w:p>
    <w:p w14:paraId="4235D993">
      <w:pPr>
        <w:keepLines/>
        <w:spacing w:line="44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（1）政府采购促进中小企业发展。</w:t>
      </w:r>
    </w:p>
    <w:p w14:paraId="5804BA4A">
      <w:pPr>
        <w:keepLines/>
        <w:spacing w:line="44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（2）政府采购支持采用本国产品的政策。</w:t>
      </w:r>
    </w:p>
    <w:p w14:paraId="377A07D3">
      <w:pPr>
        <w:keepLines/>
        <w:spacing w:line="44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（3）强制采购节能产品；优先采购节能产品、环境标志产品。</w:t>
      </w:r>
    </w:p>
    <w:p w14:paraId="4C01BC6D">
      <w:pPr>
        <w:keepLines/>
        <w:spacing w:line="44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（4）政府采购促进残疾人就业政策。</w:t>
      </w:r>
    </w:p>
    <w:p w14:paraId="4D6AFBA1">
      <w:pPr>
        <w:keepLines/>
        <w:spacing w:line="440" w:lineRule="exact"/>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（5）政府采购支持监狱企业发展。</w:t>
      </w:r>
    </w:p>
    <w:bookmarkEnd w:id="3"/>
    <w:p w14:paraId="58F17A02">
      <w:pPr>
        <w:keepNext w:val="0"/>
        <w:keepLines/>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3.供应商竞标注意事项</w:t>
      </w:r>
    </w:p>
    <w:p w14:paraId="6B32096C">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（1）本项目为全流程电子化采购项目，通过广西政府采购云平台（https://www.gcy.zfcg.gxzf.gov.cn/）实行在线电子竞标，供应商应按照本项目竞争性磋商文件和广西政府采购云平台 的要求编制、加密后在提交响应文件截止时间前通过网络上传至 广西政府采购云平台 （加密的电子响应文件是指后缀名为“jmbs”的文件），供应商在广西政府采购云平台 提交电子响应文件时，请填写参加远程采购活动经办人联系方式。供应商登录广西政府采购云平台 ，依次进入“服务中心-项目采购-操作流程-电子招投标-政府采购项目电子交易管理操作指南-供应商”查看电子竞标具体操作流程。</w:t>
      </w:r>
    </w:p>
    <w:p w14:paraId="0FCFC3D3">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 ，依次进入“服务中心-入驻与配置”中查看CA数字证书办理操作流程。如在操作过程中遇到问题或者需要技术支持，请致电桂采云客服热线：95763）。</w:t>
      </w:r>
    </w:p>
    <w:p w14:paraId="3D2EA978">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（3）CA证书在线解密：首次响应文件开启时，需携带制作响应文件时用来加密的有效数字证书（CA认证）登录广西政府采购云平台 电子开标大厅现场按规定时间对加密的响应文件进行解密，否则后果自负。</w:t>
      </w:r>
    </w:p>
    <w:p w14:paraId="3EBFEE3F">
      <w:pPr>
        <w:keepNext w:val="0"/>
        <w:keepLines/>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 将予以拒收。</w:t>
      </w:r>
    </w:p>
    <w:p w14:paraId="75F37A4B">
      <w:pPr>
        <w:keepNext w:val="0"/>
        <w:keepLines/>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（4）供应商需要在具备有摄像头及语音功能且互联网网络状况良好的电脑登录广西政府采购云平台远程开标大厅参与本次磋商，否则后果自负。</w:t>
      </w:r>
    </w:p>
    <w:p w14:paraId="237455C3">
      <w:pPr>
        <w:keepNext w:val="0"/>
        <w:keepLines/>
        <w:pageBreakBefore w:val="0"/>
        <w:widowControl w:val="0"/>
        <w:kinsoku/>
        <w:wordWrap w:val="0"/>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八、凡对本次采购提出询问，请按以下方式联系</w:t>
      </w:r>
      <w:r>
        <w:rPr>
          <w:rFonts w:hint="eastAsia" w:ascii="宋体" w:hAnsi="宋体" w:eastAsia="宋体" w:cs="宋体"/>
          <w:b/>
          <w:color w:val="auto"/>
          <w:sz w:val="24"/>
          <w:szCs w:val="24"/>
          <w:highlight w:val="none"/>
          <w:lang w:eastAsia="zh-CN"/>
        </w:rPr>
        <w:t>：</w:t>
      </w:r>
    </w:p>
    <w:p w14:paraId="5E5A2212">
      <w:pPr>
        <w:keepNext w:val="0"/>
        <w:keepLines/>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1.采购人信息</w:t>
      </w:r>
    </w:p>
    <w:p w14:paraId="2156A7F8">
      <w:pPr>
        <w:keepNext w:val="0"/>
        <w:keepLines/>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 xml:space="preserve">名称：广西壮族自治区直属单位住房保障中心  地址：南宁市青秀区东葛路133号 </w:t>
      </w:r>
    </w:p>
    <w:p w14:paraId="145079B6">
      <w:pPr>
        <w:keepNext w:val="0"/>
        <w:keepLines/>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项目联系人：韦工</w:t>
      </w:r>
      <w:r>
        <w:rPr>
          <w:rFonts w:hint="eastAsia" w:ascii="宋体" w:hAnsi="宋体" w:eastAsia="宋体" w:cs="宋体"/>
          <w:b w:val="0"/>
          <w:bCs/>
          <w:color w:val="auto"/>
          <w:sz w:val="21"/>
          <w:szCs w:val="21"/>
          <w:highlight w:val="none"/>
          <w:lang w:val="en-US" w:eastAsia="zh-CN"/>
        </w:rPr>
        <w:t xml:space="preserve">     联系电话：0771-5701230 </w:t>
      </w:r>
      <w:r>
        <w:rPr>
          <w:rFonts w:hint="eastAsia" w:ascii="宋体" w:hAnsi="宋体" w:eastAsia="宋体" w:cs="宋体"/>
          <w:b w:val="0"/>
          <w:bCs/>
          <w:color w:val="auto"/>
          <w:sz w:val="21"/>
          <w:szCs w:val="21"/>
          <w:highlight w:val="none"/>
          <w:lang w:eastAsia="zh-CN"/>
        </w:rPr>
        <w:t xml:space="preserve">           </w:t>
      </w:r>
    </w:p>
    <w:p w14:paraId="2BB42B9A">
      <w:pPr>
        <w:keepNext w:val="0"/>
        <w:keepLines/>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2.采购代理机构信息</w:t>
      </w:r>
    </w:p>
    <w:p w14:paraId="10CD62B1">
      <w:pPr>
        <w:keepNext w:val="0"/>
        <w:keepLines/>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名称：广西正海招标有限公司　地址：南宁市青秀区茅桥路2号习艺基地A栋①电梯3楼</w:t>
      </w:r>
    </w:p>
    <w:p w14:paraId="6C8DED98">
      <w:pPr>
        <w:keepNext w:val="0"/>
        <w:keepLines/>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项目联系人：覃相健   联系电话：0771-2865989</w:t>
      </w:r>
    </w:p>
    <w:p w14:paraId="6CDAE926">
      <w:pPr>
        <w:keepNext w:val="0"/>
        <w:keepLines/>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color w:val="auto"/>
          <w:sz w:val="21"/>
          <w:szCs w:val="21"/>
          <w:highlight w:val="none"/>
          <w:lang w:eastAsia="zh-CN"/>
        </w:rPr>
      </w:pPr>
    </w:p>
    <w:p w14:paraId="4C2045EF">
      <w:pPr>
        <w:keepNext w:val="0"/>
        <w:keepLines/>
        <w:pageBreakBefore w:val="0"/>
        <w:widowControl w:val="0"/>
        <w:kinsoku/>
        <w:wordWrap w:val="0"/>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广西正海招标有限公司</w:t>
      </w:r>
    </w:p>
    <w:p w14:paraId="271FFEFC">
      <w:pPr>
        <w:keepNext w:val="0"/>
        <w:keepLines/>
        <w:pageBreakBefore w:val="0"/>
        <w:widowControl w:val="0"/>
        <w:kinsoku/>
        <w:wordWrap w:val="0"/>
        <w:overflowPunct/>
        <w:topLinePunct w:val="0"/>
        <w:autoSpaceDE/>
        <w:autoSpaceDN/>
        <w:bidi w:val="0"/>
        <w:adjustRightInd/>
        <w:snapToGrid/>
        <w:spacing w:line="440" w:lineRule="exact"/>
        <w:ind w:firstLine="420" w:firstLineChars="200"/>
        <w:jc w:val="right"/>
        <w:textAlignment w:val="auto"/>
        <w:rPr>
          <w:rFonts w:ascii="宋体" w:hAnsi="宋体" w:eastAsia="宋体" w:cs="宋体"/>
          <w:color w:val="auto"/>
          <w:kern w:val="0"/>
          <w:sz w:val="24"/>
          <w:szCs w:val="24"/>
          <w:highlight w:val="none"/>
          <w:lang w:val="zh-CN"/>
        </w:rPr>
      </w:pPr>
      <w:r>
        <w:rPr>
          <w:rFonts w:hint="eastAsia" w:ascii="宋体" w:hAnsi="宋体" w:eastAsia="宋体" w:cs="宋体"/>
          <w:b w:val="0"/>
          <w:bCs/>
          <w:color w:val="auto"/>
          <w:sz w:val="21"/>
          <w:szCs w:val="21"/>
          <w:highlight w:val="none"/>
          <w:lang w:val="en-US" w:eastAsia="zh-CN"/>
        </w:rPr>
        <w:t>2025年5月30日</w:t>
      </w:r>
      <w:r>
        <w:rPr>
          <w:rFonts w:hint="eastAsia" w:ascii="宋体" w:hAnsi="宋体" w:eastAsia="宋体" w:cs="宋体"/>
          <w:b/>
          <w:bCs/>
          <w:color w:val="auto"/>
          <w:kern w:val="0"/>
          <w:sz w:val="24"/>
          <w:szCs w:val="24"/>
          <w:highlight w:val="none"/>
          <w:lang w:val="zh-CN"/>
        </w:rPr>
        <w:br w:type="page"/>
      </w:r>
    </w:p>
    <w:p w14:paraId="53060046">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color w:val="auto"/>
          <w:kern w:val="44"/>
          <w:sz w:val="44"/>
          <w:szCs w:val="44"/>
          <w:highlight w:val="none"/>
        </w:rPr>
      </w:pPr>
      <w:bookmarkStart w:id="4" w:name="_Toc108596903"/>
      <w:r>
        <w:rPr>
          <w:rFonts w:hint="eastAsia" w:ascii="宋体" w:hAnsi="宋体" w:eastAsia="宋体" w:cs="宋体"/>
          <w:b/>
          <w:bCs/>
          <w:color w:val="auto"/>
          <w:kern w:val="44"/>
          <w:sz w:val="44"/>
          <w:szCs w:val="44"/>
          <w:highlight w:val="none"/>
        </w:rPr>
        <w:t>第二章 供应商须知</w:t>
      </w:r>
      <w:bookmarkEnd w:id="4"/>
    </w:p>
    <w:p w14:paraId="300C0AF4">
      <w:pPr>
        <w:keepNext/>
        <w:keepLines/>
        <w:widowControl/>
        <w:spacing w:line="360" w:lineRule="auto"/>
        <w:jc w:val="center"/>
        <w:outlineLvl w:val="1"/>
        <w:rPr>
          <w:rFonts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供应商须知前附表</w:t>
      </w:r>
    </w:p>
    <w:tbl>
      <w:tblPr>
        <w:tblStyle w:val="26"/>
        <w:tblW w:w="92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0"/>
        <w:gridCol w:w="8233"/>
      </w:tblGrid>
      <w:tr w14:paraId="38D4C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tcPr>
          <w:p w14:paraId="20D29C46">
            <w:pPr>
              <w:widowControl/>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8233" w:type="dxa"/>
          </w:tcPr>
          <w:p w14:paraId="72B0438D">
            <w:pPr>
              <w:widowControl/>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内    容</w:t>
            </w:r>
          </w:p>
        </w:tc>
      </w:tr>
      <w:tr w14:paraId="19F00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0B6D0F10">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233" w:type="dxa"/>
            <w:vAlign w:val="center"/>
          </w:tcPr>
          <w:p w14:paraId="34F5B9B8">
            <w:pPr>
              <w:widowControl/>
              <w:spacing w:line="360" w:lineRule="auto"/>
              <w:jc w:val="left"/>
              <w:rPr>
                <w:rFonts w:ascii="宋体" w:hAnsi="宋体" w:eastAsia="宋体" w:cs="宋体"/>
                <w:color w:val="auto"/>
                <w:szCs w:val="21"/>
                <w:highlight w:val="none"/>
              </w:rPr>
            </w:pPr>
            <w:r>
              <w:rPr>
                <w:rFonts w:hint="eastAsia" w:ascii="宋体" w:hAnsi="宋体" w:eastAsia="宋体" w:cs="宋体"/>
                <w:bCs/>
                <w:color w:val="auto"/>
                <w:szCs w:val="21"/>
                <w:highlight w:val="none"/>
              </w:rPr>
              <w:t>1.供应商的资格条件</w:t>
            </w:r>
            <w:r>
              <w:rPr>
                <w:rFonts w:hint="eastAsia" w:ascii="宋体" w:hAnsi="宋体" w:eastAsia="宋体" w:cs="宋体"/>
                <w:color w:val="auto"/>
                <w:szCs w:val="21"/>
                <w:highlight w:val="none"/>
              </w:rPr>
              <w:t>：详见竞争性磋商公告</w:t>
            </w:r>
          </w:p>
          <w:p w14:paraId="1E3A9F84">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Cs/>
                <w:color w:val="auto"/>
                <w:szCs w:val="21"/>
                <w:highlight w:val="none"/>
              </w:rPr>
              <w:t>供应商</w:t>
            </w:r>
            <w:r>
              <w:rPr>
                <w:rFonts w:hint="eastAsia" w:ascii="宋体" w:hAnsi="宋体" w:eastAsia="宋体" w:cs="宋体"/>
                <w:color w:val="auto"/>
                <w:szCs w:val="21"/>
                <w:highlight w:val="none"/>
              </w:rPr>
              <w:t>出现下列情形之一的，不得参加政府采购活动：</w:t>
            </w:r>
          </w:p>
          <w:p w14:paraId="22C1A9AB">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1716571">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7B6F5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74EF6242">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8233" w:type="dxa"/>
            <w:vAlign w:val="center"/>
          </w:tcPr>
          <w:p w14:paraId="18CDF324">
            <w:pPr>
              <w:widowControl/>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是否接受联合体磋商: </w:t>
            </w:r>
            <w:r>
              <w:rPr>
                <w:rFonts w:hint="eastAsia" w:ascii="宋体" w:hAnsi="宋体" w:eastAsia="宋体" w:cs="宋体"/>
                <w:color w:val="auto"/>
                <w:szCs w:val="21"/>
                <w:highlight w:val="none"/>
                <w:lang w:eastAsia="zh-CN"/>
              </w:rPr>
              <w:t>否。</w:t>
            </w:r>
          </w:p>
        </w:tc>
      </w:tr>
      <w:tr w14:paraId="170AE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4CCCC37A">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8233" w:type="dxa"/>
            <w:vAlign w:val="center"/>
          </w:tcPr>
          <w:p w14:paraId="00EBF1D5">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如接受联合体磋商，联合体磋商要求如下：</w:t>
            </w:r>
          </w:p>
          <w:p w14:paraId="374241F9">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1.两个以上供应商可以组成一个磋商联合体，以一个供应商的身份共同参加磋商。联合体磋商的，须提供《联合体磋商协议书》（格式附后）。</w:t>
            </w:r>
          </w:p>
          <w:p w14:paraId="559D4DE0">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2.以联合体形式参加竞标的，则联合体各方均必须满足申请人的资格要求第1、2条及特定行业法定准入要求。）</w:t>
            </w:r>
          </w:p>
          <w:p w14:paraId="512960F5">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3.联合体各方之间必须签订联合磋商协议，协议书必须明确主体方（或者牵头方）并明确约定联合体各方承担的工作和相应的责任（</w:t>
            </w:r>
            <w:r>
              <w:rPr>
                <w:rFonts w:hint="eastAsia" w:ascii="宋体" w:hAnsi="宋体" w:eastAsia="宋体" w:cs="宋体"/>
                <w:b/>
                <w:bCs/>
                <w:color w:val="auto"/>
                <w:szCs w:val="21"/>
                <w:highlight w:val="none"/>
              </w:rPr>
              <w:t>各方承担责任与义务的分工必须符合采购需求，否则，联合体磋商无效</w:t>
            </w:r>
            <w:r>
              <w:rPr>
                <w:rFonts w:hint="eastAsia" w:ascii="宋体" w:hAnsi="宋体" w:eastAsia="宋体" w:cs="宋体"/>
                <w:color w:val="auto"/>
                <w:szCs w:val="21"/>
                <w:highlight w:val="none"/>
              </w:rPr>
              <w:t>），并将联合竞标协议放入响应文件。联合体各方必须共同与采购人签订采购合同，就采购合同约定的事项对采购人承担连带责任。</w:t>
            </w:r>
          </w:p>
          <w:p w14:paraId="04128485">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4.以联合体形式参加政府采购活动的，联合体各方不得再单独参加或者与其他供应商另外组成联合体参加同一合同项下的政府采购活动。</w:t>
            </w:r>
          </w:p>
          <w:p w14:paraId="25D16350">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5.联合体中有同类资质的供应商按照联合体分工承担相同工作的，应当按照资质等级较低的供应商确定资质等级。 </w:t>
            </w:r>
          </w:p>
          <w:p w14:paraId="116235B4">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6.联合体磋商业绩、履约能力按照联合体各方中较高的一方认定并计算（磋商文件另有规定的除外）。</w:t>
            </w:r>
          </w:p>
          <w:p w14:paraId="6E938611">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7.供应商为联合体的，可以由联合体中的一方或者多方共同交纳磋商保证金，其交纳的保证金对联合体各方均具有约束力。</w:t>
            </w:r>
          </w:p>
          <w:p w14:paraId="272ED640">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8.联合体各方均应按照磋商文件的规定提交资格证明文件。</w:t>
            </w:r>
          </w:p>
        </w:tc>
      </w:tr>
      <w:tr w14:paraId="5CEA1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1362A53E">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6.2</w:t>
            </w:r>
          </w:p>
        </w:tc>
        <w:tc>
          <w:tcPr>
            <w:tcW w:w="8233" w:type="dxa"/>
            <w:vAlign w:val="center"/>
          </w:tcPr>
          <w:p w14:paraId="2880A24C">
            <w:pPr>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eq \o\ac(□,√)</w:instrText>
            </w:r>
            <w:r>
              <w:rPr>
                <w:rFonts w:hint="eastAsia" w:ascii="宋体" w:hAnsi="宋体" w:eastAsia="宋体" w:cs="宋体"/>
                <w:b/>
                <w:bCs/>
                <w:color w:val="auto"/>
                <w:szCs w:val="21"/>
                <w:highlight w:val="none"/>
              </w:rPr>
              <w:fldChar w:fldCharType="end"/>
            </w:r>
            <w:r>
              <w:rPr>
                <w:rFonts w:hint="eastAsia" w:ascii="宋体" w:hAnsi="宋体" w:eastAsia="宋体" w:cs="宋体"/>
                <w:b/>
                <w:bCs/>
                <w:color w:val="auto"/>
                <w:szCs w:val="21"/>
                <w:highlight w:val="none"/>
              </w:rPr>
              <w:t>不允许分包</w:t>
            </w:r>
          </w:p>
          <w:p w14:paraId="7FC61599">
            <w:pPr>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□允许分包</w:t>
            </w:r>
          </w:p>
          <w:p w14:paraId="40FE7A36">
            <w:pPr>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分包内容：</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1EF2EF43">
            <w:pPr>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分包金额或者比例：</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36AED2AE">
            <w:pPr>
              <w:spacing w:line="360" w:lineRule="auto"/>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分包供应商必须具备的资质：</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tc>
      </w:tr>
      <w:tr w14:paraId="6E1B1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40BCB3A0">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8233" w:type="dxa"/>
            <w:vAlign w:val="center"/>
          </w:tcPr>
          <w:p w14:paraId="66D842E2">
            <w:pPr>
              <w:widowControl/>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资格证明文件</w:t>
            </w:r>
          </w:p>
          <w:p w14:paraId="47A494B7">
            <w:pPr>
              <w:widowControl/>
              <w:numPr>
                <w:ilvl w:val="0"/>
                <w:numId w:val="2"/>
              </w:numPr>
              <w:spacing w:line="360" w:lineRule="auto"/>
              <w:ind w:left="0"/>
              <w:jc w:val="left"/>
              <w:rPr>
                <w:rFonts w:ascii="宋体" w:hAnsi="宋体" w:eastAsia="宋体" w:cs="宋体"/>
                <w:color w:val="auto"/>
                <w:szCs w:val="21"/>
                <w:highlight w:val="none"/>
              </w:rPr>
            </w:pPr>
            <w:r>
              <w:rPr>
                <w:rFonts w:hint="eastAsia" w:ascii="宋体" w:hAnsi="宋体" w:eastAsia="宋体" w:cs="宋体"/>
                <w:color w:val="auto"/>
                <w:szCs w:val="21"/>
                <w:highlight w:val="none"/>
              </w:rPr>
              <w:t>1.供应商为法人或者其他组织的提供其营业执照等证明文件（如营业执照或者事业单位法人证书或者执业许可证或者登记证书等），供应商为自然人的提供其身份证复印件；（</w:t>
            </w:r>
            <w:r>
              <w:rPr>
                <w:rFonts w:hint="eastAsia" w:ascii="宋体" w:hAnsi="宋体" w:eastAsia="宋体" w:cs="宋体"/>
                <w:b/>
                <w:bCs/>
                <w:color w:val="auto"/>
                <w:szCs w:val="21"/>
                <w:highlight w:val="none"/>
              </w:rPr>
              <w:t>必须提供，否则响应文件按无效响应处理</w:t>
            </w:r>
            <w:r>
              <w:rPr>
                <w:rFonts w:hint="eastAsia" w:ascii="宋体" w:hAnsi="宋体" w:eastAsia="宋体" w:cs="宋体"/>
                <w:color w:val="auto"/>
                <w:szCs w:val="21"/>
                <w:highlight w:val="none"/>
              </w:rPr>
              <w:t>）</w:t>
            </w:r>
          </w:p>
          <w:p w14:paraId="5E1A2A7E">
            <w:pPr>
              <w:widowControl/>
              <w:numPr>
                <w:ilvl w:val="0"/>
                <w:numId w:val="2"/>
              </w:numPr>
              <w:spacing w:line="360" w:lineRule="auto"/>
              <w:ind w:left="0"/>
              <w:jc w:val="left"/>
              <w:rPr>
                <w:rFonts w:ascii="宋体" w:hAnsi="宋体" w:eastAsia="宋体" w:cs="宋体"/>
                <w:color w:val="auto"/>
                <w:szCs w:val="21"/>
                <w:highlight w:val="none"/>
              </w:rPr>
            </w:pPr>
            <w:r>
              <w:rPr>
                <w:rFonts w:hint="eastAsia" w:ascii="宋体" w:hAnsi="宋体" w:eastAsia="宋体" w:cs="宋体"/>
                <w:color w:val="auto"/>
                <w:szCs w:val="21"/>
                <w:highlight w:val="none"/>
              </w:rPr>
              <w:t>2.供应商依法缴纳税收的相关材料【</w:t>
            </w:r>
            <w:r>
              <w:rPr>
                <w:rFonts w:hint="eastAsia" w:ascii="宋体" w:hAnsi="宋体" w:eastAsia="宋体" w:cs="宋体"/>
                <w:color w:val="auto"/>
                <w:szCs w:val="21"/>
                <w:highlight w:val="none"/>
                <w:lang w:eastAsia="zh-CN"/>
              </w:rPr>
              <w:t>202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年</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lang w:eastAsia="zh-CN"/>
              </w:rPr>
              <w:t>月至202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年</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rPr>
              <w:t>内任意一个月的依法缴纳税收的凭据复印件（如税务部门开具的完税证、银行缴税付款凭证或缴款回单等；如为非税务部门开具的凭证或回单的，应清晰反映：付款人名称、帐号，征收机关名称，缴款金额，税种名称，所属时期等内容）；如供应商在项目截标前连续三个月零纳税的，应出具截标前半年内的缴纳税收凭证，如半年内仍为零纳税的，供应商应出具其具备经营能力的相关证明材料。供应商符合依法免税条件的，应出具所在地的税务部门出具的《依法免税证明》复印件。从取得营业执照时间起到响应文件提交截止时间为止不足要求月数的，只需提供从取得营业执照起的依法缴纳税收相应证明文件】；（</w:t>
            </w:r>
            <w:r>
              <w:rPr>
                <w:rFonts w:hint="eastAsia" w:ascii="宋体" w:hAnsi="宋体" w:eastAsia="宋体" w:cs="宋体"/>
                <w:b/>
                <w:bCs/>
                <w:color w:val="auto"/>
                <w:szCs w:val="21"/>
                <w:highlight w:val="none"/>
              </w:rPr>
              <w:t>必须提供，否则响应文件按无效响应处理</w:t>
            </w:r>
            <w:r>
              <w:rPr>
                <w:rFonts w:hint="eastAsia" w:ascii="宋体" w:hAnsi="宋体" w:eastAsia="宋体" w:cs="宋体"/>
                <w:color w:val="auto"/>
                <w:szCs w:val="21"/>
                <w:highlight w:val="none"/>
              </w:rPr>
              <w:t>）</w:t>
            </w:r>
          </w:p>
          <w:p w14:paraId="27880432">
            <w:pPr>
              <w:widowControl/>
              <w:numPr>
                <w:ilvl w:val="0"/>
                <w:numId w:val="2"/>
              </w:numPr>
              <w:spacing w:line="360" w:lineRule="auto"/>
              <w:ind w:left="0"/>
              <w:jc w:val="left"/>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供应商依法缴纳社会保障资金的相关材料【</w:t>
            </w:r>
            <w:r>
              <w:rPr>
                <w:rFonts w:hint="eastAsia" w:ascii="宋体" w:hAnsi="宋体" w:eastAsia="宋体" w:cs="宋体"/>
                <w:color w:val="auto"/>
                <w:szCs w:val="21"/>
                <w:highlight w:val="none"/>
                <w:lang w:eastAsia="zh-CN"/>
              </w:rPr>
              <w:t>202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年</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lang w:eastAsia="zh-CN"/>
              </w:rPr>
              <w:t>月至202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年</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rPr>
              <w:t>内任意一个月的依法缴纳社会保障资金的缴费凭证（专用收据或者社会保险缴纳清单）复印件；并附上项目实施人员社保缴存证明（如社保部门开具的证明、收款收据等，或银行缴款凭证、回单等；如为非社保部门开具的凭证或回单的，应清晰反映：缴款单位名称、社保单位名称、保险险种名称、缴款金额等内容）。无缴费记录的，应提供供应商所在地社保部门出具的《依法免缴社保费证明》复印件。从取得营业执照时间起到响应文件提交截止时间为止不足要求月数的只需提供从取得营业执照起的依法缴纳社会保障资金的</w:t>
            </w:r>
            <w:r>
              <w:rPr>
                <w:rFonts w:hint="eastAsia" w:ascii="宋体" w:hAnsi="宋体" w:eastAsia="宋体" w:cs="宋体"/>
                <w:color w:val="auto"/>
                <w:highlight w:val="none"/>
              </w:rPr>
              <w:t>相应证明文件</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必须提供，否则响应文件按无效响应处理</w:t>
            </w:r>
            <w:r>
              <w:rPr>
                <w:rFonts w:hint="eastAsia" w:ascii="宋体" w:hAnsi="宋体" w:eastAsia="宋体" w:cs="宋体"/>
                <w:color w:val="auto"/>
                <w:szCs w:val="21"/>
                <w:highlight w:val="none"/>
              </w:rPr>
              <w:t>）</w:t>
            </w:r>
          </w:p>
          <w:p w14:paraId="30AC9CAA">
            <w:pPr>
              <w:widowControl/>
              <w:numPr>
                <w:ilvl w:val="0"/>
                <w:numId w:val="2"/>
              </w:numPr>
              <w:spacing w:line="360" w:lineRule="auto"/>
              <w:ind w:left="0"/>
              <w:jc w:val="left"/>
              <w:rPr>
                <w:rFonts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rPr>
              <w:t>供应商</w:t>
            </w:r>
            <w:r>
              <w:rPr>
                <w:rFonts w:hint="eastAsia"/>
                <w:color w:val="auto"/>
                <w:szCs w:val="21"/>
                <w:highlight w:val="none"/>
              </w:rPr>
              <w:t>财务状况报告</w:t>
            </w:r>
            <w:r>
              <w:rPr>
                <w:rFonts w:hint="eastAsia"/>
                <w:color w:val="auto"/>
                <w:szCs w:val="21"/>
                <w:highlight w:val="none"/>
                <w:lang w:eastAsia="zh-CN"/>
              </w:rPr>
              <w:t>【</w:t>
            </w:r>
            <w:r>
              <w:rPr>
                <w:rFonts w:hint="eastAsia" w:ascii="宋体" w:hAnsi="宋体"/>
                <w:color w:val="auto"/>
                <w:szCs w:val="21"/>
                <w:highlight w:val="none"/>
                <w:u w:val="single"/>
                <w:lang w:val="en-US" w:eastAsia="zh-CN"/>
              </w:rPr>
              <w:t>2023年度或2024年度</w:t>
            </w:r>
            <w:r>
              <w:rPr>
                <w:rFonts w:hint="eastAsia" w:ascii="宋体" w:hAnsi="宋体"/>
                <w:color w:val="auto"/>
                <w:szCs w:val="21"/>
                <w:highlight w:val="none"/>
                <w:u w:val="none"/>
                <w:lang w:val="en-US" w:eastAsia="zh-CN"/>
              </w:rPr>
              <w:t>经第三方审计的财务审计报告复印件</w:t>
            </w:r>
            <w:r>
              <w:rPr>
                <w:rFonts w:hint="eastAsia"/>
                <w:color w:val="auto"/>
                <w:szCs w:val="21"/>
                <w:highlight w:val="none"/>
              </w:rPr>
              <w:t>或者银行出具的资信证明，或者中国人民银行征信中心出具的信用报告（企业竞标的提供企业信用报告，自然人竞标的提供个人信用报告）；供应商属于</w:t>
            </w:r>
            <w:r>
              <w:rPr>
                <w:rFonts w:hint="eastAsia"/>
                <w:color w:val="auto"/>
                <w:highlight w:val="none"/>
              </w:rPr>
              <w:t>成立时间</w:t>
            </w:r>
            <w:r>
              <w:rPr>
                <w:rFonts w:hint="eastAsia"/>
                <w:color w:val="auto"/>
                <w:kern w:val="0"/>
                <w:highlight w:val="none"/>
              </w:rPr>
              <w:t>在规定年度之后</w:t>
            </w:r>
            <w:r>
              <w:rPr>
                <w:rFonts w:hint="eastAsia"/>
                <w:color w:val="auto"/>
                <w:highlight w:val="none"/>
              </w:rPr>
              <w:t>的</w:t>
            </w:r>
            <w:r>
              <w:rPr>
                <w:rFonts w:hint="eastAsia"/>
                <w:color w:val="auto"/>
                <w:szCs w:val="21"/>
                <w:highlight w:val="none"/>
              </w:rPr>
              <w:t>法人或其他组织</w:t>
            </w:r>
            <w:r>
              <w:rPr>
                <w:rFonts w:hint="eastAsia"/>
                <w:color w:val="auto"/>
                <w:highlight w:val="none"/>
              </w:rPr>
              <w:t>，需提供成立之日起至响应文件提交截止时间前的月报表</w:t>
            </w:r>
            <w:r>
              <w:rPr>
                <w:rFonts w:hint="eastAsia"/>
                <w:color w:val="auto"/>
                <w:szCs w:val="21"/>
                <w:highlight w:val="none"/>
              </w:rPr>
              <w:t>或银行出具的资信证明或者中国人民银行征信中心出具的企业信用报告；资信证明应在有效期内，未注明有效期的，银行出具时间至响应文件提交截止时间不超过一年</w:t>
            </w:r>
            <w:r>
              <w:rPr>
                <w:rFonts w:hint="eastAsia"/>
                <w:color w:val="auto"/>
                <w:szCs w:val="21"/>
                <w:highlight w:val="none"/>
                <w:lang w:eastAsia="zh-CN"/>
              </w:rPr>
              <w:t>】</w:t>
            </w:r>
            <w:r>
              <w:rPr>
                <w:rFonts w:hint="eastAsia" w:ascii="宋体" w:hAnsi="宋体" w:cs="宋体"/>
                <w:color w:val="auto"/>
                <w:szCs w:val="21"/>
                <w:highlight w:val="none"/>
              </w:rPr>
              <w:t>；</w:t>
            </w:r>
            <w:r>
              <w:rPr>
                <w:rFonts w:hint="eastAsia" w:ascii="宋体" w:hAnsi="宋体" w:eastAsia="宋体" w:cs="宋体"/>
                <w:b/>
                <w:bCs/>
                <w:color w:val="auto"/>
                <w:szCs w:val="21"/>
                <w:highlight w:val="none"/>
              </w:rPr>
              <w:t>（必须提供，否则响应文件按无效响应处理）</w:t>
            </w:r>
          </w:p>
          <w:p w14:paraId="76173BCF">
            <w:pPr>
              <w:widowControl/>
              <w:numPr>
                <w:ilvl w:val="0"/>
                <w:numId w:val="2"/>
              </w:numPr>
              <w:spacing w:line="360" w:lineRule="auto"/>
              <w:ind w:left="0"/>
              <w:jc w:val="left"/>
              <w:rPr>
                <w:rFonts w:ascii="宋体" w:hAnsi="宋体" w:eastAsia="宋体" w:cs="宋体"/>
                <w:color w:val="auto"/>
                <w:szCs w:val="21"/>
                <w:highlight w:val="none"/>
              </w:rPr>
            </w:pPr>
            <w:r>
              <w:rPr>
                <w:rFonts w:hint="eastAsia" w:ascii="宋体" w:hAnsi="宋体" w:eastAsia="宋体" w:cs="宋体"/>
                <w:color w:val="auto"/>
                <w:szCs w:val="21"/>
                <w:highlight w:val="none"/>
              </w:rPr>
              <w:t>5.供应商直接控股、管理关系信息表（格式附后）；（</w:t>
            </w:r>
            <w:r>
              <w:rPr>
                <w:rFonts w:hint="eastAsia" w:ascii="宋体" w:hAnsi="宋体" w:eastAsia="宋体" w:cs="宋体"/>
                <w:b/>
                <w:bCs/>
                <w:color w:val="auto"/>
                <w:szCs w:val="21"/>
                <w:highlight w:val="none"/>
              </w:rPr>
              <w:t>必须提供，否则响应文件按无效响应处理</w:t>
            </w:r>
            <w:r>
              <w:rPr>
                <w:rFonts w:hint="eastAsia" w:ascii="宋体" w:hAnsi="宋体" w:eastAsia="宋体" w:cs="宋体"/>
                <w:color w:val="auto"/>
                <w:szCs w:val="21"/>
                <w:highlight w:val="none"/>
              </w:rPr>
              <w:t>）</w:t>
            </w:r>
          </w:p>
          <w:p w14:paraId="5B705F2B">
            <w:pPr>
              <w:widowControl/>
              <w:numPr>
                <w:ilvl w:val="0"/>
                <w:numId w:val="2"/>
              </w:numPr>
              <w:spacing w:line="360" w:lineRule="auto"/>
              <w:ind w:left="0"/>
              <w:jc w:val="left"/>
              <w:rPr>
                <w:rFonts w:ascii="宋体" w:hAnsi="宋体" w:eastAsia="宋体" w:cs="宋体"/>
                <w:color w:val="auto"/>
                <w:szCs w:val="21"/>
                <w:highlight w:val="none"/>
              </w:rPr>
            </w:pPr>
            <w:r>
              <w:rPr>
                <w:rFonts w:hint="eastAsia" w:ascii="宋体" w:hAnsi="宋体" w:eastAsia="宋体" w:cs="宋体"/>
                <w:color w:val="auto"/>
                <w:szCs w:val="21"/>
                <w:highlight w:val="none"/>
              </w:rPr>
              <w:t>6.磋商声明（格式附后）；（</w:t>
            </w:r>
            <w:r>
              <w:rPr>
                <w:rFonts w:hint="eastAsia" w:ascii="宋体" w:hAnsi="宋体" w:eastAsia="宋体" w:cs="宋体"/>
                <w:b/>
                <w:bCs/>
                <w:color w:val="auto"/>
                <w:szCs w:val="21"/>
                <w:highlight w:val="none"/>
              </w:rPr>
              <w:t>必须提供，否则响应文件按无效响应处理</w:t>
            </w:r>
            <w:r>
              <w:rPr>
                <w:rFonts w:hint="eastAsia" w:ascii="宋体" w:hAnsi="宋体" w:eastAsia="宋体" w:cs="宋体"/>
                <w:color w:val="auto"/>
                <w:szCs w:val="21"/>
                <w:highlight w:val="none"/>
              </w:rPr>
              <w:t>）</w:t>
            </w:r>
          </w:p>
          <w:p w14:paraId="1A1B8E65">
            <w:pPr>
              <w:widowControl/>
              <w:numPr>
                <w:ilvl w:val="0"/>
                <w:numId w:val="2"/>
              </w:numPr>
              <w:spacing w:line="360" w:lineRule="auto"/>
              <w:ind w:left="0"/>
              <w:jc w:val="left"/>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中小企业声明函</w:t>
            </w:r>
            <w:r>
              <w:rPr>
                <w:rFonts w:hint="eastAsia" w:ascii="宋体" w:hAnsi="宋体" w:eastAsia="宋体" w:cs="宋体"/>
                <w:color w:val="auto"/>
                <w:szCs w:val="21"/>
                <w:highlight w:val="none"/>
                <w:lang w:eastAsia="zh-CN"/>
              </w:rPr>
              <w:t>（供应商应为中小微企业）</w:t>
            </w:r>
            <w:r>
              <w:rPr>
                <w:rFonts w:hint="eastAsia" w:ascii="宋体" w:hAnsi="宋体" w:eastAsia="宋体" w:cs="宋体"/>
                <w:color w:val="auto"/>
                <w:szCs w:val="21"/>
                <w:highlight w:val="none"/>
              </w:rPr>
              <w:t>或监狱企业由省级以上监狱管理局、戒毒管理局（含新疆生产建设兵团）出具的属于监狱企业的证明文件或残疾人福利性单位声明函（格式后附）；</w:t>
            </w:r>
            <w:r>
              <w:rPr>
                <w:rFonts w:hint="eastAsia" w:ascii="宋体" w:hAnsi="宋体" w:eastAsia="宋体" w:cs="宋体"/>
                <w:b/>
                <w:bCs/>
                <w:color w:val="auto"/>
                <w:szCs w:val="21"/>
                <w:highlight w:val="none"/>
              </w:rPr>
              <w:t>（必须提供，否则响应文件按无效响应处理）</w:t>
            </w:r>
          </w:p>
          <w:p w14:paraId="479A5D4C">
            <w:pPr>
              <w:widowControl/>
              <w:numPr>
                <w:ilvl w:val="0"/>
                <w:numId w:val="2"/>
              </w:numPr>
              <w:spacing w:line="360" w:lineRule="auto"/>
              <w:ind w:left="0"/>
              <w:jc w:val="left"/>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.联合体磋商协议书（格式附后）；（</w:t>
            </w:r>
            <w:r>
              <w:rPr>
                <w:rFonts w:hint="eastAsia" w:ascii="宋体" w:hAnsi="宋体" w:eastAsia="宋体" w:cs="宋体"/>
                <w:b/>
                <w:bCs/>
                <w:color w:val="auto"/>
                <w:szCs w:val="21"/>
                <w:highlight w:val="none"/>
              </w:rPr>
              <w:t>联合体磋商时必须提供，否则响应文件按无效响应处理</w:t>
            </w:r>
            <w:r>
              <w:rPr>
                <w:rFonts w:hint="eastAsia" w:ascii="宋体" w:hAnsi="宋体" w:eastAsia="宋体" w:cs="宋体"/>
                <w:color w:val="auto"/>
                <w:szCs w:val="21"/>
                <w:highlight w:val="none"/>
              </w:rPr>
              <w:t>）</w:t>
            </w:r>
          </w:p>
          <w:p w14:paraId="36757BA1">
            <w:pPr>
              <w:pStyle w:val="82"/>
              <w:widowControl/>
              <w:numPr>
                <w:ilvl w:val="0"/>
                <w:numId w:val="2"/>
              </w:numPr>
              <w:spacing w:line="360" w:lineRule="auto"/>
              <w:ind w:left="0" w:firstLineChars="0"/>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注：</w:t>
            </w:r>
          </w:p>
          <w:p w14:paraId="15349EC5">
            <w:pPr>
              <w:pStyle w:val="82"/>
              <w:widowControl/>
              <w:numPr>
                <w:ilvl w:val="0"/>
                <w:numId w:val="2"/>
              </w:numPr>
              <w:spacing w:line="360" w:lineRule="auto"/>
              <w:ind w:left="0" w:firstLineChars="0"/>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1.以上标明“必须提供”的材料属于复印件的，必须加盖供应商公章，否则响应文件按无效响应处理。</w:t>
            </w:r>
          </w:p>
          <w:p w14:paraId="6944D967">
            <w:pPr>
              <w:widowControl/>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2.磋商声明必须由法定代表人在规定签章处签字并加盖供应商公章，否则响应文件按无效响应处理。</w:t>
            </w:r>
          </w:p>
          <w:p w14:paraId="4A321A81">
            <w:pPr>
              <w:widowControl/>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3.供应商直接控股、管理关系信息表必须由法定代表人或者委托代理人在规定签章处签字并加盖供应商公章，否则响应文件按无效响应处理。</w:t>
            </w:r>
          </w:p>
          <w:p w14:paraId="6DC3FEAE">
            <w:pPr>
              <w:widowControl/>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4.联合体磋商时，第1-5项资格证明文件联合体各方均必须分别提供，联合体各方分别盖章和签字，否则响应文件按无效响应处理。</w:t>
            </w:r>
          </w:p>
          <w:p w14:paraId="19F4E39A">
            <w:pPr>
              <w:widowControl/>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电子响应文件中所须加盖公章部分均建议采用CA签章。若响应文件中有专门标注的某关联点，并要求供应商在电子投标系统中作出磋商响应的，如供应商未对关联点进行响应或者在响应文件其它内容进行描述，造成电子评审不能查询的责任由供应商自行承担。</w:t>
            </w:r>
          </w:p>
          <w:p w14:paraId="3E3F7904">
            <w:pPr>
              <w:widowControl/>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6.分公司参加磋商的，应当取得总公司授权。</w:t>
            </w:r>
          </w:p>
        </w:tc>
      </w:tr>
      <w:tr w14:paraId="33B88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39BF0320">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8233" w:type="dxa"/>
            <w:vAlign w:val="center"/>
          </w:tcPr>
          <w:p w14:paraId="6EF9D688">
            <w:pPr>
              <w:widowControl/>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报价文件</w:t>
            </w:r>
          </w:p>
          <w:p w14:paraId="47C127D7">
            <w:pPr>
              <w:widowControl/>
              <w:spacing w:line="360"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磋商报价表（格式附后）；</w:t>
            </w:r>
            <w:r>
              <w:rPr>
                <w:rFonts w:hint="eastAsia" w:ascii="宋体" w:hAnsi="宋体" w:eastAsia="宋体" w:cs="宋体"/>
                <w:b/>
                <w:bCs/>
                <w:color w:val="auto"/>
                <w:szCs w:val="21"/>
                <w:highlight w:val="none"/>
              </w:rPr>
              <w:t>（必须提供，否则响应文件按无效响应处理）</w:t>
            </w:r>
          </w:p>
          <w:p w14:paraId="66B577B0">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.供应商认为需要提供的其他有关资料。</w:t>
            </w:r>
          </w:p>
        </w:tc>
      </w:tr>
      <w:tr w14:paraId="53F19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1534F1EA">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12.1.3</w:t>
            </w:r>
          </w:p>
        </w:tc>
        <w:tc>
          <w:tcPr>
            <w:tcW w:w="8233" w:type="dxa"/>
            <w:vAlign w:val="center"/>
          </w:tcPr>
          <w:p w14:paraId="2A0B67B9">
            <w:pPr>
              <w:widowControl/>
              <w:spacing w:line="360" w:lineRule="auto"/>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商务技术文件</w:t>
            </w:r>
          </w:p>
          <w:p w14:paraId="78DE2508">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1.无串通竞标行为的承诺函（格式附后）；（</w:t>
            </w:r>
            <w:r>
              <w:rPr>
                <w:rFonts w:hint="eastAsia" w:ascii="宋体" w:hAnsi="宋体" w:eastAsia="宋体" w:cs="宋体"/>
                <w:b/>
                <w:bCs/>
                <w:color w:val="auto"/>
                <w:szCs w:val="21"/>
                <w:highlight w:val="none"/>
              </w:rPr>
              <w:t>必须提供，否则响应文件按无效响应处理</w:t>
            </w:r>
            <w:r>
              <w:rPr>
                <w:rFonts w:hint="eastAsia" w:ascii="宋体" w:hAnsi="宋体" w:eastAsia="宋体" w:cs="宋体"/>
                <w:color w:val="auto"/>
                <w:szCs w:val="21"/>
                <w:highlight w:val="none"/>
              </w:rPr>
              <w:t>）</w:t>
            </w:r>
          </w:p>
          <w:p w14:paraId="21DFE4E7">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2.法定代表人身份证明书及法定代表人有效身份证正反面复印件（格式附后）；（</w:t>
            </w:r>
            <w:r>
              <w:rPr>
                <w:rFonts w:hint="eastAsia" w:ascii="宋体" w:hAnsi="宋体" w:eastAsia="宋体" w:cs="宋体"/>
                <w:b/>
                <w:bCs/>
                <w:color w:val="auto"/>
                <w:szCs w:val="21"/>
                <w:highlight w:val="none"/>
              </w:rPr>
              <w:t>除自然人竞标外必须提供，否则响应文件按无效响应处理</w:t>
            </w:r>
            <w:r>
              <w:rPr>
                <w:rFonts w:hint="eastAsia" w:ascii="宋体" w:hAnsi="宋体" w:eastAsia="宋体" w:cs="宋体"/>
                <w:color w:val="auto"/>
                <w:szCs w:val="21"/>
                <w:highlight w:val="none"/>
              </w:rPr>
              <w:t>）</w:t>
            </w:r>
          </w:p>
          <w:p w14:paraId="57AC6ACE">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3.授权委托书及委托代理人有效身份证正反面复印件（格式附后）；（</w:t>
            </w:r>
            <w:r>
              <w:rPr>
                <w:rFonts w:hint="eastAsia" w:ascii="宋体" w:hAnsi="宋体" w:eastAsia="宋体" w:cs="宋体"/>
                <w:b/>
                <w:bCs/>
                <w:color w:val="auto"/>
                <w:szCs w:val="21"/>
                <w:highlight w:val="none"/>
              </w:rPr>
              <w:t>委托时必须提供，否则响应文件按无效响应处理</w:t>
            </w:r>
            <w:r>
              <w:rPr>
                <w:rFonts w:hint="eastAsia" w:ascii="宋体" w:hAnsi="宋体" w:eastAsia="宋体" w:cs="宋体"/>
                <w:color w:val="auto"/>
                <w:szCs w:val="21"/>
                <w:highlight w:val="none"/>
              </w:rPr>
              <w:t>）</w:t>
            </w:r>
          </w:p>
          <w:p w14:paraId="1EED5D1B">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4.磋商保证金提交凭证；（</w:t>
            </w:r>
            <w:r>
              <w:rPr>
                <w:rFonts w:hint="eastAsia" w:ascii="宋体" w:hAnsi="宋体" w:eastAsia="宋体" w:cs="宋体"/>
                <w:b/>
                <w:bCs/>
                <w:color w:val="auto"/>
                <w:szCs w:val="21"/>
                <w:highlight w:val="none"/>
              </w:rPr>
              <w:t>必须提供</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072EE5A5">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5.商务要求偏离表（格式附后）；（</w:t>
            </w:r>
            <w:r>
              <w:rPr>
                <w:rFonts w:hint="eastAsia" w:ascii="宋体" w:hAnsi="宋体" w:eastAsia="宋体" w:cs="宋体"/>
                <w:b/>
                <w:bCs/>
                <w:color w:val="auto"/>
                <w:szCs w:val="21"/>
                <w:highlight w:val="none"/>
              </w:rPr>
              <w:t>必须提供，否则响应文件按无效响应处理</w:t>
            </w:r>
            <w:r>
              <w:rPr>
                <w:rFonts w:hint="eastAsia" w:ascii="宋体" w:hAnsi="宋体" w:eastAsia="宋体" w:cs="宋体"/>
                <w:color w:val="auto"/>
                <w:szCs w:val="21"/>
                <w:highlight w:val="none"/>
              </w:rPr>
              <w:t>）</w:t>
            </w:r>
          </w:p>
          <w:p w14:paraId="6A358804">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6.服务要求偏离表（格式附后）；（</w:t>
            </w:r>
            <w:r>
              <w:rPr>
                <w:rFonts w:hint="eastAsia" w:ascii="宋体" w:hAnsi="宋体" w:eastAsia="宋体" w:cs="宋体"/>
                <w:b/>
                <w:bCs/>
                <w:color w:val="auto"/>
                <w:szCs w:val="21"/>
                <w:highlight w:val="none"/>
              </w:rPr>
              <w:t>必须提供，否则响应文件按无效响应处理</w:t>
            </w:r>
            <w:r>
              <w:rPr>
                <w:rFonts w:hint="eastAsia" w:ascii="宋体" w:hAnsi="宋体" w:eastAsia="宋体" w:cs="宋体"/>
                <w:color w:val="auto"/>
                <w:szCs w:val="21"/>
                <w:highlight w:val="none"/>
              </w:rPr>
              <w:t>）</w:t>
            </w:r>
          </w:p>
          <w:p w14:paraId="0DBECA39">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7.售后服务承诺书（格式自拟）；（</w:t>
            </w:r>
            <w:r>
              <w:rPr>
                <w:rFonts w:hint="eastAsia" w:ascii="宋体" w:hAnsi="宋体" w:eastAsia="宋体" w:cs="宋体"/>
                <w:b/>
                <w:bCs/>
                <w:color w:val="auto"/>
                <w:szCs w:val="21"/>
                <w:highlight w:val="none"/>
              </w:rPr>
              <w:t>必须提供，否则响应文件按无效响应处理</w:t>
            </w:r>
            <w:r>
              <w:rPr>
                <w:rFonts w:hint="eastAsia" w:ascii="宋体" w:hAnsi="宋体" w:eastAsia="宋体" w:cs="宋体"/>
                <w:color w:val="auto"/>
                <w:szCs w:val="21"/>
                <w:highlight w:val="none"/>
              </w:rPr>
              <w:t>）</w:t>
            </w:r>
          </w:p>
          <w:p w14:paraId="0FAD5825">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8.项目实施人员一览表；</w:t>
            </w:r>
          </w:p>
          <w:p w14:paraId="291B7B41">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9.项目</w:t>
            </w:r>
            <w:r>
              <w:rPr>
                <w:rFonts w:hint="eastAsia" w:ascii="宋体" w:hAnsi="宋体" w:eastAsia="宋体" w:cs="宋体"/>
                <w:color w:val="auto"/>
                <w:szCs w:val="21"/>
                <w:highlight w:val="none"/>
                <w:lang w:eastAsia="zh-CN"/>
              </w:rPr>
              <w:t>服务</w:t>
            </w:r>
            <w:r>
              <w:rPr>
                <w:rFonts w:hint="eastAsia" w:ascii="宋体" w:hAnsi="宋体" w:eastAsia="宋体" w:cs="宋体"/>
                <w:color w:val="auto"/>
                <w:szCs w:val="21"/>
                <w:highlight w:val="none"/>
              </w:rPr>
              <w:t>方案（结合第三章“项目需求”及第四章“评定成交的标准”自行编写）；</w:t>
            </w:r>
          </w:p>
          <w:p w14:paraId="0F967AAF">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10.对应采购需求的服务要求、商务要求提供的其他文件资料（格式自拟）；</w:t>
            </w:r>
          </w:p>
          <w:p w14:paraId="18F0E9C4">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11.供应商认为需要提供的其他有关资料。</w:t>
            </w:r>
          </w:p>
          <w:p w14:paraId="72C6636A">
            <w:pPr>
              <w:widowControl/>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w:t>
            </w:r>
          </w:p>
          <w:p w14:paraId="4A0A2401">
            <w:pPr>
              <w:widowControl/>
              <w:spacing w:line="360" w:lineRule="auto"/>
              <w:jc w:val="left"/>
              <w:rPr>
                <w:rFonts w:ascii="宋体" w:hAnsi="宋体" w:eastAsia="宋体" w:cs="宋体"/>
                <w:b/>
                <w:bCs/>
                <w:color w:val="auto"/>
                <w:szCs w:val="21"/>
                <w:highlight w:val="none"/>
              </w:rPr>
            </w:pPr>
            <w:r>
              <w:rPr>
                <w:rFonts w:hint="eastAsia" w:ascii="宋体" w:hAnsi="宋体" w:eastAsia="宋体" w:cs="宋体"/>
                <w:b/>
                <w:color w:val="auto"/>
                <w:szCs w:val="21"/>
                <w:highlight w:val="none"/>
              </w:rPr>
              <w:t>1.以上标明“必须提供”的材料属于复印件的，必须加盖供应商公章，否则响应文件按无效响应处理。</w:t>
            </w:r>
          </w:p>
          <w:p w14:paraId="654B24FD">
            <w:pPr>
              <w:widowControl/>
              <w:snapToGrid w:val="0"/>
              <w:spacing w:line="360" w:lineRule="auto"/>
              <w:jc w:val="left"/>
              <w:rPr>
                <w:rFonts w:ascii="宋体" w:hAnsi="宋体" w:eastAsia="宋体" w:cs="宋体"/>
                <w:b/>
                <w:color w:val="auto"/>
                <w:szCs w:val="21"/>
                <w:highlight w:val="none"/>
              </w:rPr>
            </w:pPr>
            <w:r>
              <w:rPr>
                <w:rFonts w:hint="eastAsia" w:ascii="宋体" w:hAnsi="宋体" w:eastAsia="宋体" w:cs="宋体"/>
                <w:b/>
                <w:bCs/>
                <w:color w:val="auto"/>
                <w:szCs w:val="21"/>
                <w:highlight w:val="none"/>
              </w:rPr>
              <w:t>2.电子响应文件中所须加盖公章部分均建议采用CA签章。若响应文件中有专门标注的某关联点，并要求供应商在电子投标系统中作出磋商响应的，如供应商未对关联点进行响应或者在响应文件其它内容进行描述，造成电子评审不能查询的责任由供应商自行承担。</w:t>
            </w:r>
          </w:p>
          <w:p w14:paraId="451D127F">
            <w:pPr>
              <w:widowControl/>
              <w:spacing w:line="360" w:lineRule="auto"/>
              <w:jc w:val="left"/>
              <w:rPr>
                <w:rFonts w:ascii="宋体" w:hAnsi="宋体" w:eastAsia="宋体" w:cs="宋体"/>
                <w:color w:val="auto"/>
                <w:szCs w:val="21"/>
                <w:highlight w:val="none"/>
              </w:rPr>
            </w:pPr>
            <w:r>
              <w:rPr>
                <w:rFonts w:hint="eastAsia" w:ascii="宋体" w:hAnsi="宋体" w:eastAsia="宋体" w:cs="宋体"/>
                <w:b/>
                <w:color w:val="auto"/>
                <w:szCs w:val="21"/>
                <w:highlight w:val="none"/>
              </w:rPr>
              <w:t>3.以上材料未附格式的，由供应商自行拟定。</w:t>
            </w:r>
          </w:p>
        </w:tc>
      </w:tr>
      <w:tr w14:paraId="7ED8F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5098886E">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8233" w:type="dxa"/>
            <w:vAlign w:val="center"/>
          </w:tcPr>
          <w:p w14:paraId="098492F6">
            <w:pPr>
              <w:spacing w:line="360" w:lineRule="auto"/>
              <w:contextualSpacing/>
              <w:jc w:val="left"/>
              <w:rPr>
                <w:rFonts w:ascii="宋体" w:hAnsi="宋体" w:eastAsia="宋体" w:cs="宋体"/>
                <w:b/>
                <w:color w:val="auto"/>
                <w:szCs w:val="21"/>
                <w:highlight w:val="none"/>
              </w:rPr>
            </w:pPr>
            <w:r>
              <w:rPr>
                <w:rFonts w:hint="eastAsia" w:ascii="宋体" w:hAnsi="宋体" w:eastAsia="宋体" w:cs="宋体"/>
                <w:color w:val="auto"/>
                <w:szCs w:val="21"/>
                <w:highlight w:val="none"/>
              </w:rPr>
              <w:t>磋商报价是履行合同的最终价格，</w:t>
            </w:r>
            <w:r>
              <w:rPr>
                <w:rFonts w:hint="eastAsia" w:ascii="宋体" w:hAnsi="宋体" w:eastAsia="宋体" w:cs="宋体"/>
                <w:color w:val="auto"/>
                <w:highlight w:val="none"/>
              </w:rPr>
              <w:t>即满足全部采购需求所应提供的服务的价格；包括竞标服务的成本、运输（含保险）（如有）、技术服务、</w:t>
            </w:r>
            <w:r>
              <w:rPr>
                <w:rFonts w:hint="eastAsia" w:ascii="宋体" w:hAnsi="宋体" w:eastAsia="宋体" w:cs="宋体"/>
                <w:color w:val="auto"/>
                <w:highlight w:val="none"/>
                <w:lang w:val="en-US" w:eastAsia="zh-CN"/>
              </w:rPr>
              <w:t>售后服务、</w:t>
            </w:r>
            <w:r>
              <w:rPr>
                <w:rFonts w:hint="eastAsia" w:ascii="宋体" w:hAnsi="宋体" w:eastAsia="宋体" w:cs="宋体"/>
                <w:color w:val="auto"/>
                <w:highlight w:val="none"/>
              </w:rPr>
              <w:t>培训、税费等所有费用</w:t>
            </w:r>
            <w:r>
              <w:rPr>
                <w:rFonts w:hint="eastAsia" w:ascii="宋体" w:hAnsi="宋体" w:eastAsia="宋体" w:cs="Times New Roman"/>
                <w:b/>
                <w:color w:val="auto"/>
                <w:highlight w:val="none"/>
              </w:rPr>
              <w:t>（采购需求另有约定的，从其约定）</w:t>
            </w:r>
            <w:r>
              <w:rPr>
                <w:rFonts w:hint="eastAsia" w:ascii="宋体" w:hAnsi="宋体" w:eastAsia="宋体" w:cs="Times New Roman"/>
                <w:bCs/>
                <w:color w:val="auto"/>
                <w:highlight w:val="none"/>
              </w:rPr>
              <w:t>。</w:t>
            </w:r>
          </w:p>
        </w:tc>
      </w:tr>
      <w:tr w14:paraId="01798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2DB7A28F">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8233" w:type="dxa"/>
            <w:vAlign w:val="center"/>
          </w:tcPr>
          <w:p w14:paraId="1FB656BC">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磋商有效期：自首次响应文件提交截止之日起</w:t>
            </w:r>
            <w:r>
              <w:rPr>
                <w:rFonts w:hint="eastAsia" w:ascii="宋体" w:hAnsi="宋体" w:eastAsia="宋体" w:cs="宋体"/>
                <w:b/>
                <w:bCs/>
                <w:color w:val="auto"/>
                <w:szCs w:val="21"/>
                <w:highlight w:val="none"/>
                <w:u w:val="single"/>
              </w:rPr>
              <w:t xml:space="preserve"> 60</w:t>
            </w:r>
            <w:r>
              <w:rPr>
                <w:rFonts w:hint="eastAsia" w:ascii="宋体" w:hAnsi="宋体" w:eastAsia="宋体" w:cs="宋体"/>
                <w:color w:val="auto"/>
                <w:szCs w:val="21"/>
                <w:highlight w:val="none"/>
              </w:rPr>
              <w:t>日。</w:t>
            </w:r>
          </w:p>
        </w:tc>
      </w:tr>
      <w:tr w14:paraId="16715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6B08AC7D">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8233" w:type="dxa"/>
            <w:vAlign w:val="center"/>
          </w:tcPr>
          <w:p w14:paraId="43A41C6D">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p w14:paraId="2CC40ED3">
            <w:pPr>
              <w:widowControl/>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eq \o\ac(□,√)</w:instrText>
            </w:r>
            <w:r>
              <w:rPr>
                <w:rFonts w:hint="eastAsia" w:ascii="宋体" w:hAnsi="宋体" w:eastAsia="宋体" w:cs="宋体"/>
                <w:b/>
                <w:bCs/>
                <w:color w:val="auto"/>
                <w:szCs w:val="21"/>
                <w:highlight w:val="none"/>
              </w:rPr>
              <w:fldChar w:fldCharType="end"/>
            </w:r>
            <w:r>
              <w:rPr>
                <w:rFonts w:hint="eastAsia" w:ascii="宋体" w:hAnsi="宋体" w:eastAsia="宋体" w:cs="宋体"/>
                <w:b/>
                <w:bCs/>
                <w:color w:val="auto"/>
                <w:szCs w:val="21"/>
                <w:highlight w:val="none"/>
              </w:rPr>
              <w:t>本项目收取磋商保证金，具体规定如下：</w:t>
            </w:r>
          </w:p>
          <w:p w14:paraId="4187B6D7">
            <w:pPr>
              <w:widowControl/>
              <w:spacing w:line="360" w:lineRule="auto"/>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磋商保证金</w:t>
            </w:r>
            <w:r>
              <w:rPr>
                <w:rFonts w:hint="eastAsia" w:ascii="宋体" w:hAnsi="宋体" w:eastAsia="宋体" w:cs="宋体"/>
                <w:b/>
                <w:bCs/>
                <w:color w:val="auto"/>
                <w:kern w:val="0"/>
                <w:szCs w:val="21"/>
                <w:highlight w:val="none"/>
                <w:lang w:val="en-US" w:eastAsia="zh-CN"/>
              </w:rPr>
              <w:t>：人民币贰万元整</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en-US" w:eastAsia="zh-CN"/>
              </w:rPr>
              <w:t>2000</w:t>
            </w:r>
            <w:r>
              <w:rPr>
                <w:rFonts w:hint="eastAsia" w:ascii="宋体" w:hAnsi="宋体" w:eastAsia="宋体" w:cs="宋体"/>
                <w:b/>
                <w:bCs/>
                <w:color w:val="auto"/>
                <w:kern w:val="0"/>
                <w:szCs w:val="21"/>
                <w:highlight w:val="none"/>
              </w:rPr>
              <w:t>0.00）</w:t>
            </w:r>
            <w:r>
              <w:rPr>
                <w:rFonts w:hint="eastAsia" w:ascii="宋体" w:hAnsi="宋体" w:eastAsia="宋体" w:cs="宋体"/>
                <w:b/>
                <w:bCs/>
                <w:color w:val="auto"/>
                <w:kern w:val="0"/>
                <w:szCs w:val="21"/>
                <w:highlight w:val="none"/>
                <w:lang w:eastAsia="zh-CN"/>
              </w:rPr>
              <w:t>。</w:t>
            </w:r>
          </w:p>
          <w:p w14:paraId="7D53B77A">
            <w:pPr>
              <w:widowControl/>
              <w:wordWrap w:val="0"/>
              <w:spacing w:line="360"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磋商保证金的交纳方式：银行转账、支票、汇票、本票或者银行、保险机构出具的保函、保险，禁止采用现钞方式。采用银行转账方式的，</w:t>
            </w:r>
            <w:r>
              <w:rPr>
                <w:rFonts w:hint="eastAsia" w:ascii="宋体" w:hAnsi="宋体" w:eastAsia="宋体" w:cs="宋体"/>
                <w:color w:val="auto"/>
                <w:kern w:val="0"/>
                <w:szCs w:val="21"/>
                <w:highlight w:val="none"/>
              </w:rPr>
              <w:t>在响应文件提交截止时间前</w:t>
            </w:r>
            <w:r>
              <w:rPr>
                <w:rFonts w:hint="eastAsia" w:ascii="宋体" w:hAnsi="宋体" w:eastAsia="宋体" w:cs="宋体"/>
                <w:color w:val="auto"/>
                <w:szCs w:val="21"/>
                <w:highlight w:val="none"/>
              </w:rPr>
              <w:t>交至指定账户并且到账【</w:t>
            </w:r>
            <w:r>
              <w:rPr>
                <w:rFonts w:hint="eastAsia" w:ascii="宋体" w:hAnsi="宋体" w:eastAsia="宋体" w:cs="宋体"/>
                <w:b/>
                <w:bCs/>
                <w:color w:val="auto"/>
                <w:szCs w:val="21"/>
                <w:highlight w:val="none"/>
              </w:rPr>
              <w:t>开户名称：广西正海招标有限公司，开户银行：广西北部湾银行南宁市兴宁支行（行号：313611014014），银行账号：800105504300012</w:t>
            </w:r>
            <w:r>
              <w:rPr>
                <w:rFonts w:hint="eastAsia" w:ascii="宋体" w:hAnsi="宋体" w:eastAsia="宋体" w:cs="宋体"/>
                <w:color w:val="auto"/>
                <w:szCs w:val="21"/>
                <w:highlight w:val="none"/>
              </w:rPr>
              <w:t>】；采用支票、汇票、本票或者保函、保险等方式的，</w:t>
            </w:r>
            <w:r>
              <w:rPr>
                <w:rFonts w:hint="eastAsia" w:ascii="宋体" w:hAnsi="宋体" w:eastAsia="宋体" w:cs="宋体"/>
                <w:color w:val="auto"/>
                <w:kern w:val="0"/>
                <w:szCs w:val="21"/>
                <w:highlight w:val="none"/>
              </w:rPr>
              <w:t>在响应文件提交截止时间前</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供应商必须提交单独密封的支票、汇票、本票或者保函</w:t>
            </w:r>
            <w:r>
              <w:rPr>
                <w:rFonts w:hint="eastAsia" w:ascii="宋体" w:hAnsi="宋体" w:eastAsia="宋体" w:cs="宋体"/>
                <w:color w:val="auto"/>
                <w:szCs w:val="21"/>
                <w:highlight w:val="none"/>
              </w:rPr>
              <w:t>、保险</w:t>
            </w:r>
            <w:r>
              <w:rPr>
                <w:rFonts w:hint="eastAsia" w:ascii="宋体" w:hAnsi="宋体" w:eastAsia="宋体" w:cs="宋体"/>
                <w:color w:val="auto"/>
                <w:kern w:val="0"/>
                <w:szCs w:val="21"/>
                <w:highlight w:val="none"/>
              </w:rPr>
              <w:t>原件</w:t>
            </w:r>
            <w:r>
              <w:rPr>
                <w:rFonts w:hint="eastAsia" w:ascii="宋体" w:hAnsi="宋体" w:eastAsia="宋体" w:cs="宋体"/>
                <w:color w:val="auto"/>
                <w:szCs w:val="21"/>
                <w:highlight w:val="none"/>
              </w:rPr>
              <w:t>。否则视为无效磋商保证金。</w:t>
            </w:r>
            <w:r>
              <w:rPr>
                <w:rFonts w:hint="eastAsia" w:ascii="宋体" w:hAnsi="宋体" w:eastAsia="宋体" w:cs="宋体"/>
                <w:b/>
                <w:bCs/>
                <w:color w:val="auto"/>
                <w:szCs w:val="21"/>
                <w:highlight w:val="none"/>
              </w:rPr>
              <w:t>注：磋商保证金转账时请备注“</w:t>
            </w:r>
            <w:r>
              <w:rPr>
                <w:rFonts w:hint="eastAsia" w:ascii="宋体" w:hAnsi="宋体" w:eastAsia="宋体" w:cs="宋体"/>
                <w:b/>
                <w:bCs/>
                <w:color w:val="auto"/>
                <w:szCs w:val="21"/>
                <w:highlight w:val="none"/>
                <w:lang w:val="en-US" w:eastAsia="zh-CN"/>
              </w:rPr>
              <w:t>C3-001411</w:t>
            </w:r>
            <w:r>
              <w:rPr>
                <w:rFonts w:hint="eastAsia" w:ascii="宋体" w:hAnsi="宋体" w:eastAsia="宋体" w:cs="宋体"/>
                <w:b/>
                <w:bCs/>
                <w:color w:val="auto"/>
                <w:szCs w:val="21"/>
                <w:highlight w:val="none"/>
              </w:rPr>
              <w:t>”等字样。</w:t>
            </w:r>
          </w:p>
          <w:p w14:paraId="151F83C7">
            <w:pPr>
              <w:widowControl/>
              <w:spacing w:line="360" w:lineRule="auto"/>
              <w:jc w:val="left"/>
              <w:rPr>
                <w:rFonts w:ascii="宋体" w:hAnsi="宋体" w:eastAsia="宋体" w:cs="宋体"/>
                <w:color w:val="auto"/>
                <w:szCs w:val="21"/>
                <w:highlight w:val="none"/>
              </w:rPr>
            </w:pPr>
            <w:r>
              <w:rPr>
                <w:rFonts w:hint="eastAsia" w:ascii="宋体" w:hAnsi="宋体" w:eastAsia="宋体" w:cs="宋体"/>
                <w:b/>
                <w:bCs/>
                <w:color w:val="auto"/>
                <w:szCs w:val="21"/>
                <w:highlight w:val="none"/>
              </w:rPr>
              <w:t>相关要求：</w:t>
            </w:r>
          </w:p>
          <w:p w14:paraId="59D1B164">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1.磋商保证金采用银行转账交纳方式的，在响应文件提交截止时间前交至指定账户并且到账，供应商应将银行转账底单的复印件作为磋商保证金提交凭证，放置于报价商务技术文件中，</w:t>
            </w:r>
            <w:r>
              <w:rPr>
                <w:rFonts w:hint="eastAsia" w:ascii="宋体" w:hAnsi="宋体" w:eastAsia="宋体" w:cs="宋体"/>
                <w:b/>
                <w:bCs/>
                <w:color w:val="auto"/>
                <w:szCs w:val="21"/>
                <w:highlight w:val="none"/>
              </w:rPr>
              <w:t>否则响应文件按无效响应处理</w:t>
            </w:r>
            <w:r>
              <w:rPr>
                <w:rFonts w:hint="eastAsia" w:ascii="宋体" w:hAnsi="宋体" w:eastAsia="宋体" w:cs="宋体"/>
                <w:color w:val="auto"/>
                <w:szCs w:val="21"/>
                <w:highlight w:val="none"/>
              </w:rPr>
              <w:t>。</w:t>
            </w:r>
          </w:p>
          <w:p w14:paraId="7E4D61B1">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磋商保证金采用支票、汇票、本票或者银行、保险机构出具的保函、保险交纳方式的，供应商应将支票、汇票、本票或者银行、保险机构出具的保函、保险的复印件作为磋商保证金提交凭证，放置于报价商务技术文件中，</w:t>
            </w:r>
            <w:r>
              <w:rPr>
                <w:rFonts w:hint="eastAsia" w:ascii="宋体" w:hAnsi="宋体" w:eastAsia="宋体" w:cs="宋体"/>
                <w:b/>
                <w:bCs/>
                <w:color w:val="auto"/>
                <w:szCs w:val="21"/>
                <w:highlight w:val="none"/>
              </w:rPr>
              <w:t>否则响应文件按无效处理</w:t>
            </w:r>
            <w:r>
              <w:rPr>
                <w:rFonts w:hint="eastAsia" w:ascii="宋体" w:hAnsi="宋体" w:eastAsia="宋体" w:cs="宋体"/>
                <w:color w:val="auto"/>
                <w:szCs w:val="21"/>
                <w:highlight w:val="none"/>
              </w:rPr>
              <w:t>。供应商必须在响应文件提交截止时间前将单独密封的支票、汇票、本票或者银行、保险机构出具的保函、保险原件提交给采购人或者采购代理机构，由采购人或者采购代理机构向供应商出具回执，并妥善保管。</w:t>
            </w:r>
          </w:p>
          <w:p w14:paraId="17233B72">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3.供应商为联合体的，可以由联合体中的一方或者多方共同交纳磋商保证金，其交纳的保证金对联合体各方均具有约束力。</w:t>
            </w:r>
          </w:p>
          <w:p w14:paraId="47EC9E44">
            <w:pPr>
              <w:widowControl/>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w:t>
            </w:r>
          </w:p>
          <w:p w14:paraId="2101BFCF">
            <w:pPr>
              <w:widowControl/>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1.磋商保证金在响应文件提交截止时间后提交的，或者不按规定交纳方式交纳的，或者未足额交纳的（包含保函或保险额度不足的），视为无效磋商保证金。</w:t>
            </w:r>
          </w:p>
          <w:p w14:paraId="706947A7">
            <w:pPr>
              <w:widowControl/>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2.供应商采用现钞方式或者从个人账户（自然人竞标除外）转出的磋商保证金，视为无效磋商保证金。</w:t>
            </w:r>
          </w:p>
          <w:p w14:paraId="4141D139">
            <w:pPr>
              <w:widowControl/>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3.支票、汇票或者本票出现无效或者背书情形的，视为无效磋商保证金。</w:t>
            </w:r>
          </w:p>
          <w:p w14:paraId="517FDE4A">
            <w:pPr>
              <w:widowControl/>
              <w:snapToGrid w:val="0"/>
              <w:spacing w:line="360" w:lineRule="auto"/>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4.保函、保险有效期低于磋商有效期的，视为无效磋商保证金。</w:t>
            </w:r>
          </w:p>
          <w:p w14:paraId="0004CFA6">
            <w:pPr>
              <w:widowControl/>
              <w:snapToGrid w:val="0"/>
              <w:spacing w:line="360" w:lineRule="auto"/>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5.采用银行、保险机构出具保函的，必须为无条件保函，否则视为无效投标保证金。</w:t>
            </w:r>
          </w:p>
          <w:p w14:paraId="6FF7B230">
            <w:pPr>
              <w:widowControl/>
              <w:spacing w:line="360" w:lineRule="auto"/>
              <w:jc w:val="left"/>
              <w:rPr>
                <w:rFonts w:ascii="宋体" w:hAnsi="宋体" w:eastAsia="宋体" w:cs="宋体"/>
                <w:b/>
                <w:bCs/>
                <w:color w:val="auto"/>
                <w:szCs w:val="21"/>
                <w:highlight w:val="none"/>
              </w:rPr>
            </w:pPr>
            <w:r>
              <w:rPr>
                <w:rFonts w:hint="eastAsia" w:ascii="宋体" w:hAnsi="宋体" w:eastAsia="宋体" w:cs="宋体"/>
                <w:b/>
                <w:color w:val="auto"/>
                <w:szCs w:val="21"/>
                <w:highlight w:val="none"/>
              </w:rPr>
              <w:t>6.采用磋商保证保险的，保单确定的受益人（本项目采购人）的权益应与采用银行保函形式同等，否则视为无效磋商保证金。</w:t>
            </w:r>
          </w:p>
        </w:tc>
      </w:tr>
      <w:tr w14:paraId="594BA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60410343">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19.1</w:t>
            </w:r>
          </w:p>
        </w:tc>
        <w:tc>
          <w:tcPr>
            <w:tcW w:w="8233" w:type="dxa"/>
            <w:vAlign w:val="center"/>
          </w:tcPr>
          <w:p w14:paraId="620C3A81">
            <w:pPr>
              <w:widowControl/>
              <w:spacing w:line="360" w:lineRule="auto"/>
              <w:contextualSpacing/>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响应文件提交截止时间：详见竞争性磋商公告。</w:t>
            </w:r>
          </w:p>
          <w:p w14:paraId="3FC4EB25">
            <w:pPr>
              <w:widowControl/>
              <w:spacing w:line="360" w:lineRule="auto"/>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响应文件提交地点：详见竞争性磋商公告。</w:t>
            </w:r>
          </w:p>
          <w:p w14:paraId="6900021D">
            <w:pPr>
              <w:widowControl/>
              <w:spacing w:line="360" w:lineRule="auto"/>
              <w:jc w:val="left"/>
              <w:rPr>
                <w:rFonts w:ascii="宋体" w:hAnsi="宋体" w:eastAsia="宋体" w:cs="宋体"/>
                <w:color w:val="auto"/>
                <w:szCs w:val="21"/>
                <w:highlight w:val="none"/>
              </w:rPr>
            </w:pPr>
            <w:r>
              <w:rPr>
                <w:rFonts w:hint="eastAsia" w:ascii="宋体" w:hAnsi="宋体" w:eastAsia="宋体" w:cs="宋体"/>
                <w:b/>
                <w:bCs/>
                <w:color w:val="auto"/>
                <w:szCs w:val="21"/>
                <w:highlight w:val="none"/>
              </w:rPr>
              <w:t>电子响应文件解密时间：响应文件提交截止时间后30分钟内，供应商必须在此时间段内登录</w:t>
            </w:r>
            <w:r>
              <w:rPr>
                <w:rFonts w:hint="eastAsia" w:ascii="宋体" w:hAnsi="宋体" w:eastAsia="宋体" w:cs="宋体"/>
                <w:b/>
                <w:bCs/>
                <w:color w:val="auto"/>
                <w:szCs w:val="21"/>
                <w:highlight w:val="none"/>
                <w:lang w:eastAsia="zh-CN"/>
              </w:rPr>
              <w:t>广西政府采购云平台</w:t>
            </w:r>
            <w:r>
              <w:rPr>
                <w:rFonts w:hint="eastAsia" w:ascii="宋体" w:hAnsi="宋体" w:eastAsia="宋体" w:cs="宋体"/>
                <w:b/>
                <w:bCs/>
                <w:color w:val="auto"/>
                <w:szCs w:val="21"/>
                <w:highlight w:val="none"/>
              </w:rPr>
              <w:t>，用“项目采购-开标评标”功能完成电子响应文件的解密。若供应商在规定时间内未按时解密的，视为响应文件撤回。</w:t>
            </w:r>
          </w:p>
        </w:tc>
      </w:tr>
      <w:tr w14:paraId="692C2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3461EF1F">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23.1</w:t>
            </w:r>
          </w:p>
        </w:tc>
        <w:tc>
          <w:tcPr>
            <w:tcW w:w="8233" w:type="dxa"/>
            <w:vAlign w:val="center"/>
          </w:tcPr>
          <w:p w14:paraId="451E3F35">
            <w:pPr>
              <w:widowControl/>
              <w:spacing w:line="360" w:lineRule="auto"/>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磋商小组的人数：</w:t>
            </w:r>
            <w:r>
              <w:rPr>
                <w:rFonts w:hint="eastAsia" w:ascii="宋体" w:hAnsi="宋体" w:eastAsia="宋体" w:cs="宋体"/>
                <w:b/>
                <w:bCs/>
                <w:color w:val="auto"/>
                <w:szCs w:val="21"/>
                <w:highlight w:val="none"/>
                <w:u w:val="single"/>
              </w:rPr>
              <w:t xml:space="preserve"> 3 </w:t>
            </w:r>
            <w:r>
              <w:rPr>
                <w:rFonts w:hint="eastAsia" w:ascii="宋体" w:hAnsi="宋体" w:eastAsia="宋体" w:cs="宋体"/>
                <w:color w:val="auto"/>
                <w:szCs w:val="21"/>
                <w:highlight w:val="none"/>
              </w:rPr>
              <w:t>人。</w:t>
            </w:r>
          </w:p>
        </w:tc>
      </w:tr>
      <w:tr w14:paraId="7E3C7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6B011515">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8233" w:type="dxa"/>
            <w:vAlign w:val="center"/>
          </w:tcPr>
          <w:p w14:paraId="550056EE">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首次响应文件开启时间详见“竞争性磋商公告”</w:t>
            </w:r>
          </w:p>
        </w:tc>
      </w:tr>
      <w:tr w14:paraId="576DC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80" w:type="dxa"/>
            <w:vMerge w:val="restart"/>
            <w:vAlign w:val="center"/>
          </w:tcPr>
          <w:p w14:paraId="0FA3AD5A">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25.2</w:t>
            </w:r>
          </w:p>
        </w:tc>
        <w:tc>
          <w:tcPr>
            <w:tcW w:w="8233" w:type="dxa"/>
            <w:vAlign w:val="center"/>
          </w:tcPr>
          <w:p w14:paraId="388DA1CE">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商务要求评审中允许负偏离的条款数为</w:t>
            </w:r>
            <w:r>
              <w:rPr>
                <w:rFonts w:hint="eastAsia" w:ascii="宋体" w:hAnsi="宋体" w:eastAsia="宋体" w:cs="宋体"/>
                <w:b/>
                <w:bCs/>
                <w:color w:val="auto"/>
                <w:szCs w:val="21"/>
                <w:highlight w:val="none"/>
                <w:u w:val="single"/>
              </w:rPr>
              <w:t xml:space="preserve"> 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14:paraId="1DCB7F96">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服务要求评审中允许负偏离的条款数为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Cs w:val="21"/>
                <w:highlight w:val="none"/>
                <w:u w:val="single"/>
                <w:lang w:val="en-US" w:eastAsia="zh-CN"/>
              </w:rPr>
              <w:t>0</w:t>
            </w:r>
            <w:r>
              <w:rPr>
                <w:rFonts w:hint="eastAsia" w:ascii="宋体" w:hAnsi="宋体" w:eastAsia="宋体" w:cs="宋体"/>
                <w:b/>
                <w:bCs/>
                <w:color w:val="auto"/>
                <w:szCs w:val="21"/>
                <w:highlight w:val="none"/>
                <w:u w:val="single"/>
              </w:rPr>
              <w:t xml:space="preserve"> </w:t>
            </w:r>
            <w:r>
              <w:rPr>
                <w:rFonts w:hint="eastAsia" w:ascii="宋体" w:hAnsi="宋体" w:eastAsia="宋体" w:cs="宋体"/>
                <w:color w:val="auto"/>
                <w:szCs w:val="21"/>
                <w:highlight w:val="none"/>
              </w:rPr>
              <w:t>项。</w:t>
            </w:r>
          </w:p>
        </w:tc>
      </w:tr>
      <w:tr w14:paraId="7A393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Merge w:val="continue"/>
            <w:vAlign w:val="center"/>
          </w:tcPr>
          <w:p w14:paraId="01A12E04">
            <w:pPr>
              <w:widowControl/>
              <w:spacing w:line="360" w:lineRule="auto"/>
              <w:jc w:val="center"/>
              <w:rPr>
                <w:rFonts w:ascii="宋体" w:hAnsi="宋体" w:eastAsia="宋体" w:cs="宋体"/>
                <w:color w:val="auto"/>
                <w:szCs w:val="21"/>
                <w:highlight w:val="none"/>
              </w:rPr>
            </w:pPr>
          </w:p>
        </w:tc>
        <w:tc>
          <w:tcPr>
            <w:tcW w:w="8233" w:type="dxa"/>
            <w:vAlign w:val="center"/>
          </w:tcPr>
          <w:p w14:paraId="4A678CF0">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磋商的顺序：</w:t>
            </w:r>
          </w:p>
          <w:p w14:paraId="11432CA6">
            <w:pPr>
              <w:widowControl/>
              <w:spacing w:line="360" w:lineRule="auto"/>
              <w:jc w:val="left"/>
              <w:rPr>
                <w:rFonts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fldChar w:fldCharType="begin"/>
            </w:r>
            <w:r>
              <w:rPr>
                <w:rFonts w:hint="eastAsia" w:ascii="宋体" w:hAnsi="宋体" w:eastAsia="宋体" w:cs="宋体"/>
                <w:b w:val="0"/>
                <w:bCs w:val="0"/>
                <w:color w:val="auto"/>
                <w:szCs w:val="21"/>
                <w:highlight w:val="none"/>
              </w:rPr>
              <w:instrText xml:space="preserve"> eq \o\ac(□)</w:instrText>
            </w:r>
            <w:r>
              <w:rPr>
                <w:rFonts w:hint="eastAsia" w:ascii="宋体" w:hAnsi="宋体" w:eastAsia="宋体" w:cs="宋体"/>
                <w:b w:val="0"/>
                <w:bCs w:val="0"/>
                <w:color w:val="auto"/>
                <w:szCs w:val="21"/>
                <w:highlight w:val="none"/>
              </w:rPr>
              <w:fldChar w:fldCharType="end"/>
            </w:r>
            <w:r>
              <w:rPr>
                <w:rFonts w:hint="eastAsia" w:ascii="宋体" w:hAnsi="宋体" w:eastAsia="宋体" w:cs="宋体"/>
                <w:b w:val="0"/>
                <w:bCs w:val="0"/>
                <w:color w:val="auto"/>
                <w:szCs w:val="21"/>
                <w:highlight w:val="none"/>
              </w:rPr>
              <w:t>按照响应文件的解密顺序。通知磋商时，若磋商过程中某供应商未能按时参加磋商（该供应商排序到最后磋商），按照响应文件的解密顺序由其下一位供应商先参与磋商。</w:t>
            </w:r>
          </w:p>
          <w:p w14:paraId="3D3675BA">
            <w:pPr>
              <w:widowControl/>
              <w:spacing w:line="360" w:lineRule="auto"/>
              <w:jc w:val="left"/>
              <w:rPr>
                <w:rFonts w:ascii="宋体" w:hAnsi="宋体" w:eastAsia="宋体" w:cs="宋体"/>
                <w:color w:val="auto"/>
                <w:szCs w:val="21"/>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随机排序。</w:t>
            </w:r>
          </w:p>
        </w:tc>
      </w:tr>
      <w:tr w14:paraId="211B7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1C8C928C">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27.1</w:t>
            </w:r>
          </w:p>
        </w:tc>
        <w:tc>
          <w:tcPr>
            <w:tcW w:w="8233" w:type="dxa"/>
            <w:vAlign w:val="center"/>
          </w:tcPr>
          <w:p w14:paraId="2BF1F1AC">
            <w:pPr>
              <w:autoSpaceDE w:val="0"/>
              <w:autoSpaceDN w:val="0"/>
              <w:spacing w:line="400" w:lineRule="exact"/>
              <w:jc w:val="left"/>
              <w:textAlignment w:val="bottom"/>
              <w:rPr>
                <w:color w:val="000000"/>
                <w:szCs w:val="21"/>
                <w:highlight w:val="none"/>
              </w:rPr>
            </w:pPr>
            <w:r>
              <w:rPr>
                <w:color w:val="000000"/>
                <w:szCs w:val="21"/>
                <w:highlight w:val="none"/>
              </w:rPr>
              <w:sym w:font="Wingdings 2" w:char="00A3"/>
            </w:r>
            <w:r>
              <w:rPr>
                <w:color w:val="000000"/>
                <w:szCs w:val="21"/>
                <w:highlight w:val="none"/>
              </w:rPr>
              <w:t>本项目不收取履约保证金。</w:t>
            </w:r>
          </w:p>
          <w:p w14:paraId="4528AF33">
            <w:pPr>
              <w:autoSpaceDE w:val="0"/>
              <w:autoSpaceDN w:val="0"/>
              <w:spacing w:line="400" w:lineRule="exact"/>
              <w:jc w:val="left"/>
              <w:textAlignment w:val="bottom"/>
              <w:rPr>
                <w:color w:val="000000"/>
                <w:szCs w:val="21"/>
                <w:highlight w:val="none"/>
              </w:rPr>
            </w:pPr>
            <w:r>
              <w:rPr>
                <w:b/>
                <w:color w:val="000000"/>
                <w:szCs w:val="21"/>
                <w:highlight w:val="none"/>
              </w:rPr>
              <w:sym w:font="Wingdings 2" w:char="0052"/>
            </w:r>
            <w:r>
              <w:rPr>
                <w:b/>
                <w:color w:val="000000"/>
                <w:szCs w:val="21"/>
                <w:highlight w:val="none"/>
              </w:rPr>
              <w:t>本项目收取履约保证金</w:t>
            </w:r>
            <w:r>
              <w:rPr>
                <w:color w:val="000000"/>
                <w:szCs w:val="21"/>
                <w:highlight w:val="none"/>
              </w:rPr>
              <w:t>，具体规定如下：</w:t>
            </w:r>
          </w:p>
          <w:p w14:paraId="07BDBB3F">
            <w:pPr>
              <w:spacing w:line="400" w:lineRule="exact"/>
              <w:jc w:val="left"/>
              <w:rPr>
                <w:color w:val="000000"/>
                <w:szCs w:val="21"/>
                <w:highlight w:val="none"/>
              </w:rPr>
            </w:pPr>
            <w:r>
              <w:rPr>
                <w:color w:val="000000"/>
                <w:szCs w:val="21"/>
                <w:highlight w:val="none"/>
              </w:rPr>
              <w:t>履约保证金金额：按合同金额的</w:t>
            </w:r>
            <w:r>
              <w:rPr>
                <w:color w:val="000000"/>
                <w:szCs w:val="21"/>
                <w:highlight w:val="none"/>
                <w:u w:val="single"/>
              </w:rPr>
              <w:t xml:space="preserve"> </w:t>
            </w:r>
            <w:r>
              <w:rPr>
                <w:rFonts w:hint="eastAsia"/>
                <w:color w:val="000000"/>
                <w:szCs w:val="21"/>
                <w:highlight w:val="none"/>
                <w:u w:val="single"/>
                <w:lang w:eastAsia="zh-CN"/>
              </w:rPr>
              <w:t>2</w:t>
            </w:r>
            <w:r>
              <w:rPr>
                <w:color w:val="000000"/>
                <w:szCs w:val="21"/>
                <w:highlight w:val="none"/>
                <w:u w:val="single"/>
              </w:rPr>
              <w:t>%</w:t>
            </w:r>
            <w:r>
              <w:rPr>
                <w:color w:val="000000"/>
                <w:szCs w:val="21"/>
                <w:highlight w:val="none"/>
              </w:rPr>
              <w:t>。</w:t>
            </w:r>
            <w:r>
              <w:rPr>
                <w:b/>
                <w:color w:val="000000"/>
                <w:szCs w:val="21"/>
                <w:highlight w:val="none"/>
              </w:rPr>
              <w:t>（注：履约保证金不超过政府采购合同金额的5%，对中小企业收取的履约保证金数额不得超过政府采购合同金额的2%。缴纳履约保证金时注明：“项目名称+项目编号”履约保证金。）</w:t>
            </w:r>
          </w:p>
          <w:p w14:paraId="35BBD5D3">
            <w:pPr>
              <w:spacing w:line="400" w:lineRule="exact"/>
              <w:jc w:val="left"/>
              <w:rPr>
                <w:color w:val="000000"/>
                <w:szCs w:val="21"/>
                <w:highlight w:val="none"/>
              </w:rPr>
            </w:pPr>
            <w:r>
              <w:rPr>
                <w:color w:val="000000"/>
                <w:szCs w:val="21"/>
                <w:highlight w:val="none"/>
              </w:rPr>
              <w:t>履约保证金提交方式：</w:t>
            </w:r>
            <w:r>
              <w:rPr>
                <w:rFonts w:hint="eastAsia" w:ascii="宋体" w:hAnsi="宋体" w:eastAsia="宋体" w:cs="宋体"/>
                <w:kern w:val="0"/>
                <w:sz w:val="21"/>
                <w:szCs w:val="21"/>
                <w:highlight w:val="none"/>
                <w:lang w:val="en-US" w:eastAsia="zh-CN" w:bidi="ar-SA"/>
              </w:rPr>
              <w:t>以转账、支票、汇票、本票、保函等非现金形式</w:t>
            </w:r>
            <w:r>
              <w:rPr>
                <w:color w:val="000000"/>
                <w:szCs w:val="21"/>
                <w:highlight w:val="none"/>
              </w:rPr>
              <w:t>。</w:t>
            </w:r>
          </w:p>
          <w:p w14:paraId="0E95E18B">
            <w:pPr>
              <w:spacing w:line="400" w:lineRule="exact"/>
              <w:rPr>
                <w:color w:val="000000"/>
                <w:szCs w:val="21"/>
                <w:highlight w:val="none"/>
              </w:rPr>
            </w:pPr>
            <w:r>
              <w:rPr>
                <w:color w:val="000000"/>
                <w:szCs w:val="21"/>
                <w:highlight w:val="none"/>
              </w:rPr>
              <w:t>履约保证金提交时间：在收到成交通知书后，成交供应商须在15日历天内向采购人足额提交履约保证金，否则采购人可以取消其成交资格。</w:t>
            </w:r>
          </w:p>
          <w:p w14:paraId="55D8E870">
            <w:pPr>
              <w:spacing w:line="400" w:lineRule="exact"/>
              <w:jc w:val="left"/>
              <w:rPr>
                <w:color w:val="000000"/>
                <w:szCs w:val="21"/>
                <w:highlight w:val="none"/>
              </w:rPr>
            </w:pPr>
            <w:r>
              <w:rPr>
                <w:color w:val="000000"/>
                <w:szCs w:val="21"/>
                <w:highlight w:val="none"/>
              </w:rPr>
              <w:t>履约保证金退付方式、时间及条件：</w:t>
            </w:r>
            <w:r>
              <w:rPr>
                <w:rFonts w:hint="default"/>
                <w:color w:val="000000"/>
                <w:szCs w:val="21"/>
                <w:highlight w:val="none"/>
              </w:rPr>
              <w:t>合同履约期满后</w:t>
            </w:r>
            <w:r>
              <w:rPr>
                <w:rFonts w:hint="eastAsia"/>
                <w:color w:val="000000"/>
                <w:szCs w:val="21"/>
                <w:highlight w:val="none"/>
              </w:rPr>
              <w:t>由</w:t>
            </w:r>
            <w:r>
              <w:rPr>
                <w:rFonts w:hint="eastAsia"/>
                <w:color w:val="000000"/>
                <w:szCs w:val="21"/>
                <w:highlight w:val="none"/>
                <w:lang w:eastAsia="zh-CN"/>
              </w:rPr>
              <w:t>供应商</w:t>
            </w:r>
            <w:r>
              <w:rPr>
                <w:rFonts w:hint="eastAsia"/>
                <w:color w:val="000000"/>
                <w:szCs w:val="21"/>
                <w:highlight w:val="none"/>
              </w:rPr>
              <w:t>提出书面申请</w:t>
            </w:r>
            <w:r>
              <w:rPr>
                <w:rFonts w:hint="default"/>
                <w:color w:val="000000"/>
                <w:szCs w:val="21"/>
                <w:highlight w:val="none"/>
              </w:rPr>
              <w:t>，</w:t>
            </w:r>
            <w:r>
              <w:rPr>
                <w:rFonts w:hint="eastAsia"/>
                <w:color w:val="000000"/>
                <w:szCs w:val="21"/>
                <w:highlight w:val="none"/>
                <w:lang w:eastAsia="zh-CN"/>
              </w:rPr>
              <w:t>采购人</w:t>
            </w:r>
            <w:r>
              <w:rPr>
                <w:rFonts w:hint="default"/>
                <w:color w:val="000000"/>
                <w:szCs w:val="21"/>
                <w:highlight w:val="none"/>
                <w:lang w:eastAsia="zh-CN"/>
              </w:rPr>
              <w:t>在收到申请后20个工作日内</w:t>
            </w:r>
            <w:r>
              <w:rPr>
                <w:rFonts w:hint="eastAsia"/>
                <w:color w:val="000000"/>
                <w:szCs w:val="21"/>
                <w:highlight w:val="none"/>
                <w:lang w:eastAsia="zh-CN"/>
              </w:rPr>
              <w:t>对供应商进行服务质量考核，供应商对考核结果无异议的，采购人根据考核结果</w:t>
            </w:r>
            <w:r>
              <w:rPr>
                <w:rFonts w:hint="eastAsia"/>
                <w:color w:val="000000"/>
                <w:szCs w:val="21"/>
                <w:highlight w:val="none"/>
                <w:lang w:val="en-US" w:eastAsia="zh-CN"/>
              </w:rPr>
              <w:t>5</w:t>
            </w:r>
            <w:r>
              <w:rPr>
                <w:rFonts w:hint="eastAsia"/>
                <w:color w:val="000000"/>
                <w:szCs w:val="21"/>
                <w:highlight w:val="none"/>
              </w:rPr>
              <w:t>个工作日</w:t>
            </w:r>
            <w:r>
              <w:rPr>
                <w:rFonts w:hint="eastAsia"/>
                <w:color w:val="000000"/>
                <w:szCs w:val="21"/>
                <w:highlight w:val="none"/>
                <w:lang w:eastAsia="zh-CN"/>
              </w:rPr>
              <w:t>内退</w:t>
            </w:r>
            <w:r>
              <w:rPr>
                <w:rFonts w:hint="eastAsia"/>
                <w:color w:val="000000"/>
                <w:szCs w:val="21"/>
                <w:highlight w:val="none"/>
              </w:rPr>
              <w:t>还供应商履约保证金（不计利息）</w:t>
            </w:r>
            <w:r>
              <w:rPr>
                <w:color w:val="000000"/>
                <w:szCs w:val="21"/>
                <w:highlight w:val="none"/>
              </w:rPr>
              <w:t>。</w:t>
            </w:r>
          </w:p>
          <w:p w14:paraId="2C73D527">
            <w:pPr>
              <w:spacing w:line="400" w:lineRule="exact"/>
              <w:jc w:val="left"/>
              <w:rPr>
                <w:color w:val="000000"/>
                <w:szCs w:val="21"/>
                <w:highlight w:val="none"/>
              </w:rPr>
            </w:pPr>
            <w:r>
              <w:rPr>
                <w:color w:val="000000"/>
                <w:szCs w:val="21"/>
                <w:highlight w:val="none"/>
              </w:rPr>
              <w:t>履约保证金指定账户：</w:t>
            </w:r>
          </w:p>
          <w:p w14:paraId="75C82E9F">
            <w:pPr>
              <w:spacing w:line="400" w:lineRule="exact"/>
              <w:jc w:val="left"/>
              <w:rPr>
                <w:rFonts w:hint="eastAsia"/>
                <w:b w:val="0"/>
                <w:bCs/>
                <w:color w:val="000000"/>
                <w:szCs w:val="21"/>
                <w:highlight w:val="none"/>
              </w:rPr>
            </w:pPr>
            <w:r>
              <w:rPr>
                <w:rFonts w:hint="eastAsia"/>
                <w:b w:val="0"/>
                <w:bCs/>
                <w:color w:val="000000"/>
                <w:szCs w:val="21"/>
                <w:highlight w:val="none"/>
              </w:rPr>
              <w:t>账户名称：广西壮族自治区直属单位住房保障中心</w:t>
            </w:r>
          </w:p>
          <w:p w14:paraId="0E3E8E3B">
            <w:pPr>
              <w:spacing w:line="400" w:lineRule="exact"/>
              <w:jc w:val="left"/>
              <w:rPr>
                <w:rFonts w:hint="eastAsia"/>
                <w:b w:val="0"/>
                <w:bCs/>
                <w:color w:val="000000"/>
                <w:szCs w:val="21"/>
                <w:highlight w:val="none"/>
              </w:rPr>
            </w:pPr>
            <w:r>
              <w:rPr>
                <w:rFonts w:hint="eastAsia"/>
                <w:b w:val="0"/>
                <w:bCs/>
                <w:color w:val="000000"/>
                <w:szCs w:val="21"/>
                <w:highlight w:val="none"/>
              </w:rPr>
              <w:t>开户银行：中国银行南宁市邕州支行</w:t>
            </w:r>
          </w:p>
          <w:p w14:paraId="4090E2CB">
            <w:pPr>
              <w:spacing w:line="400" w:lineRule="exact"/>
              <w:jc w:val="left"/>
              <w:rPr>
                <w:rFonts w:hint="eastAsia"/>
                <w:b w:val="0"/>
                <w:bCs/>
                <w:color w:val="000000"/>
                <w:szCs w:val="21"/>
                <w:highlight w:val="none"/>
              </w:rPr>
            </w:pPr>
            <w:r>
              <w:rPr>
                <w:rFonts w:hint="eastAsia"/>
                <w:b w:val="0"/>
                <w:bCs/>
                <w:color w:val="000000"/>
                <w:szCs w:val="21"/>
                <w:highlight w:val="none"/>
              </w:rPr>
              <w:t>账号：622370490856</w:t>
            </w:r>
          </w:p>
          <w:p w14:paraId="64D30C39">
            <w:pPr>
              <w:spacing w:line="400" w:lineRule="exact"/>
              <w:jc w:val="left"/>
              <w:rPr>
                <w:b/>
                <w:color w:val="000000"/>
                <w:szCs w:val="21"/>
                <w:highlight w:val="none"/>
              </w:rPr>
            </w:pPr>
            <w:r>
              <w:rPr>
                <w:b/>
                <w:color w:val="000000"/>
                <w:szCs w:val="21"/>
                <w:highlight w:val="none"/>
              </w:rPr>
              <w:t>备注：</w:t>
            </w:r>
            <w:r>
              <w:rPr>
                <w:color w:val="000000"/>
                <w:szCs w:val="21"/>
                <w:highlight w:val="none"/>
              </w:rPr>
              <w:br w:type="textWrapping"/>
            </w:r>
            <w:r>
              <w:rPr>
                <w:b/>
                <w:color w:val="000000"/>
                <w:szCs w:val="21"/>
                <w:highlight w:val="none"/>
              </w:rPr>
              <w:t>1.根据《广西壮族自治区财政厅关于持续优化政府采购营商环境推动高质量发展的通知》（桂财采〔2024〕55号），采购人在采购文件中要求提交履约保证金的，履约保证金数额不得超过政府采购合同金额的5%；政府采购要加大对中小企业发展的扶持力度，对中小企业收取的履约保证金数额不得超过政府采购合同金额的2%。</w:t>
            </w:r>
          </w:p>
          <w:p w14:paraId="75B8FBAA">
            <w:pPr>
              <w:spacing w:line="400" w:lineRule="exact"/>
              <w:jc w:val="left"/>
              <w:rPr>
                <w:b/>
                <w:color w:val="000000"/>
                <w:szCs w:val="21"/>
                <w:highlight w:val="none"/>
              </w:rPr>
            </w:pPr>
            <w:r>
              <w:rPr>
                <w:b/>
                <w:color w:val="000000"/>
                <w:szCs w:val="21"/>
                <w:highlight w:val="none"/>
              </w:rPr>
              <w:t>2.履约保证金不足额缴纳的，或者不按规定提交方式提交的，或者银行、保险机构出具的保函额度不足的或者保函有效期低于合同履行期限（即签订采购合同之日起至履行完合同约定的权利及义务之日止）的，不予签订合同。</w:t>
            </w:r>
            <w:r>
              <w:rPr>
                <w:b/>
                <w:color w:val="000000"/>
                <w:szCs w:val="21"/>
                <w:highlight w:val="none"/>
              </w:rPr>
              <w:br w:type="textWrapping"/>
            </w:r>
            <w:r>
              <w:rPr>
                <w:b/>
                <w:color w:val="000000"/>
                <w:szCs w:val="21"/>
                <w:highlight w:val="none"/>
              </w:rPr>
              <w:t>3.采用银行、保险机构出具的保函的，必须为无条件保函，否则不予签订合同。</w:t>
            </w:r>
          </w:p>
          <w:p w14:paraId="356F98F5">
            <w:pPr>
              <w:widowControl/>
              <w:spacing w:line="360" w:lineRule="auto"/>
              <w:jc w:val="left"/>
              <w:rPr>
                <w:rFonts w:ascii="宋体" w:hAnsi="宋体" w:eastAsia="宋体" w:cs="宋体"/>
                <w:color w:val="auto"/>
                <w:szCs w:val="21"/>
                <w:highlight w:val="none"/>
              </w:rPr>
            </w:pPr>
            <w:r>
              <w:rPr>
                <w:b/>
                <w:color w:val="000000"/>
                <w:szCs w:val="21"/>
                <w:highlight w:val="none"/>
              </w:rPr>
              <w:t>4.供应商为联合体的，由联合体任意一方按规定提交履约保证金，视为有效履约保证金。</w:t>
            </w:r>
          </w:p>
        </w:tc>
      </w:tr>
      <w:tr w14:paraId="22836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1A596FD3">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30.2</w:t>
            </w:r>
          </w:p>
        </w:tc>
        <w:tc>
          <w:tcPr>
            <w:tcW w:w="8233" w:type="dxa"/>
            <w:vAlign w:val="center"/>
          </w:tcPr>
          <w:p w14:paraId="28FB6C67">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接收质疑函方式：以书面形式。</w:t>
            </w:r>
          </w:p>
          <w:p w14:paraId="2E512CFE">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质疑联系部门及联系方式：广西正海招标有限公司，联系电话：0771-2865989，通讯地址：</w:t>
            </w:r>
            <w:r>
              <w:rPr>
                <w:rFonts w:hint="eastAsia" w:ascii="宋体" w:hAnsi="宋体" w:eastAsia="宋体" w:cs="宋体"/>
                <w:color w:val="auto"/>
                <w:szCs w:val="21"/>
                <w:highlight w:val="none"/>
                <w:lang w:eastAsia="zh-CN"/>
              </w:rPr>
              <w:t>南宁市青秀区茅桥路2号习艺基地A栋1号电梯3楼</w:t>
            </w:r>
            <w:r>
              <w:rPr>
                <w:rFonts w:hint="eastAsia" w:ascii="宋体" w:hAnsi="宋体" w:eastAsia="宋体" w:cs="宋体"/>
                <w:color w:val="auto"/>
                <w:szCs w:val="21"/>
                <w:highlight w:val="none"/>
              </w:rPr>
              <w:t>。</w:t>
            </w:r>
          </w:p>
          <w:p w14:paraId="3DF405B0">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业务时间：每天上午8时00分到12时00分，下午15时00分到18时 00分，双休日和法定节假日不办理业务。</w:t>
            </w:r>
          </w:p>
        </w:tc>
      </w:tr>
      <w:tr w14:paraId="21DD3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25DD24AF">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31.1</w:t>
            </w:r>
          </w:p>
        </w:tc>
        <w:tc>
          <w:tcPr>
            <w:tcW w:w="8233" w:type="dxa"/>
            <w:vAlign w:val="center"/>
          </w:tcPr>
          <w:p w14:paraId="72157D64">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采购代理服务费支付方式：</w:t>
            </w:r>
            <w:r>
              <w:rPr>
                <w:rFonts w:hint="eastAsia" w:ascii="宋体" w:hAnsi="宋体" w:eastAsia="宋体" w:cs="宋体"/>
                <w:color w:val="auto"/>
                <w:kern w:val="0"/>
                <w:szCs w:val="21"/>
                <w:highlight w:val="none"/>
                <w:lang w:val="en-US" w:eastAsia="zh-CN"/>
              </w:rPr>
              <w:t>由成交供应商支付，</w:t>
            </w:r>
            <w:r>
              <w:rPr>
                <w:rFonts w:hint="eastAsia" w:ascii="宋体" w:hAnsi="宋体" w:eastAsia="宋体" w:cs="宋体"/>
                <w:color w:val="auto"/>
                <w:kern w:val="0"/>
                <w:szCs w:val="21"/>
                <w:highlight w:val="none"/>
              </w:rPr>
              <w:t>采购代理服务费参考《招标代理服务收费管理暂行办法》（计价格[2002]1980号）、《国家发展改革委关于降低部分建设项目收费标准规范收费行为等有关问题的通知》（发改价格[2011]534号）及桂价费[2011]55号文规定</w:t>
            </w:r>
            <w:r>
              <w:rPr>
                <w:rFonts w:hint="eastAsia" w:ascii="宋体" w:hAnsi="宋体" w:eastAsia="宋体" w:cs="宋体"/>
                <w:color w:val="auto"/>
                <w:kern w:val="0"/>
                <w:szCs w:val="21"/>
                <w:highlight w:val="none"/>
                <w:lang w:eastAsia="zh-CN"/>
              </w:rPr>
              <w:t>标准收取</w:t>
            </w:r>
            <w:r>
              <w:rPr>
                <w:rFonts w:hint="eastAsia"/>
                <w:color w:val="auto"/>
                <w:kern w:val="0"/>
                <w:highlight w:val="none"/>
                <w:lang w:eastAsia="zh-CN"/>
              </w:rPr>
              <w:t>，</w:t>
            </w:r>
            <w:r>
              <w:rPr>
                <w:rFonts w:hint="eastAsia" w:ascii="宋体" w:hAnsi="宋体" w:eastAsia="宋体" w:cs="宋体"/>
                <w:color w:val="auto"/>
                <w:kern w:val="0"/>
                <w:szCs w:val="21"/>
                <w:highlight w:val="none"/>
              </w:rPr>
              <w:t>由成交供应商在领取成交通知书前，一次性向采购代理机构支付。</w:t>
            </w:r>
          </w:p>
          <w:p w14:paraId="3CB4A3AD">
            <w:pPr>
              <w:widowControl/>
              <w:spacing w:line="360" w:lineRule="auto"/>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户名：广西正海招标有限公司</w:t>
            </w:r>
          </w:p>
          <w:p w14:paraId="4C4EF301">
            <w:pPr>
              <w:widowControl/>
              <w:spacing w:line="360" w:lineRule="auto"/>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开户行：中国光大银行南宁长湖支行</w:t>
            </w:r>
          </w:p>
          <w:p w14:paraId="4197806B">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账号：79080188000035937</w:t>
            </w:r>
          </w:p>
        </w:tc>
      </w:tr>
      <w:tr w14:paraId="2817D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60014B52">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32.1</w:t>
            </w:r>
          </w:p>
        </w:tc>
        <w:tc>
          <w:tcPr>
            <w:tcW w:w="8233" w:type="dxa"/>
            <w:vAlign w:val="center"/>
          </w:tcPr>
          <w:p w14:paraId="047EA72A">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解释：构成本磋商文件的各个组成文件应互为解释，互为说明；除磋商文件中有特别规定外，仅适用于磋商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08BD2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14:paraId="36B971FE">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32.2</w:t>
            </w:r>
          </w:p>
        </w:tc>
        <w:tc>
          <w:tcPr>
            <w:tcW w:w="8233" w:type="dxa"/>
            <w:vAlign w:val="center"/>
          </w:tcPr>
          <w:p w14:paraId="24B55547">
            <w:pPr>
              <w:keepNext w:val="0"/>
              <w:keepLines w:val="0"/>
              <w:pageBreakBefore w:val="0"/>
              <w:widowControl/>
              <w:kinsoku/>
              <w:wordWrap/>
              <w:overflowPunct/>
              <w:topLinePunct w:val="0"/>
              <w:autoSpaceDE/>
              <w:autoSpaceDN/>
              <w:bidi w:val="0"/>
              <w:adjustRightInd/>
              <w:spacing w:line="360" w:lineRule="auto"/>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1.本磋商文件中描述供应商的“公章”是指根据我国对公章的管理规定，用供应商法定主体行为名称制作的印章（CA签章），除本磋商文件有特殊规定外，供应商的财务章、部门章、分公司章、工会章、合同章、磋商/投标专用章、业务专用章及银行的转账章、现金收讫章、现金付讫章等其他形式印章均不能代替公章。</w:t>
            </w:r>
          </w:p>
          <w:p w14:paraId="7420DF53">
            <w:pPr>
              <w:keepNext w:val="0"/>
              <w:keepLines w:val="0"/>
              <w:pageBreakBefore w:val="0"/>
              <w:kinsoku/>
              <w:wordWrap/>
              <w:overflowPunct/>
              <w:topLinePunct w:val="0"/>
              <w:autoSpaceDE/>
              <w:autoSpaceDN/>
              <w:bidi w:val="0"/>
              <w:adjustRightInd/>
              <w:snapToGrid w:val="0"/>
              <w:spacing w:line="360" w:lineRule="auto"/>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电子响应文件中须加盖供应商公章部分均建议采用CA签章，并根据《政府采购项目电子交易管理操作指南-供应商》及本采购文件规定的格式和顺序编制电子响应文件并进行关联定位，以便磋商小组在评审时，点击评分项可直接定位到该评审内容。如对采购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w:t>
            </w:r>
          </w:p>
          <w:p w14:paraId="04B2B312">
            <w:pPr>
              <w:keepNext w:val="0"/>
              <w:keepLines w:val="0"/>
              <w:pageBreakBefore w:val="0"/>
              <w:widowControl/>
              <w:kinsoku/>
              <w:wordWrap/>
              <w:overflowPunct/>
              <w:topLinePunct w:val="0"/>
              <w:autoSpaceDE/>
              <w:autoSpaceDN/>
              <w:bidi w:val="0"/>
              <w:adjustRightInd/>
              <w:spacing w:line="360" w:lineRule="auto"/>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3.供应商为其他组织或者自然人时，本磋商文件规定的法定代表人指负责人或者自然人。本磋商文件所称负责人是指参加磋商的其他组织</w:t>
            </w:r>
            <w:r>
              <w:rPr>
                <w:rFonts w:hint="eastAsia" w:ascii="宋体" w:hAnsi="宋体" w:eastAsia="宋体" w:cs="宋体"/>
                <w:bCs/>
                <w:color w:val="auto"/>
                <w:szCs w:val="21"/>
                <w:highlight w:val="none"/>
              </w:rPr>
              <w:t>营业执照或者执业许可证等证照上</w:t>
            </w:r>
            <w:r>
              <w:rPr>
                <w:rFonts w:hint="eastAsia" w:ascii="宋体" w:hAnsi="宋体" w:eastAsia="宋体" w:cs="宋体"/>
                <w:color w:val="auto"/>
                <w:szCs w:val="21"/>
                <w:highlight w:val="none"/>
              </w:rPr>
              <w:t>的负责人，本磋商文件所称自然人指参与竞标的自然人本人，</w:t>
            </w:r>
            <w:r>
              <w:rPr>
                <w:rFonts w:hint="eastAsia" w:ascii="宋体" w:hAnsi="宋体" w:eastAsia="宋体" w:cs="宋体"/>
                <w:bCs/>
                <w:color w:val="auto"/>
                <w:szCs w:val="21"/>
                <w:highlight w:val="none"/>
              </w:rPr>
              <w:t>且应具备独立承担民事责任能力，自然人应当为年满18岁以上成年人（十六周岁以上的未成年人，以自己的劳动收入为主要生活来源的，视为完全民事行为能力人）。</w:t>
            </w:r>
          </w:p>
          <w:p w14:paraId="50DFE024">
            <w:pPr>
              <w:keepNext w:val="0"/>
              <w:keepLines w:val="0"/>
              <w:pageBreakBefore w:val="0"/>
              <w:widowControl/>
              <w:kinsoku/>
              <w:wordWrap/>
              <w:overflowPunct/>
              <w:topLinePunct w:val="0"/>
              <w:autoSpaceDE/>
              <w:autoSpaceDN/>
              <w:bidi w:val="0"/>
              <w:adjustRightInd/>
              <w:spacing w:line="360" w:lineRule="auto"/>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4.本磋商文件中描述供应商的“签字”是指供应商的法定代表人或者委托代理人亲自在文件规定签字处亲笔写上个人的名字的行为或CA签章。</w:t>
            </w:r>
          </w:p>
          <w:p w14:paraId="64885BAE">
            <w:pPr>
              <w:keepNext w:val="0"/>
              <w:keepLines w:val="0"/>
              <w:pageBreakBefore w:val="0"/>
              <w:kinsoku/>
              <w:wordWrap/>
              <w:overflowPunct/>
              <w:topLinePunct w:val="0"/>
              <w:autoSpaceDE/>
              <w:autoSpaceDN/>
              <w:bidi w:val="0"/>
              <w:adjustRightInd/>
              <w:snapToGrid w:val="0"/>
              <w:spacing w:line="360" w:lineRule="auto"/>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5.CA中没有法人（负责人）或授权代表签字信息，供应商在响应文件中涉及到签字的位置线下签好字然后扫描或者拍照做成PDF的格式亦可。响应文件中涉及到签字的位置未按要求签字的，提供的材料视为无效。</w:t>
            </w:r>
          </w:p>
          <w:p w14:paraId="6FC1604B">
            <w:pPr>
              <w:keepNext w:val="0"/>
              <w:keepLines w:val="0"/>
              <w:pageBreakBefore w:val="0"/>
              <w:widowControl/>
              <w:kinsoku/>
              <w:wordWrap/>
              <w:overflowPunct/>
              <w:topLinePunct w:val="0"/>
              <w:autoSpaceDE/>
              <w:autoSpaceDN/>
              <w:bidi w:val="0"/>
              <w:adjustRightInd/>
              <w:spacing w:line="360" w:lineRule="auto"/>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6.自然人竞标的，磋商文件规定盖公章处由自然人摁手指指印。</w:t>
            </w:r>
          </w:p>
          <w:p w14:paraId="28BEF509">
            <w:pPr>
              <w:keepNext w:val="0"/>
              <w:keepLines w:val="0"/>
              <w:pageBreakBefore w:val="0"/>
              <w:widowControl/>
              <w:kinsoku/>
              <w:wordWrap/>
              <w:overflowPunct/>
              <w:topLinePunct w:val="0"/>
              <w:autoSpaceDE/>
              <w:autoSpaceDN/>
              <w:bidi w:val="0"/>
              <w:adjustRightInd/>
              <w:spacing w:line="360" w:lineRule="auto"/>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7.本磋商文件所称的“以上”“以下”“以内”“届满”，包括本数；所称的“不满”“超过”“以外”，不包括本数。</w:t>
            </w:r>
          </w:p>
        </w:tc>
      </w:tr>
    </w:tbl>
    <w:p w14:paraId="1FC04981">
      <w:pPr>
        <w:widowControl/>
        <w:jc w:val="left"/>
        <w:rPr>
          <w:rFonts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br w:type="page"/>
      </w:r>
    </w:p>
    <w:p w14:paraId="6E1A5C91">
      <w:pPr>
        <w:keepNext/>
        <w:keepLines/>
        <w:pageBreakBefore w:val="0"/>
        <w:widowControl/>
        <w:kinsoku/>
        <w:wordWrap/>
        <w:overflowPunct/>
        <w:topLinePunct w:val="0"/>
        <w:autoSpaceDE/>
        <w:autoSpaceDN/>
        <w:bidi w:val="0"/>
        <w:adjustRightInd/>
        <w:snapToGrid/>
        <w:spacing w:line="360" w:lineRule="auto"/>
        <w:jc w:val="center"/>
        <w:textAlignment w:val="auto"/>
        <w:outlineLvl w:val="1"/>
        <w:rPr>
          <w:rFonts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供应商须知正文</w:t>
      </w:r>
    </w:p>
    <w:p w14:paraId="3543E0B1">
      <w:pPr>
        <w:keepNext/>
        <w:keepLines/>
        <w:pageBreakBefore w:val="0"/>
        <w:widowControl/>
        <w:kinsoku/>
        <w:wordWrap/>
        <w:overflowPunct/>
        <w:topLinePunct w:val="0"/>
        <w:autoSpaceDE/>
        <w:autoSpaceDN/>
        <w:bidi w:val="0"/>
        <w:adjustRightInd/>
        <w:snapToGrid/>
        <w:jc w:val="center"/>
        <w:textAlignment w:val="auto"/>
        <w:outlineLvl w:val="2"/>
        <w:rPr>
          <w:rFonts w:ascii="宋体" w:hAnsi="宋体" w:eastAsia="宋体" w:cs="宋体"/>
          <w:b/>
          <w:bCs/>
          <w:color w:val="auto"/>
          <w:sz w:val="30"/>
          <w:szCs w:val="24"/>
          <w:highlight w:val="none"/>
        </w:rPr>
      </w:pPr>
      <w:r>
        <w:rPr>
          <w:rFonts w:hint="eastAsia" w:ascii="宋体" w:hAnsi="宋体" w:eastAsia="宋体" w:cs="宋体"/>
          <w:b/>
          <w:bCs/>
          <w:color w:val="auto"/>
          <w:sz w:val="30"/>
          <w:szCs w:val="24"/>
          <w:highlight w:val="none"/>
        </w:rPr>
        <w:t>一、总则</w:t>
      </w:r>
    </w:p>
    <w:p w14:paraId="6375EB94">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1.适用范围</w:t>
      </w:r>
    </w:p>
    <w:p w14:paraId="1F194054">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07254A7B">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本竞争性磋商采购文件（以下简称磋商文件）适用于本项目的所有采购程序和环节（法律、法规另有规定的，从其规定）。</w:t>
      </w:r>
    </w:p>
    <w:p w14:paraId="6F2AD0C6">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2.定义</w:t>
      </w:r>
    </w:p>
    <w:p w14:paraId="61D48800">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00B9A74C">
      <w:pPr>
        <w:widowControl/>
        <w:spacing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24384DAF">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55498337">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2.4“服务”是指除货物和工程以外的其他政府采购对象。</w:t>
      </w:r>
    </w:p>
    <w:p w14:paraId="23B23B95">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2.5“磋商”是指供应商按照本项目竞争性磋商公告或者邀请函规定的方式获取磋商文件、提交响应文件并希望获得标的的行为。</w:t>
      </w:r>
    </w:p>
    <w:p w14:paraId="021858C7">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2.6“书面形式”是指合同书、信件和数据电文（包括电报、电传、传真、电子数据交换和电子邮件）等可以有形地表现所载内容的形式。</w:t>
      </w:r>
    </w:p>
    <w:p w14:paraId="0098352A">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2.7“响应文件”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097BB868">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2.8“实质性要求”是指磋商文件中已经指明不满足则响应文件按无效响应处理的条款，或者不能负偏离的条款，或者采购需求中带“</w:t>
      </w:r>
      <w:r>
        <w:rPr>
          <w:rFonts w:hint="eastAsia" w:ascii="宋体" w:hAnsi="宋体"/>
          <w:color w:val="auto"/>
          <w:szCs w:val="21"/>
          <w:highlight w:val="none"/>
        </w:rPr>
        <w:t>▲</w:t>
      </w:r>
      <w:r>
        <w:rPr>
          <w:rFonts w:hint="eastAsia" w:ascii="宋体" w:hAnsi="宋体" w:eastAsia="宋体" w:cs="宋体"/>
          <w:color w:val="auto"/>
          <w:szCs w:val="21"/>
          <w:highlight w:val="none"/>
        </w:rPr>
        <w:t>”的条款。</w:t>
      </w:r>
    </w:p>
    <w:p w14:paraId="3692DCF0">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2.9“正偏离”，是指响应文件对磋商文件“采购需求”中有关条款作出的响应优于条款要求并有利于采购人的情形。</w:t>
      </w:r>
    </w:p>
    <w:p w14:paraId="41A43D96">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2.10“负偏离”，是指响应文件对磋商文件“采购需求”中有关条款作出的响应不满足条款要求，导致采购人要求不能得到满足的情形。</w:t>
      </w:r>
    </w:p>
    <w:p w14:paraId="7BF66C5C">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2.11“允许负偏离的条款”是指采购需求中的不属于“实质性要求”的条款。</w:t>
      </w:r>
    </w:p>
    <w:p w14:paraId="7DC99487">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4D0FCA29">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3.供应商的资格条件</w:t>
      </w:r>
    </w:p>
    <w:p w14:paraId="65413F94">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34963D4E">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4.磋商费用</w:t>
      </w:r>
    </w:p>
    <w:p w14:paraId="549A2776">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供应商应承担参与本次采购活动有关的所有费用，包括但不限于获取磋商文件、勘查现场、编制和提交响应文件、参加磋商与应答、签订合同等，不论磋商结果如何，均应自行承担。</w:t>
      </w:r>
    </w:p>
    <w:p w14:paraId="27C86B41">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5.联合体磋商</w:t>
      </w:r>
    </w:p>
    <w:p w14:paraId="08F0C496">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5.1本项目是否接受联合体磋商，详见“供应商须知前附表”。</w:t>
      </w:r>
    </w:p>
    <w:p w14:paraId="6209D550">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szCs w:val="24"/>
          <w:highlight w:val="none"/>
        </w:rPr>
        <w:t>如接受联合体磋商，</w:t>
      </w:r>
      <w:r>
        <w:rPr>
          <w:rFonts w:hint="eastAsia" w:ascii="宋体" w:hAnsi="宋体" w:eastAsia="宋体" w:cs="宋体"/>
          <w:color w:val="auto"/>
          <w:szCs w:val="21"/>
          <w:highlight w:val="none"/>
        </w:rPr>
        <w:t>联合体磋商要求详见“供应商须知前附表”。</w:t>
      </w:r>
    </w:p>
    <w:p w14:paraId="6886A59C">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5.3根据</w:t>
      </w:r>
      <w:r>
        <w:rPr>
          <w:rFonts w:hint="eastAsia" w:ascii="宋体" w:hAnsi="宋体" w:cs="宋体"/>
          <w:bCs/>
          <w:color w:val="auto"/>
          <w:sz w:val="21"/>
          <w:szCs w:val="21"/>
          <w:highlight w:val="none"/>
        </w:rPr>
        <w:t>《广西壮族自治区财政厅关于持续优化政府采购营商环境推动高质量发展的通知》（桂财采〔2024〕55号）</w:t>
      </w:r>
      <w:r>
        <w:rPr>
          <w:rFonts w:hint="eastAsia" w:ascii="宋体" w:hAnsi="宋体" w:eastAsia="宋体" w:cs="宋体"/>
          <w:color w:val="auto"/>
          <w:szCs w:val="21"/>
          <w:highlight w:val="none"/>
        </w:rPr>
        <w:t>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38646F9A">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6.转包与分包</w:t>
      </w:r>
    </w:p>
    <w:p w14:paraId="3FA96263">
      <w:pPr>
        <w:widowControl/>
        <w:spacing w:line="360" w:lineRule="auto"/>
        <w:ind w:firstLine="420" w:firstLineChars="200"/>
        <w:jc w:val="left"/>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6.1本项目不允许转包。</w:t>
      </w:r>
    </w:p>
    <w:p w14:paraId="1F1E5837">
      <w:pPr>
        <w:widowControl/>
        <w:spacing w:line="360" w:lineRule="auto"/>
        <w:ind w:firstLine="420" w:firstLineChars="200"/>
        <w:jc w:val="left"/>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2E87E7B5">
      <w:pPr>
        <w:widowControl/>
        <w:spacing w:line="360" w:lineRule="auto"/>
        <w:ind w:firstLine="420" w:firstLineChars="200"/>
        <w:jc w:val="left"/>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6.3供应商根据磋商文件的规定和采购项目的实际情况，拟在成交后将成交项目的非主体、非关键性工作分包的，应当在响应文件中载明分包承担主体，分包承担主体应当具备相应资质条件且不得再次分包。</w:t>
      </w:r>
    </w:p>
    <w:p w14:paraId="145C8B22">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7.特别说明</w:t>
      </w:r>
    </w:p>
    <w:p w14:paraId="07EF0F3C">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7.1如果本磋商文件要求提供供应商或制造商（或承接服务供应商）的资格、信誉、荣誉、业绩与企业认证等材料的，资格、信誉、荣誉、业绩与企业认证等必须为供应商或者制造商（或承接服务供应商）的所拥有或自身获得。</w:t>
      </w:r>
    </w:p>
    <w:p w14:paraId="1EB8A1FC">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65448344">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7.3</w:t>
      </w:r>
      <w:r>
        <w:rPr>
          <w:rFonts w:hint="eastAsia" w:ascii="宋体" w:hAnsi="宋体" w:eastAsia="宋体" w:cs="宋体"/>
          <w:color w:val="auto"/>
          <w:szCs w:val="21"/>
          <w:highlight w:val="none"/>
          <w:lang w:val="en-US" w:eastAsia="zh-CN"/>
        </w:rPr>
        <w:t>供应商在磋商活动中提供任何疑似虚假材料，将报监管部门查处；签订合同后发现的，成交供应商须依照《中华人民共和国民法典》规定赔偿采购人，且民事赔偿并不免除违法供应商的行政与刑事责任</w:t>
      </w:r>
      <w:r>
        <w:rPr>
          <w:rFonts w:hint="eastAsia" w:ascii="宋体" w:hAnsi="宋体" w:eastAsia="宋体" w:cs="宋体"/>
          <w:color w:val="auto"/>
          <w:szCs w:val="21"/>
          <w:highlight w:val="none"/>
        </w:rPr>
        <w:t>。</w:t>
      </w:r>
    </w:p>
    <w:p w14:paraId="7F96B87A">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06C20C7C">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22568418">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242D1F50">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2CD3556D">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6EAF6B30">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1611037D">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7B2D0F0">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770F4914">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 </w:t>
      </w:r>
    </w:p>
    <w:p w14:paraId="0F9F4252">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7332C06B">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3264311C">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56E3CB8B">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703A528F">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40FC13FF">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0DD6E23B">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55A4B46D">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045C7AA1">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78F08FB4">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7181F1EA">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41ED3E86">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281ED49B">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15787149">
      <w:pPr>
        <w:keepNext/>
        <w:keepLines/>
        <w:pageBreakBefore w:val="0"/>
        <w:widowControl/>
        <w:kinsoku/>
        <w:wordWrap/>
        <w:overflowPunct/>
        <w:topLinePunct w:val="0"/>
        <w:autoSpaceDE/>
        <w:autoSpaceDN/>
        <w:bidi w:val="0"/>
        <w:adjustRightInd/>
        <w:snapToGrid/>
        <w:jc w:val="center"/>
        <w:textAlignment w:val="auto"/>
        <w:outlineLvl w:val="2"/>
        <w:rPr>
          <w:rFonts w:ascii="宋体" w:hAnsi="宋体" w:eastAsia="宋体" w:cs="宋体"/>
          <w:b/>
          <w:bCs/>
          <w:color w:val="auto"/>
          <w:sz w:val="30"/>
          <w:szCs w:val="24"/>
          <w:highlight w:val="none"/>
        </w:rPr>
      </w:pPr>
      <w:bookmarkStart w:id="5" w:name="_Toc254970534"/>
      <w:bookmarkStart w:id="6" w:name="_Toc254970675"/>
      <w:r>
        <w:rPr>
          <w:rFonts w:hint="eastAsia" w:ascii="宋体" w:hAnsi="宋体" w:eastAsia="宋体" w:cs="宋体"/>
          <w:b/>
          <w:bCs/>
          <w:color w:val="auto"/>
          <w:sz w:val="30"/>
          <w:szCs w:val="24"/>
          <w:highlight w:val="none"/>
        </w:rPr>
        <w:t>二、磋商文件</w:t>
      </w:r>
      <w:bookmarkEnd w:id="5"/>
      <w:bookmarkEnd w:id="6"/>
    </w:p>
    <w:p w14:paraId="42CE5CEE">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8.磋商文件的构成</w:t>
      </w:r>
    </w:p>
    <w:p w14:paraId="77176882">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（1）竞争性磋商公告；</w:t>
      </w:r>
    </w:p>
    <w:p w14:paraId="5B835142">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（2）供应商须知；</w:t>
      </w:r>
    </w:p>
    <w:p w14:paraId="1E030DA9">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（3）采购需求；</w:t>
      </w:r>
    </w:p>
    <w:p w14:paraId="70B2708F">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（4）评审程序、评审方法和评审标准；</w:t>
      </w:r>
    </w:p>
    <w:p w14:paraId="35E91B31">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（5）响应文件格式；</w:t>
      </w:r>
    </w:p>
    <w:p w14:paraId="481E58C8">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（6）合同文本。</w:t>
      </w:r>
    </w:p>
    <w:p w14:paraId="1119B3A9">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9.供应商的询问</w:t>
      </w:r>
    </w:p>
    <w:p w14:paraId="3545426F">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14:paraId="346A55DA">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10.磋商文件的澄清和修改</w:t>
      </w:r>
    </w:p>
    <w:p w14:paraId="445CF1F2">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通知所有获取磋商文件的供应商，不足5日的，应当顺延提交首次响应文件截止之日。</w:t>
      </w:r>
    </w:p>
    <w:p w14:paraId="04A594B3">
      <w:pPr>
        <w:keepNext/>
        <w:keepLines/>
        <w:pageBreakBefore w:val="0"/>
        <w:widowControl/>
        <w:kinsoku/>
        <w:wordWrap/>
        <w:overflowPunct/>
        <w:topLinePunct w:val="0"/>
        <w:autoSpaceDE/>
        <w:autoSpaceDN/>
        <w:bidi w:val="0"/>
        <w:adjustRightInd/>
        <w:snapToGrid/>
        <w:jc w:val="center"/>
        <w:textAlignment w:val="auto"/>
        <w:outlineLvl w:val="2"/>
        <w:rPr>
          <w:rFonts w:ascii="宋体" w:hAnsi="宋体" w:eastAsia="宋体" w:cs="宋体"/>
          <w:b/>
          <w:bCs/>
          <w:color w:val="auto"/>
          <w:sz w:val="30"/>
          <w:szCs w:val="24"/>
          <w:highlight w:val="none"/>
        </w:rPr>
      </w:pPr>
      <w:r>
        <w:rPr>
          <w:rFonts w:hint="eastAsia" w:ascii="宋体" w:hAnsi="宋体" w:eastAsia="宋体" w:cs="宋体"/>
          <w:b/>
          <w:bCs/>
          <w:color w:val="auto"/>
          <w:sz w:val="30"/>
          <w:szCs w:val="24"/>
          <w:highlight w:val="none"/>
        </w:rPr>
        <w:t>三、响应文件的编制</w:t>
      </w:r>
    </w:p>
    <w:p w14:paraId="6770B59D">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11.响应文件的编制原则</w:t>
      </w:r>
    </w:p>
    <w:p w14:paraId="3A9D1B4E">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03F692CB">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12.响应文件的组成</w:t>
      </w:r>
    </w:p>
    <w:p w14:paraId="102639CA">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12.1响应文件由资格证明文件、报价文件、商务技术文件叁部分组成。</w:t>
      </w:r>
    </w:p>
    <w:p w14:paraId="621CFBC0">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12.1.1资格证明文件：详见“供应商须知前附表”</w:t>
      </w:r>
    </w:p>
    <w:p w14:paraId="30100EB8">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12.1.2报价文件：详见“供应商须知前附表”</w:t>
      </w:r>
    </w:p>
    <w:p w14:paraId="1297EAA0">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12.1.3商务技术文件：详见“供应商须知前附表”</w:t>
      </w:r>
    </w:p>
    <w:p w14:paraId="180B4984">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12.2电子响应文件：详见“供应商须知前附表”</w:t>
      </w:r>
    </w:p>
    <w:p w14:paraId="14232960">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13.计量单位</w:t>
      </w:r>
    </w:p>
    <w:p w14:paraId="682A28A2">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58A8B836">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14.竞标的风险</w:t>
      </w:r>
    </w:p>
    <w:p w14:paraId="07486AF8">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3293DF1D">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15.磋商报价</w:t>
      </w:r>
    </w:p>
    <w:p w14:paraId="5687C71C">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15.1磋商报价应按磋商文件中“磋商报价表”格式填写。</w:t>
      </w:r>
    </w:p>
    <w:p w14:paraId="037FAAF0">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15.2磋商报价的内容见“供应商须知前附表”。</w:t>
      </w:r>
    </w:p>
    <w:p w14:paraId="38F56A76">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15.3磋商报价要求</w:t>
      </w:r>
    </w:p>
    <w:p w14:paraId="02DBB33B">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15.3.1供应商的磋商报价应符合以下要求，否则响应文件按无效响应处理：</w:t>
      </w:r>
    </w:p>
    <w:p w14:paraId="76002363">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（1）供应商必须就“采购需求”中所竞标的全部内容分别作完整唯一总价报价，不得存在漏项报价；</w:t>
      </w:r>
    </w:p>
    <w:p w14:paraId="62EA3CE6">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（2）供应商必须就所磋商的单项内容作唯一报价。</w:t>
      </w:r>
    </w:p>
    <w:p w14:paraId="0AF24A57">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15.3.2磋商报价（包含首次报价、最后报价）超过所竞标规定的采购预算金额或者最高限价的，其响应文件将按无效处理。</w:t>
      </w:r>
    </w:p>
    <w:p w14:paraId="3F3DCDAD">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15.3.3</w:t>
      </w:r>
      <w:bookmarkStart w:id="7" w:name="_Hlk42592874"/>
      <w:r>
        <w:rPr>
          <w:rFonts w:hint="eastAsia" w:ascii="宋体" w:hAnsi="宋体" w:eastAsia="宋体" w:cs="宋体"/>
          <w:color w:val="auto"/>
          <w:szCs w:val="21"/>
          <w:highlight w:val="none"/>
        </w:rPr>
        <w:t>磋商报价（包含首次报价、最后报价）超过采购预算金额或者最高限价的，其响应文件将按无效处理。</w:t>
      </w:r>
    </w:p>
    <w:bookmarkEnd w:id="7"/>
    <w:p w14:paraId="511479B3">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16.磋商有效期</w:t>
      </w:r>
    </w:p>
    <w:p w14:paraId="3DFAB8F6">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16.1磋商有效期是指为保证采购人有足够的时间在提交响应文件后完成评审、确定成交供应商、合同签订等工作而要求供应商提交的响应文件在一定时间内保持有效的期限。</w:t>
      </w:r>
    </w:p>
    <w:p w14:paraId="595EB91C">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16.2 磋商有效期应由供应商按“供应商须知前附表”规定的期限作出响应。</w:t>
      </w:r>
    </w:p>
    <w:p w14:paraId="761F89F4">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16.3供应商的响应文件在磋商有效期内均保持有效。</w:t>
      </w:r>
    </w:p>
    <w:p w14:paraId="2A60DC45">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17.磋商保证金</w:t>
      </w:r>
    </w:p>
    <w:p w14:paraId="39954511">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17.1供应商须按“供应商须知前附表”的规定提交磋商保证金。</w:t>
      </w:r>
    </w:p>
    <w:p w14:paraId="4ACDAD4A">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17.2磋商保证金的退还</w:t>
      </w:r>
    </w:p>
    <w:p w14:paraId="4B5619FF">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未</w:t>
      </w:r>
      <w:r>
        <w:rPr>
          <w:rFonts w:hint="eastAsia" w:ascii="宋体" w:hAnsi="宋体" w:eastAsia="宋体" w:cs="宋体"/>
          <w:color w:val="auto"/>
          <w:spacing w:val="-6"/>
          <w:szCs w:val="21"/>
          <w:highlight w:val="none"/>
        </w:rPr>
        <w:t>成交供应商的磋商保证金自成交通知书发出之日起4个工作日内退还；</w:t>
      </w:r>
      <w:r>
        <w:rPr>
          <w:rFonts w:hint="eastAsia" w:ascii="宋体" w:hAnsi="宋体" w:eastAsia="宋体" w:cs="宋体"/>
          <w:color w:val="auto"/>
          <w:szCs w:val="21"/>
          <w:highlight w:val="none"/>
        </w:rPr>
        <w:t xml:space="preserve">成交供应商的磋商保证金自签订合同之日起4个工作日内退还。 </w:t>
      </w:r>
    </w:p>
    <w:p w14:paraId="1F3FEC68">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17.3磋商保证金不计息。</w:t>
      </w:r>
    </w:p>
    <w:p w14:paraId="3688B479">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17.4供应商有下列情形之一的，磋商保证金将不予退还： </w:t>
      </w:r>
    </w:p>
    <w:p w14:paraId="4D8D75F8">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（1）供应商在提交响应文件截止时间后撤回响应文件的；</w:t>
      </w:r>
    </w:p>
    <w:p w14:paraId="0009C06C">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（2）未按规定提交履约保证金的；</w:t>
      </w:r>
    </w:p>
    <w:p w14:paraId="1E5449CD">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（3）供应商在响应文件中提供虚假材料的；</w:t>
      </w:r>
    </w:p>
    <w:p w14:paraId="6B565DE1">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（4）除因不可抗力或者磋商文件认可的情形以外，成交供应商不与采购人签订合同的；</w:t>
      </w:r>
    </w:p>
    <w:p w14:paraId="767833D5">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（5）供应商与采购人、其他供应商或者采购代理机构恶意串通的；</w:t>
      </w:r>
    </w:p>
    <w:p w14:paraId="5E9E8613">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（6）法律法规规定的其他情形。</w:t>
      </w:r>
    </w:p>
    <w:p w14:paraId="12C0F7E2">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18.响应文件编制的要求</w:t>
      </w:r>
    </w:p>
    <w:p w14:paraId="4D1BD56B">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18.1供应商应根据</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的要求及本磋商文件规定的格式和顺序编制响应文件并标注页码，响应文件内容不完整、编排混乱导致响应文件被误读、漏读或者查找不到相关内容的，由此引发的后果由供应商承担。</w:t>
      </w:r>
    </w:p>
    <w:p w14:paraId="7074E528">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18.2响应文件应按资格证明文件、报价商务技术文件分别编制。</w:t>
      </w:r>
    </w:p>
    <w:p w14:paraId="65642044">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18.3响应文件须由供应商在规定位置盖公章并签字（具体以本须知前附表或响应文件格式规定为准），</w:t>
      </w:r>
      <w:r>
        <w:rPr>
          <w:rFonts w:hint="eastAsia" w:ascii="宋体" w:hAnsi="宋体" w:eastAsia="宋体" w:cs="宋体"/>
          <w:bCs/>
          <w:color w:val="auto"/>
          <w:szCs w:val="21"/>
          <w:highlight w:val="none"/>
        </w:rPr>
        <w:t>否则其响应文件按无效处理</w:t>
      </w:r>
      <w:r>
        <w:rPr>
          <w:rFonts w:hint="eastAsia" w:ascii="宋体" w:hAnsi="宋体" w:eastAsia="宋体" w:cs="宋体"/>
          <w:color w:val="auto"/>
          <w:szCs w:val="21"/>
          <w:highlight w:val="none"/>
        </w:rPr>
        <w:t>。</w:t>
      </w:r>
    </w:p>
    <w:p w14:paraId="151388C7">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18.4响应文件中标注的供应商名称应与营业执照（事业单位法人证书、执业许可证、自然人身份证）及公章一致，否则其响应文件按无效响应处理。</w:t>
      </w:r>
    </w:p>
    <w:p w14:paraId="02DF4DA3">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4288A868">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18.6电子响应文件中须加盖供应商公章部分均建议采用CA签章，并根据《政府采购项目电子交易管理操作指南-供应商》及本竞争性磋商采购文件规定的格式和顺序编制电子响应文件并进行关联定位，以便磋商小组在评审时，点击评审项可直接定位到该评审项内容。如对竞争性磋商采购文件的某项要求，供应商的电子响应文件未能关联定位提供相应的内容与其对应，则磋商小组在评审时如做出对供应商不利的评审由供应商自行承担。电子响应文件如内容不完整、编排混乱导致响应文件被误读、 漏读，或者在按采购文件规定的部位查找不到相关内容的，由供应商自行承担。</w:t>
      </w:r>
    </w:p>
    <w:p w14:paraId="7D662870">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18.7 CA中没有法人（负责人）或授权代表签字信息的，供应商在响应文件中涉及到签字的位置线下签好字然后扫描或者拍照做成PDF的格式亦可。响应文件中涉及到签字的位置未按要求签字的，提供的材料视为无效。</w:t>
      </w:r>
    </w:p>
    <w:p w14:paraId="684D045E">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19.响应文件的提交</w:t>
      </w:r>
    </w:p>
    <w:p w14:paraId="20897F34">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19.1供应商必须在“供应商须知前附表”规定的时间和地点提交响应文件。</w:t>
      </w:r>
    </w:p>
    <w:p w14:paraId="3DC7BC84">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19.2供应商应当在响应文件提交截止时间前，将生成的“电子加密响应文件”上传递交至</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响应文件提交截止时间前可以补充、修改或者撤回电子响应文件。补充或者修改电子响应文件的，应当先行撤回原文件，补充、修改后重新传输递交，响应文件提交截止时间前未完成传输的，视为撤回响应文件。</w:t>
      </w:r>
    </w:p>
    <w:p w14:paraId="16ABC885">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19.3通过</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上传递交的“电子加密响应文件”无法按时解密，视为响应文件撤回。</w:t>
      </w:r>
    </w:p>
    <w:p w14:paraId="34D89A46">
      <w:pPr>
        <w:widowControl/>
        <w:wordWrap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19.4如有特殊情况，本项目延长截止时间和开启时间，采购人、采购代理机构和供应商的权利和义务将受到新的截止时间和开启时间的约束。</w:t>
      </w:r>
    </w:p>
    <w:p w14:paraId="2A15B41A">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20.响应文件的补充、修改与撤回</w:t>
      </w:r>
    </w:p>
    <w:p w14:paraId="03D41460">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供应商应当在</w:t>
      </w:r>
      <w:r>
        <w:rPr>
          <w:rFonts w:hint="eastAsia" w:ascii="宋体" w:hAnsi="宋体" w:eastAsia="宋体" w:cs="宋体"/>
          <w:color w:val="auto"/>
          <w:kern w:val="0"/>
          <w:szCs w:val="21"/>
          <w:highlight w:val="none"/>
        </w:rPr>
        <w:t>响应文件提交截止时间前</w:t>
      </w:r>
      <w:r>
        <w:rPr>
          <w:rFonts w:hint="eastAsia" w:ascii="宋体" w:hAnsi="宋体" w:eastAsia="宋体" w:cs="宋体"/>
          <w:color w:val="auto"/>
          <w:szCs w:val="21"/>
          <w:highlight w:val="none"/>
        </w:rPr>
        <w:t>，将生成的“电子加密响应文件”上传递交至</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响应文件提交截止时间前</w:t>
      </w:r>
      <w:r>
        <w:rPr>
          <w:rFonts w:hint="eastAsia" w:ascii="宋体" w:hAnsi="宋体" w:eastAsia="宋体" w:cs="宋体"/>
          <w:color w:val="auto"/>
          <w:szCs w:val="21"/>
          <w:highlight w:val="none"/>
        </w:rPr>
        <w:t>可以补充、修改或者撤回电子响应文件。补充或者修改电子响应文件的，应当先行撤回原文件，补充、修改后重新传输递交，</w:t>
      </w:r>
      <w:r>
        <w:rPr>
          <w:rFonts w:hint="eastAsia" w:ascii="宋体" w:hAnsi="宋体" w:eastAsia="宋体" w:cs="宋体"/>
          <w:color w:val="auto"/>
          <w:kern w:val="0"/>
          <w:szCs w:val="21"/>
          <w:highlight w:val="none"/>
        </w:rPr>
        <w:t>响应文件提交截止时间前</w:t>
      </w:r>
      <w:r>
        <w:rPr>
          <w:rFonts w:hint="eastAsia" w:ascii="宋体" w:hAnsi="宋体" w:eastAsia="宋体" w:cs="宋体"/>
          <w:color w:val="auto"/>
          <w:szCs w:val="21"/>
          <w:highlight w:val="none"/>
        </w:rPr>
        <w:t>未完成传输的，视为撤回响应文件。</w:t>
      </w:r>
    </w:p>
    <w:p w14:paraId="57BB29D5">
      <w:pPr>
        <w:widowControl/>
        <w:spacing w:line="360" w:lineRule="auto"/>
        <w:ind w:firstLine="424" w:firstLineChars="176"/>
        <w:jc w:val="left"/>
        <w:outlineLvl w:val="3"/>
        <w:rPr>
          <w:rFonts w:ascii="宋体" w:hAnsi="宋体" w:eastAsia="宋体" w:cs="宋体"/>
          <w:b/>
          <w:bCs/>
          <w:color w:val="auto"/>
          <w:sz w:val="24"/>
          <w:szCs w:val="24"/>
          <w:highlight w:val="none"/>
        </w:rPr>
      </w:pPr>
      <w:bookmarkStart w:id="8" w:name="_Hlk45702405"/>
      <w:r>
        <w:rPr>
          <w:rFonts w:hint="eastAsia" w:ascii="宋体" w:hAnsi="宋体" w:eastAsia="宋体" w:cs="宋体"/>
          <w:b/>
          <w:bCs/>
          <w:color w:val="auto"/>
          <w:sz w:val="24"/>
          <w:szCs w:val="24"/>
          <w:highlight w:val="none"/>
        </w:rPr>
        <w:t>21.首次响应文件的退回</w:t>
      </w:r>
    </w:p>
    <w:p w14:paraId="5A9CD405">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在响应文件提交截止时间止提交响应文件的供应商不足3家时，</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自动退回电子响应文件。</w:t>
      </w:r>
    </w:p>
    <w:p w14:paraId="6443F4C7">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22.截止时间后的撤回</w:t>
      </w:r>
    </w:p>
    <w:p w14:paraId="70EC0C49">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供应商在响应文件提交截止时间后向采购人、采购代理机构书面申请撤回响应文件的，将根据本须知正文17.4的规定不予退还其磋商保证金。</w:t>
      </w:r>
    </w:p>
    <w:bookmarkEnd w:id="8"/>
    <w:p w14:paraId="33C66279">
      <w:pPr>
        <w:keepNext/>
        <w:keepLines/>
        <w:pageBreakBefore w:val="0"/>
        <w:widowControl/>
        <w:kinsoku/>
        <w:wordWrap/>
        <w:overflowPunct/>
        <w:topLinePunct w:val="0"/>
        <w:autoSpaceDE/>
        <w:autoSpaceDN/>
        <w:bidi w:val="0"/>
        <w:adjustRightInd/>
        <w:snapToGrid/>
        <w:jc w:val="center"/>
        <w:textAlignment w:val="auto"/>
        <w:outlineLvl w:val="2"/>
        <w:rPr>
          <w:rFonts w:ascii="宋体" w:hAnsi="宋体" w:eastAsia="宋体" w:cs="宋体"/>
          <w:b/>
          <w:bCs/>
          <w:color w:val="auto"/>
          <w:sz w:val="30"/>
          <w:szCs w:val="24"/>
          <w:highlight w:val="none"/>
        </w:rPr>
      </w:pPr>
      <w:r>
        <w:rPr>
          <w:rFonts w:hint="eastAsia" w:ascii="宋体" w:hAnsi="宋体" w:eastAsia="宋体" w:cs="宋体"/>
          <w:b/>
          <w:bCs/>
          <w:color w:val="auto"/>
          <w:sz w:val="30"/>
          <w:szCs w:val="24"/>
          <w:highlight w:val="none"/>
        </w:rPr>
        <w:t>四、评审及磋商</w:t>
      </w:r>
    </w:p>
    <w:p w14:paraId="577B94D1">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23.磋商小组成立</w:t>
      </w:r>
    </w:p>
    <w:p w14:paraId="770B55C7">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23.1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7125B00B">
      <w:pPr>
        <w:widowControl/>
        <w:spacing w:line="360" w:lineRule="auto"/>
        <w:ind w:firstLine="420" w:firstLineChars="200"/>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23.2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396EE689">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24.首次响应文件的开启</w:t>
      </w:r>
    </w:p>
    <w:p w14:paraId="309309FF">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首次响应文件由磋商小组或者采购代理机构在“供应商须知前附表”规定的时间开启。</w:t>
      </w:r>
    </w:p>
    <w:p w14:paraId="46880C14">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25.评审程序、评审方法和评审标准</w:t>
      </w:r>
    </w:p>
    <w:p w14:paraId="1836252F">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25.1本项目的评审方法为综合评分法。</w:t>
      </w:r>
    </w:p>
    <w:p w14:paraId="36A914A9">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25.2磋商小组按照“第四章 评审程序、评审方法和评审标准”规定的方法、评审因素、标准和程序对响应文件进行评审。</w:t>
      </w:r>
    </w:p>
    <w:p w14:paraId="2445D9C1">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26.确定成交供应商及结果公告</w:t>
      </w:r>
    </w:p>
    <w:p w14:paraId="1A78C2BC">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26.1</w:t>
      </w:r>
      <w:r>
        <w:rPr>
          <w:rFonts w:hint="eastAsia" w:ascii="宋体" w:hAnsi="宋体" w:eastAsia="宋体" w:cs="宋体"/>
          <w:color w:val="auto"/>
          <w:kern w:val="0"/>
          <w:szCs w:val="21"/>
          <w:highlight w:val="none"/>
        </w:rPr>
        <w:t xml:space="preserve"> </w:t>
      </w:r>
      <w:r>
        <w:rPr>
          <w:rFonts w:hint="eastAsia" w:ascii="宋体" w:hAnsi="宋体" w:eastAsia="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541595A">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26.2采购代理机构应当在</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成交供应商享受《政府采购促进中小企业发展管理办法》（财库〔2020〕46号）规定的中小企业扶持政策的，采购人、采购代理机构应当随成交结果公开成交供应商的《中小企业声明函》。</w:t>
      </w:r>
    </w:p>
    <w:p w14:paraId="1B53348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26.3出现下列情形之一的，采购人或者采购代理机构应当终止竞争性磋商采购活动，发布项目终止公告并说明原因，重新开展采购活动：</w:t>
      </w:r>
    </w:p>
    <w:p w14:paraId="71EC96D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（1）因情况变化，不再符合规定的竞争性磋商采购方式适用情形的；</w:t>
      </w:r>
    </w:p>
    <w:p w14:paraId="40CA225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（2）出现影响采购公正的违法、违规行为的；</w:t>
      </w:r>
    </w:p>
    <w:p w14:paraId="1585DF8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（3）除“第四章 评审程序、评审方法和评审标准”第4.3条规定的情形外，在采购过程中符合要求的供应商或者报价未超过采购预算的供应商不足3家的。</w:t>
      </w:r>
    </w:p>
    <w:p w14:paraId="7CEC56A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26.4 在采购活动中因重大变故，采购任务取消的，采购人或者采购代理机构应当终止采购活动，通知所有参加采购活动的供应商，并将项目实施情况和采购任务取消原因报送本级财政部门。</w:t>
      </w:r>
    </w:p>
    <w:p w14:paraId="1EA23BA7">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27.履约保证金</w:t>
      </w:r>
    </w:p>
    <w:p w14:paraId="5F6156D8">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27.1 履约保证金的金额、提交方式、退付的时间和条件详见 “供应商须知前附表”。成交供应商未按规定提交履约保证金的，视为拒绝</w:t>
      </w:r>
      <w:r>
        <w:rPr>
          <w:rFonts w:hint="eastAsia" w:ascii="宋体" w:hAnsi="宋体" w:eastAsia="宋体" w:cs="宋体"/>
          <w:color w:val="auto"/>
          <w:szCs w:val="24"/>
          <w:highlight w:val="none"/>
        </w:rPr>
        <w:t>与采购人</w:t>
      </w:r>
      <w:r>
        <w:rPr>
          <w:rFonts w:hint="eastAsia" w:ascii="宋体" w:hAnsi="宋体" w:eastAsia="宋体" w:cs="宋体"/>
          <w:color w:val="auto"/>
          <w:szCs w:val="21"/>
          <w:highlight w:val="none"/>
        </w:rPr>
        <w:t>签订合同。</w:t>
      </w:r>
    </w:p>
    <w:p w14:paraId="6C820176">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27.2在履约保证金退还日期前，若成交供应商的开户名称、开户银行、帐号有变动的，请以书面形式通知履约保证金收取单位，否则由此产生的后果由成交供应商自行承担。</w:t>
      </w:r>
    </w:p>
    <w:p w14:paraId="6B0F1B36">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28.签订合同</w:t>
      </w:r>
    </w:p>
    <w:p w14:paraId="2380B50A">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28.1 签订合同时间：按成交通知书规定的时间与采购人签订政府采购合同。</w:t>
      </w:r>
    </w:p>
    <w:p w14:paraId="4B65DAA1">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28.2成交供应商拒绝签订政府采购合同（包括但不限于放弃成交、因不可抗力不能履行合同而放弃签订合同），采购人可以确定排名第二的成交候选供应商为成交供应商。排名第二的成交候选供应商因前款规定的同样原因不能签订合同的，采购人可以确定排名第三的成交候选供应商为成交供应商，以此类推。</w:t>
      </w:r>
    </w:p>
    <w:p w14:paraId="48885634">
      <w:pPr>
        <w:widowControl/>
        <w:spacing w:line="360" w:lineRule="auto"/>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29.政府采购合同公告</w:t>
      </w:r>
    </w:p>
    <w:p w14:paraId="5D3CF62D">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466D74DB">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30.询问、质疑和投诉</w:t>
      </w:r>
    </w:p>
    <w:p w14:paraId="0E14A6FE">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30.1供应商对政府采购活动事项有疑问的，可以向采购人、采购代理机构提出询问，采购人或者采购代理机构应当在3个工作日内对供应商依法提出的询问作出答复</w:t>
      </w:r>
      <w:r>
        <w:rPr>
          <w:rFonts w:hint="eastAsia" w:ascii="宋体" w:hAnsi="宋体" w:eastAsia="宋体" w:cs="宋体"/>
          <w:color w:val="auto"/>
          <w:szCs w:val="21"/>
          <w:highlight w:val="none"/>
        </w:rPr>
        <w:t>，但答复的内容不得涉及商业秘密。</w:t>
      </w:r>
    </w:p>
    <w:p w14:paraId="21D616BE">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30.2供应商认为磋商文件、采购过程或者成交结果使自己的合法权益受到损害的，应当在知道或者应知其权益受到损害之日起7个工作日内，以书面形式向采购人、采购代理机构提出质疑，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szCs w:val="24"/>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szCs w:val="24"/>
          <w:highlight w:val="none"/>
        </w:rPr>
        <w:t>。具体质疑起算时间如下：</w:t>
      </w:r>
    </w:p>
    <w:p w14:paraId="543FB4E9">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（1）对可以质疑的磋商文件提出质疑的，为收到磋商文件之日或者竞争性磋商公告期限届满之日；</w:t>
      </w:r>
    </w:p>
    <w:p w14:paraId="45E2C991">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（2）对采购过程提出质疑的，为各采购程序环节结束之日；</w:t>
      </w:r>
    </w:p>
    <w:p w14:paraId="5D88CCA0">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（3）对成交结果提出质疑的，为成交结果公告期限届满之日。</w:t>
      </w:r>
    </w:p>
    <w:p w14:paraId="4DA2CE13">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30.3供应商提出的询问或者质疑超出采购人对采购代理机构委托授权范围的，采购代理机构应当告知供应商向采购人提出。政府采购评审专家应当配合采购人或者采购代理机构答复供应商的询问和质疑。</w:t>
      </w:r>
    </w:p>
    <w:p w14:paraId="131859B4">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30.4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szCs w:val="24"/>
          <w:highlight w:val="none"/>
        </w:rPr>
        <w:t>（质疑函格式附后）</w:t>
      </w:r>
      <w:r>
        <w:rPr>
          <w:rFonts w:hint="eastAsia" w:ascii="宋体" w:hAnsi="宋体" w:eastAsia="宋体" w:cs="宋体"/>
          <w:color w:val="auto"/>
          <w:szCs w:val="24"/>
          <w:highlight w:val="none"/>
        </w:rPr>
        <w:t>：</w:t>
      </w:r>
    </w:p>
    <w:p w14:paraId="24387B9C">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（1）供应商的姓名或者名称、地址、邮编、联系人及联系电话；</w:t>
      </w:r>
    </w:p>
    <w:p w14:paraId="53B952D1">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（2）质疑项目的名称、编号；</w:t>
      </w:r>
    </w:p>
    <w:p w14:paraId="70D7FB4F">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（3）具体、明确的质疑事项和与质疑事项相关的请求；</w:t>
      </w:r>
    </w:p>
    <w:p w14:paraId="0DE30A49">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（4）事实依据；</w:t>
      </w:r>
    </w:p>
    <w:p w14:paraId="6FE983BB">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（5）必要的法律依据；</w:t>
      </w:r>
    </w:p>
    <w:p w14:paraId="1AE8E0F4">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（6）提出质疑的日期。</w:t>
      </w:r>
    </w:p>
    <w:p w14:paraId="03924DE5">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供应商为自然人的，应当由本人签字；供应商为法人或者其他组织的，应当由法定代表人、主要负责人，或者其委托代理人签字或者盖章，并加盖公章。</w:t>
      </w:r>
    </w:p>
    <w:p w14:paraId="7096E396">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30.5采购人、采购代理机构认为供应商质疑不成立，或者成立但未对成交结果构成影响的，继续开展采购活动；认为供应商质疑成立且影响或者可能影响成交结果的，按照下列情况处理：</w:t>
      </w:r>
    </w:p>
    <w:p w14:paraId="34DCCEE7">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（一）对采购文件提出的质疑，依法通过澄清或者修改可以继续开展采购活动的，澄清或者修改采购文件后继续开展采购活动；否则应当修改采购文件后重新开展采购活动。</w:t>
      </w:r>
    </w:p>
    <w:p w14:paraId="49905EC6">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（二）对采购过程或者成交结果提出的质疑，合格供应商符合法定数量时，可以从合格的成交候选人中另行确定成交供应商的，应当依法另行确定成交供应商；否则应当重新开展采购活动。</w:t>
      </w:r>
    </w:p>
    <w:p w14:paraId="25815122">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质疑答复导致成交结果改变的，采购人或者采购代理机构应当将有关情况书面报告本级财政部门。</w:t>
      </w:r>
    </w:p>
    <w:p w14:paraId="3E1C3E0C">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4"/>
          <w:highlight w:val="none"/>
        </w:rPr>
        <w:t>30.6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附后）。</w:t>
      </w:r>
    </w:p>
    <w:p w14:paraId="1177E386">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31.其他内容</w:t>
      </w:r>
    </w:p>
    <w:p w14:paraId="14279F4E">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31.1代理服务收取标准及缴费账户详见“供应商须知前附表”，供应商为联合体的，可以由联合体中的一方或者多方共同交纳代理服务费。</w:t>
      </w:r>
    </w:p>
    <w:p w14:paraId="30A12471">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31.2代理服务费收费计算标准：</w:t>
      </w:r>
    </w:p>
    <w:tbl>
      <w:tblPr>
        <w:tblStyle w:val="26"/>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6"/>
        <w:gridCol w:w="1738"/>
        <w:gridCol w:w="1767"/>
        <w:gridCol w:w="1738"/>
      </w:tblGrid>
      <w:tr w14:paraId="33E7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3636" w:type="dxa"/>
            <w:tcBorders>
              <w:tl2br w:val="single" w:color="auto" w:sz="4" w:space="0"/>
            </w:tcBorders>
          </w:tcPr>
          <w:p w14:paraId="020CB015">
            <w:pPr>
              <w:rPr>
                <w:rFonts w:ascii="宋体" w:hAnsi="宋体" w:eastAsia="宋体" w:cs="宋体"/>
                <w:color w:val="auto"/>
                <w:highlight w:val="none"/>
              </w:rPr>
            </w:pPr>
            <w:r>
              <w:rPr>
                <w:rFonts w:hint="eastAsia" w:ascii="宋体" w:hAnsi="宋体" w:eastAsia="宋体" w:cs="宋体"/>
                <w:color w:val="auto"/>
                <w:highlight w:val="none"/>
              </w:rPr>
              <w:t xml:space="preserve">               费率</w:t>
            </w:r>
          </w:p>
          <w:p w14:paraId="6A2D1A7F">
            <w:pPr>
              <w:rPr>
                <w:rFonts w:ascii="宋体" w:hAnsi="宋体" w:eastAsia="宋体" w:cs="宋体"/>
                <w:color w:val="auto"/>
                <w:highlight w:val="none"/>
              </w:rPr>
            </w:pPr>
            <w:r>
              <w:rPr>
                <w:rFonts w:hint="eastAsia" w:ascii="宋体" w:hAnsi="宋体" w:eastAsia="宋体" w:cs="宋体"/>
                <w:color w:val="auto"/>
                <w:highlight w:val="none"/>
              </w:rPr>
              <w:t>金额</w:t>
            </w:r>
          </w:p>
        </w:tc>
        <w:tc>
          <w:tcPr>
            <w:tcW w:w="1738" w:type="dxa"/>
            <w:vAlign w:val="center"/>
          </w:tcPr>
          <w:p w14:paraId="2A53E77C">
            <w:pPr>
              <w:jc w:val="center"/>
              <w:rPr>
                <w:rFonts w:ascii="宋体" w:hAnsi="宋体" w:eastAsia="宋体" w:cs="宋体"/>
                <w:color w:val="auto"/>
                <w:highlight w:val="none"/>
              </w:rPr>
            </w:pPr>
            <w:r>
              <w:rPr>
                <w:rFonts w:hint="eastAsia" w:ascii="宋体" w:hAnsi="宋体" w:eastAsia="宋体" w:cs="宋体"/>
                <w:color w:val="auto"/>
                <w:highlight w:val="none"/>
              </w:rPr>
              <w:t>货物类</w:t>
            </w:r>
          </w:p>
        </w:tc>
        <w:tc>
          <w:tcPr>
            <w:tcW w:w="1767" w:type="dxa"/>
            <w:vAlign w:val="center"/>
          </w:tcPr>
          <w:p w14:paraId="14C481FD">
            <w:pPr>
              <w:jc w:val="center"/>
              <w:rPr>
                <w:rFonts w:ascii="宋体" w:hAnsi="宋体" w:eastAsia="宋体" w:cs="宋体"/>
                <w:color w:val="auto"/>
                <w:highlight w:val="none"/>
              </w:rPr>
            </w:pPr>
            <w:r>
              <w:rPr>
                <w:rFonts w:hint="eastAsia" w:ascii="宋体" w:hAnsi="宋体" w:eastAsia="宋体" w:cs="宋体"/>
                <w:color w:val="auto"/>
                <w:highlight w:val="none"/>
              </w:rPr>
              <w:t>服务类</w:t>
            </w:r>
          </w:p>
        </w:tc>
        <w:tc>
          <w:tcPr>
            <w:tcW w:w="1738" w:type="dxa"/>
            <w:vAlign w:val="center"/>
          </w:tcPr>
          <w:p w14:paraId="5A06A80C">
            <w:pPr>
              <w:jc w:val="center"/>
              <w:rPr>
                <w:rFonts w:ascii="宋体" w:hAnsi="宋体" w:eastAsia="宋体" w:cs="宋体"/>
                <w:color w:val="auto"/>
                <w:highlight w:val="none"/>
              </w:rPr>
            </w:pPr>
            <w:r>
              <w:rPr>
                <w:rFonts w:hint="eastAsia" w:ascii="宋体" w:hAnsi="宋体" w:eastAsia="宋体" w:cs="宋体"/>
                <w:color w:val="auto"/>
                <w:highlight w:val="none"/>
              </w:rPr>
              <w:t>工程类</w:t>
            </w:r>
          </w:p>
        </w:tc>
      </w:tr>
      <w:tr w14:paraId="0EDD9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636" w:type="dxa"/>
          </w:tcPr>
          <w:p w14:paraId="3FCE49E6">
            <w:pPr>
              <w:rPr>
                <w:rFonts w:ascii="宋体" w:hAnsi="宋体" w:eastAsia="宋体" w:cs="宋体"/>
                <w:color w:val="auto"/>
                <w:highlight w:val="none"/>
              </w:rPr>
            </w:pPr>
            <w:r>
              <w:rPr>
                <w:rFonts w:hint="eastAsia" w:ascii="宋体" w:hAnsi="宋体" w:eastAsia="宋体" w:cs="宋体"/>
                <w:color w:val="auto"/>
                <w:highlight w:val="none"/>
              </w:rPr>
              <w:t>100万元以下</w:t>
            </w:r>
          </w:p>
        </w:tc>
        <w:tc>
          <w:tcPr>
            <w:tcW w:w="1738" w:type="dxa"/>
          </w:tcPr>
          <w:p w14:paraId="250E414D">
            <w:pPr>
              <w:ind w:left="315" w:leftChars="150"/>
              <w:rPr>
                <w:rFonts w:ascii="宋体" w:hAnsi="宋体" w:eastAsia="宋体" w:cs="宋体"/>
                <w:color w:val="auto"/>
                <w:highlight w:val="none"/>
              </w:rPr>
            </w:pPr>
            <w:r>
              <w:rPr>
                <w:rFonts w:hint="eastAsia" w:ascii="宋体" w:hAnsi="宋体" w:eastAsia="宋体" w:cs="宋体"/>
                <w:color w:val="auto"/>
                <w:kern w:val="0"/>
                <w:highlight w:val="none"/>
              </w:rPr>
              <w:t xml:space="preserve">  1.5%                </w:t>
            </w:r>
          </w:p>
        </w:tc>
        <w:tc>
          <w:tcPr>
            <w:tcW w:w="1767" w:type="dxa"/>
          </w:tcPr>
          <w:p w14:paraId="7D28FB6B">
            <w:pPr>
              <w:ind w:left="315" w:leftChars="150" w:firstLine="210" w:firstLineChars="100"/>
              <w:rPr>
                <w:rFonts w:ascii="宋体" w:hAnsi="宋体" w:eastAsia="宋体" w:cs="宋体"/>
                <w:color w:val="auto"/>
                <w:highlight w:val="none"/>
              </w:rPr>
            </w:pPr>
            <w:r>
              <w:rPr>
                <w:rFonts w:hint="eastAsia" w:ascii="宋体" w:hAnsi="宋体" w:eastAsia="宋体" w:cs="宋体"/>
                <w:color w:val="auto"/>
                <w:kern w:val="0"/>
                <w:highlight w:val="none"/>
              </w:rPr>
              <w:t>1.5%</w:t>
            </w:r>
          </w:p>
        </w:tc>
        <w:tc>
          <w:tcPr>
            <w:tcW w:w="1738" w:type="dxa"/>
          </w:tcPr>
          <w:p w14:paraId="106D02C9">
            <w:pPr>
              <w:ind w:left="315" w:leftChars="150" w:firstLine="210" w:firstLineChars="100"/>
              <w:rPr>
                <w:rFonts w:ascii="宋体" w:hAnsi="宋体" w:eastAsia="宋体" w:cs="宋体"/>
                <w:color w:val="auto"/>
                <w:highlight w:val="none"/>
              </w:rPr>
            </w:pPr>
            <w:r>
              <w:rPr>
                <w:rFonts w:hint="eastAsia" w:ascii="宋体" w:hAnsi="宋体" w:eastAsia="宋体" w:cs="宋体"/>
                <w:color w:val="auto"/>
                <w:kern w:val="0"/>
                <w:highlight w:val="none"/>
              </w:rPr>
              <w:t xml:space="preserve">1.0% </w:t>
            </w:r>
          </w:p>
        </w:tc>
      </w:tr>
      <w:tr w14:paraId="47210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636" w:type="dxa"/>
          </w:tcPr>
          <w:p w14:paraId="12FBA482">
            <w:pPr>
              <w:rPr>
                <w:rFonts w:ascii="宋体" w:hAnsi="宋体" w:eastAsia="宋体" w:cs="宋体"/>
                <w:color w:val="auto"/>
                <w:highlight w:val="none"/>
              </w:rPr>
            </w:pPr>
            <w:r>
              <w:rPr>
                <w:rFonts w:hint="eastAsia" w:ascii="宋体" w:hAnsi="宋体" w:eastAsia="宋体" w:cs="宋体"/>
                <w:color w:val="auto"/>
                <w:highlight w:val="none"/>
              </w:rPr>
              <w:t>100～500万元</w:t>
            </w:r>
          </w:p>
        </w:tc>
        <w:tc>
          <w:tcPr>
            <w:tcW w:w="1738" w:type="dxa"/>
          </w:tcPr>
          <w:p w14:paraId="1AB44E8C">
            <w:pPr>
              <w:ind w:left="315" w:leftChars="150" w:firstLine="210" w:firstLineChars="100"/>
              <w:rPr>
                <w:rFonts w:ascii="宋体" w:hAnsi="宋体" w:eastAsia="宋体" w:cs="宋体"/>
                <w:color w:val="auto"/>
                <w:highlight w:val="none"/>
              </w:rPr>
            </w:pPr>
            <w:r>
              <w:rPr>
                <w:rFonts w:hint="eastAsia" w:ascii="宋体" w:hAnsi="宋体" w:eastAsia="宋体" w:cs="宋体"/>
                <w:color w:val="auto"/>
                <w:kern w:val="0"/>
                <w:highlight w:val="none"/>
              </w:rPr>
              <w:t xml:space="preserve">1.1%                 </w:t>
            </w:r>
          </w:p>
        </w:tc>
        <w:tc>
          <w:tcPr>
            <w:tcW w:w="1767" w:type="dxa"/>
          </w:tcPr>
          <w:p w14:paraId="26BF76FB">
            <w:pPr>
              <w:ind w:left="315" w:leftChars="150" w:firstLine="210" w:firstLineChars="100"/>
              <w:rPr>
                <w:rFonts w:ascii="宋体" w:hAnsi="宋体" w:eastAsia="宋体" w:cs="宋体"/>
                <w:color w:val="auto"/>
                <w:highlight w:val="none"/>
              </w:rPr>
            </w:pPr>
            <w:r>
              <w:rPr>
                <w:rFonts w:hint="eastAsia" w:ascii="宋体" w:hAnsi="宋体" w:eastAsia="宋体" w:cs="宋体"/>
                <w:color w:val="auto"/>
                <w:kern w:val="0"/>
                <w:highlight w:val="none"/>
              </w:rPr>
              <w:t>0.8%</w:t>
            </w:r>
          </w:p>
        </w:tc>
        <w:tc>
          <w:tcPr>
            <w:tcW w:w="1738" w:type="dxa"/>
          </w:tcPr>
          <w:p w14:paraId="33D71E4C">
            <w:pPr>
              <w:ind w:left="315" w:leftChars="150" w:firstLine="210" w:firstLineChars="100"/>
              <w:rPr>
                <w:rFonts w:ascii="宋体" w:hAnsi="宋体" w:eastAsia="宋体" w:cs="宋体"/>
                <w:color w:val="auto"/>
                <w:highlight w:val="none"/>
              </w:rPr>
            </w:pPr>
            <w:r>
              <w:rPr>
                <w:rFonts w:hint="eastAsia" w:ascii="宋体" w:hAnsi="宋体" w:eastAsia="宋体" w:cs="宋体"/>
                <w:color w:val="auto"/>
                <w:kern w:val="0"/>
                <w:highlight w:val="none"/>
              </w:rPr>
              <w:t xml:space="preserve">0.7% </w:t>
            </w:r>
          </w:p>
        </w:tc>
      </w:tr>
      <w:tr w14:paraId="5515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636" w:type="dxa"/>
          </w:tcPr>
          <w:p w14:paraId="06C1318D">
            <w:pPr>
              <w:rPr>
                <w:rFonts w:ascii="宋体" w:hAnsi="宋体" w:eastAsia="宋体" w:cs="宋体"/>
                <w:color w:val="auto"/>
                <w:highlight w:val="none"/>
              </w:rPr>
            </w:pPr>
            <w:r>
              <w:rPr>
                <w:rFonts w:hint="eastAsia" w:ascii="宋体" w:hAnsi="宋体" w:eastAsia="宋体" w:cs="宋体"/>
                <w:color w:val="auto"/>
                <w:highlight w:val="none"/>
              </w:rPr>
              <w:t>500～1000万元</w:t>
            </w:r>
          </w:p>
        </w:tc>
        <w:tc>
          <w:tcPr>
            <w:tcW w:w="1738" w:type="dxa"/>
          </w:tcPr>
          <w:p w14:paraId="63E539BF">
            <w:pPr>
              <w:ind w:left="315" w:leftChars="150"/>
              <w:rPr>
                <w:rFonts w:ascii="宋体" w:hAnsi="宋体" w:eastAsia="宋体" w:cs="宋体"/>
                <w:color w:val="auto"/>
                <w:highlight w:val="none"/>
              </w:rPr>
            </w:pPr>
            <w:r>
              <w:rPr>
                <w:rFonts w:hint="eastAsia" w:ascii="宋体" w:hAnsi="宋体" w:eastAsia="宋体" w:cs="宋体"/>
                <w:color w:val="auto"/>
                <w:kern w:val="0"/>
                <w:highlight w:val="none"/>
              </w:rPr>
              <w:t xml:space="preserve">  0.8%                </w:t>
            </w:r>
          </w:p>
        </w:tc>
        <w:tc>
          <w:tcPr>
            <w:tcW w:w="1767" w:type="dxa"/>
          </w:tcPr>
          <w:p w14:paraId="59EC86F4">
            <w:pPr>
              <w:ind w:left="315" w:leftChars="150" w:firstLine="210" w:firstLineChars="100"/>
              <w:rPr>
                <w:rFonts w:ascii="宋体" w:hAnsi="宋体" w:eastAsia="宋体" w:cs="宋体"/>
                <w:color w:val="auto"/>
                <w:highlight w:val="none"/>
              </w:rPr>
            </w:pPr>
            <w:r>
              <w:rPr>
                <w:rFonts w:hint="eastAsia" w:ascii="宋体" w:hAnsi="宋体" w:eastAsia="宋体" w:cs="宋体"/>
                <w:color w:val="auto"/>
                <w:kern w:val="0"/>
                <w:highlight w:val="none"/>
              </w:rPr>
              <w:t>0.45%</w:t>
            </w:r>
          </w:p>
        </w:tc>
        <w:tc>
          <w:tcPr>
            <w:tcW w:w="1738" w:type="dxa"/>
          </w:tcPr>
          <w:p w14:paraId="5BDD5005">
            <w:pPr>
              <w:ind w:left="315" w:leftChars="150" w:firstLine="210" w:firstLineChars="100"/>
              <w:rPr>
                <w:rFonts w:ascii="宋体" w:hAnsi="宋体" w:eastAsia="宋体" w:cs="宋体"/>
                <w:color w:val="auto"/>
                <w:highlight w:val="none"/>
              </w:rPr>
            </w:pPr>
            <w:r>
              <w:rPr>
                <w:rFonts w:hint="eastAsia" w:ascii="宋体" w:hAnsi="宋体" w:eastAsia="宋体" w:cs="宋体"/>
                <w:color w:val="auto"/>
                <w:kern w:val="0"/>
                <w:highlight w:val="none"/>
              </w:rPr>
              <w:t>0.55%</w:t>
            </w:r>
          </w:p>
        </w:tc>
      </w:tr>
      <w:tr w14:paraId="1137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636" w:type="dxa"/>
          </w:tcPr>
          <w:p w14:paraId="751920B0">
            <w:pPr>
              <w:rPr>
                <w:rFonts w:ascii="宋体" w:hAnsi="宋体" w:eastAsia="宋体" w:cs="宋体"/>
                <w:color w:val="auto"/>
                <w:highlight w:val="none"/>
              </w:rPr>
            </w:pPr>
            <w:r>
              <w:rPr>
                <w:rFonts w:hint="eastAsia" w:ascii="宋体" w:hAnsi="宋体" w:eastAsia="宋体" w:cs="宋体"/>
                <w:color w:val="auto"/>
                <w:highlight w:val="none"/>
              </w:rPr>
              <w:t>1000～5000万元</w:t>
            </w:r>
          </w:p>
        </w:tc>
        <w:tc>
          <w:tcPr>
            <w:tcW w:w="1738" w:type="dxa"/>
          </w:tcPr>
          <w:p w14:paraId="05F46F24">
            <w:pPr>
              <w:ind w:left="315" w:leftChars="150" w:firstLine="210" w:firstLineChars="100"/>
              <w:rPr>
                <w:rFonts w:ascii="宋体" w:hAnsi="宋体" w:eastAsia="宋体" w:cs="宋体"/>
                <w:color w:val="auto"/>
                <w:highlight w:val="none"/>
              </w:rPr>
            </w:pPr>
            <w:r>
              <w:rPr>
                <w:rFonts w:hint="eastAsia" w:ascii="宋体" w:hAnsi="宋体" w:eastAsia="宋体" w:cs="宋体"/>
                <w:color w:val="auto"/>
                <w:kern w:val="0"/>
                <w:highlight w:val="none"/>
              </w:rPr>
              <w:t xml:space="preserve">0.5%                </w:t>
            </w:r>
          </w:p>
        </w:tc>
        <w:tc>
          <w:tcPr>
            <w:tcW w:w="1767" w:type="dxa"/>
          </w:tcPr>
          <w:p w14:paraId="740AC031">
            <w:pPr>
              <w:ind w:left="315" w:leftChars="150" w:firstLine="210" w:firstLineChars="100"/>
              <w:rPr>
                <w:rFonts w:ascii="宋体" w:hAnsi="宋体" w:eastAsia="宋体" w:cs="宋体"/>
                <w:color w:val="auto"/>
                <w:highlight w:val="none"/>
              </w:rPr>
            </w:pPr>
            <w:r>
              <w:rPr>
                <w:rFonts w:hint="eastAsia" w:ascii="宋体" w:hAnsi="宋体" w:eastAsia="宋体" w:cs="宋体"/>
                <w:color w:val="auto"/>
                <w:kern w:val="0"/>
                <w:highlight w:val="none"/>
              </w:rPr>
              <w:t>0.25%</w:t>
            </w:r>
          </w:p>
        </w:tc>
        <w:tc>
          <w:tcPr>
            <w:tcW w:w="1738" w:type="dxa"/>
          </w:tcPr>
          <w:p w14:paraId="27D3683A">
            <w:pPr>
              <w:ind w:left="315" w:leftChars="150" w:firstLine="210" w:firstLineChars="100"/>
              <w:rPr>
                <w:rFonts w:ascii="宋体" w:hAnsi="宋体" w:eastAsia="宋体" w:cs="宋体"/>
                <w:color w:val="auto"/>
                <w:highlight w:val="none"/>
              </w:rPr>
            </w:pPr>
            <w:r>
              <w:rPr>
                <w:rFonts w:hint="eastAsia" w:ascii="宋体" w:hAnsi="宋体" w:eastAsia="宋体" w:cs="宋体"/>
                <w:color w:val="auto"/>
                <w:kern w:val="0"/>
                <w:highlight w:val="none"/>
              </w:rPr>
              <w:t xml:space="preserve">0.35% </w:t>
            </w:r>
          </w:p>
        </w:tc>
      </w:tr>
      <w:tr w14:paraId="29F2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636" w:type="dxa"/>
          </w:tcPr>
          <w:p w14:paraId="79F63600">
            <w:pPr>
              <w:rPr>
                <w:rFonts w:ascii="宋体" w:hAnsi="宋体" w:eastAsia="宋体" w:cs="宋体"/>
                <w:color w:val="auto"/>
                <w:highlight w:val="none"/>
              </w:rPr>
            </w:pPr>
            <w:r>
              <w:rPr>
                <w:rFonts w:hint="eastAsia" w:ascii="宋体" w:hAnsi="宋体" w:eastAsia="宋体" w:cs="宋体"/>
                <w:color w:val="auto"/>
                <w:highlight w:val="none"/>
              </w:rPr>
              <w:t>5000万元～1亿元</w:t>
            </w:r>
          </w:p>
        </w:tc>
        <w:tc>
          <w:tcPr>
            <w:tcW w:w="1738" w:type="dxa"/>
          </w:tcPr>
          <w:p w14:paraId="5F4D9829">
            <w:pPr>
              <w:ind w:left="315" w:leftChars="150" w:firstLine="210" w:firstLineChars="100"/>
              <w:rPr>
                <w:rFonts w:ascii="宋体" w:hAnsi="宋体" w:eastAsia="宋体" w:cs="宋体"/>
                <w:color w:val="auto"/>
                <w:highlight w:val="none"/>
              </w:rPr>
            </w:pPr>
            <w:r>
              <w:rPr>
                <w:rFonts w:hint="eastAsia" w:ascii="宋体" w:hAnsi="宋体" w:eastAsia="宋体" w:cs="宋体"/>
                <w:color w:val="auto"/>
                <w:kern w:val="0"/>
                <w:highlight w:val="none"/>
              </w:rPr>
              <w:t xml:space="preserve">0.25%                 </w:t>
            </w:r>
          </w:p>
        </w:tc>
        <w:tc>
          <w:tcPr>
            <w:tcW w:w="1767" w:type="dxa"/>
          </w:tcPr>
          <w:p w14:paraId="65D0E204">
            <w:pPr>
              <w:ind w:left="315" w:leftChars="150" w:firstLine="210" w:firstLineChars="100"/>
              <w:rPr>
                <w:rFonts w:ascii="宋体" w:hAnsi="宋体" w:eastAsia="宋体" w:cs="宋体"/>
                <w:color w:val="auto"/>
                <w:highlight w:val="none"/>
              </w:rPr>
            </w:pPr>
            <w:r>
              <w:rPr>
                <w:rFonts w:hint="eastAsia" w:ascii="宋体" w:hAnsi="宋体" w:eastAsia="宋体" w:cs="宋体"/>
                <w:color w:val="auto"/>
                <w:kern w:val="0"/>
                <w:highlight w:val="none"/>
              </w:rPr>
              <w:t>0.1%</w:t>
            </w:r>
          </w:p>
        </w:tc>
        <w:tc>
          <w:tcPr>
            <w:tcW w:w="1738" w:type="dxa"/>
          </w:tcPr>
          <w:p w14:paraId="63F486B6">
            <w:pPr>
              <w:ind w:left="315" w:leftChars="150" w:firstLine="210" w:firstLineChars="100"/>
              <w:rPr>
                <w:rFonts w:ascii="宋体" w:hAnsi="宋体" w:eastAsia="宋体" w:cs="宋体"/>
                <w:color w:val="auto"/>
                <w:highlight w:val="none"/>
              </w:rPr>
            </w:pPr>
            <w:r>
              <w:rPr>
                <w:rFonts w:hint="eastAsia" w:ascii="宋体" w:hAnsi="宋体" w:eastAsia="宋体" w:cs="宋体"/>
                <w:color w:val="auto"/>
                <w:kern w:val="0"/>
                <w:highlight w:val="none"/>
              </w:rPr>
              <w:t>0.2%</w:t>
            </w:r>
          </w:p>
        </w:tc>
      </w:tr>
      <w:tr w14:paraId="0CC6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636" w:type="dxa"/>
          </w:tcPr>
          <w:p w14:paraId="7F9ACBB1">
            <w:pPr>
              <w:rPr>
                <w:rFonts w:ascii="宋体" w:hAnsi="宋体" w:eastAsia="宋体" w:cs="宋体"/>
                <w:color w:val="auto"/>
                <w:highlight w:val="none"/>
              </w:rPr>
            </w:pPr>
            <w:r>
              <w:rPr>
                <w:rFonts w:hint="eastAsia" w:ascii="宋体" w:hAnsi="宋体" w:eastAsia="宋体" w:cs="宋体"/>
                <w:color w:val="auto"/>
                <w:highlight w:val="none"/>
              </w:rPr>
              <w:t>1～5亿元</w:t>
            </w:r>
          </w:p>
        </w:tc>
        <w:tc>
          <w:tcPr>
            <w:tcW w:w="1738" w:type="dxa"/>
          </w:tcPr>
          <w:p w14:paraId="579991B1">
            <w:pPr>
              <w:ind w:left="315" w:leftChars="150" w:firstLine="210" w:firstLineChars="100"/>
              <w:rPr>
                <w:rFonts w:ascii="宋体" w:hAnsi="宋体" w:eastAsia="宋体" w:cs="宋体"/>
                <w:color w:val="auto"/>
                <w:highlight w:val="none"/>
              </w:rPr>
            </w:pPr>
            <w:r>
              <w:rPr>
                <w:rFonts w:hint="eastAsia" w:ascii="宋体" w:hAnsi="宋体" w:eastAsia="宋体" w:cs="宋体"/>
                <w:color w:val="auto"/>
                <w:highlight w:val="none"/>
              </w:rPr>
              <w:t>0.05%</w:t>
            </w:r>
          </w:p>
        </w:tc>
        <w:tc>
          <w:tcPr>
            <w:tcW w:w="1767" w:type="dxa"/>
          </w:tcPr>
          <w:p w14:paraId="3462F616">
            <w:pPr>
              <w:ind w:left="315" w:leftChars="150"/>
              <w:rPr>
                <w:rFonts w:ascii="宋体" w:hAnsi="宋体" w:eastAsia="宋体" w:cs="宋体"/>
                <w:color w:val="auto"/>
                <w:highlight w:val="none"/>
              </w:rPr>
            </w:pPr>
            <w:r>
              <w:rPr>
                <w:rFonts w:hint="eastAsia" w:ascii="宋体" w:hAnsi="宋体" w:eastAsia="宋体" w:cs="宋体"/>
                <w:color w:val="auto"/>
                <w:highlight w:val="none"/>
              </w:rPr>
              <w:t xml:space="preserve">  0.05%</w:t>
            </w:r>
          </w:p>
        </w:tc>
        <w:tc>
          <w:tcPr>
            <w:tcW w:w="1738" w:type="dxa"/>
          </w:tcPr>
          <w:p w14:paraId="46D065F4">
            <w:pPr>
              <w:ind w:left="315" w:leftChars="150"/>
              <w:rPr>
                <w:rFonts w:ascii="宋体" w:hAnsi="宋体" w:eastAsia="宋体" w:cs="宋体"/>
                <w:color w:val="auto"/>
                <w:highlight w:val="none"/>
              </w:rPr>
            </w:pPr>
            <w:r>
              <w:rPr>
                <w:rFonts w:hint="eastAsia" w:ascii="宋体" w:hAnsi="宋体" w:eastAsia="宋体" w:cs="宋体"/>
                <w:color w:val="auto"/>
                <w:highlight w:val="none"/>
              </w:rPr>
              <w:t xml:space="preserve">  0.05%</w:t>
            </w:r>
          </w:p>
        </w:tc>
      </w:tr>
      <w:tr w14:paraId="398B1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636" w:type="dxa"/>
          </w:tcPr>
          <w:p w14:paraId="7CAC4633">
            <w:pPr>
              <w:rPr>
                <w:rFonts w:ascii="宋体" w:hAnsi="宋体" w:eastAsia="宋体" w:cs="宋体"/>
                <w:color w:val="auto"/>
                <w:highlight w:val="none"/>
              </w:rPr>
            </w:pPr>
            <w:r>
              <w:rPr>
                <w:rFonts w:hint="eastAsia" w:ascii="宋体" w:hAnsi="宋体" w:eastAsia="宋体" w:cs="宋体"/>
                <w:color w:val="auto"/>
                <w:highlight w:val="none"/>
              </w:rPr>
              <w:t>5～10亿元</w:t>
            </w:r>
          </w:p>
        </w:tc>
        <w:tc>
          <w:tcPr>
            <w:tcW w:w="1738" w:type="dxa"/>
          </w:tcPr>
          <w:p w14:paraId="5A60030A">
            <w:pPr>
              <w:ind w:left="315" w:leftChars="150" w:firstLine="105" w:firstLineChars="50"/>
              <w:rPr>
                <w:rFonts w:ascii="宋体" w:hAnsi="宋体" w:eastAsia="宋体" w:cs="宋体"/>
                <w:color w:val="auto"/>
                <w:highlight w:val="none"/>
              </w:rPr>
            </w:pPr>
            <w:r>
              <w:rPr>
                <w:rFonts w:hint="eastAsia" w:ascii="宋体" w:hAnsi="宋体" w:eastAsia="宋体" w:cs="宋体"/>
                <w:color w:val="auto"/>
                <w:highlight w:val="none"/>
              </w:rPr>
              <w:t>0.035%</w:t>
            </w:r>
          </w:p>
        </w:tc>
        <w:tc>
          <w:tcPr>
            <w:tcW w:w="1767" w:type="dxa"/>
          </w:tcPr>
          <w:p w14:paraId="632DDA6A">
            <w:pPr>
              <w:ind w:left="315" w:leftChars="150"/>
              <w:rPr>
                <w:rFonts w:ascii="宋体" w:hAnsi="宋体" w:eastAsia="宋体" w:cs="宋体"/>
                <w:color w:val="auto"/>
                <w:highlight w:val="none"/>
              </w:rPr>
            </w:pPr>
            <w:r>
              <w:rPr>
                <w:rFonts w:hint="eastAsia" w:ascii="宋体" w:hAnsi="宋体" w:eastAsia="宋体" w:cs="宋体"/>
                <w:color w:val="auto"/>
                <w:highlight w:val="none"/>
              </w:rPr>
              <w:t xml:space="preserve">  0.035%</w:t>
            </w:r>
          </w:p>
        </w:tc>
        <w:tc>
          <w:tcPr>
            <w:tcW w:w="1738" w:type="dxa"/>
          </w:tcPr>
          <w:p w14:paraId="577EB690">
            <w:pPr>
              <w:ind w:left="315" w:leftChars="150" w:firstLine="105" w:firstLineChars="50"/>
              <w:rPr>
                <w:rFonts w:ascii="宋体" w:hAnsi="宋体" w:eastAsia="宋体" w:cs="宋体"/>
                <w:color w:val="auto"/>
                <w:highlight w:val="none"/>
              </w:rPr>
            </w:pPr>
            <w:r>
              <w:rPr>
                <w:rFonts w:hint="eastAsia" w:ascii="宋体" w:hAnsi="宋体" w:eastAsia="宋体" w:cs="宋体"/>
                <w:color w:val="auto"/>
                <w:highlight w:val="none"/>
              </w:rPr>
              <w:t>0.035%</w:t>
            </w:r>
          </w:p>
        </w:tc>
      </w:tr>
      <w:tr w14:paraId="42CB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636" w:type="dxa"/>
          </w:tcPr>
          <w:p w14:paraId="2BECE58E">
            <w:pPr>
              <w:rPr>
                <w:rFonts w:ascii="宋体" w:hAnsi="宋体" w:eastAsia="宋体" w:cs="宋体"/>
                <w:color w:val="auto"/>
                <w:highlight w:val="none"/>
              </w:rPr>
            </w:pPr>
            <w:r>
              <w:rPr>
                <w:rFonts w:hint="eastAsia" w:ascii="宋体" w:hAnsi="宋体" w:eastAsia="宋体" w:cs="宋体"/>
                <w:color w:val="auto"/>
                <w:highlight w:val="none"/>
              </w:rPr>
              <w:t>10～50亿元</w:t>
            </w:r>
          </w:p>
        </w:tc>
        <w:tc>
          <w:tcPr>
            <w:tcW w:w="1738" w:type="dxa"/>
          </w:tcPr>
          <w:p w14:paraId="04E2BA01">
            <w:pPr>
              <w:ind w:left="315" w:leftChars="150" w:firstLine="105" w:firstLineChars="50"/>
              <w:rPr>
                <w:rFonts w:ascii="宋体" w:hAnsi="宋体" w:eastAsia="宋体" w:cs="宋体"/>
                <w:color w:val="auto"/>
                <w:highlight w:val="none"/>
              </w:rPr>
            </w:pPr>
            <w:r>
              <w:rPr>
                <w:rFonts w:hint="eastAsia" w:ascii="宋体" w:hAnsi="宋体" w:eastAsia="宋体" w:cs="宋体"/>
                <w:color w:val="auto"/>
                <w:highlight w:val="none"/>
              </w:rPr>
              <w:t>0.008%</w:t>
            </w:r>
          </w:p>
        </w:tc>
        <w:tc>
          <w:tcPr>
            <w:tcW w:w="1767" w:type="dxa"/>
          </w:tcPr>
          <w:p w14:paraId="245BBFDE">
            <w:pPr>
              <w:ind w:left="315" w:leftChars="150" w:firstLine="210" w:firstLineChars="100"/>
              <w:rPr>
                <w:rFonts w:ascii="宋体" w:hAnsi="宋体" w:eastAsia="宋体" w:cs="宋体"/>
                <w:color w:val="auto"/>
                <w:highlight w:val="none"/>
              </w:rPr>
            </w:pPr>
            <w:r>
              <w:rPr>
                <w:rFonts w:hint="eastAsia" w:ascii="宋体" w:hAnsi="宋体" w:eastAsia="宋体" w:cs="宋体"/>
                <w:color w:val="auto"/>
                <w:highlight w:val="none"/>
              </w:rPr>
              <w:t>0.008%</w:t>
            </w:r>
          </w:p>
        </w:tc>
        <w:tc>
          <w:tcPr>
            <w:tcW w:w="1738" w:type="dxa"/>
          </w:tcPr>
          <w:p w14:paraId="3A298B02">
            <w:pPr>
              <w:ind w:left="315" w:leftChars="150" w:firstLine="105" w:firstLineChars="50"/>
              <w:rPr>
                <w:rFonts w:ascii="宋体" w:hAnsi="宋体" w:eastAsia="宋体" w:cs="宋体"/>
                <w:color w:val="auto"/>
                <w:highlight w:val="none"/>
              </w:rPr>
            </w:pPr>
            <w:r>
              <w:rPr>
                <w:rFonts w:hint="eastAsia" w:ascii="宋体" w:hAnsi="宋体" w:eastAsia="宋体" w:cs="宋体"/>
                <w:color w:val="auto"/>
                <w:highlight w:val="none"/>
              </w:rPr>
              <w:t>0.008%</w:t>
            </w:r>
          </w:p>
        </w:tc>
      </w:tr>
      <w:tr w14:paraId="07A6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636" w:type="dxa"/>
          </w:tcPr>
          <w:p w14:paraId="4FFD04EF">
            <w:pPr>
              <w:rPr>
                <w:rFonts w:ascii="宋体" w:hAnsi="宋体" w:eastAsia="宋体" w:cs="宋体"/>
                <w:color w:val="auto"/>
                <w:highlight w:val="none"/>
              </w:rPr>
            </w:pPr>
            <w:r>
              <w:rPr>
                <w:rFonts w:hint="eastAsia" w:ascii="宋体" w:hAnsi="宋体" w:eastAsia="宋体" w:cs="宋体"/>
                <w:color w:val="auto"/>
                <w:highlight w:val="none"/>
              </w:rPr>
              <w:t>50～100亿元</w:t>
            </w:r>
          </w:p>
        </w:tc>
        <w:tc>
          <w:tcPr>
            <w:tcW w:w="1738" w:type="dxa"/>
          </w:tcPr>
          <w:p w14:paraId="1CF2D56E">
            <w:pPr>
              <w:ind w:left="315" w:leftChars="150"/>
              <w:rPr>
                <w:rFonts w:ascii="宋体" w:hAnsi="宋体" w:eastAsia="宋体" w:cs="宋体"/>
                <w:color w:val="auto"/>
                <w:highlight w:val="none"/>
              </w:rPr>
            </w:pPr>
            <w:r>
              <w:rPr>
                <w:rFonts w:hint="eastAsia" w:ascii="宋体" w:hAnsi="宋体" w:eastAsia="宋体" w:cs="宋体"/>
                <w:color w:val="auto"/>
                <w:highlight w:val="none"/>
              </w:rPr>
              <w:t xml:space="preserve"> 0.006%</w:t>
            </w:r>
          </w:p>
        </w:tc>
        <w:tc>
          <w:tcPr>
            <w:tcW w:w="1767" w:type="dxa"/>
          </w:tcPr>
          <w:p w14:paraId="2649BE24">
            <w:pPr>
              <w:ind w:left="315" w:leftChars="150" w:firstLine="210" w:firstLineChars="100"/>
              <w:rPr>
                <w:rFonts w:ascii="宋体" w:hAnsi="宋体" w:eastAsia="宋体" w:cs="宋体"/>
                <w:color w:val="auto"/>
                <w:highlight w:val="none"/>
              </w:rPr>
            </w:pPr>
            <w:r>
              <w:rPr>
                <w:rFonts w:hint="eastAsia" w:ascii="宋体" w:hAnsi="宋体" w:eastAsia="宋体" w:cs="宋体"/>
                <w:color w:val="auto"/>
                <w:highlight w:val="none"/>
              </w:rPr>
              <w:t>0.006%</w:t>
            </w:r>
          </w:p>
        </w:tc>
        <w:tc>
          <w:tcPr>
            <w:tcW w:w="1738" w:type="dxa"/>
          </w:tcPr>
          <w:p w14:paraId="42E28701">
            <w:pPr>
              <w:ind w:left="315" w:leftChars="150" w:firstLine="105" w:firstLineChars="50"/>
              <w:rPr>
                <w:rFonts w:ascii="宋体" w:hAnsi="宋体" w:eastAsia="宋体" w:cs="宋体"/>
                <w:color w:val="auto"/>
                <w:highlight w:val="none"/>
              </w:rPr>
            </w:pPr>
            <w:r>
              <w:rPr>
                <w:rFonts w:hint="eastAsia" w:ascii="宋体" w:hAnsi="宋体" w:eastAsia="宋体" w:cs="宋体"/>
                <w:color w:val="auto"/>
                <w:highlight w:val="none"/>
              </w:rPr>
              <w:t>0.006%</w:t>
            </w:r>
          </w:p>
        </w:tc>
      </w:tr>
      <w:tr w14:paraId="355AE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636" w:type="dxa"/>
          </w:tcPr>
          <w:p w14:paraId="08950A09">
            <w:pPr>
              <w:rPr>
                <w:rFonts w:ascii="宋体" w:hAnsi="宋体" w:eastAsia="宋体" w:cs="宋体"/>
                <w:color w:val="auto"/>
                <w:highlight w:val="none"/>
              </w:rPr>
            </w:pPr>
            <w:r>
              <w:rPr>
                <w:rFonts w:hint="eastAsia" w:ascii="宋体" w:hAnsi="宋体" w:eastAsia="宋体" w:cs="宋体"/>
                <w:color w:val="auto"/>
                <w:highlight w:val="none"/>
              </w:rPr>
              <w:t>100亿以上</w:t>
            </w:r>
          </w:p>
        </w:tc>
        <w:tc>
          <w:tcPr>
            <w:tcW w:w="1738" w:type="dxa"/>
          </w:tcPr>
          <w:p w14:paraId="04FC3B20">
            <w:pPr>
              <w:ind w:left="315" w:leftChars="150"/>
              <w:rPr>
                <w:rFonts w:ascii="宋体" w:hAnsi="宋体" w:eastAsia="宋体" w:cs="宋体"/>
                <w:color w:val="auto"/>
                <w:highlight w:val="none"/>
              </w:rPr>
            </w:pPr>
            <w:r>
              <w:rPr>
                <w:rFonts w:hint="eastAsia" w:ascii="宋体" w:hAnsi="宋体" w:eastAsia="宋体" w:cs="宋体"/>
                <w:color w:val="auto"/>
                <w:highlight w:val="none"/>
              </w:rPr>
              <w:t xml:space="preserve"> 0.004%</w:t>
            </w:r>
          </w:p>
        </w:tc>
        <w:tc>
          <w:tcPr>
            <w:tcW w:w="1767" w:type="dxa"/>
          </w:tcPr>
          <w:p w14:paraId="25998AC2">
            <w:pPr>
              <w:ind w:left="315" w:leftChars="150" w:firstLine="210" w:firstLineChars="100"/>
              <w:rPr>
                <w:rFonts w:ascii="宋体" w:hAnsi="宋体" w:eastAsia="宋体" w:cs="宋体"/>
                <w:color w:val="auto"/>
                <w:highlight w:val="none"/>
              </w:rPr>
            </w:pPr>
            <w:r>
              <w:rPr>
                <w:rFonts w:hint="eastAsia" w:ascii="宋体" w:hAnsi="宋体" w:eastAsia="宋体" w:cs="宋体"/>
                <w:color w:val="auto"/>
                <w:highlight w:val="none"/>
              </w:rPr>
              <w:t>0.004%</w:t>
            </w:r>
          </w:p>
        </w:tc>
        <w:tc>
          <w:tcPr>
            <w:tcW w:w="1738" w:type="dxa"/>
          </w:tcPr>
          <w:p w14:paraId="6DBC3648">
            <w:pPr>
              <w:ind w:left="315" w:leftChars="150" w:firstLine="105" w:firstLineChars="50"/>
              <w:rPr>
                <w:rFonts w:ascii="宋体" w:hAnsi="宋体" w:eastAsia="宋体" w:cs="宋体"/>
                <w:color w:val="auto"/>
                <w:highlight w:val="none"/>
              </w:rPr>
            </w:pPr>
            <w:r>
              <w:rPr>
                <w:rFonts w:hint="eastAsia" w:ascii="宋体" w:hAnsi="宋体" w:eastAsia="宋体" w:cs="宋体"/>
                <w:color w:val="auto"/>
                <w:highlight w:val="none"/>
              </w:rPr>
              <w:t>0.004%</w:t>
            </w:r>
          </w:p>
        </w:tc>
      </w:tr>
    </w:tbl>
    <w:p w14:paraId="6D675253">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注：</w:t>
      </w:r>
    </w:p>
    <w:p w14:paraId="0736C466">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（1）按本表费率计算的收费为采购代理的收费基准价格；</w:t>
      </w:r>
    </w:p>
    <w:p w14:paraId="2D0EEED7">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（2）采购代理收费按差额定率累进法计算。</w:t>
      </w:r>
    </w:p>
    <w:p w14:paraId="19FBFE34">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例如：某服务采购代理业务成交金额或者暂定价为150万元，计算采购代理收费额如下：</w:t>
      </w:r>
    </w:p>
    <w:p w14:paraId="6A6C19B8">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100万元×l.5%＝1.5万元</w:t>
      </w:r>
    </w:p>
    <w:p w14:paraId="7B568ED7">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（150</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rPr>
        <w:t>100）万元×0.8%＝0.4万元</w:t>
      </w:r>
    </w:p>
    <w:p w14:paraId="17205B97">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合计收费＝1.5＋0.4＝1.9万元</w:t>
      </w:r>
    </w:p>
    <w:p w14:paraId="4975A386">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32.需要补充的其他内容</w:t>
      </w:r>
    </w:p>
    <w:p w14:paraId="341D4EB7">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32.1本磋商文件解释规则详见“供应商须知前附表”。</w:t>
      </w:r>
    </w:p>
    <w:p w14:paraId="3EFD6FAC">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32.2其他事项详见“供应商须知前附表”。</w:t>
      </w:r>
    </w:p>
    <w:p w14:paraId="6F10C8D1">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32.3</w:t>
      </w:r>
      <w:bookmarkStart w:id="9" w:name="_Hlk65857140"/>
      <w:r>
        <w:rPr>
          <w:rFonts w:hint="eastAsia" w:ascii="宋体" w:hAnsi="宋体" w:eastAsia="宋体" w:cs="宋体"/>
          <w:color w:val="auto"/>
          <w:szCs w:val="24"/>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6EB2B292">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（1）在货物采购项目中，货物由中小企业制造，即货物由中小企业生产且使用该中小企业商号或者注册商标，不对其中涉及的工程承建商和服务的承接商作出要求；</w:t>
      </w:r>
    </w:p>
    <w:p w14:paraId="7B9ED82F">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（2）在工程采购项目中，工程由中小企业承建，即工程施工单位为中小企业，不对其中涉及的货物的制造商和服务的承接商作出要求；</w:t>
      </w:r>
    </w:p>
    <w:p w14:paraId="5DBE725F">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72F8E2D0">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4C610FEF">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依据本磋商文件规定享受扶持政策获得政府采购合同的，小微企业不得将合同分包给大中型企业，中型企业不得将合同分包给大型企业。</w:t>
      </w:r>
    </w:p>
    <w:bookmarkEnd w:id="9"/>
    <w:p w14:paraId="790989C4">
      <w:pPr>
        <w:widowControl/>
        <w:jc w:val="left"/>
        <w:rPr>
          <w:rFonts w:hint="eastAsia" w:ascii="宋体" w:hAnsi="宋体" w:eastAsia="宋体" w:cs="宋体"/>
          <w:b/>
          <w:color w:val="auto"/>
          <w:kern w:val="0"/>
          <w:sz w:val="32"/>
          <w:szCs w:val="32"/>
          <w:highlight w:val="none"/>
        </w:rPr>
      </w:pPr>
    </w:p>
    <w:p w14:paraId="46B9B51F">
      <w:pPr>
        <w:widowControl/>
        <w:jc w:val="left"/>
        <w:rPr>
          <w:rFonts w:hint="eastAsia" w:ascii="宋体" w:hAnsi="宋体" w:eastAsia="宋体" w:cs="宋体"/>
          <w:b/>
          <w:color w:val="auto"/>
          <w:kern w:val="0"/>
          <w:sz w:val="32"/>
          <w:szCs w:val="32"/>
          <w:highlight w:val="none"/>
        </w:rPr>
      </w:pPr>
    </w:p>
    <w:p w14:paraId="70A11A9B">
      <w:pPr>
        <w:widowControl/>
        <w:shd w:val="clear"/>
        <w:spacing w:line="360" w:lineRule="auto"/>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附件1</w:t>
      </w:r>
    </w:p>
    <w:p w14:paraId="360705DC">
      <w:pPr>
        <w:widowControl/>
        <w:shd w:val="clear" w:color="auto"/>
        <w:spacing w:line="480" w:lineRule="atLeast"/>
        <w:ind w:firstLine="643" w:firstLineChars="200"/>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采购项目合同验收书（格式）</w:t>
      </w:r>
    </w:p>
    <w:p w14:paraId="5EDD1F4D">
      <w:pPr>
        <w:widowControl/>
        <w:shd w:val="clear" w:color="auto"/>
        <w:snapToGrid w:val="0"/>
        <w:spacing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）采购项目中标（或成交）供应商（</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）提供的货物（或工程、服务）进行了验收，验收情况如下：</w:t>
      </w:r>
    </w:p>
    <w:tbl>
      <w:tblPr>
        <w:tblStyle w:val="26"/>
        <w:tblW w:w="8642" w:type="dxa"/>
        <w:jc w:val="center"/>
        <w:tblLayout w:type="fixed"/>
        <w:tblCellMar>
          <w:top w:w="0" w:type="dxa"/>
          <w:left w:w="0" w:type="dxa"/>
          <w:bottom w:w="0" w:type="dxa"/>
          <w:right w:w="0" w:type="dxa"/>
        </w:tblCellMar>
      </w:tblPr>
      <w:tblGrid>
        <w:gridCol w:w="1578"/>
        <w:gridCol w:w="1681"/>
        <w:gridCol w:w="664"/>
        <w:gridCol w:w="2017"/>
        <w:gridCol w:w="186"/>
        <w:gridCol w:w="720"/>
        <w:gridCol w:w="1796"/>
      </w:tblGrid>
      <w:tr w14:paraId="58E234C6">
        <w:tblPrEx>
          <w:tblCellMar>
            <w:top w:w="0" w:type="dxa"/>
            <w:left w:w="0" w:type="dxa"/>
            <w:bottom w:w="0" w:type="dxa"/>
            <w:right w:w="0" w:type="dxa"/>
          </w:tblCellMar>
        </w:tblPrEx>
        <w:trPr>
          <w:trHeight w:val="497" w:hRule="atLeast"/>
          <w:jc w:val="center"/>
        </w:trPr>
        <w:tc>
          <w:tcPr>
            <w:tcW w:w="3259" w:type="dxa"/>
            <w:gridSpan w:val="2"/>
            <w:tcBorders>
              <w:top w:val="single" w:color="auto" w:sz="8" w:space="0"/>
              <w:left w:val="single" w:color="auto" w:sz="8" w:space="0"/>
              <w:bottom w:val="single" w:color="auto" w:sz="8" w:space="0"/>
              <w:right w:val="single" w:color="auto" w:sz="8" w:space="0"/>
            </w:tcBorders>
            <w:vAlign w:val="center"/>
          </w:tcPr>
          <w:p w14:paraId="25FBBC6C">
            <w:pPr>
              <w:widowControl/>
              <w:shd w:val="clear"/>
              <w:snapToGrid w:val="0"/>
              <w:spacing w:before="100" w:beforeAutospacing="1" w:after="100" w:afterAutospacing="1" w:line="320" w:lineRule="atLeast"/>
              <w:ind w:firstLine="420" w:firstLineChars="2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5383" w:type="dxa"/>
            <w:gridSpan w:val="5"/>
            <w:tcBorders>
              <w:top w:val="single" w:color="auto" w:sz="8" w:space="0"/>
              <w:left w:val="nil"/>
              <w:bottom w:val="single" w:color="auto" w:sz="8" w:space="0"/>
              <w:right w:val="single" w:color="auto" w:sz="8" w:space="0"/>
            </w:tcBorders>
            <w:vAlign w:val="center"/>
          </w:tcPr>
          <w:p w14:paraId="65D49359">
            <w:pPr>
              <w:widowControl/>
              <w:shd w:val="clear"/>
              <w:snapToGrid w:val="0"/>
              <w:spacing w:before="100" w:beforeAutospacing="1" w:after="100" w:afterAutospacing="1" w:line="320" w:lineRule="atLeast"/>
              <w:ind w:firstLine="420" w:firstLineChars="2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□自行验收        □委托验收</w:t>
            </w:r>
          </w:p>
        </w:tc>
      </w:tr>
      <w:tr w14:paraId="72454707">
        <w:tblPrEx>
          <w:tblCellMar>
            <w:top w:w="0" w:type="dxa"/>
            <w:left w:w="0" w:type="dxa"/>
            <w:bottom w:w="0" w:type="dxa"/>
            <w:right w:w="0" w:type="dxa"/>
          </w:tblCellMar>
        </w:tblPrEx>
        <w:trPr>
          <w:trHeight w:val="622" w:hRule="atLeast"/>
          <w:jc w:val="center"/>
        </w:trPr>
        <w:tc>
          <w:tcPr>
            <w:tcW w:w="1578" w:type="dxa"/>
            <w:tcBorders>
              <w:top w:val="nil"/>
              <w:left w:val="single" w:color="auto" w:sz="8" w:space="0"/>
              <w:bottom w:val="single" w:color="auto" w:sz="8" w:space="0"/>
              <w:right w:val="single" w:color="auto" w:sz="8" w:space="0"/>
            </w:tcBorders>
            <w:vAlign w:val="center"/>
          </w:tcPr>
          <w:p w14:paraId="2858D9FD">
            <w:pPr>
              <w:widowControl/>
              <w:snapToGrid w:val="0"/>
              <w:spacing w:before="100" w:beforeAutospacing="1" w:after="100" w:afterAutospacing="1" w:line="320" w:lineRule="atLeast"/>
              <w:ind w:firstLine="420" w:firstLineChars="2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681" w:type="dxa"/>
            <w:tcBorders>
              <w:top w:val="nil"/>
              <w:left w:val="nil"/>
              <w:bottom w:val="single" w:color="auto" w:sz="8" w:space="0"/>
              <w:right w:val="single" w:color="auto" w:sz="8" w:space="0"/>
            </w:tcBorders>
            <w:vAlign w:val="center"/>
          </w:tcPr>
          <w:p w14:paraId="239D2C97">
            <w:pPr>
              <w:widowControl/>
              <w:snapToGrid w:val="0"/>
              <w:spacing w:before="100" w:beforeAutospacing="1" w:after="100" w:afterAutospacing="1" w:line="320" w:lineRule="atLeast"/>
              <w:ind w:firstLine="420" w:firstLineChars="2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2681" w:type="dxa"/>
            <w:gridSpan w:val="2"/>
            <w:tcBorders>
              <w:top w:val="nil"/>
              <w:left w:val="nil"/>
              <w:bottom w:val="single" w:color="auto" w:sz="8" w:space="0"/>
              <w:right w:val="single" w:color="auto" w:sz="8" w:space="0"/>
            </w:tcBorders>
            <w:vAlign w:val="center"/>
          </w:tcPr>
          <w:p w14:paraId="227DF198">
            <w:pPr>
              <w:widowControl/>
              <w:snapToGrid w:val="0"/>
              <w:spacing w:before="100" w:beforeAutospacing="1" w:after="100" w:afterAutospacing="1" w:line="320" w:lineRule="atLeast"/>
              <w:ind w:firstLine="420" w:firstLineChars="2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货物型号规格、标准及配置等（或服务内容、标准）</w:t>
            </w:r>
          </w:p>
        </w:tc>
        <w:tc>
          <w:tcPr>
            <w:tcW w:w="906" w:type="dxa"/>
            <w:gridSpan w:val="2"/>
            <w:tcBorders>
              <w:top w:val="nil"/>
              <w:left w:val="nil"/>
              <w:bottom w:val="single" w:color="auto" w:sz="8" w:space="0"/>
              <w:right w:val="single" w:color="auto" w:sz="8" w:space="0"/>
            </w:tcBorders>
            <w:vAlign w:val="center"/>
          </w:tcPr>
          <w:p w14:paraId="00097370">
            <w:pPr>
              <w:widowControl/>
              <w:snapToGrid w:val="0"/>
              <w:spacing w:before="100" w:beforeAutospacing="1" w:after="100" w:afterAutospacing="1" w:line="320" w:lineRule="atLeast"/>
              <w:ind w:firstLine="420" w:firstLineChars="2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1796" w:type="dxa"/>
            <w:tcBorders>
              <w:top w:val="nil"/>
              <w:left w:val="nil"/>
              <w:bottom w:val="single" w:color="auto" w:sz="8" w:space="0"/>
              <w:right w:val="single" w:color="auto" w:sz="8" w:space="0"/>
            </w:tcBorders>
            <w:vAlign w:val="center"/>
          </w:tcPr>
          <w:p w14:paraId="032840F3">
            <w:pPr>
              <w:widowControl/>
              <w:snapToGrid w:val="0"/>
              <w:spacing w:before="100" w:beforeAutospacing="1" w:after="100" w:afterAutospacing="1" w:line="320" w:lineRule="atLeast"/>
              <w:ind w:firstLine="420" w:firstLineChars="2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金 额</w:t>
            </w:r>
          </w:p>
        </w:tc>
      </w:tr>
      <w:tr w14:paraId="29DC36F2">
        <w:tblPrEx>
          <w:tblCellMar>
            <w:top w:w="0" w:type="dxa"/>
            <w:left w:w="0" w:type="dxa"/>
            <w:bottom w:w="0" w:type="dxa"/>
            <w:right w:w="0" w:type="dxa"/>
          </w:tblCellMar>
        </w:tblPrEx>
        <w:trPr>
          <w:trHeight w:val="454" w:hRule="exact"/>
          <w:jc w:val="center"/>
        </w:trPr>
        <w:tc>
          <w:tcPr>
            <w:tcW w:w="1578" w:type="dxa"/>
            <w:tcBorders>
              <w:top w:val="nil"/>
              <w:left w:val="single" w:color="auto" w:sz="8" w:space="0"/>
              <w:bottom w:val="single" w:color="auto" w:sz="8" w:space="0"/>
              <w:right w:val="single" w:color="auto" w:sz="8" w:space="0"/>
            </w:tcBorders>
            <w:vAlign w:val="center"/>
          </w:tcPr>
          <w:p w14:paraId="495365AA">
            <w:pPr>
              <w:widowControl/>
              <w:snapToGrid w:val="0"/>
              <w:spacing w:before="100" w:beforeAutospacing="1" w:after="100" w:afterAutospacing="1"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81" w:type="dxa"/>
            <w:tcBorders>
              <w:top w:val="nil"/>
              <w:left w:val="nil"/>
              <w:bottom w:val="single" w:color="auto" w:sz="8" w:space="0"/>
              <w:right w:val="single" w:color="auto" w:sz="8" w:space="0"/>
            </w:tcBorders>
            <w:vAlign w:val="center"/>
          </w:tcPr>
          <w:p w14:paraId="271BFC00">
            <w:pPr>
              <w:widowControl/>
              <w:snapToGrid w:val="0"/>
              <w:spacing w:before="100" w:beforeAutospacing="1" w:after="100" w:afterAutospacing="1"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681" w:type="dxa"/>
            <w:gridSpan w:val="2"/>
            <w:tcBorders>
              <w:top w:val="nil"/>
              <w:left w:val="nil"/>
              <w:bottom w:val="single" w:color="auto" w:sz="8" w:space="0"/>
              <w:right w:val="single" w:color="auto" w:sz="8" w:space="0"/>
            </w:tcBorders>
            <w:vAlign w:val="center"/>
          </w:tcPr>
          <w:p w14:paraId="17F04914">
            <w:pPr>
              <w:widowControl/>
              <w:snapToGrid w:val="0"/>
              <w:spacing w:before="100" w:beforeAutospacing="1" w:after="100" w:afterAutospacing="1"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906" w:type="dxa"/>
            <w:gridSpan w:val="2"/>
            <w:tcBorders>
              <w:top w:val="nil"/>
              <w:left w:val="nil"/>
              <w:bottom w:val="single" w:color="auto" w:sz="8" w:space="0"/>
              <w:right w:val="single" w:color="auto" w:sz="8" w:space="0"/>
            </w:tcBorders>
            <w:vAlign w:val="center"/>
          </w:tcPr>
          <w:p w14:paraId="14BB928F">
            <w:pPr>
              <w:widowControl/>
              <w:snapToGrid w:val="0"/>
              <w:spacing w:before="100" w:beforeAutospacing="1" w:after="100" w:afterAutospacing="1"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796" w:type="dxa"/>
            <w:tcBorders>
              <w:top w:val="nil"/>
              <w:left w:val="nil"/>
              <w:bottom w:val="single" w:color="auto" w:sz="8" w:space="0"/>
              <w:right w:val="single" w:color="auto" w:sz="8" w:space="0"/>
            </w:tcBorders>
            <w:vAlign w:val="center"/>
          </w:tcPr>
          <w:p w14:paraId="3872E238">
            <w:pPr>
              <w:widowControl/>
              <w:snapToGrid w:val="0"/>
              <w:spacing w:before="100" w:beforeAutospacing="1" w:after="100" w:afterAutospacing="1"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77C11650">
        <w:tblPrEx>
          <w:tblCellMar>
            <w:top w:w="0" w:type="dxa"/>
            <w:left w:w="0" w:type="dxa"/>
            <w:bottom w:w="0" w:type="dxa"/>
            <w:right w:w="0" w:type="dxa"/>
          </w:tblCellMar>
        </w:tblPrEx>
        <w:trPr>
          <w:trHeight w:val="454" w:hRule="exact"/>
          <w:jc w:val="center"/>
        </w:trPr>
        <w:tc>
          <w:tcPr>
            <w:tcW w:w="1578" w:type="dxa"/>
            <w:tcBorders>
              <w:top w:val="nil"/>
              <w:left w:val="single" w:color="auto" w:sz="8" w:space="0"/>
              <w:bottom w:val="single" w:color="auto" w:sz="8" w:space="0"/>
              <w:right w:val="single" w:color="auto" w:sz="8" w:space="0"/>
            </w:tcBorders>
            <w:vAlign w:val="center"/>
          </w:tcPr>
          <w:p w14:paraId="5AC519A4">
            <w:pPr>
              <w:widowControl/>
              <w:snapToGrid w:val="0"/>
              <w:spacing w:before="100" w:beforeAutospacing="1" w:after="100" w:afterAutospacing="1"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81" w:type="dxa"/>
            <w:tcBorders>
              <w:top w:val="nil"/>
              <w:left w:val="nil"/>
              <w:bottom w:val="single" w:color="auto" w:sz="8" w:space="0"/>
              <w:right w:val="single" w:color="auto" w:sz="8" w:space="0"/>
            </w:tcBorders>
            <w:vAlign w:val="center"/>
          </w:tcPr>
          <w:p w14:paraId="6FCF2C36">
            <w:pPr>
              <w:widowControl/>
              <w:snapToGrid w:val="0"/>
              <w:spacing w:before="100" w:beforeAutospacing="1" w:after="100" w:afterAutospacing="1"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681" w:type="dxa"/>
            <w:gridSpan w:val="2"/>
            <w:tcBorders>
              <w:top w:val="nil"/>
              <w:left w:val="nil"/>
              <w:bottom w:val="single" w:color="auto" w:sz="8" w:space="0"/>
              <w:right w:val="single" w:color="auto" w:sz="8" w:space="0"/>
            </w:tcBorders>
            <w:vAlign w:val="center"/>
          </w:tcPr>
          <w:p w14:paraId="1CBC5F8D">
            <w:pPr>
              <w:widowControl/>
              <w:snapToGrid w:val="0"/>
              <w:spacing w:before="100" w:beforeAutospacing="1" w:after="100" w:afterAutospacing="1"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906" w:type="dxa"/>
            <w:gridSpan w:val="2"/>
            <w:tcBorders>
              <w:top w:val="nil"/>
              <w:left w:val="nil"/>
              <w:bottom w:val="single" w:color="auto" w:sz="8" w:space="0"/>
              <w:right w:val="single" w:color="auto" w:sz="8" w:space="0"/>
            </w:tcBorders>
            <w:vAlign w:val="center"/>
          </w:tcPr>
          <w:p w14:paraId="571109E8">
            <w:pPr>
              <w:widowControl/>
              <w:snapToGrid w:val="0"/>
              <w:spacing w:before="100" w:beforeAutospacing="1" w:after="100" w:afterAutospacing="1"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796" w:type="dxa"/>
            <w:tcBorders>
              <w:top w:val="nil"/>
              <w:left w:val="nil"/>
              <w:bottom w:val="single" w:color="auto" w:sz="8" w:space="0"/>
              <w:right w:val="single" w:color="auto" w:sz="8" w:space="0"/>
            </w:tcBorders>
            <w:vAlign w:val="center"/>
          </w:tcPr>
          <w:p w14:paraId="13F98737">
            <w:pPr>
              <w:widowControl/>
              <w:snapToGrid w:val="0"/>
              <w:spacing w:before="100" w:beforeAutospacing="1" w:after="100" w:afterAutospacing="1"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37877962">
        <w:tblPrEx>
          <w:tblCellMar>
            <w:top w:w="0" w:type="dxa"/>
            <w:left w:w="0" w:type="dxa"/>
            <w:bottom w:w="0" w:type="dxa"/>
            <w:right w:w="0" w:type="dxa"/>
          </w:tblCellMar>
        </w:tblPrEx>
        <w:trPr>
          <w:trHeight w:val="454" w:hRule="exact"/>
          <w:jc w:val="center"/>
        </w:trPr>
        <w:tc>
          <w:tcPr>
            <w:tcW w:w="5940" w:type="dxa"/>
            <w:gridSpan w:val="4"/>
            <w:tcBorders>
              <w:top w:val="nil"/>
              <w:left w:val="single" w:color="auto" w:sz="8" w:space="0"/>
              <w:bottom w:val="single" w:color="auto" w:sz="8" w:space="0"/>
              <w:right w:val="single" w:color="auto" w:sz="8" w:space="0"/>
            </w:tcBorders>
            <w:vAlign w:val="center"/>
          </w:tcPr>
          <w:p w14:paraId="1872BFCA">
            <w:pPr>
              <w:widowControl/>
              <w:snapToGrid w:val="0"/>
              <w:spacing w:before="100" w:beforeAutospacing="1" w:after="100" w:afterAutospacing="1" w:line="320" w:lineRule="atLeast"/>
              <w:ind w:firstLine="420" w:firstLineChars="2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906" w:type="dxa"/>
            <w:gridSpan w:val="2"/>
            <w:tcBorders>
              <w:top w:val="nil"/>
              <w:left w:val="nil"/>
              <w:bottom w:val="single" w:color="auto" w:sz="8" w:space="0"/>
              <w:right w:val="single" w:color="auto" w:sz="8" w:space="0"/>
            </w:tcBorders>
            <w:vAlign w:val="center"/>
          </w:tcPr>
          <w:p w14:paraId="704A4DA0">
            <w:pPr>
              <w:widowControl/>
              <w:snapToGrid w:val="0"/>
              <w:spacing w:before="100" w:beforeAutospacing="1" w:after="100" w:afterAutospacing="1"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796" w:type="dxa"/>
            <w:tcBorders>
              <w:top w:val="nil"/>
              <w:left w:val="nil"/>
              <w:bottom w:val="single" w:color="auto" w:sz="8" w:space="0"/>
              <w:right w:val="single" w:color="auto" w:sz="8" w:space="0"/>
            </w:tcBorders>
            <w:vAlign w:val="center"/>
          </w:tcPr>
          <w:p w14:paraId="6F373D83">
            <w:pPr>
              <w:widowControl/>
              <w:snapToGrid w:val="0"/>
              <w:spacing w:before="100" w:beforeAutospacing="1" w:after="100" w:afterAutospacing="1"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700BC2EB">
        <w:tblPrEx>
          <w:tblCellMar>
            <w:top w:w="0" w:type="dxa"/>
            <w:left w:w="0" w:type="dxa"/>
            <w:bottom w:w="0" w:type="dxa"/>
            <w:right w:w="0" w:type="dxa"/>
          </w:tblCellMar>
        </w:tblPrEx>
        <w:trPr>
          <w:trHeight w:val="454" w:hRule="exact"/>
          <w:jc w:val="center"/>
        </w:trPr>
        <w:tc>
          <w:tcPr>
            <w:tcW w:w="8642" w:type="dxa"/>
            <w:gridSpan w:val="7"/>
            <w:tcBorders>
              <w:top w:val="nil"/>
              <w:left w:val="single" w:color="auto" w:sz="8" w:space="0"/>
              <w:bottom w:val="single" w:color="auto" w:sz="8" w:space="0"/>
              <w:right w:val="single" w:color="auto" w:sz="8" w:space="0"/>
            </w:tcBorders>
            <w:vAlign w:val="center"/>
          </w:tcPr>
          <w:p w14:paraId="0A30A2B1">
            <w:pPr>
              <w:widowControl/>
              <w:snapToGrid w:val="0"/>
              <w:spacing w:before="100" w:beforeAutospacing="1" w:after="100" w:afterAutospacing="1"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仟   佰   拾   万   仟   佰   拾   元</w:t>
            </w:r>
          </w:p>
        </w:tc>
      </w:tr>
      <w:tr w14:paraId="68F58FBF">
        <w:tblPrEx>
          <w:tblCellMar>
            <w:top w:w="0" w:type="dxa"/>
            <w:left w:w="0" w:type="dxa"/>
            <w:bottom w:w="0" w:type="dxa"/>
            <w:right w:w="0" w:type="dxa"/>
          </w:tblCellMar>
        </w:tblPrEx>
        <w:trPr>
          <w:trHeight w:val="454" w:hRule="exact"/>
          <w:jc w:val="center"/>
        </w:trPr>
        <w:tc>
          <w:tcPr>
            <w:tcW w:w="1578" w:type="dxa"/>
            <w:tcBorders>
              <w:top w:val="nil"/>
              <w:left w:val="single" w:color="auto" w:sz="8" w:space="0"/>
              <w:bottom w:val="single" w:color="auto" w:sz="8" w:space="0"/>
              <w:right w:val="single" w:color="auto" w:sz="8" w:space="0"/>
            </w:tcBorders>
            <w:vAlign w:val="center"/>
          </w:tcPr>
          <w:p w14:paraId="0FD8F4B2">
            <w:pPr>
              <w:widowControl/>
              <w:snapToGrid w:val="0"/>
              <w:spacing w:before="100" w:beforeAutospacing="1" w:after="100" w:afterAutospacing="1" w:line="320" w:lineRule="atLeas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345" w:type="dxa"/>
            <w:gridSpan w:val="2"/>
            <w:tcBorders>
              <w:top w:val="nil"/>
              <w:left w:val="nil"/>
              <w:bottom w:val="single" w:color="auto" w:sz="8" w:space="0"/>
              <w:right w:val="single" w:color="auto" w:sz="8" w:space="0"/>
            </w:tcBorders>
            <w:vAlign w:val="center"/>
          </w:tcPr>
          <w:p w14:paraId="0A4BFC45">
            <w:pPr>
              <w:widowControl/>
              <w:snapToGrid w:val="0"/>
              <w:spacing w:before="100" w:beforeAutospacing="1" w:after="100" w:afterAutospacing="1"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203" w:type="dxa"/>
            <w:gridSpan w:val="2"/>
            <w:tcBorders>
              <w:top w:val="nil"/>
              <w:left w:val="nil"/>
              <w:bottom w:val="single" w:color="auto" w:sz="8" w:space="0"/>
              <w:right w:val="single" w:color="auto" w:sz="8" w:space="0"/>
            </w:tcBorders>
            <w:vAlign w:val="center"/>
          </w:tcPr>
          <w:p w14:paraId="18B46BD7">
            <w:pPr>
              <w:widowControl/>
              <w:snapToGrid w:val="0"/>
              <w:spacing w:before="100" w:beforeAutospacing="1" w:after="100" w:afterAutospacing="1" w:line="320" w:lineRule="atLeas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2516" w:type="dxa"/>
            <w:gridSpan w:val="2"/>
            <w:tcBorders>
              <w:top w:val="nil"/>
              <w:left w:val="nil"/>
              <w:bottom w:val="single" w:color="auto" w:sz="8" w:space="0"/>
              <w:right w:val="single" w:color="auto" w:sz="8" w:space="0"/>
            </w:tcBorders>
            <w:vAlign w:val="center"/>
          </w:tcPr>
          <w:p w14:paraId="561D499C">
            <w:pPr>
              <w:widowControl/>
              <w:snapToGrid w:val="0"/>
              <w:spacing w:before="100" w:beforeAutospacing="1" w:after="100" w:afterAutospacing="1"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02788377">
        <w:tblPrEx>
          <w:tblCellMar>
            <w:top w:w="0" w:type="dxa"/>
            <w:left w:w="0" w:type="dxa"/>
            <w:bottom w:w="0" w:type="dxa"/>
            <w:right w:w="0" w:type="dxa"/>
          </w:tblCellMar>
        </w:tblPrEx>
        <w:trPr>
          <w:trHeight w:val="454" w:hRule="exact"/>
          <w:jc w:val="center"/>
        </w:trPr>
        <w:tc>
          <w:tcPr>
            <w:tcW w:w="1578" w:type="dxa"/>
            <w:tcBorders>
              <w:top w:val="nil"/>
              <w:left w:val="single" w:color="auto" w:sz="8" w:space="0"/>
              <w:bottom w:val="single" w:color="auto" w:sz="8" w:space="0"/>
              <w:right w:val="single" w:color="auto" w:sz="8" w:space="0"/>
            </w:tcBorders>
            <w:vAlign w:val="center"/>
          </w:tcPr>
          <w:p w14:paraId="4D70DE2A">
            <w:pPr>
              <w:widowControl/>
              <w:snapToGrid w:val="0"/>
              <w:spacing w:before="100" w:beforeAutospacing="1" w:after="100" w:afterAutospacing="1"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345" w:type="dxa"/>
            <w:gridSpan w:val="2"/>
            <w:tcBorders>
              <w:top w:val="nil"/>
              <w:left w:val="nil"/>
              <w:bottom w:val="single" w:color="auto" w:sz="8" w:space="0"/>
              <w:right w:val="single" w:color="auto" w:sz="8" w:space="0"/>
            </w:tcBorders>
            <w:vAlign w:val="center"/>
          </w:tcPr>
          <w:p w14:paraId="4112CEB9">
            <w:pPr>
              <w:widowControl/>
              <w:snapToGrid w:val="0"/>
              <w:spacing w:before="100" w:beforeAutospacing="1" w:after="100" w:afterAutospacing="1"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203" w:type="dxa"/>
            <w:gridSpan w:val="2"/>
            <w:tcBorders>
              <w:top w:val="nil"/>
              <w:left w:val="nil"/>
              <w:bottom w:val="single" w:color="auto" w:sz="8" w:space="0"/>
              <w:right w:val="single" w:color="auto" w:sz="8" w:space="0"/>
            </w:tcBorders>
            <w:vAlign w:val="center"/>
          </w:tcPr>
          <w:p w14:paraId="0CFBBE26">
            <w:pPr>
              <w:widowControl/>
              <w:snapToGrid w:val="0"/>
              <w:spacing w:before="100" w:beforeAutospacing="1" w:after="100" w:afterAutospacing="1"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516" w:type="dxa"/>
            <w:gridSpan w:val="2"/>
            <w:tcBorders>
              <w:top w:val="nil"/>
              <w:left w:val="nil"/>
              <w:bottom w:val="single" w:color="auto" w:sz="8" w:space="0"/>
              <w:right w:val="single" w:color="auto" w:sz="8" w:space="0"/>
            </w:tcBorders>
            <w:vAlign w:val="center"/>
          </w:tcPr>
          <w:p w14:paraId="1C7B334B">
            <w:pPr>
              <w:widowControl/>
              <w:snapToGrid w:val="0"/>
              <w:spacing w:before="100" w:beforeAutospacing="1" w:after="100" w:afterAutospacing="1"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0E5CC62C">
        <w:tblPrEx>
          <w:tblCellMar>
            <w:top w:w="0" w:type="dxa"/>
            <w:left w:w="0" w:type="dxa"/>
            <w:bottom w:w="0" w:type="dxa"/>
            <w:right w:w="0" w:type="dxa"/>
          </w:tblCellMar>
        </w:tblPrEx>
        <w:trPr>
          <w:trHeight w:val="693" w:hRule="atLeast"/>
          <w:jc w:val="center"/>
        </w:trPr>
        <w:tc>
          <w:tcPr>
            <w:tcW w:w="15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E195D90">
            <w:pPr>
              <w:widowControl/>
              <w:snapToGrid w:val="0"/>
              <w:spacing w:before="100" w:beforeAutospacing="1" w:after="100" w:afterAutospacing="1" w:line="320" w:lineRule="atLeas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7064"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14:paraId="7916D89F">
            <w:pPr>
              <w:widowControl/>
              <w:snapToGrid w:val="0"/>
              <w:spacing w:before="100" w:beforeAutospacing="1" w:after="100" w:afterAutospacing="1" w:line="320" w:lineRule="atLeas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采购文件、磋商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50B3B6EB">
        <w:tblPrEx>
          <w:tblCellMar>
            <w:top w:w="0" w:type="dxa"/>
            <w:left w:w="0" w:type="dxa"/>
            <w:bottom w:w="0" w:type="dxa"/>
            <w:right w:w="0" w:type="dxa"/>
          </w:tblCellMar>
        </w:tblPrEx>
        <w:trPr>
          <w:trHeight w:val="1281" w:hRule="atLeast"/>
          <w:jc w:val="center"/>
        </w:trPr>
        <w:tc>
          <w:tcPr>
            <w:tcW w:w="157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2EA9048">
            <w:pPr>
              <w:widowControl/>
              <w:spacing w:before="100" w:beforeAutospacing="1" w:after="100" w:afterAutospacing="1" w:line="320" w:lineRule="atLeas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7064" w:type="dxa"/>
            <w:gridSpan w:val="6"/>
            <w:tcBorders>
              <w:top w:val="nil"/>
              <w:left w:val="nil"/>
              <w:bottom w:val="single" w:color="auto" w:sz="8" w:space="0"/>
              <w:right w:val="single" w:color="auto" w:sz="8" w:space="0"/>
            </w:tcBorders>
            <w:vAlign w:val="center"/>
          </w:tcPr>
          <w:p w14:paraId="1C1ED669">
            <w:pPr>
              <w:widowControl/>
              <w:spacing w:before="100" w:beforeAutospacing="1" w:after="100" w:afterAutospacing="1" w:line="320" w:lineRule="atLeas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p w14:paraId="32E2B8BF">
            <w:pPr>
              <w:widowControl/>
              <w:spacing w:before="100" w:beforeAutospacing="1" w:after="100" w:afterAutospacing="1"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31C96ED3">
        <w:tblPrEx>
          <w:tblCellMar>
            <w:top w:w="0" w:type="dxa"/>
            <w:left w:w="0" w:type="dxa"/>
            <w:bottom w:w="0" w:type="dxa"/>
            <w:right w:w="0" w:type="dxa"/>
          </w:tblCellMar>
        </w:tblPrEx>
        <w:trPr>
          <w:trHeight w:val="607" w:hRule="atLeast"/>
          <w:jc w:val="center"/>
        </w:trPr>
        <w:tc>
          <w:tcPr>
            <w:tcW w:w="1578" w:type="dxa"/>
            <w:vMerge w:val="continue"/>
            <w:tcBorders>
              <w:top w:val="nil"/>
              <w:left w:val="single" w:color="auto" w:sz="8" w:space="0"/>
              <w:bottom w:val="single" w:color="auto" w:sz="8" w:space="0"/>
              <w:right w:val="single" w:color="auto" w:sz="8" w:space="0"/>
            </w:tcBorders>
            <w:vAlign w:val="center"/>
          </w:tcPr>
          <w:p w14:paraId="426F699B">
            <w:pPr>
              <w:widowControl/>
              <w:spacing w:line="360" w:lineRule="auto"/>
              <w:ind w:firstLine="420" w:firstLineChars="200"/>
              <w:jc w:val="left"/>
              <w:rPr>
                <w:rFonts w:ascii="宋体" w:hAnsi="宋体" w:eastAsia="宋体" w:cs="宋体"/>
                <w:color w:val="auto"/>
                <w:kern w:val="0"/>
                <w:szCs w:val="21"/>
                <w:highlight w:val="none"/>
              </w:rPr>
            </w:pPr>
          </w:p>
        </w:tc>
        <w:tc>
          <w:tcPr>
            <w:tcW w:w="7064" w:type="dxa"/>
            <w:gridSpan w:val="6"/>
            <w:tcBorders>
              <w:top w:val="nil"/>
              <w:left w:val="nil"/>
              <w:bottom w:val="single" w:color="auto" w:sz="8" w:space="0"/>
              <w:right w:val="single" w:color="auto" w:sz="8" w:space="0"/>
            </w:tcBorders>
            <w:vAlign w:val="center"/>
          </w:tcPr>
          <w:p w14:paraId="704D0983">
            <w:pPr>
              <w:widowControl/>
              <w:spacing w:before="100" w:beforeAutospacing="1" w:after="100" w:afterAutospacing="1" w:line="320" w:lineRule="atLeas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6332954E">
            <w:pPr>
              <w:widowControl/>
              <w:spacing w:before="100" w:beforeAutospacing="1" w:after="100" w:afterAutospacing="1"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签字：</w:t>
            </w:r>
          </w:p>
        </w:tc>
      </w:tr>
      <w:tr w14:paraId="15C77D10">
        <w:tblPrEx>
          <w:tblCellMar>
            <w:top w:w="0" w:type="dxa"/>
            <w:left w:w="0" w:type="dxa"/>
            <w:bottom w:w="0" w:type="dxa"/>
            <w:right w:w="0" w:type="dxa"/>
          </w:tblCellMar>
        </w:tblPrEx>
        <w:trPr>
          <w:trHeight w:val="507" w:hRule="atLeast"/>
          <w:jc w:val="center"/>
        </w:trPr>
        <w:tc>
          <w:tcPr>
            <w:tcW w:w="8642"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82FD8CA">
            <w:pPr>
              <w:widowControl/>
              <w:spacing w:before="100" w:beforeAutospacing="1" w:after="100" w:afterAutospacing="1" w:line="320" w:lineRule="atLeas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62386F0B">
        <w:tblPrEx>
          <w:tblCellMar>
            <w:top w:w="0" w:type="dxa"/>
            <w:left w:w="0" w:type="dxa"/>
            <w:bottom w:w="0" w:type="dxa"/>
            <w:right w:w="0" w:type="dxa"/>
          </w:tblCellMar>
        </w:tblPrEx>
        <w:trPr>
          <w:trHeight w:val="736" w:hRule="atLeast"/>
          <w:jc w:val="center"/>
        </w:trPr>
        <w:tc>
          <w:tcPr>
            <w:tcW w:w="8642"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6654BEF">
            <w:pPr>
              <w:widowControl/>
              <w:spacing w:before="100" w:beforeAutospacing="1" w:after="100" w:afterAutospacing="1" w:line="320" w:lineRule="atLeas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监督人员或其他相关人员签字：</w:t>
            </w:r>
          </w:p>
          <w:p w14:paraId="68C7623D">
            <w:pPr>
              <w:widowControl/>
              <w:spacing w:before="100" w:beforeAutospacing="1" w:after="100" w:afterAutospacing="1" w:line="320" w:lineRule="atLeas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或受邀机构的意见（盖章）：</w:t>
            </w:r>
          </w:p>
        </w:tc>
      </w:tr>
      <w:tr w14:paraId="128CE6F6">
        <w:tblPrEx>
          <w:tblCellMar>
            <w:top w:w="0" w:type="dxa"/>
            <w:left w:w="0" w:type="dxa"/>
            <w:bottom w:w="0" w:type="dxa"/>
            <w:right w:w="0" w:type="dxa"/>
          </w:tblCellMar>
        </w:tblPrEx>
        <w:trPr>
          <w:trHeight w:val="758" w:hRule="atLeast"/>
          <w:jc w:val="center"/>
        </w:trPr>
        <w:tc>
          <w:tcPr>
            <w:tcW w:w="3923" w:type="dxa"/>
            <w:gridSpan w:val="3"/>
            <w:tcBorders>
              <w:top w:val="nil"/>
              <w:left w:val="single" w:color="auto" w:sz="8" w:space="0"/>
              <w:bottom w:val="single" w:color="auto" w:sz="8" w:space="0"/>
              <w:right w:val="nil"/>
            </w:tcBorders>
            <w:tcMar>
              <w:top w:w="0" w:type="dxa"/>
              <w:left w:w="108" w:type="dxa"/>
              <w:bottom w:w="0" w:type="dxa"/>
              <w:right w:w="108" w:type="dxa"/>
            </w:tcMar>
            <w:vAlign w:val="center"/>
          </w:tcPr>
          <w:p w14:paraId="53F93D44">
            <w:pPr>
              <w:widowControl/>
              <w:spacing w:before="100" w:beforeAutospacing="1" w:after="100" w:afterAutospacing="1" w:line="320" w:lineRule="atLeast"/>
              <w:ind w:right="-223" w:rightChars="-106"/>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中标或者成交供应商负责人签字或盖章：</w:t>
            </w:r>
          </w:p>
          <w:p w14:paraId="6D44224E">
            <w:pPr>
              <w:widowControl/>
              <w:spacing w:before="100" w:beforeAutospacing="1" w:after="100" w:afterAutospacing="1" w:line="320" w:lineRule="atLeas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tc>
        <w:tc>
          <w:tcPr>
            <w:tcW w:w="4719" w:type="dxa"/>
            <w:gridSpan w:val="4"/>
            <w:tcBorders>
              <w:top w:val="nil"/>
              <w:left w:val="nil"/>
              <w:bottom w:val="single" w:color="auto" w:sz="8" w:space="0"/>
              <w:right w:val="single" w:color="auto" w:sz="8" w:space="0"/>
            </w:tcBorders>
            <w:vAlign w:val="center"/>
          </w:tcPr>
          <w:p w14:paraId="67837559">
            <w:pPr>
              <w:widowControl/>
              <w:spacing w:before="100" w:beforeAutospacing="1" w:after="100" w:afterAutospacing="1"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采购人或受托机构的意见（盖章）：</w:t>
            </w:r>
          </w:p>
          <w:p w14:paraId="72A34845">
            <w:pPr>
              <w:widowControl/>
              <w:spacing w:before="100" w:beforeAutospacing="1" w:after="100" w:afterAutospacing="1" w:line="320" w:lineRule="atLeast"/>
              <w:ind w:left="399" w:leftChars="190"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tc>
      </w:tr>
    </w:tbl>
    <w:p w14:paraId="03A6EAAE">
      <w:pPr>
        <w:widowControl/>
        <w:spacing w:line="360" w:lineRule="auto"/>
        <w:ind w:firstLine="643" w:firstLineChars="200"/>
        <w:jc w:val="left"/>
        <w:rPr>
          <w:rFonts w:ascii="宋体" w:hAnsi="宋体" w:eastAsia="宋体" w:cs="宋体"/>
          <w:b/>
          <w:bCs/>
          <w:color w:val="auto"/>
          <w:sz w:val="32"/>
          <w:szCs w:val="32"/>
          <w:highlight w:val="none"/>
        </w:rPr>
        <w:sectPr>
          <w:footerReference r:id="rId5" w:type="default"/>
          <w:pgSz w:w="11906" w:h="16838"/>
          <w:pgMar w:top="1332" w:right="1434" w:bottom="1332" w:left="1434" w:header="850" w:footer="992" w:gutter="0"/>
          <w:pgNumType w:start="1"/>
          <w:cols w:space="0" w:num="1"/>
          <w:rtlGutter w:val="0"/>
          <w:docGrid w:type="lines" w:linePitch="315" w:charSpace="0"/>
        </w:sectPr>
      </w:pPr>
    </w:p>
    <w:p w14:paraId="46F55565">
      <w:pPr>
        <w:widowControl/>
        <w:spacing w:line="360" w:lineRule="auto"/>
        <w:jc w:val="left"/>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附件2：</w:t>
      </w:r>
    </w:p>
    <w:p w14:paraId="2EFAD027">
      <w:pPr>
        <w:widowControl/>
        <w:spacing w:line="360" w:lineRule="auto"/>
        <w:ind w:firstLine="643" w:firstLineChars="2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履约保证金退付意见书（格式）</w:t>
      </w:r>
    </w:p>
    <w:tbl>
      <w:tblPr>
        <w:tblStyle w:val="26"/>
        <w:tblW w:w="8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604"/>
      </w:tblGrid>
      <w:tr w14:paraId="13B0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tcBorders>
              <w:top w:val="single" w:color="auto" w:sz="4" w:space="0"/>
              <w:left w:val="single" w:color="auto" w:sz="4" w:space="0"/>
              <w:bottom w:val="single" w:color="auto" w:sz="4" w:space="0"/>
              <w:right w:val="single" w:color="auto" w:sz="4" w:space="0"/>
            </w:tcBorders>
            <w:vAlign w:val="center"/>
          </w:tcPr>
          <w:p w14:paraId="3B187F2F">
            <w:pPr>
              <w:widowControl/>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供</w:t>
            </w:r>
          </w:p>
          <w:p w14:paraId="31A4647B">
            <w:pPr>
              <w:widowControl/>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应</w:t>
            </w:r>
          </w:p>
          <w:p w14:paraId="107A5D9D">
            <w:pPr>
              <w:widowControl/>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商</w:t>
            </w:r>
          </w:p>
          <w:p w14:paraId="50B7BD22">
            <w:pPr>
              <w:widowControl/>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申</w:t>
            </w:r>
          </w:p>
          <w:p w14:paraId="78258116">
            <w:pPr>
              <w:widowControl/>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请</w:t>
            </w:r>
          </w:p>
        </w:tc>
        <w:tc>
          <w:tcPr>
            <w:tcW w:w="7604" w:type="dxa"/>
            <w:tcBorders>
              <w:top w:val="single" w:color="auto" w:sz="4" w:space="0"/>
              <w:left w:val="single" w:color="auto" w:sz="4" w:space="0"/>
              <w:bottom w:val="single" w:color="auto" w:sz="4" w:space="0"/>
              <w:right w:val="single" w:color="auto" w:sz="4" w:space="0"/>
            </w:tcBorders>
            <w:vAlign w:val="center"/>
          </w:tcPr>
          <w:p w14:paraId="2968B375">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项目编号：</w:t>
            </w:r>
          </w:p>
        </w:tc>
      </w:tr>
      <w:tr w14:paraId="472CA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14:paraId="46746ADC">
            <w:pPr>
              <w:widowControl/>
              <w:spacing w:line="360" w:lineRule="auto"/>
              <w:ind w:firstLine="420" w:firstLineChars="200"/>
              <w:rPr>
                <w:rFonts w:ascii="宋体" w:hAnsi="宋体" w:eastAsia="宋体" w:cs="宋体"/>
                <w:color w:val="auto"/>
                <w:szCs w:val="21"/>
                <w:highlight w:val="none"/>
              </w:rPr>
            </w:pPr>
          </w:p>
        </w:tc>
        <w:tc>
          <w:tcPr>
            <w:tcW w:w="7604" w:type="dxa"/>
            <w:tcBorders>
              <w:top w:val="single" w:color="auto" w:sz="4" w:space="0"/>
              <w:left w:val="single" w:color="auto" w:sz="4" w:space="0"/>
              <w:bottom w:val="single" w:color="auto" w:sz="4" w:space="0"/>
              <w:right w:val="single" w:color="auto" w:sz="4" w:space="0"/>
            </w:tcBorders>
            <w:vAlign w:val="center"/>
          </w:tcPr>
          <w:p w14:paraId="6495486E">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项目名称：</w:t>
            </w:r>
          </w:p>
        </w:tc>
      </w:tr>
      <w:tr w14:paraId="243BC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Borders>
              <w:top w:val="single" w:color="auto" w:sz="4" w:space="0"/>
              <w:left w:val="single" w:color="auto" w:sz="4" w:space="0"/>
              <w:bottom w:val="single" w:color="auto" w:sz="4" w:space="0"/>
              <w:right w:val="single" w:color="auto" w:sz="4" w:space="0"/>
            </w:tcBorders>
            <w:vAlign w:val="center"/>
          </w:tcPr>
          <w:p w14:paraId="3D49A90F">
            <w:pPr>
              <w:widowControl/>
              <w:spacing w:line="360" w:lineRule="auto"/>
              <w:ind w:firstLine="420" w:firstLineChars="200"/>
              <w:rPr>
                <w:rFonts w:ascii="宋体" w:hAnsi="宋体" w:eastAsia="宋体" w:cs="宋体"/>
                <w:color w:val="auto"/>
                <w:szCs w:val="21"/>
                <w:highlight w:val="none"/>
              </w:rPr>
            </w:pPr>
          </w:p>
        </w:tc>
        <w:tc>
          <w:tcPr>
            <w:tcW w:w="7604" w:type="dxa"/>
            <w:tcBorders>
              <w:top w:val="single" w:color="auto" w:sz="4" w:space="0"/>
              <w:left w:val="single" w:color="auto" w:sz="4" w:space="0"/>
              <w:bottom w:val="single" w:color="auto" w:sz="4" w:space="0"/>
              <w:right w:val="single" w:color="auto" w:sz="4" w:space="0"/>
            </w:tcBorders>
          </w:tcPr>
          <w:p w14:paraId="6C761F27">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该项目已于年月日验收并交付使用。根据合同规定，该项目的履约保证金期限于年月日已满，请将履约保证金（大写）￥（小写）退付到达以下帐户。</w:t>
            </w:r>
          </w:p>
          <w:p w14:paraId="35AE929E">
            <w:pPr>
              <w:widowControl/>
              <w:spacing w:line="40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单位名称：</w:t>
            </w:r>
          </w:p>
          <w:p w14:paraId="3123E25A">
            <w:pPr>
              <w:widowControl/>
              <w:spacing w:line="40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p>
          <w:p w14:paraId="55571346">
            <w:pPr>
              <w:widowControl/>
              <w:spacing w:line="40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帐   号：</w:t>
            </w:r>
          </w:p>
          <w:p w14:paraId="319C94DD">
            <w:pPr>
              <w:widowControl/>
              <w:spacing w:line="400" w:lineRule="exact"/>
              <w:ind w:firstLine="630" w:firstLineChars="300"/>
              <w:jc w:val="left"/>
              <w:rPr>
                <w:rFonts w:ascii="宋体" w:hAnsi="宋体" w:eastAsia="宋体" w:cs="宋体"/>
                <w:color w:val="auto"/>
                <w:szCs w:val="21"/>
                <w:highlight w:val="none"/>
              </w:rPr>
            </w:pPr>
            <w:r>
              <w:rPr>
                <w:rFonts w:hint="eastAsia" w:ascii="宋体" w:hAnsi="宋体" w:eastAsia="宋体" w:cs="宋体"/>
                <w:color w:val="auto"/>
                <w:szCs w:val="21"/>
                <w:highlight w:val="none"/>
              </w:rPr>
              <w:t>联系人及电话：</w:t>
            </w:r>
          </w:p>
          <w:p w14:paraId="7F4229FC">
            <w:pPr>
              <w:widowControl/>
              <w:spacing w:line="400" w:lineRule="exact"/>
              <w:ind w:firstLine="420" w:firstLineChars="200"/>
              <w:jc w:val="left"/>
              <w:rPr>
                <w:rFonts w:ascii="宋体" w:hAnsi="宋体" w:eastAsia="宋体" w:cs="宋体"/>
                <w:color w:val="auto"/>
                <w:szCs w:val="21"/>
                <w:highlight w:val="none"/>
              </w:rPr>
            </w:pPr>
          </w:p>
          <w:p w14:paraId="135BFB18">
            <w:pPr>
              <w:widowControl/>
              <w:spacing w:line="520" w:lineRule="exact"/>
              <w:ind w:firstLine="420" w:firstLineChars="2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供应商签章：</w:t>
            </w:r>
          </w:p>
          <w:p w14:paraId="0B4BBD48">
            <w:pPr>
              <w:widowControl/>
              <w:spacing w:line="520" w:lineRule="exact"/>
              <w:ind w:firstLine="420" w:firstLineChars="2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r w14:paraId="1F06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9" w:hRule="atLeast"/>
        </w:trPr>
        <w:tc>
          <w:tcPr>
            <w:tcW w:w="1008" w:type="dxa"/>
            <w:tcBorders>
              <w:top w:val="single" w:color="auto" w:sz="4" w:space="0"/>
              <w:left w:val="single" w:color="auto" w:sz="4" w:space="0"/>
              <w:bottom w:val="single" w:color="auto" w:sz="4" w:space="0"/>
              <w:right w:val="single" w:color="auto" w:sz="4" w:space="0"/>
            </w:tcBorders>
            <w:vAlign w:val="center"/>
          </w:tcPr>
          <w:p w14:paraId="206163A2">
            <w:pPr>
              <w:widowControl/>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采</w:t>
            </w:r>
          </w:p>
          <w:p w14:paraId="126457DE">
            <w:pPr>
              <w:widowControl/>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购</w:t>
            </w:r>
          </w:p>
          <w:p w14:paraId="1292A1F8">
            <w:pPr>
              <w:widowControl/>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单</w:t>
            </w:r>
          </w:p>
          <w:p w14:paraId="2D2E4380">
            <w:pPr>
              <w:widowControl/>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位</w:t>
            </w:r>
          </w:p>
          <w:p w14:paraId="46A3594C">
            <w:pPr>
              <w:widowControl/>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意</w:t>
            </w:r>
          </w:p>
          <w:p w14:paraId="777398AE">
            <w:pPr>
              <w:widowControl/>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见</w:t>
            </w:r>
          </w:p>
        </w:tc>
        <w:tc>
          <w:tcPr>
            <w:tcW w:w="7604" w:type="dxa"/>
            <w:tcBorders>
              <w:top w:val="single" w:color="auto" w:sz="4" w:space="0"/>
              <w:left w:val="single" w:color="auto" w:sz="4" w:space="0"/>
              <w:bottom w:val="single" w:color="auto" w:sz="4" w:space="0"/>
              <w:right w:val="single" w:color="auto" w:sz="4" w:space="0"/>
            </w:tcBorders>
          </w:tcPr>
          <w:p w14:paraId="2D6F17C2">
            <w:pPr>
              <w:widowControl/>
              <w:spacing w:line="360" w:lineRule="auto"/>
              <w:ind w:firstLine="420" w:firstLineChars="200"/>
              <w:jc w:val="left"/>
              <w:rPr>
                <w:rFonts w:ascii="宋体" w:hAnsi="宋体" w:eastAsia="宋体" w:cs="宋体"/>
                <w:color w:val="auto"/>
                <w:szCs w:val="21"/>
                <w:highlight w:val="none"/>
              </w:rPr>
            </w:pPr>
          </w:p>
          <w:p w14:paraId="1D3DE2D5">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退付意见：是否同意退付履约保证金及退付金额：</w:t>
            </w:r>
          </w:p>
          <w:p w14:paraId="4DBF04EE">
            <w:pPr>
              <w:widowControl/>
              <w:spacing w:line="360" w:lineRule="auto"/>
              <w:ind w:firstLine="420" w:firstLineChars="200"/>
              <w:jc w:val="left"/>
              <w:rPr>
                <w:rFonts w:ascii="宋体" w:hAnsi="宋体" w:eastAsia="宋体" w:cs="宋体"/>
                <w:color w:val="auto"/>
                <w:szCs w:val="21"/>
                <w:highlight w:val="none"/>
              </w:rPr>
            </w:pPr>
          </w:p>
          <w:p w14:paraId="75EFE7A2">
            <w:pPr>
              <w:widowControl/>
              <w:spacing w:line="360" w:lineRule="auto"/>
              <w:ind w:firstLine="420" w:firstLineChars="200"/>
              <w:jc w:val="left"/>
              <w:rPr>
                <w:rFonts w:ascii="宋体" w:hAnsi="宋体" w:eastAsia="宋体" w:cs="宋体"/>
                <w:color w:val="auto"/>
                <w:szCs w:val="21"/>
                <w:highlight w:val="none"/>
              </w:rPr>
            </w:pPr>
          </w:p>
          <w:p w14:paraId="2D44187F">
            <w:pPr>
              <w:widowControl/>
              <w:spacing w:line="52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联系人及电话：                                 采购人签章</w:t>
            </w:r>
          </w:p>
          <w:p w14:paraId="67BE373A">
            <w:pPr>
              <w:widowControl/>
              <w:spacing w:line="520" w:lineRule="exact"/>
              <w:ind w:firstLine="420" w:firstLineChars="2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bl>
    <w:p w14:paraId="60A51E16">
      <w:pPr>
        <w:spacing w:line="380" w:lineRule="exact"/>
        <w:ind w:left="449" w:leftChars="114" w:hanging="210" w:hangingChars="100"/>
        <w:rPr>
          <w:rFonts w:ascii="宋体" w:hAnsi="宋体" w:eastAsia="宋体" w:cs="宋体"/>
          <w:b/>
          <w:color w:val="auto"/>
          <w:kern w:val="0"/>
          <w:szCs w:val="21"/>
          <w:highlight w:val="none"/>
          <w:lang w:val="zh-CN"/>
        </w:rPr>
      </w:pPr>
      <w:r>
        <w:rPr>
          <w:rFonts w:hint="eastAsia" w:ascii="宋体" w:hAnsi="宋体" w:eastAsia="宋体" w:cs="宋体"/>
          <w:bCs/>
          <w:color w:val="auto"/>
          <w:kern w:val="0"/>
          <w:szCs w:val="21"/>
          <w:highlight w:val="none"/>
          <w:lang w:val="zh-CN"/>
        </w:rPr>
        <w:t>注：供应商凭经采购人审批的退付意见书到保证金收取单位办理履约保证金退付事宜</w:t>
      </w:r>
      <w:r>
        <w:rPr>
          <w:rFonts w:hint="eastAsia" w:ascii="宋体" w:hAnsi="宋体" w:eastAsia="宋体" w:cs="宋体"/>
          <w:b/>
          <w:bCs/>
          <w:color w:val="auto"/>
          <w:kern w:val="0"/>
          <w:szCs w:val="21"/>
          <w:highlight w:val="none"/>
          <w:lang w:val="zh-CN"/>
        </w:rPr>
        <w:t>。</w:t>
      </w:r>
    </w:p>
    <w:p w14:paraId="68E140B2">
      <w:pPr>
        <w:widowControl/>
        <w:jc w:val="left"/>
        <w:rPr>
          <w:rFonts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br w:type="page"/>
      </w:r>
    </w:p>
    <w:p w14:paraId="37A86D82">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color w:val="auto"/>
          <w:kern w:val="44"/>
          <w:sz w:val="44"/>
          <w:szCs w:val="44"/>
          <w:highlight w:val="none"/>
        </w:rPr>
      </w:pPr>
      <w:bookmarkStart w:id="10" w:name="_Toc108596904"/>
      <w:r>
        <w:rPr>
          <w:rFonts w:hint="eastAsia" w:ascii="宋体" w:hAnsi="宋体" w:eastAsia="宋体" w:cs="宋体"/>
          <w:b/>
          <w:bCs/>
          <w:color w:val="auto"/>
          <w:kern w:val="44"/>
          <w:sz w:val="44"/>
          <w:szCs w:val="44"/>
          <w:highlight w:val="none"/>
        </w:rPr>
        <w:t>第三章 采购需求</w:t>
      </w:r>
      <w:bookmarkEnd w:id="10"/>
    </w:p>
    <w:p w14:paraId="57EB0193">
      <w:pPr>
        <w:keepNext/>
        <w:keepLines/>
        <w:widowControl/>
        <w:spacing w:line="320" w:lineRule="exact"/>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602F80BF">
      <w:pPr>
        <w:spacing w:line="320" w:lineRule="exact"/>
        <w:ind w:firstLine="420"/>
        <w:rPr>
          <w:rFonts w:ascii="宋体" w:hAnsi="宋体" w:eastAsia="宋体" w:cs="宋体"/>
          <w:color w:val="auto"/>
          <w:highlight w:val="none"/>
        </w:rPr>
      </w:pPr>
      <w:r>
        <w:rPr>
          <w:rFonts w:hint="eastAsia" w:ascii="宋体" w:hAnsi="宋体" w:eastAsia="宋体" w:cs="宋体"/>
          <w:color w:val="auto"/>
          <w:szCs w:val="24"/>
          <w:highlight w:val="none"/>
        </w:rPr>
        <w:t>1.为落实政府采购政策需满足的要求</w:t>
      </w:r>
    </w:p>
    <w:p w14:paraId="342C60D1">
      <w:pPr>
        <w:spacing w:line="320" w:lineRule="exact"/>
        <w:ind w:firstLine="420"/>
        <w:rPr>
          <w:rFonts w:ascii="宋体" w:hAnsi="宋体" w:eastAsia="宋体" w:cs="宋体"/>
          <w:color w:val="auto"/>
          <w:highlight w:val="none"/>
        </w:rPr>
      </w:pPr>
      <w:r>
        <w:rPr>
          <w:rFonts w:hint="eastAsia" w:ascii="宋体" w:hAnsi="宋体" w:eastAsia="宋体" w:cs="宋体"/>
          <w:color w:val="auto"/>
          <w:highlight w:val="none"/>
        </w:rPr>
        <w:t>（1）本竞争性磋商采购文件所称中小企业必须符合《政府采购促进中小企业发展管理办法》（财库〔2020〕46号）的规定。</w:t>
      </w:r>
    </w:p>
    <w:p w14:paraId="56C49BA8">
      <w:pPr>
        <w:spacing w:line="320" w:lineRule="exact"/>
        <w:ind w:firstLine="420"/>
        <w:rPr>
          <w:rFonts w:ascii="宋体" w:hAnsi="宋体" w:eastAsia="宋体" w:cs="宋体"/>
          <w:color w:val="auto"/>
          <w:highlight w:val="none"/>
        </w:rPr>
      </w:pPr>
      <w:r>
        <w:rPr>
          <w:rFonts w:hint="eastAsia" w:ascii="宋体" w:hAnsi="宋体" w:eastAsia="宋体" w:cs="宋体"/>
          <w:color w:val="auto"/>
          <w:highlight w:val="none"/>
        </w:rPr>
        <w:t>（2）根据《财政部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配套货物属于品目清单内标注“★”的产品时，供应商的竞标货物必须使用政府强制采购的节能产品，供应商必须在响应文件中提供所竞标产品的节能产品认证证书复印件（加盖供应商公章），否则响应文件按无效响应处理。如本项目包含的配套货物属于品目清单内非标注“★”的产品时，应优先采购，具体详见“第四章 评审程序、评审方法和评审标准”。</w:t>
      </w:r>
    </w:p>
    <w:p w14:paraId="2DDCCF6D">
      <w:pPr>
        <w:spacing w:line="320" w:lineRule="exact"/>
        <w:ind w:firstLine="420"/>
        <w:rPr>
          <w:rFonts w:ascii="宋体" w:hAnsi="宋体" w:eastAsia="宋体" w:cs="宋体"/>
          <w:color w:val="auto"/>
          <w:highlight w:val="none"/>
        </w:rPr>
      </w:pPr>
      <w:r>
        <w:rPr>
          <w:rFonts w:hint="eastAsia" w:ascii="宋体" w:hAnsi="宋体" w:eastAsia="宋体" w:cs="宋体"/>
          <w:color w:val="auto"/>
          <w:highlight w:val="none"/>
        </w:rPr>
        <w:t>（3）根据《财政部 发展改革委 生态环境部 市场监管总局关于调整优化节能产品、环境标志产品政府采购执行机制的通知》（财库〔2019〕9号）和《关于印发环境标志产品政府采购品目清单的通知》（财库〔2019〕18号）的规定，如本项目包含的配套货物属于环境标志产品政府采购品目清单内的产品时，应优先采购，具体详见“第四章 评审程序、评审方法和评审标准”。</w:t>
      </w:r>
    </w:p>
    <w:p w14:paraId="56183DC8">
      <w:pPr>
        <w:pageBreakBefore w:val="0"/>
        <w:widowControl w:val="0"/>
        <w:kinsoku/>
        <w:wordWrap/>
        <w:overflowPunct/>
        <w:topLinePunct w:val="0"/>
        <w:autoSpaceDE/>
        <w:autoSpaceDN/>
        <w:bidi w:val="0"/>
        <w:adjustRightInd/>
        <w:snapToGrid/>
        <w:spacing w:line="320" w:lineRule="exact"/>
        <w:ind w:firstLine="424" w:firstLineChars="202"/>
        <w:textAlignment w:val="auto"/>
        <w:rPr>
          <w:rFonts w:ascii="宋体" w:hAnsi="宋体" w:eastAsia="宋体" w:cs="宋体"/>
          <w:color w:val="auto"/>
          <w:highlight w:val="none"/>
        </w:rPr>
      </w:pPr>
      <w:r>
        <w:rPr>
          <w:rFonts w:hint="eastAsia" w:ascii="宋体" w:hAnsi="宋体" w:eastAsia="宋体" w:cs="宋体"/>
          <w:color w:val="auto"/>
          <w:highlight w:val="none"/>
        </w:rPr>
        <w:t>2.“实质性要求”是指采购需求中带“</w:t>
      </w:r>
      <w:r>
        <w:rPr>
          <w:rFonts w:hint="eastAsia" w:ascii="仿宋" w:hAnsi="仿宋" w:eastAsia="仿宋" w:cs="仿宋"/>
          <w:color w:val="auto"/>
          <w:highlight w:val="none"/>
        </w:rPr>
        <w:t>▲</w:t>
      </w:r>
      <w:r>
        <w:rPr>
          <w:rFonts w:hint="eastAsia" w:ascii="宋体" w:hAnsi="宋体" w:eastAsia="宋体" w:cs="宋体"/>
          <w:color w:val="auto"/>
          <w:highlight w:val="none"/>
        </w:rPr>
        <w:t>”的条款或者不能负偏离的条款或者已经指明不满足按响应文件按无效处理的条款。</w:t>
      </w:r>
    </w:p>
    <w:p w14:paraId="328D28B6">
      <w:pPr>
        <w:spacing w:line="320" w:lineRule="exact"/>
        <w:ind w:firstLine="424" w:firstLineChars="202"/>
        <w:rPr>
          <w:rFonts w:ascii="宋体" w:hAnsi="宋体" w:eastAsia="宋体" w:cs="宋体"/>
          <w:color w:val="auto"/>
          <w:highlight w:val="none"/>
        </w:rPr>
      </w:pPr>
      <w:r>
        <w:rPr>
          <w:rFonts w:hint="eastAsia" w:ascii="宋体" w:hAnsi="宋体" w:eastAsia="宋体" w:cs="宋体"/>
          <w:color w:val="auto"/>
          <w:highlight w:val="none"/>
        </w:rPr>
        <w:t>3.采购需求中出现的品牌、型号或者生产供应商仅起参考作用，不属于指定品牌、型号或者生产供应商的情形。供应商可参照或者选用其他相当的品牌、型号或者生产供应商替代。</w:t>
      </w:r>
    </w:p>
    <w:p w14:paraId="390E9517">
      <w:pPr>
        <w:spacing w:line="320" w:lineRule="exact"/>
        <w:ind w:firstLine="424" w:firstLineChars="202"/>
        <w:rPr>
          <w:rFonts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.根据《关于信息安全产品实施政府采购的通知》（财库[2010]48号）的规定，凡涉及信息安全产品的设备，必须提供由中国信息安全认证中心按国家标准认证颁发的有效认证证书复印件。</w:t>
      </w:r>
    </w:p>
    <w:p w14:paraId="0A8CB3AE">
      <w:pPr>
        <w:spacing w:line="320" w:lineRule="exact"/>
        <w:ind w:firstLine="424" w:firstLineChars="202"/>
        <w:rPr>
          <w:rFonts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color w:val="auto"/>
          <w:szCs w:val="24"/>
          <w:highlight w:val="none"/>
        </w:rPr>
        <w:t>供应商必须自行为其竞标产品侵犯他人的知识产权或者专利成果的行为承担相应法律责任。</w:t>
      </w:r>
    </w:p>
    <w:p w14:paraId="74957263">
      <w:pPr>
        <w:spacing w:line="320" w:lineRule="exact"/>
        <w:ind w:firstLine="424" w:firstLineChars="202"/>
        <w:rPr>
          <w:rFonts w:ascii="宋体" w:hAnsi="宋体" w:eastAsia="宋体" w:cs="宋体"/>
          <w:b/>
          <w:bCs/>
          <w:color w:val="auto"/>
          <w:highlight w:val="none"/>
        </w:rPr>
      </w:pPr>
      <w:r>
        <w:rPr>
          <w:rFonts w:hint="eastAsia" w:ascii="宋体" w:hAnsi="宋体" w:eastAsia="宋体" w:cs="宋体"/>
          <w:b w:val="0"/>
          <w:bCs w:val="0"/>
          <w:color w:val="auto"/>
          <w:highlight w:val="none"/>
          <w:lang w:val="en-US" w:eastAsia="zh-CN"/>
        </w:rPr>
        <w:t>6</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eastAsia="zh-CN"/>
        </w:rPr>
        <w:t>本项目</w:t>
      </w:r>
      <w:r>
        <w:rPr>
          <w:rFonts w:hint="eastAsia" w:ascii="宋体" w:hAnsi="宋体" w:eastAsia="宋体" w:cs="宋体"/>
          <w:b w:val="0"/>
          <w:bCs w:val="0"/>
          <w:color w:val="auto"/>
          <w:highlight w:val="none"/>
        </w:rPr>
        <w:t>所属行业：租赁和商务服务业</w:t>
      </w:r>
      <w:r>
        <w:rPr>
          <w:rFonts w:hint="eastAsia" w:ascii="宋体" w:hAnsi="宋体" w:eastAsia="宋体" w:cs="宋体"/>
          <w:b w:val="0"/>
          <w:bCs w:val="0"/>
          <w:color w:val="auto"/>
          <w:szCs w:val="21"/>
          <w:highlight w:val="none"/>
        </w:rPr>
        <w:t>。</w:t>
      </w:r>
    </w:p>
    <w:tbl>
      <w:tblPr>
        <w:tblStyle w:val="26"/>
        <w:tblW w:w="93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1335"/>
        <w:gridCol w:w="90"/>
        <w:gridCol w:w="570"/>
        <w:gridCol w:w="705"/>
        <w:gridCol w:w="5975"/>
      </w:tblGrid>
      <w:tr w14:paraId="43E15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476C8E0E">
            <w:pPr>
              <w:keepNext w:val="0"/>
              <w:keepLines w:val="0"/>
              <w:pageBreakBefore w:val="0"/>
              <w:widowControl/>
              <w:shd w:val="clear" w:color="auto" w:fill="auto"/>
              <w:tabs>
                <w:tab w:val="left" w:pos="180"/>
                <w:tab w:val="left" w:pos="1620"/>
              </w:tabs>
              <w:kinsoku/>
              <w:wordWrap/>
              <w:overflowPunct/>
              <w:topLinePunct w:val="0"/>
              <w:autoSpaceDE/>
              <w:autoSpaceDN/>
              <w:bidi w:val="0"/>
              <w:adjustRightInd/>
              <w:snapToGrid/>
              <w:spacing w:line="288" w:lineRule="auto"/>
              <w:ind w:left="0" w:leftChars="0" w:firstLine="0" w:firstLineChars="0"/>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58B5B06">
            <w:pPr>
              <w:keepNext w:val="0"/>
              <w:keepLines w:val="0"/>
              <w:pageBreakBefore w:val="0"/>
              <w:widowControl/>
              <w:shd w:val="clear" w:color="auto" w:fill="auto"/>
              <w:tabs>
                <w:tab w:val="left" w:pos="180"/>
                <w:tab w:val="left" w:pos="1620"/>
              </w:tabs>
              <w:kinsoku/>
              <w:wordWrap/>
              <w:overflowPunct/>
              <w:topLinePunct w:val="0"/>
              <w:autoSpaceDE/>
              <w:autoSpaceDN/>
              <w:bidi w:val="0"/>
              <w:adjustRightInd/>
              <w:snapToGrid/>
              <w:spacing w:line="288" w:lineRule="auto"/>
              <w:ind w:left="0" w:leftChars="0" w:firstLine="0" w:firstLineChars="0"/>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标的名称</w:t>
            </w:r>
          </w:p>
        </w:tc>
        <w:tc>
          <w:tcPr>
            <w:tcW w:w="660" w:type="dxa"/>
            <w:gridSpan w:val="2"/>
            <w:tcBorders>
              <w:top w:val="single" w:color="000000" w:sz="4" w:space="0"/>
              <w:left w:val="single" w:color="000000" w:sz="4" w:space="0"/>
              <w:bottom w:val="single" w:color="000000" w:sz="4" w:space="0"/>
              <w:right w:val="single" w:color="000000" w:sz="4" w:space="0"/>
            </w:tcBorders>
            <w:noWrap w:val="0"/>
            <w:vAlign w:val="center"/>
          </w:tcPr>
          <w:p w14:paraId="0735A86F">
            <w:pPr>
              <w:keepNext w:val="0"/>
              <w:keepLines w:val="0"/>
              <w:pageBreakBefore w:val="0"/>
              <w:widowControl/>
              <w:shd w:val="clear" w:color="auto" w:fill="auto"/>
              <w:tabs>
                <w:tab w:val="left" w:pos="180"/>
                <w:tab w:val="left" w:pos="1620"/>
              </w:tabs>
              <w:kinsoku/>
              <w:wordWrap/>
              <w:overflowPunct/>
              <w:topLinePunct w:val="0"/>
              <w:autoSpaceDE/>
              <w:autoSpaceDN/>
              <w:bidi w:val="0"/>
              <w:adjustRightInd/>
              <w:snapToGrid/>
              <w:spacing w:line="288" w:lineRule="auto"/>
              <w:ind w:left="0" w:leftChars="0" w:firstLine="0" w:firstLineChars="0"/>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0ED34F3">
            <w:pPr>
              <w:keepNext w:val="0"/>
              <w:keepLines w:val="0"/>
              <w:pageBreakBefore w:val="0"/>
              <w:widowControl/>
              <w:shd w:val="clear" w:color="auto" w:fill="auto"/>
              <w:tabs>
                <w:tab w:val="left" w:pos="180"/>
                <w:tab w:val="left" w:pos="1620"/>
              </w:tabs>
              <w:kinsoku/>
              <w:wordWrap/>
              <w:overflowPunct/>
              <w:topLinePunct w:val="0"/>
              <w:autoSpaceDE/>
              <w:autoSpaceDN/>
              <w:bidi w:val="0"/>
              <w:adjustRightInd/>
              <w:snapToGrid/>
              <w:spacing w:line="288" w:lineRule="auto"/>
              <w:ind w:left="0" w:leftChars="0" w:firstLine="0" w:firstLineChars="0"/>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单位</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14:paraId="1FF46745">
            <w:pPr>
              <w:keepNext w:val="0"/>
              <w:keepLines w:val="0"/>
              <w:pageBreakBefore w:val="0"/>
              <w:widowControl/>
              <w:shd w:val="clear" w:color="auto" w:fill="auto"/>
              <w:tabs>
                <w:tab w:val="left" w:pos="180"/>
                <w:tab w:val="left" w:pos="1620"/>
              </w:tabs>
              <w:kinsoku/>
              <w:wordWrap/>
              <w:overflowPunct/>
              <w:topLinePunct w:val="0"/>
              <w:autoSpaceDE/>
              <w:autoSpaceDN/>
              <w:bidi w:val="0"/>
              <w:adjustRightInd/>
              <w:snapToGrid/>
              <w:spacing w:line="288" w:lineRule="auto"/>
              <w:ind w:left="210" w:leftChars="100" w:firstLine="0" w:firstLineChars="0"/>
              <w:jc w:val="center"/>
              <w:textAlignment w:val="auto"/>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服务</w:t>
            </w:r>
            <w:r>
              <w:rPr>
                <w:rFonts w:hint="eastAsia" w:ascii="宋体" w:hAnsi="宋体" w:cs="宋体"/>
                <w:b/>
                <w:bCs/>
                <w:color w:val="auto"/>
                <w:szCs w:val="21"/>
                <w:highlight w:val="none"/>
                <w:lang w:eastAsia="zh-CN"/>
              </w:rPr>
              <w:t>内容及要求</w:t>
            </w:r>
          </w:p>
        </w:tc>
      </w:tr>
      <w:tr w14:paraId="38E0A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04606864">
            <w:pPr>
              <w:keepNext w:val="0"/>
              <w:keepLines w:val="0"/>
              <w:pageBreakBefore w:val="0"/>
              <w:widowControl/>
              <w:shd w:val="clear" w:color="auto" w:fill="auto"/>
              <w:tabs>
                <w:tab w:val="left" w:pos="180"/>
                <w:tab w:val="left" w:pos="1620"/>
              </w:tabs>
              <w:kinsoku/>
              <w:wordWrap/>
              <w:overflowPunct/>
              <w:topLinePunct w:val="0"/>
              <w:autoSpaceDE/>
              <w:autoSpaceDN/>
              <w:bidi w:val="0"/>
              <w:adjustRightInd/>
              <w:snapToGrid/>
              <w:spacing w:line="288" w:lineRule="auto"/>
              <w:ind w:left="0" w:leftChars="0" w:firstLine="0" w:firstLineChars="0"/>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C8194B1">
            <w:pPr>
              <w:keepNext w:val="0"/>
              <w:keepLines w:val="0"/>
              <w:pageBreakBefore w:val="0"/>
              <w:widowControl/>
              <w:shd w:val="clear" w:color="auto" w:fill="auto"/>
              <w:tabs>
                <w:tab w:val="left" w:pos="180"/>
                <w:tab w:val="left" w:pos="1620"/>
              </w:tabs>
              <w:kinsoku/>
              <w:wordWrap/>
              <w:overflowPunct/>
              <w:topLinePunct w:val="0"/>
              <w:autoSpaceDE/>
              <w:autoSpaceDN/>
              <w:bidi w:val="0"/>
              <w:adjustRightInd/>
              <w:snapToGrid/>
              <w:spacing w:line="288" w:lineRule="auto"/>
              <w:ind w:left="210" w:leftChars="100" w:firstLine="0" w:firstLineChars="0"/>
              <w:jc w:val="center"/>
              <w:textAlignment w:val="auto"/>
              <w:rPr>
                <w:rFonts w:hint="eastAsia" w:ascii="宋体" w:hAnsi="宋体" w:cs="宋体" w:eastAsiaTheme="minorEastAsia"/>
                <w:color w:val="auto"/>
                <w:szCs w:val="21"/>
                <w:highlight w:val="none"/>
                <w:lang w:eastAsia="zh-CN"/>
              </w:rPr>
            </w:pPr>
            <w:r>
              <w:rPr>
                <w:rFonts w:hint="eastAsia" w:ascii="宋体" w:hAnsi="宋体"/>
                <w:color w:val="auto"/>
                <w:szCs w:val="21"/>
                <w:highlight w:val="none"/>
                <w:lang w:eastAsia="zh-CN"/>
              </w:rPr>
              <w:t>区直住房保障中心2025-2026年劳务外包服务项目</w:t>
            </w:r>
          </w:p>
        </w:tc>
        <w:tc>
          <w:tcPr>
            <w:tcW w:w="660" w:type="dxa"/>
            <w:gridSpan w:val="2"/>
            <w:tcBorders>
              <w:top w:val="single" w:color="000000" w:sz="4" w:space="0"/>
              <w:left w:val="single" w:color="000000" w:sz="4" w:space="0"/>
              <w:bottom w:val="single" w:color="000000" w:sz="4" w:space="0"/>
              <w:right w:val="single" w:color="000000" w:sz="4" w:space="0"/>
            </w:tcBorders>
            <w:noWrap w:val="0"/>
            <w:vAlign w:val="center"/>
          </w:tcPr>
          <w:p w14:paraId="0310AE28">
            <w:pPr>
              <w:keepNext w:val="0"/>
              <w:keepLines w:val="0"/>
              <w:pageBreakBefore w:val="0"/>
              <w:widowControl/>
              <w:shd w:val="clear" w:color="auto" w:fill="auto"/>
              <w:tabs>
                <w:tab w:val="left" w:pos="180"/>
                <w:tab w:val="left" w:pos="1620"/>
              </w:tabs>
              <w:kinsoku/>
              <w:wordWrap/>
              <w:overflowPunct/>
              <w:topLinePunct w:val="0"/>
              <w:autoSpaceDE/>
              <w:autoSpaceDN/>
              <w:bidi w:val="0"/>
              <w:adjustRightInd/>
              <w:snapToGrid/>
              <w:spacing w:line="288" w:lineRule="auto"/>
              <w:ind w:left="0" w:leftChars="0" w:firstLine="0" w:firstLineChars="0"/>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4C40D001">
            <w:pPr>
              <w:keepNext w:val="0"/>
              <w:keepLines w:val="0"/>
              <w:pageBreakBefore w:val="0"/>
              <w:widowControl/>
              <w:shd w:val="clear" w:color="auto" w:fill="auto"/>
              <w:tabs>
                <w:tab w:val="left" w:pos="180"/>
                <w:tab w:val="left" w:pos="1620"/>
              </w:tabs>
              <w:kinsoku/>
              <w:wordWrap/>
              <w:overflowPunct/>
              <w:topLinePunct w:val="0"/>
              <w:autoSpaceDE/>
              <w:autoSpaceDN/>
              <w:bidi w:val="0"/>
              <w:adjustRightInd/>
              <w:snapToGrid/>
              <w:spacing w:line="288" w:lineRule="auto"/>
              <w:ind w:left="0" w:leftChars="0" w:firstLine="0" w:firstLineChars="0"/>
              <w:jc w:val="center"/>
              <w:textAlignment w:val="auto"/>
              <w:rPr>
                <w:rFonts w:ascii="宋体" w:hAnsi="宋体" w:cs="宋体"/>
                <w:color w:val="auto"/>
                <w:szCs w:val="21"/>
                <w:highlight w:val="none"/>
              </w:rPr>
            </w:pPr>
            <w:r>
              <w:rPr>
                <w:rFonts w:hint="eastAsia" w:ascii="宋体" w:hAnsi="宋体" w:cs="宋体"/>
                <w:color w:val="auto"/>
                <w:szCs w:val="21"/>
                <w:highlight w:val="none"/>
              </w:rPr>
              <w:t>项</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14:paraId="5DF131F3">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0" w:firstLineChars="0"/>
              <w:jc w:val="left"/>
              <w:textAlignment w:val="auto"/>
              <w:rPr>
                <w:color w:val="auto"/>
                <w:highlight w:val="none"/>
                <w:u w:val="none"/>
              </w:rPr>
            </w:pPr>
            <w:r>
              <w:rPr>
                <w:rFonts w:hint="eastAsia" w:ascii="宋体" w:hAnsi="宋体" w:cs="宋体"/>
                <w:b/>
                <w:color w:val="auto"/>
                <w:szCs w:val="21"/>
                <w:highlight w:val="none"/>
                <w:u w:val="none"/>
              </w:rPr>
              <w:t>▲</w:t>
            </w:r>
            <w:r>
              <w:rPr>
                <w:rFonts w:hint="eastAsia" w:ascii="宋体" w:hAnsi="宋体" w:cs="宋体"/>
                <w:color w:val="auto"/>
                <w:highlight w:val="none"/>
                <w:u w:val="none"/>
              </w:rPr>
              <w:t>一、</w:t>
            </w:r>
            <w:r>
              <w:rPr>
                <w:rFonts w:hint="eastAsia"/>
                <w:b/>
                <w:bCs/>
                <w:color w:val="auto"/>
                <w:highlight w:val="none"/>
                <w:u w:val="none"/>
              </w:rPr>
              <w:t>服务形式：</w:t>
            </w:r>
            <w:r>
              <w:rPr>
                <w:rFonts w:hint="eastAsia" w:ascii="宋体" w:hAnsi="宋体" w:cs="宋体"/>
                <w:bCs/>
                <w:color w:val="auto"/>
                <w:szCs w:val="21"/>
                <w:highlight w:val="none"/>
                <w:u w:val="none"/>
              </w:rPr>
              <w:t>劳务外包服务。</w:t>
            </w:r>
          </w:p>
          <w:p w14:paraId="523A04C7">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0" w:firstLineChars="0"/>
              <w:jc w:val="left"/>
              <w:textAlignment w:val="auto"/>
              <w:rPr>
                <w:color w:val="auto"/>
                <w:highlight w:val="none"/>
                <w:u w:val="none"/>
              </w:rPr>
            </w:pPr>
            <w:r>
              <w:rPr>
                <w:rFonts w:hint="eastAsia" w:ascii="宋体" w:hAnsi="宋体" w:cs="宋体"/>
                <w:b/>
                <w:color w:val="auto"/>
                <w:szCs w:val="21"/>
                <w:highlight w:val="none"/>
                <w:u w:val="none"/>
              </w:rPr>
              <w:t>▲</w:t>
            </w:r>
            <w:r>
              <w:rPr>
                <w:rFonts w:hint="eastAsia"/>
                <w:b/>
                <w:bCs/>
                <w:color w:val="auto"/>
                <w:highlight w:val="none"/>
                <w:u w:val="none"/>
              </w:rPr>
              <w:t>二、服务期限：</w:t>
            </w:r>
            <w:r>
              <w:rPr>
                <w:rFonts w:hint="eastAsia" w:ascii="宋体" w:hAnsi="宋体"/>
                <w:color w:val="auto"/>
                <w:szCs w:val="21"/>
                <w:highlight w:val="none"/>
                <w:u w:val="none"/>
              </w:rPr>
              <w:t>自合同签订之日起</w:t>
            </w:r>
            <w:r>
              <w:rPr>
                <w:rFonts w:hint="eastAsia" w:ascii="宋体" w:hAnsi="宋体"/>
                <w:color w:val="auto"/>
                <w:szCs w:val="21"/>
                <w:highlight w:val="none"/>
                <w:u w:val="none"/>
                <w:lang w:eastAsia="zh-CN"/>
              </w:rPr>
              <w:t>两</w:t>
            </w:r>
            <w:r>
              <w:rPr>
                <w:rFonts w:hint="eastAsia" w:ascii="宋体" w:hAnsi="宋体"/>
                <w:color w:val="auto"/>
                <w:szCs w:val="21"/>
                <w:highlight w:val="none"/>
                <w:u w:val="none"/>
              </w:rPr>
              <w:t>年。</w:t>
            </w:r>
          </w:p>
          <w:p w14:paraId="19B3CC71">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0" w:firstLineChars="0"/>
              <w:jc w:val="left"/>
              <w:textAlignment w:val="auto"/>
              <w:rPr>
                <w:rFonts w:hint="eastAsia" w:eastAsiaTheme="minorEastAsia"/>
                <w:b/>
                <w:bCs/>
                <w:color w:val="auto"/>
                <w:highlight w:val="none"/>
                <w:u w:val="none"/>
                <w:lang w:eastAsia="zh-CN"/>
              </w:rPr>
            </w:pPr>
            <w:r>
              <w:rPr>
                <w:rFonts w:hint="eastAsia"/>
                <w:b/>
                <w:bCs/>
                <w:color w:val="auto"/>
                <w:highlight w:val="none"/>
                <w:u w:val="none"/>
              </w:rPr>
              <w:t>三、人员数量：</w:t>
            </w:r>
            <w:r>
              <w:rPr>
                <w:rFonts w:hint="eastAsia"/>
                <w:color w:val="auto"/>
                <w:highlight w:val="none"/>
                <w:u w:val="none"/>
                <w:lang w:eastAsia="zh-CN"/>
              </w:rPr>
              <w:t>暂定</w:t>
            </w:r>
            <w:r>
              <w:rPr>
                <w:rFonts w:hint="eastAsia"/>
                <w:color w:val="auto"/>
                <w:highlight w:val="none"/>
                <w:u w:val="none"/>
              </w:rPr>
              <w:t>17人</w:t>
            </w:r>
            <w:r>
              <w:rPr>
                <w:rFonts w:hint="eastAsia"/>
                <w:color w:val="auto"/>
                <w:highlight w:val="none"/>
                <w:u w:val="none"/>
                <w:lang w:eastAsia="zh-CN"/>
              </w:rPr>
              <w:t>（</w:t>
            </w:r>
            <w:r>
              <w:rPr>
                <w:rFonts w:hint="eastAsia"/>
                <w:color w:val="auto"/>
                <w:highlight w:val="none"/>
                <w:u w:val="none"/>
              </w:rPr>
              <w:t>具体人数根据采购人工作需要进行确定</w:t>
            </w:r>
            <w:r>
              <w:rPr>
                <w:rFonts w:hint="eastAsia"/>
                <w:color w:val="auto"/>
                <w:highlight w:val="none"/>
                <w:u w:val="none"/>
                <w:lang w:eastAsia="zh-CN"/>
              </w:rPr>
              <w:t>）</w:t>
            </w:r>
          </w:p>
          <w:p w14:paraId="4C9C17F0">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0" w:firstLineChars="0"/>
              <w:jc w:val="left"/>
              <w:textAlignment w:val="auto"/>
              <w:rPr>
                <w:b/>
                <w:bCs/>
                <w:color w:val="auto"/>
                <w:highlight w:val="none"/>
                <w:u w:val="none"/>
              </w:rPr>
            </w:pPr>
            <w:r>
              <w:rPr>
                <w:rFonts w:hint="eastAsia"/>
                <w:b/>
                <w:bCs/>
                <w:color w:val="auto"/>
                <w:highlight w:val="none"/>
                <w:u w:val="none"/>
              </w:rPr>
              <w:t>（一）综合性配套服务工作岗15人。</w:t>
            </w:r>
          </w:p>
          <w:p w14:paraId="02E88312">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0" w:firstLineChars="0"/>
              <w:jc w:val="left"/>
              <w:textAlignment w:val="auto"/>
              <w:rPr>
                <w:color w:val="auto"/>
                <w:highlight w:val="none"/>
                <w:u w:val="none"/>
              </w:rPr>
            </w:pPr>
            <w:r>
              <w:rPr>
                <w:rFonts w:hint="eastAsia" w:ascii="宋体" w:hAnsi="宋体" w:cs="宋体"/>
                <w:b/>
                <w:color w:val="auto"/>
                <w:szCs w:val="21"/>
                <w:highlight w:val="none"/>
                <w:u w:val="none"/>
              </w:rPr>
              <w:t>▲</w:t>
            </w:r>
            <w:r>
              <w:rPr>
                <w:rFonts w:hint="eastAsia"/>
                <w:color w:val="auto"/>
                <w:highlight w:val="none"/>
                <w:u w:val="none"/>
              </w:rPr>
              <w:t>1</w:t>
            </w:r>
            <w:r>
              <w:rPr>
                <w:rFonts w:hint="eastAsia"/>
                <w:color w:val="auto"/>
                <w:highlight w:val="none"/>
                <w:u w:val="none"/>
                <w:lang w:val="en-US" w:eastAsia="zh-CN"/>
              </w:rPr>
              <w:t>.</w:t>
            </w:r>
            <w:r>
              <w:rPr>
                <w:rFonts w:hint="eastAsia"/>
                <w:color w:val="auto"/>
                <w:highlight w:val="none"/>
                <w:u w:val="none"/>
              </w:rPr>
              <w:t>工作岗位要求：办公室综合文秘、后勤服务配套服务工作；区直和中直驻邕单位公有住房出售评估和上市等相关配套服务工作；区直危旧房改造的相关配套服务工作、区直单位住房、办公用房开发、建设、改造等相关配套工作；区直和中直驻邕单位住房资金的归集、管理和使用等相关配套服务工作；住房维修资金发放</w:t>
            </w:r>
            <w:r>
              <w:rPr>
                <w:rFonts w:hint="eastAsia"/>
                <w:color w:val="auto"/>
                <w:highlight w:val="none"/>
                <w:u w:val="none"/>
                <w:lang w:eastAsia="zh-CN"/>
              </w:rPr>
              <w:t>审核</w:t>
            </w:r>
            <w:r>
              <w:rPr>
                <w:rFonts w:hint="eastAsia"/>
                <w:color w:val="auto"/>
                <w:highlight w:val="none"/>
                <w:u w:val="none"/>
              </w:rPr>
              <w:t>的相关配套工作；其他区直房改和住房保障业务相关的配套服务工作。主要负责相关科室具体业务的配套服务工作。</w:t>
            </w:r>
          </w:p>
          <w:p w14:paraId="0CA29D3D">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0" w:firstLineChars="0"/>
              <w:jc w:val="left"/>
              <w:textAlignment w:val="auto"/>
              <w:rPr>
                <w:color w:val="auto"/>
                <w:highlight w:val="none"/>
                <w:u w:val="none"/>
              </w:rPr>
            </w:pPr>
            <w:r>
              <w:rPr>
                <w:rFonts w:hint="eastAsia" w:ascii="宋体" w:hAnsi="宋体" w:cs="宋体"/>
                <w:b/>
                <w:color w:val="auto"/>
                <w:szCs w:val="21"/>
                <w:highlight w:val="none"/>
                <w:u w:val="none"/>
              </w:rPr>
              <w:t>▲</w:t>
            </w:r>
            <w:r>
              <w:rPr>
                <w:rFonts w:hint="eastAsia"/>
                <w:color w:val="auto"/>
                <w:highlight w:val="none"/>
                <w:u w:val="none"/>
              </w:rPr>
              <w:t>2</w:t>
            </w:r>
            <w:r>
              <w:rPr>
                <w:rFonts w:hint="eastAsia"/>
                <w:color w:val="auto"/>
                <w:highlight w:val="none"/>
                <w:u w:val="none"/>
                <w:lang w:val="en-US" w:eastAsia="zh-CN"/>
              </w:rPr>
              <w:t>.</w:t>
            </w:r>
            <w:r>
              <w:rPr>
                <w:rFonts w:hint="eastAsia"/>
                <w:color w:val="auto"/>
                <w:highlight w:val="none"/>
                <w:u w:val="none"/>
              </w:rPr>
              <w:t>人员要求：性别不限，年龄 20-40 周岁，五官端正，头脑灵活，身体健康，思想觉悟高，遵纪守法，大专及以上学历，学习能力强，具备较好的沟通和团队协作能力和执行力。品行端正，具有良好的职业道德。有相关公文写作、熟练使用office办公软件，具有与工作岗位相应的专业或工作实践经历。</w:t>
            </w:r>
          </w:p>
          <w:p w14:paraId="6F6B3D1A">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0" w:firstLineChars="0"/>
              <w:jc w:val="left"/>
              <w:textAlignment w:val="auto"/>
              <w:rPr>
                <w:color w:val="auto"/>
                <w:highlight w:val="none"/>
                <w:u w:val="none"/>
              </w:rPr>
            </w:pPr>
            <w:r>
              <w:rPr>
                <w:rFonts w:hint="eastAsia" w:ascii="宋体" w:hAnsi="宋体" w:cs="宋体"/>
                <w:b/>
                <w:color w:val="auto"/>
                <w:szCs w:val="21"/>
                <w:highlight w:val="none"/>
                <w:u w:val="none"/>
              </w:rPr>
              <w:t>▲</w:t>
            </w:r>
            <w:r>
              <w:rPr>
                <w:rFonts w:hint="eastAsia"/>
                <w:color w:val="auto"/>
                <w:highlight w:val="none"/>
                <w:u w:val="none"/>
              </w:rPr>
              <w:t>3</w:t>
            </w:r>
            <w:r>
              <w:rPr>
                <w:rFonts w:hint="eastAsia"/>
                <w:color w:val="auto"/>
                <w:highlight w:val="none"/>
                <w:u w:val="none"/>
                <w:lang w:val="en-US" w:eastAsia="zh-CN"/>
              </w:rPr>
              <w:t>.</w:t>
            </w:r>
            <w:r>
              <w:rPr>
                <w:rFonts w:hint="eastAsia"/>
                <w:color w:val="auto"/>
                <w:highlight w:val="none"/>
                <w:u w:val="none"/>
              </w:rPr>
              <w:t>涉及到安全、抢险等法律法规规定的紧急情况的，采购人有权临时调整服务人员的工作岗位，服务人员必须服从。</w:t>
            </w:r>
          </w:p>
          <w:p w14:paraId="31EA22DC">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0" w:firstLineChars="0"/>
              <w:jc w:val="left"/>
              <w:textAlignment w:val="auto"/>
              <w:rPr>
                <w:b/>
                <w:bCs/>
                <w:color w:val="auto"/>
                <w:highlight w:val="none"/>
                <w:u w:val="none"/>
              </w:rPr>
            </w:pPr>
            <w:r>
              <w:rPr>
                <w:rFonts w:hint="eastAsia"/>
                <w:b/>
                <w:bCs/>
                <w:color w:val="auto"/>
                <w:highlight w:val="none"/>
                <w:u w:val="none"/>
              </w:rPr>
              <w:t>（二）保安服务岗：2人。</w:t>
            </w:r>
          </w:p>
          <w:p w14:paraId="451C3C50">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0" w:firstLineChars="0"/>
              <w:jc w:val="left"/>
              <w:textAlignment w:val="auto"/>
              <w:rPr>
                <w:color w:val="auto"/>
                <w:highlight w:val="none"/>
              </w:rPr>
            </w:pPr>
            <w:r>
              <w:rPr>
                <w:rFonts w:hint="eastAsia" w:ascii="宋体" w:hAnsi="宋体" w:cs="宋体"/>
                <w:b/>
                <w:color w:val="auto"/>
                <w:szCs w:val="21"/>
                <w:highlight w:val="none"/>
              </w:rPr>
              <w:t>▲</w:t>
            </w:r>
            <w:r>
              <w:rPr>
                <w:rFonts w:hint="eastAsia"/>
                <w:color w:val="auto"/>
                <w:highlight w:val="none"/>
              </w:rPr>
              <w:t>1</w:t>
            </w:r>
            <w:r>
              <w:rPr>
                <w:rFonts w:hint="eastAsia"/>
                <w:color w:val="auto"/>
                <w:highlight w:val="none"/>
                <w:lang w:val="en-US" w:eastAsia="zh-CN"/>
              </w:rPr>
              <w:t>.</w:t>
            </w:r>
            <w:r>
              <w:rPr>
                <w:rFonts w:hint="eastAsia"/>
                <w:color w:val="auto"/>
                <w:highlight w:val="none"/>
              </w:rPr>
              <w:t>工作岗位要求：负责采购人指定办公区域进行安全防范保卫、治安巡查、处理各种突发事件等工作，维持区域内的正常秩序，保卫区域内人员的人身和财产安全，对区域内的不文明和存在安全隐患的违规行为予以制止。</w:t>
            </w:r>
          </w:p>
          <w:p w14:paraId="128497BA">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0" w:firstLineChars="0"/>
              <w:jc w:val="left"/>
              <w:textAlignment w:val="auto"/>
              <w:rPr>
                <w:color w:val="auto"/>
                <w:highlight w:val="none"/>
              </w:rPr>
            </w:pPr>
            <w:r>
              <w:rPr>
                <w:rFonts w:hint="eastAsia" w:ascii="宋体" w:hAnsi="宋体" w:cs="宋体"/>
                <w:b/>
                <w:color w:val="auto"/>
                <w:szCs w:val="21"/>
                <w:highlight w:val="none"/>
              </w:rPr>
              <w:t>▲</w:t>
            </w:r>
            <w:r>
              <w:rPr>
                <w:rFonts w:hint="eastAsia"/>
                <w:color w:val="auto"/>
                <w:highlight w:val="none"/>
              </w:rPr>
              <w:t>2</w:t>
            </w:r>
            <w:r>
              <w:rPr>
                <w:rFonts w:hint="eastAsia"/>
                <w:color w:val="auto"/>
                <w:highlight w:val="none"/>
                <w:lang w:val="en-US" w:eastAsia="zh-CN"/>
              </w:rPr>
              <w:t>.</w:t>
            </w:r>
            <w:r>
              <w:rPr>
                <w:rFonts w:hint="eastAsia"/>
                <w:color w:val="auto"/>
                <w:highlight w:val="none"/>
              </w:rPr>
              <w:t>人员要求：年龄20-45岁，身高165厘米以上；品貌端正，身体健康，无传染性疾病，无不良嗜好；遵纪守法，无被刑事处罚、劳动教养等不良记录。</w:t>
            </w:r>
          </w:p>
          <w:p w14:paraId="0F37BC30">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0" w:firstLineChars="0"/>
              <w:jc w:val="left"/>
              <w:textAlignment w:val="auto"/>
              <w:rPr>
                <w:color w:val="auto"/>
                <w:highlight w:val="none"/>
              </w:rPr>
            </w:pPr>
            <w:r>
              <w:rPr>
                <w:rFonts w:hint="eastAsia" w:ascii="宋体" w:hAnsi="宋体" w:cs="宋体"/>
                <w:b/>
                <w:color w:val="auto"/>
                <w:szCs w:val="21"/>
                <w:highlight w:val="none"/>
              </w:rPr>
              <w:t>▲</w:t>
            </w:r>
            <w:r>
              <w:rPr>
                <w:rFonts w:hint="eastAsia"/>
                <w:color w:val="auto"/>
                <w:highlight w:val="none"/>
              </w:rPr>
              <w:t>3</w:t>
            </w:r>
            <w:r>
              <w:rPr>
                <w:rFonts w:hint="eastAsia"/>
                <w:color w:val="auto"/>
                <w:highlight w:val="none"/>
                <w:lang w:val="en-US" w:eastAsia="zh-CN"/>
              </w:rPr>
              <w:t>.</w:t>
            </w:r>
            <w:r>
              <w:rPr>
                <w:rFonts w:hint="eastAsia"/>
                <w:color w:val="auto"/>
                <w:highlight w:val="none"/>
              </w:rPr>
              <w:t>涉及到安全、抢险等法律法规规定的紧急情况的，采购人有权临时调整服务人员的工作岗位，服务人员必须服从。</w:t>
            </w:r>
          </w:p>
          <w:p w14:paraId="1A0BF5B7">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0" w:firstLineChars="0"/>
              <w:jc w:val="left"/>
              <w:textAlignment w:val="auto"/>
              <w:rPr>
                <w:b/>
                <w:bCs/>
                <w:color w:val="auto"/>
                <w:highlight w:val="none"/>
              </w:rPr>
            </w:pPr>
            <w:r>
              <w:rPr>
                <w:rFonts w:hint="eastAsia"/>
                <w:b/>
                <w:bCs/>
                <w:color w:val="auto"/>
                <w:highlight w:val="none"/>
                <w:lang w:eastAsia="zh-CN"/>
              </w:rPr>
              <w:t>四</w:t>
            </w:r>
            <w:r>
              <w:rPr>
                <w:rFonts w:hint="eastAsia"/>
                <w:b/>
                <w:bCs/>
                <w:color w:val="auto"/>
                <w:highlight w:val="none"/>
              </w:rPr>
              <w:t>、具体要求：</w:t>
            </w:r>
          </w:p>
          <w:p w14:paraId="7EC36FB8">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0" w:firstLineChars="0"/>
              <w:jc w:val="left"/>
              <w:textAlignment w:val="auto"/>
              <w:rPr>
                <w:color w:val="auto"/>
                <w:highlight w:val="none"/>
              </w:rPr>
            </w:pPr>
            <w:r>
              <w:rPr>
                <w:rFonts w:hint="eastAsia"/>
                <w:color w:val="auto"/>
                <w:highlight w:val="none"/>
              </w:rPr>
              <w:t>1</w:t>
            </w:r>
            <w:r>
              <w:rPr>
                <w:rFonts w:hint="eastAsia"/>
                <w:color w:val="auto"/>
                <w:highlight w:val="none"/>
                <w:lang w:val="en-US" w:eastAsia="zh-CN"/>
              </w:rPr>
              <w:t>.</w:t>
            </w:r>
            <w:r>
              <w:rPr>
                <w:rFonts w:hint="eastAsia"/>
                <w:color w:val="auto"/>
                <w:highlight w:val="none"/>
              </w:rPr>
              <w:t>综合性配套服务工作岗15人，每月人均基本工资不得低于</w:t>
            </w:r>
            <w:r>
              <w:rPr>
                <w:rFonts w:hint="eastAsia"/>
                <w:color w:val="auto"/>
                <w:highlight w:val="none"/>
                <w:lang w:val="en-US" w:eastAsia="zh-CN"/>
              </w:rPr>
              <w:t>3700</w:t>
            </w:r>
            <w:r>
              <w:rPr>
                <w:rFonts w:hint="eastAsia"/>
                <w:color w:val="auto"/>
                <w:highlight w:val="none"/>
              </w:rPr>
              <w:t>元/月。</w:t>
            </w:r>
          </w:p>
          <w:p w14:paraId="33E1D236">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0" w:firstLineChars="0"/>
              <w:jc w:val="left"/>
              <w:textAlignment w:val="auto"/>
              <w:rPr>
                <w:color w:val="auto"/>
                <w:highlight w:val="none"/>
              </w:rPr>
            </w:pPr>
            <w:r>
              <w:rPr>
                <w:rFonts w:hint="eastAsia"/>
                <w:color w:val="auto"/>
                <w:highlight w:val="none"/>
              </w:rPr>
              <w:t>2</w:t>
            </w:r>
            <w:r>
              <w:rPr>
                <w:rFonts w:hint="eastAsia"/>
                <w:color w:val="auto"/>
                <w:highlight w:val="none"/>
                <w:lang w:val="en-US" w:eastAsia="zh-CN"/>
              </w:rPr>
              <w:t>.</w:t>
            </w:r>
            <w:r>
              <w:rPr>
                <w:rFonts w:hint="eastAsia"/>
                <w:color w:val="auto"/>
                <w:highlight w:val="none"/>
              </w:rPr>
              <w:t>保安服务 2人，每月基本工资不得低于</w:t>
            </w:r>
            <w:r>
              <w:rPr>
                <w:rFonts w:hint="eastAsia"/>
                <w:color w:val="auto"/>
                <w:highlight w:val="none"/>
                <w:lang w:val="en-US" w:eastAsia="zh-CN"/>
              </w:rPr>
              <w:t>3300</w:t>
            </w:r>
            <w:r>
              <w:rPr>
                <w:rFonts w:hint="eastAsia"/>
                <w:color w:val="auto"/>
                <w:highlight w:val="none"/>
              </w:rPr>
              <w:t>元/月。</w:t>
            </w:r>
          </w:p>
          <w:p w14:paraId="3DB6D7D6">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0" w:firstLineChars="0"/>
              <w:jc w:val="left"/>
              <w:textAlignment w:val="auto"/>
              <w:rPr>
                <w:color w:val="auto"/>
                <w:highlight w:val="none"/>
              </w:rPr>
            </w:pPr>
            <w:r>
              <w:rPr>
                <w:rFonts w:hint="eastAsia" w:ascii="宋体" w:hAnsi="宋体" w:cs="宋体"/>
                <w:b/>
                <w:color w:val="auto"/>
                <w:szCs w:val="21"/>
                <w:highlight w:val="none"/>
              </w:rPr>
              <w:t>▲</w:t>
            </w:r>
            <w:r>
              <w:rPr>
                <w:rFonts w:hint="eastAsia"/>
                <w:color w:val="auto"/>
                <w:highlight w:val="none"/>
              </w:rPr>
              <w:t>3</w:t>
            </w:r>
            <w:r>
              <w:rPr>
                <w:rFonts w:hint="eastAsia"/>
                <w:color w:val="auto"/>
                <w:highlight w:val="none"/>
                <w:lang w:val="en-US" w:eastAsia="zh-CN"/>
              </w:rPr>
              <w:t>.</w:t>
            </w:r>
            <w:r>
              <w:rPr>
                <w:rFonts w:hint="eastAsia"/>
                <w:color w:val="auto"/>
                <w:highlight w:val="none"/>
              </w:rPr>
              <w:t>服务岗位工作人员绩效工资。</w:t>
            </w:r>
          </w:p>
          <w:p w14:paraId="287EF822">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0" w:firstLineChars="0"/>
              <w:jc w:val="left"/>
              <w:textAlignment w:val="auto"/>
              <w:rPr>
                <w:color w:val="auto"/>
                <w:highlight w:val="none"/>
              </w:rPr>
            </w:pPr>
            <w:r>
              <w:rPr>
                <w:rFonts w:hint="eastAsia" w:ascii="宋体" w:hAnsi="宋体" w:cs="宋体"/>
                <w:b/>
                <w:color w:val="auto"/>
                <w:szCs w:val="21"/>
                <w:highlight w:val="none"/>
              </w:rPr>
              <w:t>▲</w:t>
            </w:r>
            <w:r>
              <w:rPr>
                <w:rFonts w:hint="eastAsia"/>
                <w:color w:val="auto"/>
                <w:highlight w:val="none"/>
              </w:rPr>
              <w:t>4</w:t>
            </w:r>
            <w:r>
              <w:rPr>
                <w:rFonts w:hint="eastAsia"/>
                <w:color w:val="auto"/>
                <w:highlight w:val="none"/>
                <w:lang w:val="en-US" w:eastAsia="zh-CN"/>
              </w:rPr>
              <w:t>.</w:t>
            </w:r>
            <w:r>
              <w:rPr>
                <w:rFonts w:hint="eastAsia"/>
                <w:color w:val="auto"/>
                <w:highlight w:val="none"/>
              </w:rPr>
              <w:t>工会</w:t>
            </w:r>
            <w:r>
              <w:rPr>
                <w:rFonts w:hint="eastAsia"/>
                <w:color w:val="auto"/>
                <w:highlight w:val="none"/>
                <w:lang w:eastAsia="zh-CN"/>
              </w:rPr>
              <w:t>经</w:t>
            </w:r>
            <w:r>
              <w:rPr>
                <w:rFonts w:hint="eastAsia"/>
                <w:color w:val="auto"/>
                <w:highlight w:val="none"/>
              </w:rPr>
              <w:t>费</w:t>
            </w:r>
            <w:r>
              <w:rPr>
                <w:rFonts w:hint="eastAsia"/>
                <w:color w:val="auto"/>
                <w:highlight w:val="none"/>
                <w:lang w:eastAsia="zh-CN"/>
              </w:rPr>
              <w:t>，</w:t>
            </w:r>
            <w:r>
              <w:rPr>
                <w:rFonts w:hint="eastAsia"/>
                <w:color w:val="auto"/>
                <w:highlight w:val="none"/>
              </w:rPr>
              <w:t>行政补助工会活动经费</w:t>
            </w:r>
            <w:r>
              <w:rPr>
                <w:rFonts w:hint="eastAsia"/>
                <w:color w:val="auto"/>
                <w:highlight w:val="none"/>
                <w:lang w:eastAsia="zh-CN"/>
              </w:rPr>
              <w:t>，差旅费，</w:t>
            </w:r>
            <w:r>
              <w:rPr>
                <w:rFonts w:hint="eastAsia"/>
                <w:color w:val="auto"/>
                <w:highlight w:val="none"/>
              </w:rPr>
              <w:t>与单位统一的工作服，残疾人就业保障金，供应商承担的社会保险</w:t>
            </w:r>
            <w:r>
              <w:rPr>
                <w:rFonts w:hint="eastAsia"/>
                <w:color w:val="auto"/>
                <w:highlight w:val="none"/>
                <w:lang w:eastAsia="zh-CN"/>
              </w:rPr>
              <w:t>、医疗保险、住房公积金</w:t>
            </w:r>
            <w:r>
              <w:rPr>
                <w:rFonts w:hint="eastAsia"/>
                <w:color w:val="auto"/>
                <w:highlight w:val="none"/>
              </w:rPr>
              <w:t>（五险一金）费用。</w:t>
            </w:r>
          </w:p>
          <w:p w14:paraId="35F2577F">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0" w:firstLineChars="0"/>
              <w:textAlignment w:val="auto"/>
              <w:rPr>
                <w:rFonts w:ascii="宋体" w:hAnsi="宋体" w:cs="宋体"/>
                <w:b/>
                <w:bCs/>
                <w:color w:val="auto"/>
                <w:szCs w:val="21"/>
                <w:highlight w:val="none"/>
              </w:rPr>
            </w:pPr>
            <w:r>
              <w:rPr>
                <w:rFonts w:hint="eastAsia" w:ascii="宋体" w:hAnsi="宋体" w:cs="宋体"/>
                <w:b/>
                <w:color w:val="auto"/>
                <w:szCs w:val="21"/>
                <w:highlight w:val="none"/>
              </w:rPr>
              <w:t>▲</w:t>
            </w:r>
            <w:r>
              <w:rPr>
                <w:rFonts w:hint="eastAsia"/>
                <w:b/>
                <w:bCs/>
                <w:color w:val="auto"/>
                <w:highlight w:val="none"/>
                <w:lang w:eastAsia="zh-CN"/>
              </w:rPr>
              <w:t>五</w:t>
            </w:r>
            <w:r>
              <w:rPr>
                <w:rFonts w:hint="eastAsia"/>
                <w:b/>
                <w:bCs/>
                <w:color w:val="auto"/>
                <w:highlight w:val="none"/>
              </w:rPr>
              <w:t>、</w:t>
            </w:r>
            <w:r>
              <w:rPr>
                <w:rFonts w:hint="eastAsia" w:ascii="宋体" w:hAnsi="宋体" w:cs="宋体"/>
                <w:b/>
                <w:bCs/>
                <w:color w:val="auto"/>
                <w:szCs w:val="21"/>
                <w:highlight w:val="none"/>
              </w:rPr>
              <w:t>采购标的需满足的服务标准、期限、效率等要求：</w:t>
            </w:r>
          </w:p>
          <w:p w14:paraId="72FD5CDE">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要求供应商保证其提供的服务人员（协税员）符合采购人岗位要求，并按照当地社保标准依法为员工办理养老、失业、工伤、医疗、生育等社会保险</w:t>
            </w:r>
            <w:r>
              <w:rPr>
                <w:rFonts w:hint="eastAsia" w:ascii="宋体" w:hAnsi="宋体" w:cs="宋体"/>
                <w:color w:val="auto"/>
                <w:szCs w:val="21"/>
                <w:highlight w:val="none"/>
                <w:lang w:eastAsia="zh-CN"/>
              </w:rPr>
              <w:t>、医疗保险</w:t>
            </w:r>
            <w:r>
              <w:rPr>
                <w:rFonts w:hint="eastAsia" w:ascii="宋体" w:hAnsi="宋体" w:cs="宋体"/>
                <w:color w:val="auto"/>
                <w:szCs w:val="21"/>
                <w:highlight w:val="none"/>
              </w:rPr>
              <w:t>及住房公积金，并依法支付应由企业负担的社会保险</w:t>
            </w:r>
            <w:r>
              <w:rPr>
                <w:rFonts w:hint="eastAsia" w:ascii="宋体" w:hAnsi="宋体" w:cs="宋体"/>
                <w:color w:val="auto"/>
                <w:szCs w:val="21"/>
                <w:highlight w:val="none"/>
                <w:lang w:eastAsia="zh-CN"/>
              </w:rPr>
              <w:t>、医疗保险</w:t>
            </w:r>
            <w:r>
              <w:rPr>
                <w:rFonts w:hint="eastAsia" w:ascii="宋体" w:hAnsi="宋体" w:cs="宋体"/>
                <w:color w:val="auto"/>
                <w:szCs w:val="21"/>
                <w:highlight w:val="none"/>
              </w:rPr>
              <w:t>待遇。</w:t>
            </w:r>
          </w:p>
          <w:p w14:paraId="12D1D8CD">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供应商应按要求安排好服务人员按时到岗，如供应商服务人员请假超过半天（含）以上的，应安排人员顶岗。</w:t>
            </w:r>
          </w:p>
          <w:p w14:paraId="63901679">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0" w:firstLineChars="0"/>
              <w:textAlignment w:val="auto"/>
              <w:rPr>
                <w:color w:val="auto"/>
                <w:highlight w:val="none"/>
              </w:rPr>
            </w:pPr>
            <w:r>
              <w:rPr>
                <w:rFonts w:hint="eastAsia" w:ascii="宋体" w:hAnsi="宋体" w:cs="宋体"/>
                <w:b/>
                <w:color w:val="auto"/>
                <w:szCs w:val="21"/>
                <w:highlight w:val="none"/>
              </w:rPr>
              <w:t>▲</w:t>
            </w:r>
            <w:r>
              <w:rPr>
                <w:rFonts w:hint="eastAsia" w:ascii="宋体" w:hAnsi="宋体" w:cs="宋体"/>
                <w:b/>
                <w:bCs/>
                <w:color w:val="auto"/>
                <w:szCs w:val="21"/>
                <w:highlight w:val="none"/>
                <w:lang w:eastAsia="zh-CN"/>
              </w:rPr>
              <w:t>六</w:t>
            </w:r>
            <w:r>
              <w:rPr>
                <w:rFonts w:hint="eastAsia" w:ascii="宋体" w:hAnsi="宋体" w:cs="宋体"/>
                <w:b/>
                <w:bCs/>
                <w:color w:val="auto"/>
                <w:szCs w:val="21"/>
                <w:highlight w:val="none"/>
              </w:rPr>
              <w:t>、采购标的的其他技术、服务等要求</w:t>
            </w:r>
          </w:p>
          <w:p w14:paraId="158D40B4">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供应商必须在承诺</w:t>
            </w:r>
            <w:r>
              <w:rPr>
                <w:rFonts w:hint="eastAsia" w:hAnsi="宋体" w:cs="宋体"/>
                <w:color w:val="auto"/>
                <w:szCs w:val="21"/>
                <w:highlight w:val="none"/>
                <w:lang w:eastAsia="zh-CN"/>
              </w:rPr>
              <w:t>成交</w:t>
            </w:r>
            <w:r>
              <w:rPr>
                <w:rFonts w:hint="eastAsia" w:ascii="宋体" w:hAnsi="宋体" w:cs="宋体"/>
                <w:color w:val="auto"/>
                <w:szCs w:val="21"/>
                <w:highlight w:val="none"/>
              </w:rPr>
              <w:t>通知书发出后25日内与采购人签订合同。</w:t>
            </w:r>
          </w:p>
          <w:p w14:paraId="16A2C550">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自合同签订日起供应商按采购人要求的人数及要求安排服务人员到岗服务。</w:t>
            </w:r>
          </w:p>
          <w:p w14:paraId="6DF20683">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供应商必须配备1名以上责任心强、个人素质高具有较强管理能力的专职管理人员加强履行外包服务人员的管理和业务培训，与采购人进行日常沟通。</w:t>
            </w:r>
          </w:p>
          <w:p w14:paraId="07745BDB">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供应商须定期开展职业化培训，每年不少于4次培训，培训费用包括在本次采购报价当中。对员工有绩效考核，绩效考核必须到人，方案经采购人确认，基础数据由采购人提供，考核结果反馈采购人。</w:t>
            </w:r>
          </w:p>
          <w:p w14:paraId="4AC65716">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如采购人需增加服务人员，供应商应在15工作日内安排服务人员上岗服务；如因监管要求</w:t>
            </w:r>
            <w:bookmarkStart w:id="11" w:name="page59"/>
            <w:bookmarkEnd w:id="11"/>
            <w:r>
              <w:rPr>
                <w:rFonts w:hint="eastAsia" w:ascii="宋体" w:hAnsi="宋体" w:cs="宋体"/>
                <w:color w:val="auto"/>
                <w:szCs w:val="21"/>
                <w:highlight w:val="none"/>
              </w:rPr>
              <w:t>或上级的制度要求，采购人需停止该业务外包，采购人会提前30日书面通知供应商、供应商应予理解和支持，采购人不另行支付违约金。</w:t>
            </w:r>
          </w:p>
          <w:p w14:paraId="7CC1D9C0">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供应商必须与劳动者双方签订的合同规定金额支付员工薪酬、延时服务费、福利和绩效奖励，并按国家、自治区规定缴纳五险一金。</w:t>
            </w:r>
          </w:p>
          <w:p w14:paraId="7E855388">
            <w:pPr>
              <w:keepNext w:val="0"/>
              <w:keepLines w:val="0"/>
              <w:pageBreakBefore w:val="0"/>
              <w:widowControl/>
              <w:shd w:val="clear"/>
              <w:kinsoku/>
              <w:wordWrap/>
              <w:overflowPunct/>
              <w:topLinePunct w:val="0"/>
              <w:autoSpaceDE/>
              <w:autoSpaceDN/>
              <w:bidi w:val="0"/>
              <w:adjustRightInd/>
              <w:snapToGrid/>
              <w:spacing w:line="288" w:lineRule="auto"/>
              <w:ind w:left="0" w:leftChars="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w:t>
            </w:r>
            <w:r>
              <w:rPr>
                <w:rFonts w:hint="default" w:ascii="宋体" w:hAnsi="宋体" w:eastAsia="宋体" w:cs="宋体"/>
                <w:color w:val="auto"/>
                <w:szCs w:val="21"/>
                <w:highlight w:val="none"/>
              </w:rPr>
              <w:t>采购人</w:t>
            </w:r>
            <w:r>
              <w:rPr>
                <w:rFonts w:hint="default" w:ascii="宋体" w:hAnsi="宋体" w:eastAsia="宋体" w:cs="宋体"/>
                <w:color w:val="auto"/>
                <w:szCs w:val="21"/>
                <w:highlight w:val="none"/>
                <w:lang w:eastAsia="zh-CN"/>
              </w:rPr>
              <w:t>按每月</w:t>
            </w:r>
            <w:r>
              <w:rPr>
                <w:rFonts w:hint="default" w:ascii="宋体" w:hAnsi="宋体" w:eastAsia="宋体" w:cs="宋体"/>
                <w:color w:val="auto"/>
                <w:szCs w:val="21"/>
                <w:highlight w:val="none"/>
              </w:rPr>
              <w:t>实际工作情况及发生金额向供应商支付</w:t>
            </w:r>
            <w:r>
              <w:rPr>
                <w:rFonts w:hint="default" w:ascii="宋体" w:hAnsi="宋体" w:eastAsia="宋体" w:cs="宋体"/>
                <w:color w:val="auto"/>
                <w:szCs w:val="21"/>
                <w:highlight w:val="none"/>
                <w:lang w:eastAsia="zh-CN"/>
              </w:rPr>
              <w:t>费用（包括</w:t>
            </w:r>
            <w:r>
              <w:rPr>
                <w:rFonts w:hint="eastAsia" w:ascii="宋体" w:hAnsi="宋体" w:eastAsia="宋体" w:cs="宋体"/>
                <w:color w:val="auto"/>
                <w:szCs w:val="21"/>
                <w:highlight w:val="none"/>
                <w:lang w:eastAsia="zh-CN"/>
              </w:rPr>
              <w:t>但不限于</w:t>
            </w:r>
            <w:r>
              <w:rPr>
                <w:rFonts w:hint="default" w:ascii="宋体" w:hAnsi="宋体" w:eastAsia="宋体" w:cs="宋体"/>
                <w:color w:val="auto"/>
                <w:szCs w:val="21"/>
                <w:highlight w:val="none"/>
                <w:lang w:eastAsia="zh-CN"/>
              </w:rPr>
              <w:t>服务人员基本工资、绩效工资、奖励金、社会保险单位部分、医疗保险单位部分、住房公积金单位部分、残疾人</w:t>
            </w:r>
            <w:r>
              <w:rPr>
                <w:rFonts w:hint="eastAsia" w:ascii="宋体" w:hAnsi="宋体" w:eastAsia="宋体" w:cs="宋体"/>
                <w:color w:val="auto"/>
                <w:szCs w:val="21"/>
                <w:highlight w:val="none"/>
                <w:lang w:eastAsia="zh-CN"/>
              </w:rPr>
              <w:t>就业</w:t>
            </w:r>
            <w:r>
              <w:rPr>
                <w:rFonts w:hint="default" w:ascii="宋体" w:hAnsi="宋体" w:eastAsia="宋体" w:cs="宋体"/>
                <w:color w:val="auto"/>
                <w:szCs w:val="21"/>
                <w:highlight w:val="none"/>
                <w:lang w:eastAsia="zh-CN"/>
              </w:rPr>
              <w:t>保障金、税金</w:t>
            </w:r>
            <w:r>
              <w:rPr>
                <w:rFonts w:hint="eastAsia" w:ascii="宋体" w:hAnsi="宋体" w:eastAsia="宋体" w:cs="宋体"/>
                <w:color w:val="auto"/>
                <w:szCs w:val="21"/>
                <w:highlight w:val="none"/>
                <w:lang w:eastAsia="zh-CN"/>
              </w:rPr>
              <w:t>、服务费</w:t>
            </w:r>
            <w:r>
              <w:rPr>
                <w:rFonts w:hint="default" w:ascii="宋体" w:hAnsi="宋体" w:eastAsia="宋体" w:cs="宋体"/>
                <w:color w:val="auto"/>
                <w:szCs w:val="21"/>
                <w:highlight w:val="none"/>
                <w:lang w:eastAsia="zh-CN"/>
              </w:rPr>
              <w:t>及其他因工作需要产生的费用等），</w:t>
            </w:r>
            <w:r>
              <w:rPr>
                <w:rFonts w:hint="default" w:ascii="宋体" w:hAnsi="宋体" w:eastAsia="宋体" w:cs="宋体"/>
                <w:color w:val="auto"/>
                <w:szCs w:val="21"/>
                <w:highlight w:val="none"/>
              </w:rPr>
              <w:t>供应商应当开具合法有效的增值税发票及费用明细清单给采购人，采购人进行审核后于次月上旬结算上月费用，在供应商没有向采购人开具符合法律规定且符合采购人财务规定的发票之前，采购人有权不予付款。</w:t>
            </w:r>
          </w:p>
          <w:p w14:paraId="07E37EC7">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供应商必须与派驻到采购人的服务人员签订《劳动合同》，服务人员由供应商进行管理和考核，派驻到采购人的服务人员必须是经考核合格的，采购人有权要求调换或退回经考核不合格的服务人员及供应商未与服务人员签订《劳动合同》的服务人员，涉及服务人员的劳务纠纷、福利纠纷、认定、赔偿、工伤、死亡等由供应商负责，服务人员患病或者非因工负伤治疗期间的所有费用由供应商负责，供应商隐瞒或造假未与服务人员签订《劳动合同》的，造成所有的后果由供应商负责。</w:t>
            </w:r>
          </w:p>
          <w:p w14:paraId="3F36120C">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供应商服务人员在国家法定节假日提供工作服务的，延时服务费由供应商按照国家有关规定支付，具体费用供应商在报价中包含，采购人不再额外核算支付。</w:t>
            </w:r>
          </w:p>
          <w:p w14:paraId="72D31380">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合同服务期内住房公积金、</w:t>
            </w:r>
            <w:r>
              <w:rPr>
                <w:rFonts w:hint="eastAsia" w:ascii="宋体" w:hAnsi="宋体" w:cs="宋体"/>
                <w:color w:val="auto"/>
                <w:szCs w:val="21"/>
                <w:highlight w:val="none"/>
                <w:lang w:eastAsia="zh-CN"/>
              </w:rPr>
              <w:t>社会保险</w:t>
            </w:r>
            <w:r>
              <w:rPr>
                <w:rFonts w:hint="eastAsia" w:ascii="宋体" w:hAnsi="宋体" w:cs="宋体"/>
                <w:color w:val="auto"/>
                <w:szCs w:val="21"/>
                <w:highlight w:val="none"/>
              </w:rPr>
              <w:t>（养老保险、失业保险、工伤保险）单位缴纳部分</w:t>
            </w:r>
            <w:r>
              <w:rPr>
                <w:rFonts w:hint="eastAsia" w:ascii="宋体" w:hAnsi="宋体" w:cs="宋体"/>
                <w:color w:val="auto"/>
                <w:szCs w:val="21"/>
                <w:highlight w:val="none"/>
                <w:lang w:eastAsia="zh-CN"/>
              </w:rPr>
              <w:t>、医疗保险（</w:t>
            </w:r>
            <w:r>
              <w:rPr>
                <w:rFonts w:hint="eastAsia" w:ascii="宋体" w:hAnsi="宋体" w:cs="宋体"/>
                <w:color w:val="auto"/>
                <w:szCs w:val="21"/>
                <w:highlight w:val="none"/>
              </w:rPr>
              <w:t>基本医疗保险、生育保险</w:t>
            </w:r>
            <w:r>
              <w:rPr>
                <w:rFonts w:hint="eastAsia" w:ascii="宋体" w:hAnsi="宋体" w:cs="宋体"/>
                <w:color w:val="auto"/>
                <w:szCs w:val="21"/>
                <w:highlight w:val="none"/>
                <w:lang w:eastAsia="zh-CN"/>
              </w:rPr>
              <w:t>）单位缴纳部分</w:t>
            </w:r>
            <w:r>
              <w:rPr>
                <w:rFonts w:hint="eastAsia" w:ascii="宋体" w:hAnsi="宋体" w:cs="宋体"/>
                <w:color w:val="auto"/>
                <w:szCs w:val="21"/>
                <w:highlight w:val="none"/>
              </w:rPr>
              <w:t>，供应商按国家政策计算出（/月/人），供应商需考虑由于国家、自治区政策等因素产生费用变动，在总报价中包含，采购人不再额外核算支付。</w:t>
            </w:r>
          </w:p>
          <w:p w14:paraId="32D08BB0">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供应商应当向其指派的服务人员书面明示：服务人员与采购人在任何情况下均不构成劳动关系或者劳务关系，服务人员按照与供应商签订的劳动合同及约定享受工资、保险及福利待遇，服务人员为采购人提供服务时出现的伤害、死亡事故等均由供应商负责承担费用及负责相关的手续及处理。以上内容供应商需向服务人员提供书面文件。</w:t>
            </w:r>
          </w:p>
          <w:p w14:paraId="625F12D2">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供应商应与采购人签订相关保密协议，供应商应确保服务人员遵守采购人相关规章制度，完成指定的工作任务，对接触到的采购人所有信息和采购人客户信息严格保密。</w:t>
            </w:r>
          </w:p>
          <w:p w14:paraId="26AEFA9E">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供应商应定期向采购人相关部门报送服务人员的基本情况报表，注明服务人员劳动合同签订、社会保险缴纳、</w:t>
            </w:r>
            <w:r>
              <w:rPr>
                <w:rFonts w:hint="eastAsia" w:ascii="宋体" w:hAnsi="宋体" w:cs="宋体"/>
                <w:color w:val="auto"/>
                <w:szCs w:val="21"/>
                <w:highlight w:val="none"/>
                <w:lang w:eastAsia="zh-CN"/>
              </w:rPr>
              <w:t>医疗保险缴纳、</w:t>
            </w:r>
            <w:r>
              <w:rPr>
                <w:rFonts w:hint="eastAsia" w:ascii="宋体" w:hAnsi="宋体" w:cs="宋体"/>
                <w:color w:val="auto"/>
                <w:szCs w:val="21"/>
                <w:highlight w:val="none"/>
              </w:rPr>
              <w:t>住房公积金</w:t>
            </w:r>
            <w:r>
              <w:rPr>
                <w:rFonts w:hint="eastAsia" w:ascii="宋体" w:hAnsi="宋体" w:cs="宋体"/>
                <w:color w:val="auto"/>
                <w:szCs w:val="21"/>
                <w:highlight w:val="none"/>
                <w:lang w:eastAsia="zh-CN"/>
              </w:rPr>
              <w:t>缴交</w:t>
            </w:r>
            <w:r>
              <w:rPr>
                <w:rFonts w:hint="eastAsia" w:ascii="宋体" w:hAnsi="宋体" w:cs="宋体"/>
                <w:color w:val="auto"/>
                <w:szCs w:val="21"/>
                <w:highlight w:val="none"/>
              </w:rPr>
              <w:t>等的办理情况。</w:t>
            </w:r>
            <w:bookmarkStart w:id="12" w:name="page60"/>
            <w:bookmarkEnd w:id="12"/>
          </w:p>
          <w:p w14:paraId="60D9A73C">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如由于与供应商签订劳动合同的服务人员申请劳动仲裁或者诉讼导致采购人产生损失的，由供应商承担全部责任，采购人有权直接在支付</w:t>
            </w:r>
            <w:r>
              <w:rPr>
                <w:rFonts w:hint="eastAsia" w:hAnsi="宋体" w:cs="宋体"/>
                <w:color w:val="auto"/>
                <w:szCs w:val="21"/>
                <w:highlight w:val="none"/>
                <w:lang w:eastAsia="zh-CN"/>
              </w:rPr>
              <w:t>成交</w:t>
            </w:r>
            <w:r>
              <w:rPr>
                <w:rFonts w:hint="eastAsia" w:ascii="宋体" w:hAnsi="宋体" w:cs="宋体"/>
                <w:color w:val="auto"/>
                <w:szCs w:val="21"/>
                <w:highlight w:val="none"/>
              </w:rPr>
              <w:t>供应商的费用中直接扣除。</w:t>
            </w:r>
          </w:p>
          <w:p w14:paraId="322246A0">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报价要求：按项目报价，报价需充分考虑合同期限内，由于政策及规定等所发生的社保基数、工资标准、税收政策及员工年工资增长等因素所产生的费用增长，采购人不再额外核算支付费用。</w:t>
            </w:r>
          </w:p>
          <w:p w14:paraId="39890EA4">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服务人员因个人行为造成采购人或客户遭受名誉、经济损失的，由服务人员本人承担责任的，由供应商先代服务人员个人向采购人支付赔偿损失，之后由供应商向服务人员追回有关经济损失。</w:t>
            </w:r>
          </w:p>
          <w:p w14:paraId="10B4C29E">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合同期限届满终止前10天，供应商的服务人员必须配合采购人做好交接工作。</w:t>
            </w:r>
          </w:p>
          <w:p w14:paraId="187C3A4E">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供应商不得以任何形式转包，否则，采购人有权解除合同，由此造成的后果由供应商承担。</w:t>
            </w:r>
          </w:p>
          <w:p w14:paraId="27931B09">
            <w:pPr>
              <w:pStyle w:val="11"/>
              <w:keepNext w:val="0"/>
              <w:keepLines w:val="0"/>
              <w:pageBreakBefore w:val="0"/>
              <w:shd w:val="clear" w:color="auto"/>
              <w:kinsoku/>
              <w:wordWrap/>
              <w:overflowPunct/>
              <w:topLinePunct w:val="0"/>
              <w:autoSpaceDE/>
              <w:autoSpaceDN/>
              <w:bidi w:val="0"/>
              <w:adjustRightInd/>
              <w:snapToGrid/>
              <w:spacing w:line="288" w:lineRule="auto"/>
              <w:jc w:val="left"/>
              <w:textAlignment w:val="auto"/>
              <w:rPr>
                <w:rFonts w:ascii="宋体" w:hAnsi="宋体" w:cs="宋体"/>
                <w:b/>
                <w:color w:val="auto"/>
                <w:kern w:val="0"/>
                <w:szCs w:val="21"/>
                <w:highlight w:val="none"/>
              </w:rPr>
            </w:pPr>
            <w:r>
              <w:rPr>
                <w:rFonts w:hint="eastAsia" w:ascii="宋体" w:hAnsi="宋体" w:cs="宋体"/>
                <w:color w:val="auto"/>
                <w:szCs w:val="21"/>
                <w:highlight w:val="none"/>
                <w:lang w:val="en-US" w:eastAsia="zh-CN"/>
              </w:rPr>
              <w:t>19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供应商应自行承担所有与参加</w:t>
            </w:r>
            <w:r>
              <w:rPr>
                <w:rFonts w:hint="eastAsia" w:hAnsi="宋体" w:eastAsia="宋体" w:cs="宋体"/>
                <w:color w:val="auto"/>
                <w:szCs w:val="21"/>
                <w:highlight w:val="none"/>
                <w:lang w:eastAsia="zh-CN"/>
              </w:rPr>
              <w:t>竞</w:t>
            </w:r>
            <w:r>
              <w:rPr>
                <w:rFonts w:hint="eastAsia" w:ascii="宋体" w:hAnsi="宋体" w:eastAsia="宋体" w:cs="宋体"/>
                <w:color w:val="auto"/>
                <w:szCs w:val="21"/>
                <w:highlight w:val="none"/>
              </w:rPr>
              <w:t>标有关的费用。不论</w:t>
            </w:r>
            <w:r>
              <w:rPr>
                <w:rFonts w:hint="eastAsia" w:hAnsi="宋体" w:eastAsia="宋体" w:cs="宋体"/>
                <w:color w:val="auto"/>
                <w:szCs w:val="21"/>
                <w:highlight w:val="none"/>
                <w:lang w:eastAsia="zh-CN"/>
              </w:rPr>
              <w:t>竞</w:t>
            </w:r>
            <w:r>
              <w:rPr>
                <w:rFonts w:hint="eastAsia" w:ascii="宋体" w:hAnsi="宋体" w:eastAsia="宋体" w:cs="宋体"/>
                <w:color w:val="auto"/>
                <w:szCs w:val="21"/>
                <w:highlight w:val="none"/>
              </w:rPr>
              <w:t>标的结果如何，采购人在任何情况下均无义务和责任承担这些费用</w:t>
            </w:r>
            <w:r>
              <w:rPr>
                <w:rFonts w:hint="eastAsia" w:ascii="宋体" w:hAnsi="宋体" w:cs="宋体"/>
                <w:bCs/>
                <w:color w:val="auto"/>
                <w:kern w:val="0"/>
                <w:szCs w:val="21"/>
                <w:highlight w:val="none"/>
              </w:rPr>
              <w:t>。</w:t>
            </w:r>
          </w:p>
        </w:tc>
      </w:tr>
      <w:tr w14:paraId="10CC0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49" w:type="dxa"/>
            <w:gridSpan w:val="6"/>
            <w:tcBorders>
              <w:top w:val="single" w:color="auto" w:sz="4" w:space="0"/>
              <w:left w:val="single" w:color="auto" w:sz="4" w:space="0"/>
              <w:bottom w:val="single" w:color="auto" w:sz="4" w:space="0"/>
              <w:right w:val="single" w:color="auto" w:sz="4" w:space="0"/>
            </w:tcBorders>
            <w:noWrap w:val="0"/>
            <w:vAlign w:val="top"/>
          </w:tcPr>
          <w:p w14:paraId="4A01AFC2">
            <w:pPr>
              <w:keepNext w:val="0"/>
              <w:keepLines w:val="0"/>
              <w:pageBreakBefore w:val="0"/>
              <w:widowControl/>
              <w:shd w:val="clear" w:color="auto" w:fill="auto"/>
              <w:kinsoku/>
              <w:wordWrap/>
              <w:overflowPunct/>
              <w:topLinePunct w:val="0"/>
              <w:autoSpaceDE/>
              <w:autoSpaceDN/>
              <w:bidi w:val="0"/>
              <w:adjustRightInd/>
              <w:snapToGrid/>
              <w:spacing w:line="288" w:lineRule="auto"/>
              <w:ind w:left="0" w:leftChars="0" w:firstLine="0" w:firstLineChars="0"/>
              <w:jc w:val="left"/>
              <w:textAlignment w:val="auto"/>
              <w:rPr>
                <w:rFonts w:ascii="宋体" w:hAnsi="宋体"/>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商务条款</w:t>
            </w:r>
          </w:p>
        </w:tc>
      </w:tr>
      <w:tr w14:paraId="3DAEF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9" w:type="dxa"/>
            <w:gridSpan w:val="3"/>
            <w:tcBorders>
              <w:top w:val="single" w:color="auto" w:sz="4" w:space="0"/>
              <w:left w:val="single" w:color="auto" w:sz="4" w:space="0"/>
              <w:bottom w:val="single" w:color="auto" w:sz="4" w:space="0"/>
              <w:right w:val="single" w:color="auto" w:sz="4" w:space="0"/>
            </w:tcBorders>
            <w:noWrap w:val="0"/>
            <w:vAlign w:val="center"/>
          </w:tcPr>
          <w:p w14:paraId="06EADAC8">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textAlignment w:val="auto"/>
              <w:rPr>
                <w:rFonts w:ascii="宋体" w:hAnsi="宋体"/>
                <w:color w:val="auto"/>
                <w:szCs w:val="21"/>
                <w:highlight w:val="none"/>
              </w:rPr>
            </w:pPr>
            <w:r>
              <w:rPr>
                <w:rFonts w:hint="eastAsia" w:ascii="宋体" w:hAnsi="宋体" w:cs="宋体"/>
                <w:szCs w:val="21"/>
              </w:rPr>
              <w:t>验收标准</w:t>
            </w:r>
          </w:p>
        </w:tc>
        <w:tc>
          <w:tcPr>
            <w:tcW w:w="7250" w:type="dxa"/>
            <w:gridSpan w:val="3"/>
            <w:tcBorders>
              <w:top w:val="single" w:color="auto" w:sz="4" w:space="0"/>
              <w:left w:val="single" w:color="auto" w:sz="4" w:space="0"/>
              <w:bottom w:val="single" w:color="auto" w:sz="4" w:space="0"/>
              <w:right w:val="single" w:color="auto" w:sz="4" w:space="0"/>
            </w:tcBorders>
            <w:noWrap w:val="0"/>
            <w:vAlign w:val="center"/>
          </w:tcPr>
          <w:p w14:paraId="527377C6">
            <w:pPr>
              <w:keepNext w:val="0"/>
              <w:keepLines w:val="0"/>
              <w:pageBreakBefore w:val="0"/>
              <w:kinsoku/>
              <w:wordWrap/>
              <w:overflowPunct/>
              <w:topLinePunct w:val="0"/>
              <w:autoSpaceDE/>
              <w:autoSpaceDN/>
              <w:bidi w:val="0"/>
              <w:adjustRightInd/>
              <w:snapToGrid/>
              <w:spacing w:line="288" w:lineRule="auto"/>
              <w:ind w:left="0" w:leftChars="0" w:firstLine="0" w:firstLineChars="0"/>
              <w:jc w:val="left"/>
              <w:textAlignment w:val="auto"/>
              <w:rPr>
                <w:rFonts w:ascii="宋体" w:hAnsi="宋体"/>
                <w:color w:val="auto"/>
                <w:szCs w:val="21"/>
                <w:highlight w:val="none"/>
              </w:rPr>
            </w:pPr>
            <w:r>
              <w:rPr>
                <w:rFonts w:hint="eastAsia" w:ascii="宋体" w:hAnsi="宋体" w:cs="宋体"/>
                <w:szCs w:val="21"/>
              </w:rPr>
              <w:t>执行国家标准、行业标准、地方标准或者其他标准、规范；采购人服务质量要求标准。</w:t>
            </w:r>
          </w:p>
        </w:tc>
      </w:tr>
      <w:tr w14:paraId="5AEE3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9" w:type="dxa"/>
            <w:gridSpan w:val="3"/>
            <w:tcBorders>
              <w:top w:val="single" w:color="auto" w:sz="4" w:space="0"/>
              <w:left w:val="single" w:color="auto" w:sz="4" w:space="0"/>
              <w:bottom w:val="single" w:color="auto" w:sz="4" w:space="0"/>
              <w:right w:val="single" w:color="auto" w:sz="4" w:space="0"/>
            </w:tcBorders>
            <w:noWrap w:val="0"/>
            <w:vAlign w:val="center"/>
          </w:tcPr>
          <w:p w14:paraId="73F7721B">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b/>
                <w:color w:val="auto"/>
                <w:szCs w:val="21"/>
                <w:highlight w:val="none"/>
                <w:lang w:eastAsia="zh-CN"/>
              </w:rPr>
            </w:pPr>
            <w:r>
              <w:rPr>
                <w:rFonts w:hint="eastAsia" w:ascii="宋体" w:hAnsi="宋体" w:cs="宋体"/>
                <w:szCs w:val="21"/>
              </w:rPr>
              <w:t>合同签订期</w:t>
            </w:r>
          </w:p>
        </w:tc>
        <w:tc>
          <w:tcPr>
            <w:tcW w:w="7250" w:type="dxa"/>
            <w:gridSpan w:val="3"/>
            <w:tcBorders>
              <w:top w:val="single" w:color="auto" w:sz="4" w:space="0"/>
              <w:left w:val="single" w:color="auto" w:sz="4" w:space="0"/>
              <w:bottom w:val="single" w:color="auto" w:sz="4" w:space="0"/>
              <w:right w:val="single" w:color="auto" w:sz="4" w:space="0"/>
            </w:tcBorders>
            <w:noWrap w:val="0"/>
            <w:vAlign w:val="center"/>
          </w:tcPr>
          <w:p w14:paraId="3AB8F22D">
            <w:pPr>
              <w:keepNext w:val="0"/>
              <w:keepLines w:val="0"/>
              <w:pageBreakBefore w:val="0"/>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color w:val="auto"/>
                <w:szCs w:val="21"/>
                <w:highlight w:val="none"/>
              </w:rPr>
            </w:pPr>
            <w:r>
              <w:rPr>
                <w:rFonts w:hint="eastAsia" w:ascii="宋体" w:hAnsi="宋体" w:cs="宋体"/>
                <w:szCs w:val="21"/>
              </w:rPr>
              <w:t>自</w:t>
            </w:r>
            <w:r>
              <w:rPr>
                <w:rFonts w:hint="eastAsia" w:hAnsi="宋体" w:cs="宋体"/>
                <w:szCs w:val="21"/>
                <w:lang w:eastAsia="zh-CN"/>
              </w:rPr>
              <w:t>成交</w:t>
            </w:r>
            <w:r>
              <w:rPr>
                <w:rFonts w:hint="eastAsia" w:ascii="宋体" w:hAnsi="宋体" w:cs="宋体"/>
                <w:szCs w:val="21"/>
              </w:rPr>
              <w:t>通知书发出之日起25日内。</w:t>
            </w:r>
          </w:p>
        </w:tc>
      </w:tr>
      <w:tr w14:paraId="547F0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9" w:type="dxa"/>
            <w:gridSpan w:val="3"/>
            <w:tcBorders>
              <w:top w:val="single" w:color="auto" w:sz="4" w:space="0"/>
              <w:left w:val="single" w:color="auto" w:sz="4" w:space="0"/>
              <w:bottom w:val="single" w:color="auto" w:sz="4" w:space="0"/>
              <w:right w:val="single" w:color="auto" w:sz="4" w:space="0"/>
            </w:tcBorders>
            <w:noWrap w:val="0"/>
            <w:vAlign w:val="center"/>
          </w:tcPr>
          <w:p w14:paraId="30C0E4E9">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b/>
                <w:color w:val="auto"/>
                <w:szCs w:val="21"/>
                <w:highlight w:val="none"/>
                <w:lang w:eastAsia="zh-CN"/>
              </w:rPr>
            </w:pPr>
            <w:r>
              <w:rPr>
                <w:rFonts w:hint="eastAsia" w:ascii="宋体" w:hAnsi="宋体" w:cs="宋体"/>
                <w:szCs w:val="21"/>
              </w:rPr>
              <w:t>服务期限及服务地点</w:t>
            </w:r>
          </w:p>
        </w:tc>
        <w:tc>
          <w:tcPr>
            <w:tcW w:w="7250" w:type="dxa"/>
            <w:gridSpan w:val="3"/>
            <w:tcBorders>
              <w:top w:val="single" w:color="auto" w:sz="4" w:space="0"/>
              <w:left w:val="single" w:color="auto" w:sz="4" w:space="0"/>
              <w:bottom w:val="single" w:color="auto" w:sz="4" w:space="0"/>
              <w:right w:val="single" w:color="auto" w:sz="4" w:space="0"/>
            </w:tcBorders>
            <w:noWrap w:val="0"/>
            <w:vAlign w:val="center"/>
          </w:tcPr>
          <w:p w14:paraId="1CDCBCD9">
            <w:pPr>
              <w:keepNext w:val="0"/>
              <w:keepLines w:val="0"/>
              <w:pageBreakBefore w:val="0"/>
              <w:kinsoku/>
              <w:wordWrap/>
              <w:overflowPunct/>
              <w:topLinePunct w:val="0"/>
              <w:autoSpaceDE/>
              <w:autoSpaceDN/>
              <w:bidi w:val="0"/>
              <w:adjustRightInd/>
              <w:snapToGrid/>
              <w:spacing w:line="288" w:lineRule="auto"/>
              <w:ind w:left="0" w:leftChars="0" w:firstLine="0" w:firstLineChars="0"/>
              <w:jc w:val="left"/>
              <w:textAlignment w:val="auto"/>
              <w:rPr>
                <w:rFonts w:ascii="宋体" w:hAnsi="宋体" w:cs="宋体"/>
                <w:szCs w:val="21"/>
              </w:rPr>
            </w:pPr>
            <w:r>
              <w:rPr>
                <w:rFonts w:hint="eastAsia" w:ascii="宋体" w:hAnsi="宋体" w:cs="宋体"/>
                <w:szCs w:val="21"/>
              </w:rPr>
              <w:t>服务期限：自合同签订之日起</w:t>
            </w:r>
            <w:r>
              <w:rPr>
                <w:rFonts w:hint="eastAsia" w:ascii="宋体" w:hAnsi="宋体" w:cs="宋体"/>
                <w:szCs w:val="21"/>
                <w:lang w:eastAsia="zh-CN"/>
              </w:rPr>
              <w:t>两</w:t>
            </w:r>
            <w:r>
              <w:rPr>
                <w:rFonts w:hint="eastAsia" w:ascii="宋体" w:hAnsi="宋体" w:cs="宋体"/>
                <w:szCs w:val="21"/>
              </w:rPr>
              <w:t>年</w:t>
            </w:r>
            <w:r>
              <w:rPr>
                <w:rFonts w:hint="eastAsia" w:ascii="宋体" w:hAnsi="宋体"/>
                <w:color w:val="auto"/>
                <w:szCs w:val="21"/>
                <w:highlight w:val="none"/>
              </w:rPr>
              <w:t>。</w:t>
            </w:r>
          </w:p>
          <w:p w14:paraId="2F8EDF03">
            <w:pPr>
              <w:keepNext w:val="0"/>
              <w:keepLines w:val="0"/>
              <w:pageBreakBefore w:val="0"/>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color w:val="auto"/>
                <w:szCs w:val="21"/>
                <w:highlight w:val="none"/>
              </w:rPr>
            </w:pPr>
            <w:r>
              <w:rPr>
                <w:rFonts w:hint="eastAsia" w:ascii="宋体" w:hAnsi="宋体" w:cs="宋体"/>
                <w:szCs w:val="21"/>
              </w:rPr>
              <w:t>服务地点：广西壮族自治区直属单位住房保障中心</w:t>
            </w:r>
          </w:p>
        </w:tc>
      </w:tr>
      <w:tr w14:paraId="112BC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9" w:type="dxa"/>
            <w:gridSpan w:val="3"/>
            <w:tcBorders>
              <w:top w:val="single" w:color="auto" w:sz="4" w:space="0"/>
              <w:left w:val="single" w:color="auto" w:sz="4" w:space="0"/>
              <w:bottom w:val="single" w:color="auto" w:sz="4" w:space="0"/>
              <w:right w:val="single" w:color="auto" w:sz="4" w:space="0"/>
            </w:tcBorders>
            <w:noWrap w:val="0"/>
            <w:vAlign w:val="center"/>
          </w:tcPr>
          <w:p w14:paraId="2CA95F47">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textAlignment w:val="auto"/>
              <w:rPr>
                <w:rFonts w:hint="default" w:ascii="宋体" w:hAnsi="宋体"/>
                <w:b/>
                <w:color w:val="auto"/>
                <w:szCs w:val="21"/>
                <w:highlight w:val="none"/>
                <w:lang w:val="en-US" w:eastAsia="zh-CN"/>
              </w:rPr>
            </w:pPr>
            <w:r>
              <w:rPr>
                <w:rFonts w:hint="eastAsia" w:ascii="宋体" w:hAnsi="宋体"/>
                <w:b w:val="0"/>
                <w:bCs/>
                <w:color w:val="auto"/>
                <w:szCs w:val="21"/>
                <w:highlight w:val="none"/>
                <w:lang w:eastAsia="zh-CN"/>
              </w:rPr>
              <w:t>售后服务</w:t>
            </w:r>
            <w:r>
              <w:rPr>
                <w:rFonts w:hint="eastAsia" w:ascii="宋体" w:hAnsi="宋体"/>
                <w:b w:val="0"/>
                <w:bCs/>
                <w:color w:val="auto"/>
                <w:szCs w:val="21"/>
                <w:highlight w:val="none"/>
                <w:lang w:val="en-US" w:eastAsia="zh-CN"/>
              </w:rPr>
              <w:t>要求</w:t>
            </w:r>
          </w:p>
        </w:tc>
        <w:tc>
          <w:tcPr>
            <w:tcW w:w="7250" w:type="dxa"/>
            <w:gridSpan w:val="3"/>
            <w:tcBorders>
              <w:top w:val="single" w:color="auto" w:sz="4" w:space="0"/>
              <w:left w:val="single" w:color="auto" w:sz="4" w:space="0"/>
              <w:bottom w:val="single" w:color="auto" w:sz="4" w:space="0"/>
              <w:right w:val="single" w:color="auto" w:sz="4" w:space="0"/>
            </w:tcBorders>
            <w:noWrap w:val="0"/>
            <w:vAlign w:val="center"/>
          </w:tcPr>
          <w:p w14:paraId="488A36F3">
            <w:pPr>
              <w:keepNext w:val="0"/>
              <w:keepLines w:val="0"/>
              <w:pageBreakBefore w:val="0"/>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color w:val="auto"/>
                <w:szCs w:val="21"/>
                <w:highlight w:val="none"/>
              </w:rPr>
            </w:pPr>
            <w:r>
              <w:rPr>
                <w:rFonts w:hint="eastAsia" w:ascii="宋体" w:hAnsi="宋体" w:cs="宋体"/>
                <w:szCs w:val="21"/>
              </w:rPr>
              <w:t>接到采购人处理问题通知后1小时内到达采购人指定现场。</w:t>
            </w:r>
          </w:p>
        </w:tc>
      </w:tr>
      <w:tr w14:paraId="4CE4C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9" w:type="dxa"/>
            <w:gridSpan w:val="3"/>
            <w:tcBorders>
              <w:top w:val="single" w:color="auto" w:sz="4" w:space="0"/>
              <w:left w:val="single" w:color="auto" w:sz="4" w:space="0"/>
              <w:bottom w:val="single" w:color="auto" w:sz="4" w:space="0"/>
              <w:right w:val="single" w:color="auto" w:sz="4" w:space="0"/>
            </w:tcBorders>
            <w:noWrap w:val="0"/>
            <w:vAlign w:val="center"/>
          </w:tcPr>
          <w:p w14:paraId="7753FF7F">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b/>
                <w:color w:val="auto"/>
                <w:szCs w:val="21"/>
                <w:highlight w:val="none"/>
                <w:lang w:eastAsia="zh-CN"/>
              </w:rPr>
            </w:pPr>
            <w:r>
              <w:rPr>
                <w:rFonts w:hint="eastAsia" w:ascii="宋体" w:hAnsi="宋体" w:cs="宋体"/>
                <w:color w:val="auto"/>
                <w:szCs w:val="21"/>
                <w:highlight w:val="none"/>
              </w:rPr>
              <w:t>付款方式</w:t>
            </w:r>
          </w:p>
        </w:tc>
        <w:tc>
          <w:tcPr>
            <w:tcW w:w="7250" w:type="dxa"/>
            <w:gridSpan w:val="3"/>
            <w:tcBorders>
              <w:top w:val="single" w:color="auto" w:sz="4" w:space="0"/>
              <w:left w:val="single" w:color="auto" w:sz="4" w:space="0"/>
              <w:bottom w:val="single" w:color="auto" w:sz="4" w:space="0"/>
              <w:right w:val="single" w:color="auto" w:sz="4" w:space="0"/>
            </w:tcBorders>
            <w:noWrap w:val="0"/>
            <w:vAlign w:val="center"/>
          </w:tcPr>
          <w:p w14:paraId="32D27158">
            <w:pPr>
              <w:keepNext w:val="0"/>
              <w:keepLines w:val="0"/>
              <w:pageBreakBefore w:val="0"/>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color w:val="auto"/>
                <w:szCs w:val="21"/>
                <w:highlight w:val="none"/>
              </w:rPr>
            </w:pPr>
            <w:r>
              <w:rPr>
                <w:rFonts w:hint="eastAsia" w:ascii="宋体" w:hAnsi="宋体" w:cs="宋体"/>
                <w:color w:val="auto"/>
                <w:szCs w:val="21"/>
                <w:highlight w:val="none"/>
                <w:lang w:val="en-US" w:eastAsia="zh-CN"/>
              </w:rPr>
              <w:t>本项目以公历月为周期，</w:t>
            </w:r>
            <w:r>
              <w:rPr>
                <w:rFonts w:hint="default" w:ascii="宋体" w:hAnsi="宋体" w:eastAsia="宋体" w:cs="宋体"/>
                <w:color w:val="auto"/>
                <w:szCs w:val="21"/>
                <w:highlight w:val="none"/>
              </w:rPr>
              <w:t>采购人</w:t>
            </w:r>
            <w:r>
              <w:rPr>
                <w:rFonts w:hint="default" w:ascii="宋体" w:hAnsi="宋体" w:eastAsia="宋体" w:cs="宋体"/>
                <w:color w:val="auto"/>
                <w:szCs w:val="21"/>
                <w:highlight w:val="none"/>
                <w:lang w:eastAsia="zh-CN"/>
              </w:rPr>
              <w:t>按每月</w:t>
            </w:r>
            <w:r>
              <w:rPr>
                <w:rFonts w:hint="default" w:ascii="宋体" w:hAnsi="宋体" w:eastAsia="宋体" w:cs="宋体"/>
                <w:color w:val="auto"/>
                <w:szCs w:val="21"/>
                <w:highlight w:val="none"/>
              </w:rPr>
              <w:t>实际工作情况及发生金额向供应商支付</w:t>
            </w:r>
            <w:r>
              <w:rPr>
                <w:rFonts w:hint="default" w:ascii="宋体" w:hAnsi="宋体" w:eastAsia="宋体" w:cs="宋体"/>
                <w:color w:val="auto"/>
                <w:szCs w:val="21"/>
                <w:highlight w:val="none"/>
                <w:lang w:eastAsia="zh-CN"/>
              </w:rPr>
              <w:t>费用（包括</w:t>
            </w:r>
            <w:r>
              <w:rPr>
                <w:rFonts w:hint="eastAsia" w:ascii="宋体" w:hAnsi="宋体" w:eastAsia="宋体" w:cs="宋体"/>
                <w:color w:val="auto"/>
                <w:szCs w:val="21"/>
                <w:highlight w:val="none"/>
                <w:lang w:eastAsia="zh-CN"/>
              </w:rPr>
              <w:t>但不限于</w:t>
            </w:r>
            <w:r>
              <w:rPr>
                <w:rFonts w:hint="default" w:ascii="宋体" w:hAnsi="宋体" w:eastAsia="宋体" w:cs="宋体"/>
                <w:color w:val="auto"/>
                <w:szCs w:val="21"/>
                <w:highlight w:val="none"/>
                <w:lang w:eastAsia="zh-CN"/>
              </w:rPr>
              <w:t>服务人员基本工资、绩效工资、奖励金、社会保险单位部分、医疗保险单位部分、住房公积金单位部分、残疾人</w:t>
            </w:r>
            <w:r>
              <w:rPr>
                <w:rFonts w:hint="eastAsia" w:ascii="宋体" w:hAnsi="宋体" w:eastAsia="宋体" w:cs="宋体"/>
                <w:color w:val="auto"/>
                <w:szCs w:val="21"/>
                <w:highlight w:val="none"/>
                <w:lang w:eastAsia="zh-CN"/>
              </w:rPr>
              <w:t>就业</w:t>
            </w:r>
            <w:r>
              <w:rPr>
                <w:rFonts w:hint="default" w:ascii="宋体" w:hAnsi="宋体" w:eastAsia="宋体" w:cs="宋体"/>
                <w:color w:val="auto"/>
                <w:szCs w:val="21"/>
                <w:highlight w:val="none"/>
                <w:lang w:eastAsia="zh-CN"/>
              </w:rPr>
              <w:t>保障金、税金</w:t>
            </w:r>
            <w:r>
              <w:rPr>
                <w:rFonts w:hint="eastAsia" w:ascii="宋体" w:hAnsi="宋体" w:eastAsia="宋体" w:cs="宋体"/>
                <w:color w:val="auto"/>
                <w:szCs w:val="21"/>
                <w:highlight w:val="none"/>
                <w:lang w:eastAsia="zh-CN"/>
              </w:rPr>
              <w:t>、服务费</w:t>
            </w:r>
            <w:r>
              <w:rPr>
                <w:rFonts w:hint="default" w:ascii="宋体" w:hAnsi="宋体" w:eastAsia="宋体" w:cs="宋体"/>
                <w:color w:val="auto"/>
                <w:szCs w:val="21"/>
                <w:highlight w:val="none"/>
                <w:lang w:eastAsia="zh-CN"/>
              </w:rPr>
              <w:t>及其他因工作需要产生的费用等）</w:t>
            </w:r>
            <w:r>
              <w:rPr>
                <w:rFonts w:hint="eastAsia" w:ascii="宋体" w:hAnsi="宋体" w:eastAsia="宋体" w:cs="宋体"/>
                <w:color w:val="auto"/>
                <w:szCs w:val="21"/>
                <w:highlight w:val="none"/>
                <w:lang w:eastAsia="zh-CN"/>
              </w:rPr>
              <w:t>。</w:t>
            </w:r>
          </w:p>
        </w:tc>
      </w:tr>
      <w:tr w14:paraId="3FE65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9" w:type="dxa"/>
            <w:gridSpan w:val="3"/>
            <w:tcBorders>
              <w:top w:val="single" w:color="auto" w:sz="4" w:space="0"/>
              <w:left w:val="single" w:color="auto" w:sz="4" w:space="0"/>
              <w:bottom w:val="single" w:color="auto" w:sz="4" w:space="0"/>
              <w:right w:val="single" w:color="auto" w:sz="4" w:space="0"/>
            </w:tcBorders>
            <w:noWrap w:val="0"/>
            <w:vAlign w:val="center"/>
          </w:tcPr>
          <w:p w14:paraId="0B5C70C5">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b/>
                <w:color w:val="auto"/>
                <w:szCs w:val="21"/>
                <w:highlight w:val="none"/>
                <w:lang w:eastAsia="zh-CN"/>
              </w:rPr>
            </w:pPr>
            <w:r>
              <w:rPr>
                <w:rFonts w:hint="eastAsia" w:ascii="宋体" w:hAnsi="宋体" w:cs="宋体"/>
                <w:szCs w:val="21"/>
              </w:rPr>
              <w:t>报价要求</w:t>
            </w:r>
          </w:p>
        </w:tc>
        <w:tc>
          <w:tcPr>
            <w:tcW w:w="7250" w:type="dxa"/>
            <w:gridSpan w:val="3"/>
            <w:tcBorders>
              <w:top w:val="single" w:color="auto" w:sz="4" w:space="0"/>
              <w:left w:val="single" w:color="auto" w:sz="4" w:space="0"/>
              <w:bottom w:val="single" w:color="auto" w:sz="4" w:space="0"/>
              <w:right w:val="single" w:color="auto" w:sz="4" w:space="0"/>
            </w:tcBorders>
            <w:noWrap w:val="0"/>
            <w:vAlign w:val="center"/>
          </w:tcPr>
          <w:p w14:paraId="7672467A">
            <w:pPr>
              <w:keepNext w:val="0"/>
              <w:keepLines w:val="0"/>
              <w:pageBreakBefore w:val="0"/>
              <w:kinsoku/>
              <w:wordWrap/>
              <w:overflowPunct/>
              <w:topLinePunct w:val="0"/>
              <w:autoSpaceDE/>
              <w:autoSpaceDN/>
              <w:bidi w:val="0"/>
              <w:adjustRightInd/>
              <w:snapToGrid/>
              <w:spacing w:line="288" w:lineRule="auto"/>
              <w:ind w:left="0" w:leftChars="0" w:firstLine="0" w:firstLineChars="0"/>
              <w:jc w:val="left"/>
              <w:textAlignment w:val="auto"/>
              <w:rPr>
                <w:rFonts w:ascii="宋体" w:hAnsi="宋体" w:cs="宋体"/>
                <w:szCs w:val="21"/>
              </w:rPr>
            </w:pPr>
            <w:r>
              <w:rPr>
                <w:rFonts w:hint="eastAsia" w:ascii="宋体" w:hAnsi="宋体" w:cs="宋体"/>
                <w:szCs w:val="21"/>
              </w:rPr>
              <w:t>报价必须包含但不限于以下部分：</w:t>
            </w:r>
          </w:p>
          <w:p w14:paraId="0456B450">
            <w:pPr>
              <w:keepNext w:val="0"/>
              <w:keepLines w:val="0"/>
              <w:pageBreakBefore w:val="0"/>
              <w:kinsoku/>
              <w:wordWrap/>
              <w:overflowPunct/>
              <w:topLinePunct w:val="0"/>
              <w:autoSpaceDE/>
              <w:autoSpaceDN/>
              <w:bidi w:val="0"/>
              <w:adjustRightInd/>
              <w:snapToGrid/>
              <w:spacing w:line="288" w:lineRule="auto"/>
              <w:ind w:left="0" w:leftChars="0" w:firstLine="0" w:firstLineChars="0"/>
              <w:jc w:val="left"/>
              <w:textAlignment w:val="auto"/>
              <w:rPr>
                <w:rFonts w:ascii="宋体" w:hAnsi="宋体" w:cs="宋体"/>
                <w:szCs w:val="21"/>
              </w:rPr>
            </w:pPr>
            <w:r>
              <w:rPr>
                <w:rFonts w:hint="eastAsia" w:ascii="宋体" w:hAnsi="宋体" w:cs="宋体"/>
                <w:szCs w:val="21"/>
              </w:rPr>
              <w:t>1、服务的价格；</w:t>
            </w:r>
          </w:p>
          <w:p w14:paraId="3FE26F62">
            <w:pPr>
              <w:keepNext w:val="0"/>
              <w:keepLines w:val="0"/>
              <w:pageBreakBefore w:val="0"/>
              <w:kinsoku/>
              <w:wordWrap/>
              <w:overflowPunct/>
              <w:topLinePunct w:val="0"/>
              <w:autoSpaceDE/>
              <w:autoSpaceDN/>
              <w:bidi w:val="0"/>
              <w:adjustRightInd/>
              <w:snapToGrid/>
              <w:spacing w:line="288" w:lineRule="auto"/>
              <w:ind w:left="0" w:leftChars="0" w:firstLine="0" w:firstLineChars="0"/>
              <w:jc w:val="left"/>
              <w:textAlignment w:val="auto"/>
              <w:rPr>
                <w:rFonts w:ascii="宋体" w:hAnsi="宋体" w:cs="宋体"/>
                <w:szCs w:val="21"/>
              </w:rPr>
            </w:pPr>
            <w:r>
              <w:rPr>
                <w:rFonts w:hint="eastAsia" w:ascii="宋体" w:hAnsi="宋体" w:cs="宋体"/>
                <w:szCs w:val="21"/>
              </w:rPr>
              <w:t>2、服务人员的工资、绩效工资、社会保险费、</w:t>
            </w:r>
            <w:r>
              <w:rPr>
                <w:rFonts w:hint="eastAsia" w:ascii="宋体" w:hAnsi="宋体" w:cs="宋体"/>
                <w:szCs w:val="21"/>
                <w:lang w:eastAsia="zh-CN"/>
              </w:rPr>
              <w:t>医疗保险费、</w:t>
            </w:r>
            <w:r>
              <w:rPr>
                <w:rFonts w:hint="eastAsia" w:ascii="宋体" w:hAnsi="宋体" w:cs="宋体"/>
                <w:szCs w:val="21"/>
              </w:rPr>
              <w:t>住房公积金、各项福利</w:t>
            </w:r>
            <w:r>
              <w:rPr>
                <w:rFonts w:hint="eastAsia" w:ascii="宋体" w:hAnsi="宋体" w:cs="宋体"/>
                <w:szCs w:val="21"/>
                <w:lang w:eastAsia="zh-CN"/>
              </w:rPr>
              <w:t>、差旅费</w:t>
            </w:r>
            <w:r>
              <w:rPr>
                <w:rFonts w:hint="eastAsia" w:ascii="宋体" w:hAnsi="宋体" w:cs="宋体"/>
                <w:szCs w:val="21"/>
              </w:rPr>
              <w:t>等；</w:t>
            </w:r>
          </w:p>
          <w:p w14:paraId="62F6C286">
            <w:pPr>
              <w:keepNext w:val="0"/>
              <w:keepLines w:val="0"/>
              <w:pageBreakBefore w:val="0"/>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color w:val="auto"/>
                <w:szCs w:val="21"/>
                <w:highlight w:val="none"/>
              </w:rPr>
            </w:pPr>
            <w:r>
              <w:rPr>
                <w:rFonts w:hint="eastAsia" w:ascii="宋体" w:hAnsi="宋体" w:cs="宋体"/>
                <w:szCs w:val="21"/>
              </w:rPr>
              <w:t>3、必要的保险费用、各项税金、就本项目所发生的所有责任、损失、赔偿、工伤、死亡等全部有关本项目的费用。</w:t>
            </w:r>
          </w:p>
        </w:tc>
      </w:tr>
      <w:tr w14:paraId="2C1AB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9" w:type="dxa"/>
            <w:gridSpan w:val="3"/>
            <w:tcBorders>
              <w:top w:val="single" w:color="auto" w:sz="4" w:space="0"/>
              <w:left w:val="single" w:color="auto" w:sz="4" w:space="0"/>
              <w:bottom w:val="single" w:color="auto" w:sz="4" w:space="0"/>
              <w:right w:val="single" w:color="auto" w:sz="4" w:space="0"/>
            </w:tcBorders>
            <w:noWrap w:val="0"/>
            <w:vAlign w:val="center"/>
          </w:tcPr>
          <w:p w14:paraId="644546E9">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b/>
                <w:color w:val="auto"/>
                <w:szCs w:val="21"/>
                <w:highlight w:val="none"/>
                <w:lang w:eastAsia="zh-CN"/>
              </w:rPr>
            </w:pPr>
            <w:r>
              <w:rPr>
                <w:rFonts w:hint="eastAsia"/>
                <w:szCs w:val="21"/>
              </w:rPr>
              <w:t>其它要求</w:t>
            </w:r>
          </w:p>
        </w:tc>
        <w:tc>
          <w:tcPr>
            <w:tcW w:w="7250" w:type="dxa"/>
            <w:gridSpan w:val="3"/>
            <w:tcBorders>
              <w:top w:val="single" w:color="auto" w:sz="4" w:space="0"/>
              <w:left w:val="single" w:color="auto" w:sz="4" w:space="0"/>
              <w:bottom w:val="single" w:color="auto" w:sz="4" w:space="0"/>
              <w:right w:val="single" w:color="auto" w:sz="4" w:space="0"/>
            </w:tcBorders>
            <w:noWrap w:val="0"/>
            <w:vAlign w:val="center"/>
          </w:tcPr>
          <w:p w14:paraId="68D55FAB">
            <w:pPr>
              <w:keepNext w:val="0"/>
              <w:keepLines w:val="0"/>
              <w:pageBreakBefore w:val="0"/>
              <w:kinsoku/>
              <w:wordWrap/>
              <w:overflowPunct/>
              <w:topLinePunct w:val="0"/>
              <w:autoSpaceDE/>
              <w:autoSpaceDN/>
              <w:bidi w:val="0"/>
              <w:adjustRightInd/>
              <w:snapToGrid/>
              <w:spacing w:line="288" w:lineRule="auto"/>
              <w:ind w:left="0" w:leftChars="0" w:firstLine="0" w:firstLineChars="0"/>
              <w:jc w:val="left"/>
              <w:textAlignment w:val="auto"/>
              <w:rPr>
                <w:rFonts w:ascii="宋体" w:hAnsi="宋体" w:cs="宋体"/>
                <w:szCs w:val="21"/>
              </w:rPr>
            </w:pPr>
            <w:r>
              <w:rPr>
                <w:rFonts w:hint="eastAsia" w:ascii="宋体" w:hAnsi="宋体" w:cs="宋体"/>
                <w:szCs w:val="21"/>
              </w:rPr>
              <w:t>1、</w:t>
            </w:r>
            <w:r>
              <w:rPr>
                <w:rFonts w:hint="eastAsia" w:hAnsi="宋体" w:cs="宋体"/>
                <w:szCs w:val="21"/>
                <w:lang w:eastAsia="zh-CN"/>
              </w:rPr>
              <w:t>成交人</w:t>
            </w:r>
            <w:r>
              <w:rPr>
                <w:rFonts w:hint="eastAsia" w:ascii="宋体" w:hAnsi="宋体" w:cs="宋体"/>
                <w:szCs w:val="21"/>
              </w:rPr>
              <w:t>因履行本合同知悉、获取未经公开的数据、公文、会议纪要、合同以及案例等文件资料负有保密责任，</w:t>
            </w:r>
            <w:r>
              <w:rPr>
                <w:rFonts w:hint="eastAsia" w:hAnsi="宋体" w:cs="宋体"/>
                <w:szCs w:val="21"/>
                <w:lang w:eastAsia="zh-CN"/>
              </w:rPr>
              <w:t>成交人</w:t>
            </w:r>
            <w:r>
              <w:rPr>
                <w:rFonts w:hint="eastAsia" w:ascii="宋体" w:hAnsi="宋体" w:cs="宋体"/>
                <w:szCs w:val="21"/>
              </w:rPr>
              <w:t>应与参与项目的工作人员签署保密协议，明确工作纪律和责任。</w:t>
            </w:r>
          </w:p>
          <w:p w14:paraId="4A0A1F11">
            <w:pPr>
              <w:keepNext w:val="0"/>
              <w:keepLines w:val="0"/>
              <w:pageBreakBefore w:val="0"/>
              <w:kinsoku/>
              <w:wordWrap/>
              <w:overflowPunct/>
              <w:topLinePunct w:val="0"/>
              <w:autoSpaceDE/>
              <w:autoSpaceDN/>
              <w:bidi w:val="0"/>
              <w:adjustRightInd/>
              <w:snapToGrid/>
              <w:spacing w:line="288" w:lineRule="auto"/>
              <w:ind w:left="0" w:leftChars="0" w:firstLine="0" w:firstLineChars="0"/>
              <w:jc w:val="left"/>
              <w:textAlignment w:val="auto"/>
              <w:rPr>
                <w:rFonts w:ascii="宋体" w:hAnsi="宋体" w:cs="宋体"/>
                <w:szCs w:val="21"/>
              </w:rPr>
            </w:pPr>
            <w:r>
              <w:rPr>
                <w:rFonts w:hint="eastAsia" w:ascii="宋体" w:hAnsi="宋体" w:cs="宋体"/>
                <w:szCs w:val="21"/>
              </w:rPr>
              <w:t>2、</w:t>
            </w:r>
            <w:r>
              <w:rPr>
                <w:rFonts w:hint="eastAsia" w:hAnsi="宋体" w:cs="宋体"/>
                <w:szCs w:val="21"/>
                <w:lang w:eastAsia="zh-CN"/>
              </w:rPr>
              <w:t>成交人</w:t>
            </w:r>
            <w:r>
              <w:rPr>
                <w:rFonts w:hint="eastAsia" w:ascii="宋体" w:hAnsi="宋体" w:cs="宋体"/>
                <w:szCs w:val="21"/>
              </w:rPr>
              <w:t>履行本合同形成的成果报告以及履行合同中收集、获取的数据、图表信息等知识产权归采购人所有，未经采购人同意，非经采购人书面同意不得用于履行本合同以外目的。</w:t>
            </w:r>
          </w:p>
          <w:p w14:paraId="0FA4AAF4">
            <w:pPr>
              <w:keepNext w:val="0"/>
              <w:keepLines w:val="0"/>
              <w:pageBreakBefore w:val="0"/>
              <w:kinsoku/>
              <w:wordWrap/>
              <w:overflowPunct/>
              <w:topLinePunct w:val="0"/>
              <w:autoSpaceDE/>
              <w:autoSpaceDN/>
              <w:bidi w:val="0"/>
              <w:adjustRightInd/>
              <w:snapToGrid/>
              <w:spacing w:line="288" w:lineRule="auto"/>
              <w:ind w:left="0" w:leftChars="0" w:firstLine="0" w:firstLineChars="0"/>
              <w:jc w:val="left"/>
              <w:textAlignment w:val="auto"/>
              <w:rPr>
                <w:rFonts w:ascii="宋体" w:hAnsi="宋体" w:cs="宋体"/>
                <w:szCs w:val="21"/>
              </w:rPr>
            </w:pPr>
            <w:r>
              <w:rPr>
                <w:rFonts w:hint="eastAsia" w:ascii="宋体" w:hAnsi="宋体" w:cs="宋体"/>
                <w:szCs w:val="21"/>
              </w:rPr>
              <w:t>3、除合同另有约定外，</w:t>
            </w:r>
            <w:r>
              <w:rPr>
                <w:rFonts w:hint="eastAsia" w:hAnsi="宋体" w:cs="宋体"/>
                <w:szCs w:val="21"/>
                <w:lang w:eastAsia="zh-CN"/>
              </w:rPr>
              <w:t>成交人</w:t>
            </w:r>
            <w:r>
              <w:rPr>
                <w:rFonts w:hint="eastAsia" w:ascii="宋体" w:hAnsi="宋体" w:cs="宋体"/>
                <w:szCs w:val="21"/>
              </w:rPr>
              <w:t>违反本合同约定义务，每违约壹次按合同金额的</w:t>
            </w:r>
            <w:r>
              <w:rPr>
                <w:rFonts w:hint="eastAsia" w:ascii="宋体" w:hAnsi="宋体" w:cs="宋体"/>
                <w:szCs w:val="21"/>
                <w:lang w:val="en-US" w:eastAsia="zh-CN"/>
              </w:rPr>
              <w:t>3</w:t>
            </w:r>
            <w:r>
              <w:rPr>
                <w:rFonts w:hint="eastAsia" w:ascii="宋体" w:hAnsi="宋体" w:cs="宋体"/>
                <w:szCs w:val="21"/>
              </w:rPr>
              <w:t>%承担违约责任，违约达到三次，采购人报财政监督部门处理。</w:t>
            </w:r>
          </w:p>
          <w:p w14:paraId="10B108BA">
            <w:pPr>
              <w:keepNext w:val="0"/>
              <w:keepLines w:val="0"/>
              <w:pageBreakBefore w:val="0"/>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color w:val="auto"/>
                <w:szCs w:val="21"/>
                <w:highlight w:val="none"/>
              </w:rPr>
            </w:pPr>
            <w:r>
              <w:rPr>
                <w:rFonts w:hint="eastAsia" w:ascii="宋体" w:hAnsi="宋体" w:cs="宋体"/>
                <w:szCs w:val="21"/>
              </w:rPr>
              <w:t>4、本次项目中包含了大量第三方对接工作，如财务系统对接等。本次项目所有费用已包含在预算，不再单独支付额外费用，供应商应承担全部数据对接产生费用，采购人仅负责中间协调工作，</w:t>
            </w:r>
            <w:r>
              <w:rPr>
                <w:rFonts w:hint="eastAsia" w:ascii="宋体" w:hAnsi="宋体" w:cs="宋体"/>
                <w:szCs w:val="21"/>
                <w:lang w:eastAsia="zh-CN"/>
              </w:rPr>
              <w:t>供应商</w:t>
            </w:r>
            <w:r>
              <w:rPr>
                <w:rFonts w:hint="eastAsia" w:ascii="宋体" w:hAnsi="宋体" w:cs="宋体"/>
                <w:szCs w:val="21"/>
              </w:rPr>
              <w:t>在</w:t>
            </w:r>
            <w:r>
              <w:rPr>
                <w:rFonts w:hint="eastAsia" w:hAnsi="宋体" w:cs="宋体"/>
                <w:szCs w:val="21"/>
                <w:lang w:eastAsia="zh-CN"/>
              </w:rPr>
              <w:t>响应</w:t>
            </w:r>
            <w:r>
              <w:rPr>
                <w:rFonts w:hint="eastAsia" w:ascii="宋体" w:hAnsi="宋体" w:cs="宋体"/>
                <w:szCs w:val="21"/>
              </w:rPr>
              <w:t>文件内必须承诺，保证按期完成其与第三方对接工作，未提供该承诺做无效</w:t>
            </w:r>
            <w:r>
              <w:rPr>
                <w:rFonts w:hint="eastAsia" w:hAnsi="宋体" w:cs="宋体"/>
                <w:szCs w:val="21"/>
                <w:lang w:eastAsia="zh-CN"/>
              </w:rPr>
              <w:t>响应</w:t>
            </w:r>
            <w:r>
              <w:rPr>
                <w:rFonts w:hint="eastAsia" w:ascii="宋体" w:hAnsi="宋体" w:cs="宋体"/>
                <w:szCs w:val="21"/>
              </w:rPr>
              <w:t>处理。</w:t>
            </w:r>
          </w:p>
        </w:tc>
      </w:tr>
    </w:tbl>
    <w:p w14:paraId="01C29CDB">
      <w:pPr>
        <w:pStyle w:val="33"/>
        <w:ind w:left="0" w:leftChars="0" w:firstLine="0" w:firstLineChars="0"/>
        <w:rPr>
          <w:color w:val="auto"/>
          <w:highlight w:val="none"/>
        </w:rPr>
        <w:sectPr>
          <w:footerReference r:id="rId6" w:type="default"/>
          <w:pgSz w:w="11906" w:h="16838"/>
          <w:pgMar w:top="1332" w:right="1434" w:bottom="1332" w:left="1434" w:header="850" w:footer="992" w:gutter="0"/>
          <w:cols w:space="0" w:num="1"/>
          <w:rtlGutter w:val="0"/>
          <w:docGrid w:type="lines" w:linePitch="315" w:charSpace="0"/>
        </w:sectPr>
      </w:pPr>
    </w:p>
    <w:p w14:paraId="6EB612F8">
      <w:pPr>
        <w:pStyle w:val="17"/>
        <w:jc w:val="left"/>
        <w:rPr>
          <w:rFonts w:hint="eastAsia" w:hAnsi="宋体" w:cs="宋体"/>
          <w:color w:val="auto"/>
          <w:sz w:val="32"/>
          <w:szCs w:val="32"/>
          <w:highlight w:val="none"/>
        </w:rPr>
      </w:pPr>
      <w:r>
        <w:rPr>
          <w:rFonts w:hint="eastAsia" w:hAnsi="宋体" w:cs="宋体"/>
          <w:color w:val="auto"/>
          <w:sz w:val="32"/>
          <w:szCs w:val="32"/>
          <w:highlight w:val="none"/>
        </w:rPr>
        <w:t>附件</w:t>
      </w:r>
      <w:r>
        <w:rPr>
          <w:rFonts w:hint="eastAsia" w:hAnsi="宋体" w:cs="宋体"/>
          <w:color w:val="auto"/>
          <w:sz w:val="32"/>
          <w:szCs w:val="32"/>
          <w:highlight w:val="none"/>
          <w:lang w:val="en-US" w:eastAsia="zh-CN"/>
        </w:rPr>
        <w:t>3</w:t>
      </w:r>
      <w:r>
        <w:rPr>
          <w:rFonts w:hint="eastAsia" w:hAnsi="宋体" w:cs="宋体"/>
          <w:color w:val="auto"/>
          <w:sz w:val="32"/>
          <w:szCs w:val="32"/>
          <w:highlight w:val="none"/>
        </w:rPr>
        <w:t>：</w:t>
      </w:r>
    </w:p>
    <w:p w14:paraId="1A8E21CE">
      <w:pPr>
        <w:pStyle w:val="17"/>
        <w:jc w:val="center"/>
        <w:rPr>
          <w:rFonts w:hint="eastAsia" w:hAnsi="宋体" w:cs="宋体"/>
          <w:color w:val="auto"/>
          <w:sz w:val="32"/>
          <w:szCs w:val="32"/>
          <w:highlight w:val="none"/>
        </w:rPr>
      </w:pPr>
      <w:r>
        <w:rPr>
          <w:rFonts w:hint="eastAsia" w:hAnsi="宋体" w:cs="宋体"/>
          <w:color w:val="auto"/>
          <w:sz w:val="32"/>
          <w:szCs w:val="32"/>
          <w:highlight w:val="none"/>
        </w:rPr>
        <w:t>中小微企业划型标准</w:t>
      </w:r>
    </w:p>
    <w:tbl>
      <w:tblPr>
        <w:tblStyle w:val="26"/>
        <w:tblW w:w="9460" w:type="dxa"/>
        <w:jc w:val="center"/>
        <w:tblLayout w:type="fixed"/>
        <w:tblCellMar>
          <w:top w:w="0" w:type="dxa"/>
          <w:left w:w="108" w:type="dxa"/>
          <w:bottom w:w="0" w:type="dxa"/>
          <w:right w:w="108" w:type="dxa"/>
        </w:tblCellMar>
      </w:tblPr>
      <w:tblGrid>
        <w:gridCol w:w="2286"/>
        <w:gridCol w:w="1428"/>
        <w:gridCol w:w="1195"/>
        <w:gridCol w:w="1850"/>
        <w:gridCol w:w="1644"/>
        <w:gridCol w:w="1057"/>
      </w:tblGrid>
      <w:tr w14:paraId="37F98AA7">
        <w:tblPrEx>
          <w:tblCellMar>
            <w:top w:w="0" w:type="dxa"/>
            <w:left w:w="108" w:type="dxa"/>
            <w:bottom w:w="0" w:type="dxa"/>
            <w:right w:w="108" w:type="dxa"/>
          </w:tblCellMar>
        </w:tblPrEx>
        <w:trPr>
          <w:trHeight w:val="674" w:hRule="atLeast"/>
          <w:jc w:val="center"/>
        </w:trPr>
        <w:tc>
          <w:tcPr>
            <w:tcW w:w="2286" w:type="dxa"/>
            <w:tcBorders>
              <w:top w:val="single" w:color="auto" w:sz="4" w:space="0"/>
              <w:left w:val="single" w:color="auto" w:sz="4" w:space="0"/>
              <w:bottom w:val="single" w:color="auto" w:sz="4" w:space="0"/>
              <w:right w:val="single" w:color="auto" w:sz="4" w:space="0"/>
            </w:tcBorders>
            <w:noWrap w:val="0"/>
            <w:vAlign w:val="center"/>
          </w:tcPr>
          <w:p w14:paraId="45A1B467">
            <w:pPr>
              <w:widowControl/>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428" w:type="dxa"/>
            <w:tcBorders>
              <w:top w:val="single" w:color="auto" w:sz="4" w:space="0"/>
              <w:left w:val="nil"/>
              <w:bottom w:val="single" w:color="auto" w:sz="4" w:space="0"/>
              <w:right w:val="single" w:color="auto" w:sz="4" w:space="0"/>
            </w:tcBorders>
            <w:noWrap w:val="0"/>
            <w:vAlign w:val="center"/>
          </w:tcPr>
          <w:p w14:paraId="49E1E760">
            <w:pPr>
              <w:widowControl/>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1195" w:type="dxa"/>
            <w:tcBorders>
              <w:top w:val="single" w:color="auto" w:sz="4" w:space="0"/>
              <w:left w:val="nil"/>
              <w:bottom w:val="single" w:color="auto" w:sz="4" w:space="0"/>
              <w:right w:val="single" w:color="auto" w:sz="4" w:space="0"/>
            </w:tcBorders>
            <w:noWrap w:val="0"/>
            <w:vAlign w:val="center"/>
          </w:tcPr>
          <w:p w14:paraId="49F475F5">
            <w:pPr>
              <w:widowControl/>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850" w:type="dxa"/>
            <w:tcBorders>
              <w:top w:val="single" w:color="auto" w:sz="4" w:space="0"/>
              <w:left w:val="nil"/>
              <w:bottom w:val="single" w:color="auto" w:sz="4" w:space="0"/>
              <w:right w:val="single" w:color="auto" w:sz="4" w:space="0"/>
            </w:tcBorders>
            <w:noWrap w:val="0"/>
            <w:vAlign w:val="center"/>
          </w:tcPr>
          <w:p w14:paraId="251008A5">
            <w:pPr>
              <w:widowControl/>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644" w:type="dxa"/>
            <w:tcBorders>
              <w:top w:val="single" w:color="auto" w:sz="4" w:space="0"/>
              <w:left w:val="nil"/>
              <w:bottom w:val="single" w:color="auto" w:sz="4" w:space="0"/>
              <w:right w:val="single" w:color="auto" w:sz="4" w:space="0"/>
            </w:tcBorders>
            <w:noWrap w:val="0"/>
            <w:vAlign w:val="center"/>
          </w:tcPr>
          <w:p w14:paraId="3F42B9DC">
            <w:pPr>
              <w:widowControl/>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057" w:type="dxa"/>
            <w:tcBorders>
              <w:top w:val="single" w:color="auto" w:sz="4" w:space="0"/>
              <w:left w:val="nil"/>
              <w:bottom w:val="single" w:color="auto" w:sz="4" w:space="0"/>
              <w:right w:val="single" w:color="auto" w:sz="4" w:space="0"/>
            </w:tcBorders>
            <w:noWrap w:val="0"/>
            <w:vAlign w:val="center"/>
          </w:tcPr>
          <w:p w14:paraId="2EE0DCA2">
            <w:pPr>
              <w:widowControl/>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30D682E5">
        <w:tblPrEx>
          <w:tblCellMar>
            <w:top w:w="0" w:type="dxa"/>
            <w:left w:w="108" w:type="dxa"/>
            <w:bottom w:w="0" w:type="dxa"/>
            <w:right w:w="108" w:type="dxa"/>
          </w:tblCellMar>
        </w:tblPrEx>
        <w:trPr>
          <w:trHeight w:val="342" w:hRule="atLeast"/>
          <w:jc w:val="center"/>
        </w:trPr>
        <w:tc>
          <w:tcPr>
            <w:tcW w:w="2286" w:type="dxa"/>
            <w:tcBorders>
              <w:top w:val="nil"/>
              <w:left w:val="single" w:color="auto" w:sz="4" w:space="0"/>
              <w:bottom w:val="single" w:color="auto" w:sz="4" w:space="0"/>
              <w:right w:val="single" w:color="auto" w:sz="4" w:space="0"/>
            </w:tcBorders>
            <w:noWrap w:val="0"/>
            <w:vAlign w:val="center"/>
          </w:tcPr>
          <w:p w14:paraId="6E7FEC0D">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428" w:type="dxa"/>
            <w:tcBorders>
              <w:top w:val="nil"/>
              <w:left w:val="nil"/>
              <w:bottom w:val="single" w:color="auto" w:sz="4" w:space="0"/>
              <w:right w:val="single" w:color="auto" w:sz="4" w:space="0"/>
            </w:tcBorders>
            <w:noWrap w:val="0"/>
            <w:vAlign w:val="center"/>
          </w:tcPr>
          <w:p w14:paraId="24F5334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195" w:type="dxa"/>
            <w:tcBorders>
              <w:top w:val="nil"/>
              <w:left w:val="nil"/>
              <w:bottom w:val="single" w:color="auto" w:sz="4" w:space="0"/>
              <w:right w:val="single" w:color="auto" w:sz="4" w:space="0"/>
            </w:tcBorders>
            <w:noWrap w:val="0"/>
            <w:vAlign w:val="center"/>
          </w:tcPr>
          <w:p w14:paraId="087744E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noWrap w:val="0"/>
            <w:vAlign w:val="center"/>
          </w:tcPr>
          <w:p w14:paraId="697463D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44" w:type="dxa"/>
            <w:tcBorders>
              <w:top w:val="nil"/>
              <w:left w:val="nil"/>
              <w:bottom w:val="single" w:color="auto" w:sz="4" w:space="0"/>
              <w:right w:val="single" w:color="auto" w:sz="4" w:space="0"/>
            </w:tcBorders>
            <w:noWrap w:val="0"/>
            <w:vAlign w:val="center"/>
          </w:tcPr>
          <w:p w14:paraId="6112617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057" w:type="dxa"/>
            <w:tcBorders>
              <w:top w:val="nil"/>
              <w:left w:val="nil"/>
              <w:bottom w:val="single" w:color="auto" w:sz="4" w:space="0"/>
              <w:right w:val="single" w:color="auto" w:sz="4" w:space="0"/>
            </w:tcBorders>
            <w:noWrap w:val="0"/>
            <w:vAlign w:val="center"/>
          </w:tcPr>
          <w:p w14:paraId="12BBE48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A04BAB4">
        <w:tblPrEx>
          <w:tblCellMar>
            <w:top w:w="0" w:type="dxa"/>
            <w:left w:w="108" w:type="dxa"/>
            <w:bottom w:w="0" w:type="dxa"/>
            <w:right w:w="108" w:type="dxa"/>
          </w:tblCellMar>
        </w:tblPrEx>
        <w:trPr>
          <w:trHeight w:val="342" w:hRule="atLeast"/>
          <w:jc w:val="center"/>
        </w:trPr>
        <w:tc>
          <w:tcPr>
            <w:tcW w:w="2286" w:type="dxa"/>
            <w:vMerge w:val="restart"/>
            <w:tcBorders>
              <w:top w:val="nil"/>
              <w:left w:val="single" w:color="auto" w:sz="4" w:space="0"/>
              <w:bottom w:val="single" w:color="auto" w:sz="4" w:space="0"/>
              <w:right w:val="single" w:color="auto" w:sz="4" w:space="0"/>
            </w:tcBorders>
            <w:noWrap w:val="0"/>
            <w:vAlign w:val="center"/>
          </w:tcPr>
          <w:p w14:paraId="700F192B">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428" w:type="dxa"/>
            <w:tcBorders>
              <w:top w:val="nil"/>
              <w:left w:val="nil"/>
              <w:bottom w:val="single" w:color="auto" w:sz="4" w:space="0"/>
              <w:right w:val="single" w:color="auto" w:sz="4" w:space="0"/>
            </w:tcBorders>
            <w:noWrap w:val="0"/>
            <w:vAlign w:val="center"/>
          </w:tcPr>
          <w:p w14:paraId="321E00F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195" w:type="dxa"/>
            <w:tcBorders>
              <w:top w:val="nil"/>
              <w:left w:val="nil"/>
              <w:bottom w:val="single" w:color="auto" w:sz="4" w:space="0"/>
              <w:right w:val="single" w:color="auto" w:sz="4" w:space="0"/>
            </w:tcBorders>
            <w:noWrap w:val="0"/>
            <w:vAlign w:val="center"/>
          </w:tcPr>
          <w:p w14:paraId="52403AF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noWrap w:val="0"/>
            <w:vAlign w:val="center"/>
          </w:tcPr>
          <w:p w14:paraId="2EF583E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44" w:type="dxa"/>
            <w:tcBorders>
              <w:top w:val="nil"/>
              <w:left w:val="nil"/>
              <w:bottom w:val="single" w:color="auto" w:sz="4" w:space="0"/>
              <w:right w:val="single" w:color="auto" w:sz="4" w:space="0"/>
            </w:tcBorders>
            <w:noWrap w:val="0"/>
            <w:vAlign w:val="center"/>
          </w:tcPr>
          <w:p w14:paraId="012447F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57" w:type="dxa"/>
            <w:tcBorders>
              <w:top w:val="nil"/>
              <w:left w:val="nil"/>
              <w:bottom w:val="single" w:color="auto" w:sz="4" w:space="0"/>
              <w:right w:val="single" w:color="auto" w:sz="4" w:space="0"/>
            </w:tcBorders>
            <w:noWrap w:val="0"/>
            <w:vAlign w:val="center"/>
          </w:tcPr>
          <w:p w14:paraId="7564475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DD18177">
        <w:tblPrEx>
          <w:tblCellMar>
            <w:top w:w="0" w:type="dxa"/>
            <w:left w:w="108" w:type="dxa"/>
            <w:bottom w:w="0" w:type="dxa"/>
            <w:right w:w="108" w:type="dxa"/>
          </w:tblCellMar>
        </w:tblPrEx>
        <w:trPr>
          <w:trHeight w:val="342" w:hRule="atLeast"/>
          <w:jc w:val="center"/>
        </w:trPr>
        <w:tc>
          <w:tcPr>
            <w:tcW w:w="2286" w:type="dxa"/>
            <w:vMerge w:val="continue"/>
            <w:tcBorders>
              <w:top w:val="nil"/>
              <w:left w:val="single" w:color="auto" w:sz="4" w:space="0"/>
              <w:bottom w:val="single" w:color="auto" w:sz="4" w:space="0"/>
              <w:right w:val="single" w:color="auto" w:sz="4" w:space="0"/>
            </w:tcBorders>
            <w:noWrap w:val="0"/>
            <w:vAlign w:val="center"/>
          </w:tcPr>
          <w:p w14:paraId="03A3EC8B">
            <w:pPr>
              <w:widowControl/>
              <w:jc w:val="center"/>
              <w:rPr>
                <w:rFonts w:hint="eastAsia" w:ascii="宋体" w:hAnsi="宋体" w:cs="宋体"/>
                <w:b/>
                <w:bCs/>
                <w:color w:val="auto"/>
                <w:kern w:val="0"/>
                <w:sz w:val="18"/>
                <w:szCs w:val="18"/>
                <w:highlight w:val="none"/>
              </w:rPr>
            </w:pPr>
          </w:p>
        </w:tc>
        <w:tc>
          <w:tcPr>
            <w:tcW w:w="1428" w:type="dxa"/>
            <w:tcBorders>
              <w:top w:val="nil"/>
              <w:left w:val="nil"/>
              <w:bottom w:val="single" w:color="auto" w:sz="4" w:space="0"/>
              <w:right w:val="single" w:color="auto" w:sz="4" w:space="0"/>
            </w:tcBorders>
            <w:noWrap w:val="0"/>
            <w:vAlign w:val="center"/>
          </w:tcPr>
          <w:p w14:paraId="1F55668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195" w:type="dxa"/>
            <w:tcBorders>
              <w:top w:val="nil"/>
              <w:left w:val="nil"/>
              <w:bottom w:val="single" w:color="auto" w:sz="4" w:space="0"/>
              <w:right w:val="single" w:color="auto" w:sz="4" w:space="0"/>
            </w:tcBorders>
            <w:noWrap w:val="0"/>
            <w:vAlign w:val="center"/>
          </w:tcPr>
          <w:p w14:paraId="3B76B6E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noWrap w:val="0"/>
            <w:vAlign w:val="center"/>
          </w:tcPr>
          <w:p w14:paraId="28A7AC5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644" w:type="dxa"/>
            <w:tcBorders>
              <w:top w:val="nil"/>
              <w:left w:val="nil"/>
              <w:bottom w:val="single" w:color="auto" w:sz="4" w:space="0"/>
              <w:right w:val="single" w:color="auto" w:sz="4" w:space="0"/>
            </w:tcBorders>
            <w:noWrap w:val="0"/>
            <w:vAlign w:val="center"/>
          </w:tcPr>
          <w:p w14:paraId="265A7C7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057" w:type="dxa"/>
            <w:tcBorders>
              <w:top w:val="nil"/>
              <w:left w:val="nil"/>
              <w:bottom w:val="single" w:color="auto" w:sz="4" w:space="0"/>
              <w:right w:val="single" w:color="auto" w:sz="4" w:space="0"/>
            </w:tcBorders>
            <w:noWrap w:val="0"/>
            <w:vAlign w:val="center"/>
          </w:tcPr>
          <w:p w14:paraId="1145CF5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4DA0209C">
        <w:tblPrEx>
          <w:tblCellMar>
            <w:top w:w="0" w:type="dxa"/>
            <w:left w:w="108" w:type="dxa"/>
            <w:bottom w:w="0" w:type="dxa"/>
            <w:right w:w="108" w:type="dxa"/>
          </w:tblCellMar>
        </w:tblPrEx>
        <w:trPr>
          <w:trHeight w:val="342" w:hRule="atLeast"/>
          <w:jc w:val="center"/>
        </w:trPr>
        <w:tc>
          <w:tcPr>
            <w:tcW w:w="2286" w:type="dxa"/>
            <w:vMerge w:val="restart"/>
            <w:tcBorders>
              <w:top w:val="nil"/>
              <w:left w:val="single" w:color="auto" w:sz="4" w:space="0"/>
              <w:bottom w:val="single" w:color="auto" w:sz="4" w:space="0"/>
              <w:right w:val="single" w:color="auto" w:sz="4" w:space="0"/>
            </w:tcBorders>
            <w:noWrap w:val="0"/>
            <w:vAlign w:val="center"/>
          </w:tcPr>
          <w:p w14:paraId="049888A1">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428" w:type="dxa"/>
            <w:tcBorders>
              <w:top w:val="nil"/>
              <w:left w:val="nil"/>
              <w:bottom w:val="single" w:color="auto" w:sz="4" w:space="0"/>
              <w:right w:val="single" w:color="auto" w:sz="4" w:space="0"/>
            </w:tcBorders>
            <w:noWrap w:val="0"/>
            <w:vAlign w:val="center"/>
          </w:tcPr>
          <w:p w14:paraId="451A7B0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195" w:type="dxa"/>
            <w:tcBorders>
              <w:top w:val="nil"/>
              <w:left w:val="nil"/>
              <w:bottom w:val="single" w:color="auto" w:sz="4" w:space="0"/>
              <w:right w:val="single" w:color="auto" w:sz="4" w:space="0"/>
            </w:tcBorders>
            <w:noWrap w:val="0"/>
            <w:vAlign w:val="center"/>
          </w:tcPr>
          <w:p w14:paraId="046325E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noWrap w:val="0"/>
            <w:vAlign w:val="center"/>
          </w:tcPr>
          <w:p w14:paraId="76130B1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644" w:type="dxa"/>
            <w:tcBorders>
              <w:top w:val="nil"/>
              <w:left w:val="nil"/>
              <w:bottom w:val="single" w:color="auto" w:sz="4" w:space="0"/>
              <w:right w:val="single" w:color="auto" w:sz="4" w:space="0"/>
            </w:tcBorders>
            <w:noWrap w:val="0"/>
            <w:vAlign w:val="center"/>
          </w:tcPr>
          <w:p w14:paraId="154642C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057" w:type="dxa"/>
            <w:tcBorders>
              <w:top w:val="nil"/>
              <w:left w:val="nil"/>
              <w:bottom w:val="single" w:color="auto" w:sz="4" w:space="0"/>
              <w:right w:val="single" w:color="auto" w:sz="4" w:space="0"/>
            </w:tcBorders>
            <w:noWrap w:val="0"/>
            <w:vAlign w:val="center"/>
          </w:tcPr>
          <w:p w14:paraId="47690E9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9222CB5">
        <w:tblPrEx>
          <w:tblCellMar>
            <w:top w:w="0" w:type="dxa"/>
            <w:left w:w="108" w:type="dxa"/>
            <w:bottom w:w="0" w:type="dxa"/>
            <w:right w:w="108" w:type="dxa"/>
          </w:tblCellMar>
        </w:tblPrEx>
        <w:trPr>
          <w:trHeight w:val="342" w:hRule="atLeast"/>
          <w:jc w:val="center"/>
        </w:trPr>
        <w:tc>
          <w:tcPr>
            <w:tcW w:w="2286" w:type="dxa"/>
            <w:vMerge w:val="continue"/>
            <w:tcBorders>
              <w:top w:val="nil"/>
              <w:left w:val="single" w:color="auto" w:sz="4" w:space="0"/>
              <w:bottom w:val="single" w:color="auto" w:sz="4" w:space="0"/>
              <w:right w:val="single" w:color="auto" w:sz="4" w:space="0"/>
            </w:tcBorders>
            <w:noWrap w:val="0"/>
            <w:vAlign w:val="center"/>
          </w:tcPr>
          <w:p w14:paraId="58F7F67D">
            <w:pPr>
              <w:widowControl/>
              <w:jc w:val="center"/>
              <w:rPr>
                <w:rFonts w:hint="eastAsia" w:ascii="宋体" w:hAnsi="宋体" w:cs="宋体"/>
                <w:b/>
                <w:bCs/>
                <w:color w:val="auto"/>
                <w:kern w:val="0"/>
                <w:sz w:val="18"/>
                <w:szCs w:val="18"/>
                <w:highlight w:val="none"/>
              </w:rPr>
            </w:pPr>
          </w:p>
        </w:tc>
        <w:tc>
          <w:tcPr>
            <w:tcW w:w="1428" w:type="dxa"/>
            <w:tcBorders>
              <w:top w:val="nil"/>
              <w:left w:val="nil"/>
              <w:bottom w:val="single" w:color="auto" w:sz="4" w:space="0"/>
              <w:right w:val="single" w:color="auto" w:sz="4" w:space="0"/>
            </w:tcBorders>
            <w:noWrap w:val="0"/>
            <w:vAlign w:val="center"/>
          </w:tcPr>
          <w:p w14:paraId="14513C0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195" w:type="dxa"/>
            <w:tcBorders>
              <w:top w:val="nil"/>
              <w:left w:val="nil"/>
              <w:bottom w:val="single" w:color="auto" w:sz="4" w:space="0"/>
              <w:right w:val="single" w:color="auto" w:sz="4" w:space="0"/>
            </w:tcBorders>
            <w:noWrap w:val="0"/>
            <w:vAlign w:val="center"/>
          </w:tcPr>
          <w:p w14:paraId="0824BB2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noWrap w:val="0"/>
            <w:vAlign w:val="center"/>
          </w:tcPr>
          <w:p w14:paraId="03AAE62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644" w:type="dxa"/>
            <w:tcBorders>
              <w:top w:val="nil"/>
              <w:left w:val="nil"/>
              <w:bottom w:val="single" w:color="auto" w:sz="4" w:space="0"/>
              <w:right w:val="single" w:color="auto" w:sz="4" w:space="0"/>
            </w:tcBorders>
            <w:noWrap w:val="0"/>
            <w:vAlign w:val="center"/>
          </w:tcPr>
          <w:p w14:paraId="57FA2D9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057" w:type="dxa"/>
            <w:tcBorders>
              <w:top w:val="nil"/>
              <w:left w:val="nil"/>
              <w:bottom w:val="single" w:color="auto" w:sz="4" w:space="0"/>
              <w:right w:val="single" w:color="auto" w:sz="4" w:space="0"/>
            </w:tcBorders>
            <w:noWrap w:val="0"/>
            <w:vAlign w:val="center"/>
          </w:tcPr>
          <w:p w14:paraId="2BC03E9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7ED286DF">
        <w:tblPrEx>
          <w:tblCellMar>
            <w:top w:w="0" w:type="dxa"/>
            <w:left w:w="108" w:type="dxa"/>
            <w:bottom w:w="0" w:type="dxa"/>
            <w:right w:w="108" w:type="dxa"/>
          </w:tblCellMar>
        </w:tblPrEx>
        <w:trPr>
          <w:trHeight w:val="342" w:hRule="atLeast"/>
          <w:jc w:val="center"/>
        </w:trPr>
        <w:tc>
          <w:tcPr>
            <w:tcW w:w="2286" w:type="dxa"/>
            <w:vMerge w:val="restart"/>
            <w:tcBorders>
              <w:top w:val="nil"/>
              <w:left w:val="single" w:color="auto" w:sz="4" w:space="0"/>
              <w:bottom w:val="single" w:color="auto" w:sz="4" w:space="0"/>
              <w:right w:val="single" w:color="auto" w:sz="4" w:space="0"/>
            </w:tcBorders>
            <w:noWrap w:val="0"/>
            <w:vAlign w:val="center"/>
          </w:tcPr>
          <w:p w14:paraId="5965F61D">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428" w:type="dxa"/>
            <w:tcBorders>
              <w:top w:val="nil"/>
              <w:left w:val="nil"/>
              <w:bottom w:val="single" w:color="auto" w:sz="4" w:space="0"/>
              <w:right w:val="single" w:color="auto" w:sz="4" w:space="0"/>
            </w:tcBorders>
            <w:noWrap w:val="0"/>
            <w:vAlign w:val="center"/>
          </w:tcPr>
          <w:p w14:paraId="362187E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195" w:type="dxa"/>
            <w:tcBorders>
              <w:top w:val="nil"/>
              <w:left w:val="nil"/>
              <w:bottom w:val="single" w:color="auto" w:sz="4" w:space="0"/>
              <w:right w:val="single" w:color="auto" w:sz="4" w:space="0"/>
            </w:tcBorders>
            <w:noWrap w:val="0"/>
            <w:vAlign w:val="center"/>
          </w:tcPr>
          <w:p w14:paraId="44E07F1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noWrap w:val="0"/>
            <w:vAlign w:val="center"/>
          </w:tcPr>
          <w:p w14:paraId="7392C79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644" w:type="dxa"/>
            <w:tcBorders>
              <w:top w:val="nil"/>
              <w:left w:val="nil"/>
              <w:bottom w:val="single" w:color="auto" w:sz="4" w:space="0"/>
              <w:right w:val="single" w:color="auto" w:sz="4" w:space="0"/>
            </w:tcBorders>
            <w:noWrap w:val="0"/>
            <w:vAlign w:val="center"/>
          </w:tcPr>
          <w:p w14:paraId="19F4B3D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057" w:type="dxa"/>
            <w:tcBorders>
              <w:top w:val="nil"/>
              <w:left w:val="nil"/>
              <w:bottom w:val="single" w:color="auto" w:sz="4" w:space="0"/>
              <w:right w:val="single" w:color="auto" w:sz="4" w:space="0"/>
            </w:tcBorders>
            <w:noWrap w:val="0"/>
            <w:vAlign w:val="center"/>
          </w:tcPr>
          <w:p w14:paraId="64F2C6C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6BD42688">
        <w:tblPrEx>
          <w:tblCellMar>
            <w:top w:w="0" w:type="dxa"/>
            <w:left w:w="108" w:type="dxa"/>
            <w:bottom w:w="0" w:type="dxa"/>
            <w:right w:w="108" w:type="dxa"/>
          </w:tblCellMar>
        </w:tblPrEx>
        <w:trPr>
          <w:trHeight w:val="342" w:hRule="atLeast"/>
          <w:jc w:val="center"/>
        </w:trPr>
        <w:tc>
          <w:tcPr>
            <w:tcW w:w="2286" w:type="dxa"/>
            <w:vMerge w:val="continue"/>
            <w:tcBorders>
              <w:top w:val="nil"/>
              <w:left w:val="single" w:color="auto" w:sz="4" w:space="0"/>
              <w:bottom w:val="single" w:color="auto" w:sz="4" w:space="0"/>
              <w:right w:val="single" w:color="auto" w:sz="4" w:space="0"/>
            </w:tcBorders>
            <w:noWrap w:val="0"/>
            <w:vAlign w:val="center"/>
          </w:tcPr>
          <w:p w14:paraId="11F27F36">
            <w:pPr>
              <w:widowControl/>
              <w:jc w:val="center"/>
              <w:rPr>
                <w:rFonts w:hint="eastAsia" w:ascii="宋体" w:hAnsi="宋体" w:cs="宋体"/>
                <w:b/>
                <w:bCs/>
                <w:color w:val="auto"/>
                <w:kern w:val="0"/>
                <w:sz w:val="18"/>
                <w:szCs w:val="18"/>
                <w:highlight w:val="none"/>
              </w:rPr>
            </w:pPr>
          </w:p>
        </w:tc>
        <w:tc>
          <w:tcPr>
            <w:tcW w:w="1428" w:type="dxa"/>
            <w:tcBorders>
              <w:top w:val="nil"/>
              <w:left w:val="nil"/>
              <w:bottom w:val="single" w:color="auto" w:sz="4" w:space="0"/>
              <w:right w:val="single" w:color="auto" w:sz="4" w:space="0"/>
            </w:tcBorders>
            <w:noWrap w:val="0"/>
            <w:vAlign w:val="center"/>
          </w:tcPr>
          <w:p w14:paraId="234D5DE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195" w:type="dxa"/>
            <w:tcBorders>
              <w:top w:val="nil"/>
              <w:left w:val="nil"/>
              <w:bottom w:val="single" w:color="auto" w:sz="4" w:space="0"/>
              <w:right w:val="single" w:color="auto" w:sz="4" w:space="0"/>
            </w:tcBorders>
            <w:noWrap w:val="0"/>
            <w:vAlign w:val="center"/>
          </w:tcPr>
          <w:p w14:paraId="6EC685D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noWrap w:val="0"/>
            <w:vAlign w:val="center"/>
          </w:tcPr>
          <w:p w14:paraId="501B577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644" w:type="dxa"/>
            <w:tcBorders>
              <w:top w:val="nil"/>
              <w:left w:val="nil"/>
              <w:bottom w:val="single" w:color="auto" w:sz="4" w:space="0"/>
              <w:right w:val="single" w:color="auto" w:sz="4" w:space="0"/>
            </w:tcBorders>
            <w:noWrap w:val="0"/>
            <w:vAlign w:val="center"/>
          </w:tcPr>
          <w:p w14:paraId="2575130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057" w:type="dxa"/>
            <w:tcBorders>
              <w:top w:val="nil"/>
              <w:left w:val="nil"/>
              <w:bottom w:val="single" w:color="auto" w:sz="4" w:space="0"/>
              <w:right w:val="single" w:color="auto" w:sz="4" w:space="0"/>
            </w:tcBorders>
            <w:noWrap w:val="0"/>
            <w:vAlign w:val="center"/>
          </w:tcPr>
          <w:p w14:paraId="1B13472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5495CF83">
        <w:tblPrEx>
          <w:tblCellMar>
            <w:top w:w="0" w:type="dxa"/>
            <w:left w:w="108" w:type="dxa"/>
            <w:bottom w:w="0" w:type="dxa"/>
            <w:right w:w="108" w:type="dxa"/>
          </w:tblCellMar>
        </w:tblPrEx>
        <w:trPr>
          <w:trHeight w:val="342" w:hRule="atLeast"/>
          <w:jc w:val="center"/>
        </w:trPr>
        <w:tc>
          <w:tcPr>
            <w:tcW w:w="2286" w:type="dxa"/>
            <w:vMerge w:val="restart"/>
            <w:tcBorders>
              <w:top w:val="nil"/>
              <w:left w:val="single" w:color="auto" w:sz="4" w:space="0"/>
              <w:bottom w:val="single" w:color="auto" w:sz="4" w:space="0"/>
              <w:right w:val="single" w:color="auto" w:sz="4" w:space="0"/>
            </w:tcBorders>
            <w:noWrap w:val="0"/>
            <w:vAlign w:val="center"/>
          </w:tcPr>
          <w:p w14:paraId="485A9C12">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428" w:type="dxa"/>
            <w:tcBorders>
              <w:top w:val="nil"/>
              <w:left w:val="nil"/>
              <w:bottom w:val="single" w:color="auto" w:sz="4" w:space="0"/>
              <w:right w:val="single" w:color="auto" w:sz="4" w:space="0"/>
            </w:tcBorders>
            <w:noWrap w:val="0"/>
            <w:vAlign w:val="center"/>
          </w:tcPr>
          <w:p w14:paraId="025372A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195" w:type="dxa"/>
            <w:tcBorders>
              <w:top w:val="nil"/>
              <w:left w:val="nil"/>
              <w:bottom w:val="single" w:color="auto" w:sz="4" w:space="0"/>
              <w:right w:val="single" w:color="auto" w:sz="4" w:space="0"/>
            </w:tcBorders>
            <w:noWrap w:val="0"/>
            <w:vAlign w:val="center"/>
          </w:tcPr>
          <w:p w14:paraId="1752C5F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noWrap w:val="0"/>
            <w:vAlign w:val="center"/>
          </w:tcPr>
          <w:p w14:paraId="0BD96FF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644" w:type="dxa"/>
            <w:tcBorders>
              <w:top w:val="nil"/>
              <w:left w:val="nil"/>
              <w:bottom w:val="single" w:color="auto" w:sz="4" w:space="0"/>
              <w:right w:val="single" w:color="auto" w:sz="4" w:space="0"/>
            </w:tcBorders>
            <w:noWrap w:val="0"/>
            <w:vAlign w:val="center"/>
          </w:tcPr>
          <w:p w14:paraId="429AF08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057" w:type="dxa"/>
            <w:tcBorders>
              <w:top w:val="nil"/>
              <w:left w:val="nil"/>
              <w:bottom w:val="single" w:color="auto" w:sz="4" w:space="0"/>
              <w:right w:val="single" w:color="auto" w:sz="4" w:space="0"/>
            </w:tcBorders>
            <w:noWrap w:val="0"/>
            <w:vAlign w:val="center"/>
          </w:tcPr>
          <w:p w14:paraId="60BBED9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6E89A30">
        <w:tblPrEx>
          <w:tblCellMar>
            <w:top w:w="0" w:type="dxa"/>
            <w:left w:w="108" w:type="dxa"/>
            <w:bottom w:w="0" w:type="dxa"/>
            <w:right w:w="108" w:type="dxa"/>
          </w:tblCellMar>
        </w:tblPrEx>
        <w:trPr>
          <w:trHeight w:val="342" w:hRule="atLeast"/>
          <w:jc w:val="center"/>
        </w:trPr>
        <w:tc>
          <w:tcPr>
            <w:tcW w:w="2286" w:type="dxa"/>
            <w:vMerge w:val="continue"/>
            <w:tcBorders>
              <w:top w:val="nil"/>
              <w:left w:val="single" w:color="auto" w:sz="4" w:space="0"/>
              <w:bottom w:val="single" w:color="auto" w:sz="4" w:space="0"/>
              <w:right w:val="single" w:color="auto" w:sz="4" w:space="0"/>
            </w:tcBorders>
            <w:noWrap w:val="0"/>
            <w:vAlign w:val="center"/>
          </w:tcPr>
          <w:p w14:paraId="02E201D8">
            <w:pPr>
              <w:widowControl/>
              <w:jc w:val="center"/>
              <w:rPr>
                <w:rFonts w:hint="eastAsia" w:ascii="宋体" w:hAnsi="宋体" w:cs="宋体"/>
                <w:b/>
                <w:bCs/>
                <w:color w:val="auto"/>
                <w:kern w:val="0"/>
                <w:sz w:val="18"/>
                <w:szCs w:val="18"/>
                <w:highlight w:val="none"/>
              </w:rPr>
            </w:pPr>
          </w:p>
        </w:tc>
        <w:tc>
          <w:tcPr>
            <w:tcW w:w="1428" w:type="dxa"/>
            <w:tcBorders>
              <w:top w:val="nil"/>
              <w:left w:val="nil"/>
              <w:bottom w:val="single" w:color="auto" w:sz="4" w:space="0"/>
              <w:right w:val="single" w:color="auto" w:sz="4" w:space="0"/>
            </w:tcBorders>
            <w:noWrap w:val="0"/>
            <w:vAlign w:val="center"/>
          </w:tcPr>
          <w:p w14:paraId="5D23A75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195" w:type="dxa"/>
            <w:tcBorders>
              <w:top w:val="nil"/>
              <w:left w:val="nil"/>
              <w:bottom w:val="single" w:color="auto" w:sz="4" w:space="0"/>
              <w:right w:val="single" w:color="auto" w:sz="4" w:space="0"/>
            </w:tcBorders>
            <w:noWrap w:val="0"/>
            <w:vAlign w:val="center"/>
          </w:tcPr>
          <w:p w14:paraId="0A80600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noWrap w:val="0"/>
            <w:vAlign w:val="center"/>
          </w:tcPr>
          <w:p w14:paraId="4630512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44" w:type="dxa"/>
            <w:tcBorders>
              <w:top w:val="nil"/>
              <w:left w:val="nil"/>
              <w:bottom w:val="single" w:color="auto" w:sz="4" w:space="0"/>
              <w:right w:val="single" w:color="auto" w:sz="4" w:space="0"/>
            </w:tcBorders>
            <w:noWrap w:val="0"/>
            <w:vAlign w:val="center"/>
          </w:tcPr>
          <w:p w14:paraId="11E429E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057" w:type="dxa"/>
            <w:tcBorders>
              <w:top w:val="nil"/>
              <w:left w:val="nil"/>
              <w:bottom w:val="single" w:color="auto" w:sz="4" w:space="0"/>
              <w:right w:val="single" w:color="auto" w:sz="4" w:space="0"/>
            </w:tcBorders>
            <w:noWrap w:val="0"/>
            <w:vAlign w:val="center"/>
          </w:tcPr>
          <w:p w14:paraId="27F6EFD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369CF3A">
        <w:tblPrEx>
          <w:tblCellMar>
            <w:top w:w="0" w:type="dxa"/>
            <w:left w:w="108" w:type="dxa"/>
            <w:bottom w:w="0" w:type="dxa"/>
            <w:right w:w="108" w:type="dxa"/>
          </w:tblCellMar>
        </w:tblPrEx>
        <w:trPr>
          <w:trHeight w:val="342" w:hRule="atLeast"/>
          <w:jc w:val="center"/>
        </w:trPr>
        <w:tc>
          <w:tcPr>
            <w:tcW w:w="2286" w:type="dxa"/>
            <w:vMerge w:val="restart"/>
            <w:tcBorders>
              <w:top w:val="nil"/>
              <w:left w:val="single" w:color="auto" w:sz="4" w:space="0"/>
              <w:bottom w:val="single" w:color="auto" w:sz="4" w:space="0"/>
              <w:right w:val="single" w:color="auto" w:sz="4" w:space="0"/>
            </w:tcBorders>
            <w:noWrap w:val="0"/>
            <w:vAlign w:val="center"/>
          </w:tcPr>
          <w:p w14:paraId="786DD248">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428" w:type="dxa"/>
            <w:tcBorders>
              <w:top w:val="nil"/>
              <w:left w:val="nil"/>
              <w:bottom w:val="single" w:color="auto" w:sz="4" w:space="0"/>
              <w:right w:val="single" w:color="auto" w:sz="4" w:space="0"/>
            </w:tcBorders>
            <w:noWrap w:val="0"/>
            <w:vAlign w:val="center"/>
          </w:tcPr>
          <w:p w14:paraId="2F8F29E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195" w:type="dxa"/>
            <w:tcBorders>
              <w:top w:val="nil"/>
              <w:left w:val="nil"/>
              <w:bottom w:val="single" w:color="auto" w:sz="4" w:space="0"/>
              <w:right w:val="single" w:color="auto" w:sz="4" w:space="0"/>
            </w:tcBorders>
            <w:noWrap w:val="0"/>
            <w:vAlign w:val="center"/>
          </w:tcPr>
          <w:p w14:paraId="3F40629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noWrap w:val="0"/>
            <w:vAlign w:val="center"/>
          </w:tcPr>
          <w:p w14:paraId="3FDD3CB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44" w:type="dxa"/>
            <w:tcBorders>
              <w:top w:val="nil"/>
              <w:left w:val="nil"/>
              <w:bottom w:val="single" w:color="auto" w:sz="4" w:space="0"/>
              <w:right w:val="single" w:color="auto" w:sz="4" w:space="0"/>
            </w:tcBorders>
            <w:noWrap w:val="0"/>
            <w:vAlign w:val="center"/>
          </w:tcPr>
          <w:p w14:paraId="4E10425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57" w:type="dxa"/>
            <w:tcBorders>
              <w:top w:val="nil"/>
              <w:left w:val="nil"/>
              <w:bottom w:val="single" w:color="auto" w:sz="4" w:space="0"/>
              <w:right w:val="single" w:color="auto" w:sz="4" w:space="0"/>
            </w:tcBorders>
            <w:noWrap w:val="0"/>
            <w:vAlign w:val="center"/>
          </w:tcPr>
          <w:p w14:paraId="0E79154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7BD03A0">
        <w:tblPrEx>
          <w:tblCellMar>
            <w:top w:w="0" w:type="dxa"/>
            <w:left w:w="108" w:type="dxa"/>
            <w:bottom w:w="0" w:type="dxa"/>
            <w:right w:w="108" w:type="dxa"/>
          </w:tblCellMar>
        </w:tblPrEx>
        <w:trPr>
          <w:trHeight w:val="342" w:hRule="atLeast"/>
          <w:jc w:val="center"/>
        </w:trPr>
        <w:tc>
          <w:tcPr>
            <w:tcW w:w="2286" w:type="dxa"/>
            <w:vMerge w:val="continue"/>
            <w:tcBorders>
              <w:top w:val="nil"/>
              <w:left w:val="single" w:color="auto" w:sz="4" w:space="0"/>
              <w:bottom w:val="single" w:color="auto" w:sz="4" w:space="0"/>
              <w:right w:val="single" w:color="auto" w:sz="4" w:space="0"/>
            </w:tcBorders>
            <w:noWrap w:val="0"/>
            <w:vAlign w:val="center"/>
          </w:tcPr>
          <w:p w14:paraId="30B3999F">
            <w:pPr>
              <w:widowControl/>
              <w:jc w:val="center"/>
              <w:rPr>
                <w:rFonts w:hint="eastAsia" w:ascii="宋体" w:hAnsi="宋体" w:cs="宋体"/>
                <w:b/>
                <w:bCs/>
                <w:color w:val="auto"/>
                <w:kern w:val="0"/>
                <w:sz w:val="18"/>
                <w:szCs w:val="18"/>
                <w:highlight w:val="none"/>
              </w:rPr>
            </w:pPr>
          </w:p>
        </w:tc>
        <w:tc>
          <w:tcPr>
            <w:tcW w:w="1428" w:type="dxa"/>
            <w:tcBorders>
              <w:top w:val="nil"/>
              <w:left w:val="nil"/>
              <w:bottom w:val="single" w:color="auto" w:sz="4" w:space="0"/>
              <w:right w:val="single" w:color="auto" w:sz="4" w:space="0"/>
            </w:tcBorders>
            <w:noWrap w:val="0"/>
            <w:vAlign w:val="center"/>
          </w:tcPr>
          <w:p w14:paraId="04EDEB3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195" w:type="dxa"/>
            <w:tcBorders>
              <w:top w:val="nil"/>
              <w:left w:val="nil"/>
              <w:bottom w:val="single" w:color="auto" w:sz="4" w:space="0"/>
              <w:right w:val="single" w:color="auto" w:sz="4" w:space="0"/>
            </w:tcBorders>
            <w:noWrap w:val="0"/>
            <w:vAlign w:val="center"/>
          </w:tcPr>
          <w:p w14:paraId="262FD5D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noWrap w:val="0"/>
            <w:vAlign w:val="center"/>
          </w:tcPr>
          <w:p w14:paraId="10C566C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644" w:type="dxa"/>
            <w:tcBorders>
              <w:top w:val="nil"/>
              <w:left w:val="nil"/>
              <w:bottom w:val="single" w:color="auto" w:sz="4" w:space="0"/>
              <w:right w:val="single" w:color="auto" w:sz="4" w:space="0"/>
            </w:tcBorders>
            <w:noWrap w:val="0"/>
            <w:vAlign w:val="center"/>
          </w:tcPr>
          <w:p w14:paraId="79E0EC8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057" w:type="dxa"/>
            <w:tcBorders>
              <w:top w:val="nil"/>
              <w:left w:val="nil"/>
              <w:bottom w:val="single" w:color="auto" w:sz="4" w:space="0"/>
              <w:right w:val="single" w:color="auto" w:sz="4" w:space="0"/>
            </w:tcBorders>
            <w:noWrap w:val="0"/>
            <w:vAlign w:val="center"/>
          </w:tcPr>
          <w:p w14:paraId="0AA3A4A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11ADE05A">
        <w:tblPrEx>
          <w:tblCellMar>
            <w:top w:w="0" w:type="dxa"/>
            <w:left w:w="108" w:type="dxa"/>
            <w:bottom w:w="0" w:type="dxa"/>
            <w:right w:w="108" w:type="dxa"/>
          </w:tblCellMar>
        </w:tblPrEx>
        <w:trPr>
          <w:trHeight w:val="342" w:hRule="atLeast"/>
          <w:jc w:val="center"/>
        </w:trPr>
        <w:tc>
          <w:tcPr>
            <w:tcW w:w="2286" w:type="dxa"/>
            <w:vMerge w:val="restart"/>
            <w:tcBorders>
              <w:top w:val="nil"/>
              <w:left w:val="single" w:color="auto" w:sz="4" w:space="0"/>
              <w:bottom w:val="single" w:color="auto" w:sz="4" w:space="0"/>
              <w:right w:val="single" w:color="auto" w:sz="4" w:space="0"/>
            </w:tcBorders>
            <w:noWrap w:val="0"/>
            <w:vAlign w:val="center"/>
          </w:tcPr>
          <w:p w14:paraId="0A64AC40">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428" w:type="dxa"/>
            <w:tcBorders>
              <w:top w:val="nil"/>
              <w:left w:val="nil"/>
              <w:bottom w:val="single" w:color="auto" w:sz="4" w:space="0"/>
              <w:right w:val="single" w:color="auto" w:sz="4" w:space="0"/>
            </w:tcBorders>
            <w:noWrap w:val="0"/>
            <w:vAlign w:val="center"/>
          </w:tcPr>
          <w:p w14:paraId="4110BF6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195" w:type="dxa"/>
            <w:tcBorders>
              <w:top w:val="nil"/>
              <w:left w:val="nil"/>
              <w:bottom w:val="single" w:color="auto" w:sz="4" w:space="0"/>
              <w:right w:val="single" w:color="auto" w:sz="4" w:space="0"/>
            </w:tcBorders>
            <w:noWrap w:val="0"/>
            <w:vAlign w:val="center"/>
          </w:tcPr>
          <w:p w14:paraId="2A45CE7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noWrap w:val="0"/>
            <w:vAlign w:val="center"/>
          </w:tcPr>
          <w:p w14:paraId="640FFDE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644" w:type="dxa"/>
            <w:tcBorders>
              <w:top w:val="nil"/>
              <w:left w:val="nil"/>
              <w:bottom w:val="single" w:color="auto" w:sz="4" w:space="0"/>
              <w:right w:val="single" w:color="auto" w:sz="4" w:space="0"/>
            </w:tcBorders>
            <w:noWrap w:val="0"/>
            <w:vAlign w:val="center"/>
          </w:tcPr>
          <w:p w14:paraId="07774DF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057" w:type="dxa"/>
            <w:tcBorders>
              <w:top w:val="nil"/>
              <w:left w:val="nil"/>
              <w:bottom w:val="single" w:color="auto" w:sz="4" w:space="0"/>
              <w:right w:val="single" w:color="auto" w:sz="4" w:space="0"/>
            </w:tcBorders>
            <w:noWrap w:val="0"/>
            <w:vAlign w:val="center"/>
          </w:tcPr>
          <w:p w14:paraId="0D04BC6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F26D996">
        <w:tblPrEx>
          <w:tblCellMar>
            <w:top w:w="0" w:type="dxa"/>
            <w:left w:w="108" w:type="dxa"/>
            <w:bottom w:w="0" w:type="dxa"/>
            <w:right w:w="108" w:type="dxa"/>
          </w:tblCellMar>
        </w:tblPrEx>
        <w:trPr>
          <w:trHeight w:val="342" w:hRule="atLeast"/>
          <w:jc w:val="center"/>
        </w:trPr>
        <w:tc>
          <w:tcPr>
            <w:tcW w:w="2286" w:type="dxa"/>
            <w:vMerge w:val="continue"/>
            <w:tcBorders>
              <w:top w:val="nil"/>
              <w:left w:val="single" w:color="auto" w:sz="4" w:space="0"/>
              <w:bottom w:val="single" w:color="auto" w:sz="4" w:space="0"/>
              <w:right w:val="single" w:color="auto" w:sz="4" w:space="0"/>
            </w:tcBorders>
            <w:noWrap w:val="0"/>
            <w:vAlign w:val="center"/>
          </w:tcPr>
          <w:p w14:paraId="19C044D5">
            <w:pPr>
              <w:widowControl/>
              <w:jc w:val="center"/>
              <w:rPr>
                <w:rFonts w:hint="eastAsia" w:ascii="宋体" w:hAnsi="宋体" w:cs="宋体"/>
                <w:b/>
                <w:bCs/>
                <w:color w:val="auto"/>
                <w:kern w:val="0"/>
                <w:sz w:val="18"/>
                <w:szCs w:val="18"/>
                <w:highlight w:val="none"/>
              </w:rPr>
            </w:pPr>
          </w:p>
        </w:tc>
        <w:tc>
          <w:tcPr>
            <w:tcW w:w="1428" w:type="dxa"/>
            <w:tcBorders>
              <w:top w:val="nil"/>
              <w:left w:val="nil"/>
              <w:bottom w:val="single" w:color="auto" w:sz="4" w:space="0"/>
              <w:right w:val="single" w:color="auto" w:sz="4" w:space="0"/>
            </w:tcBorders>
            <w:noWrap w:val="0"/>
            <w:vAlign w:val="center"/>
          </w:tcPr>
          <w:p w14:paraId="073F31C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195" w:type="dxa"/>
            <w:tcBorders>
              <w:top w:val="nil"/>
              <w:left w:val="nil"/>
              <w:bottom w:val="single" w:color="auto" w:sz="4" w:space="0"/>
              <w:right w:val="single" w:color="auto" w:sz="4" w:space="0"/>
            </w:tcBorders>
            <w:noWrap w:val="0"/>
            <w:vAlign w:val="center"/>
          </w:tcPr>
          <w:p w14:paraId="41B571A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noWrap w:val="0"/>
            <w:vAlign w:val="center"/>
          </w:tcPr>
          <w:p w14:paraId="43BE6CE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644" w:type="dxa"/>
            <w:tcBorders>
              <w:top w:val="nil"/>
              <w:left w:val="nil"/>
              <w:bottom w:val="single" w:color="auto" w:sz="4" w:space="0"/>
              <w:right w:val="single" w:color="auto" w:sz="4" w:space="0"/>
            </w:tcBorders>
            <w:noWrap w:val="0"/>
            <w:vAlign w:val="center"/>
          </w:tcPr>
          <w:p w14:paraId="671294D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57" w:type="dxa"/>
            <w:tcBorders>
              <w:top w:val="nil"/>
              <w:left w:val="nil"/>
              <w:bottom w:val="single" w:color="auto" w:sz="4" w:space="0"/>
              <w:right w:val="single" w:color="auto" w:sz="4" w:space="0"/>
            </w:tcBorders>
            <w:noWrap w:val="0"/>
            <w:vAlign w:val="center"/>
          </w:tcPr>
          <w:p w14:paraId="750766D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31E1DDA">
        <w:tblPrEx>
          <w:tblCellMar>
            <w:top w:w="0" w:type="dxa"/>
            <w:left w:w="108" w:type="dxa"/>
            <w:bottom w:w="0" w:type="dxa"/>
            <w:right w:w="108" w:type="dxa"/>
          </w:tblCellMar>
        </w:tblPrEx>
        <w:trPr>
          <w:trHeight w:val="342" w:hRule="atLeast"/>
          <w:jc w:val="center"/>
        </w:trPr>
        <w:tc>
          <w:tcPr>
            <w:tcW w:w="2286" w:type="dxa"/>
            <w:vMerge w:val="restart"/>
            <w:tcBorders>
              <w:top w:val="nil"/>
              <w:left w:val="single" w:color="auto" w:sz="4" w:space="0"/>
              <w:bottom w:val="single" w:color="auto" w:sz="4" w:space="0"/>
              <w:right w:val="single" w:color="auto" w:sz="4" w:space="0"/>
            </w:tcBorders>
            <w:noWrap w:val="0"/>
            <w:vAlign w:val="center"/>
          </w:tcPr>
          <w:p w14:paraId="2A34B446">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428" w:type="dxa"/>
            <w:tcBorders>
              <w:top w:val="nil"/>
              <w:left w:val="nil"/>
              <w:bottom w:val="single" w:color="auto" w:sz="4" w:space="0"/>
              <w:right w:val="single" w:color="auto" w:sz="4" w:space="0"/>
            </w:tcBorders>
            <w:noWrap w:val="0"/>
            <w:vAlign w:val="center"/>
          </w:tcPr>
          <w:p w14:paraId="0775552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195" w:type="dxa"/>
            <w:tcBorders>
              <w:top w:val="nil"/>
              <w:left w:val="nil"/>
              <w:bottom w:val="single" w:color="auto" w:sz="4" w:space="0"/>
              <w:right w:val="single" w:color="auto" w:sz="4" w:space="0"/>
            </w:tcBorders>
            <w:noWrap w:val="0"/>
            <w:vAlign w:val="center"/>
          </w:tcPr>
          <w:p w14:paraId="4718FFE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noWrap w:val="0"/>
            <w:vAlign w:val="center"/>
          </w:tcPr>
          <w:p w14:paraId="2D90B28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44" w:type="dxa"/>
            <w:tcBorders>
              <w:top w:val="nil"/>
              <w:left w:val="nil"/>
              <w:bottom w:val="single" w:color="auto" w:sz="4" w:space="0"/>
              <w:right w:val="single" w:color="auto" w:sz="4" w:space="0"/>
            </w:tcBorders>
            <w:noWrap w:val="0"/>
            <w:vAlign w:val="center"/>
          </w:tcPr>
          <w:p w14:paraId="75C9993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57" w:type="dxa"/>
            <w:tcBorders>
              <w:top w:val="nil"/>
              <w:left w:val="nil"/>
              <w:bottom w:val="single" w:color="auto" w:sz="4" w:space="0"/>
              <w:right w:val="single" w:color="auto" w:sz="4" w:space="0"/>
            </w:tcBorders>
            <w:noWrap w:val="0"/>
            <w:vAlign w:val="center"/>
          </w:tcPr>
          <w:p w14:paraId="7F4A19B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2931786">
        <w:tblPrEx>
          <w:tblCellMar>
            <w:top w:w="0" w:type="dxa"/>
            <w:left w:w="108" w:type="dxa"/>
            <w:bottom w:w="0" w:type="dxa"/>
            <w:right w:w="108" w:type="dxa"/>
          </w:tblCellMar>
        </w:tblPrEx>
        <w:trPr>
          <w:trHeight w:val="342" w:hRule="atLeast"/>
          <w:jc w:val="center"/>
        </w:trPr>
        <w:tc>
          <w:tcPr>
            <w:tcW w:w="2286" w:type="dxa"/>
            <w:vMerge w:val="continue"/>
            <w:tcBorders>
              <w:top w:val="nil"/>
              <w:left w:val="single" w:color="auto" w:sz="4" w:space="0"/>
              <w:bottom w:val="single" w:color="auto" w:sz="4" w:space="0"/>
              <w:right w:val="single" w:color="auto" w:sz="4" w:space="0"/>
            </w:tcBorders>
            <w:noWrap w:val="0"/>
            <w:vAlign w:val="center"/>
          </w:tcPr>
          <w:p w14:paraId="5BB63DEC">
            <w:pPr>
              <w:widowControl/>
              <w:jc w:val="center"/>
              <w:rPr>
                <w:rFonts w:hint="eastAsia" w:ascii="宋体" w:hAnsi="宋体" w:cs="宋体"/>
                <w:b/>
                <w:bCs/>
                <w:color w:val="auto"/>
                <w:kern w:val="0"/>
                <w:sz w:val="18"/>
                <w:szCs w:val="18"/>
                <w:highlight w:val="none"/>
              </w:rPr>
            </w:pPr>
          </w:p>
        </w:tc>
        <w:tc>
          <w:tcPr>
            <w:tcW w:w="1428" w:type="dxa"/>
            <w:tcBorders>
              <w:top w:val="nil"/>
              <w:left w:val="nil"/>
              <w:bottom w:val="single" w:color="auto" w:sz="4" w:space="0"/>
              <w:right w:val="single" w:color="auto" w:sz="4" w:space="0"/>
            </w:tcBorders>
            <w:noWrap w:val="0"/>
            <w:vAlign w:val="center"/>
          </w:tcPr>
          <w:p w14:paraId="4995DBA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195" w:type="dxa"/>
            <w:tcBorders>
              <w:top w:val="nil"/>
              <w:left w:val="nil"/>
              <w:bottom w:val="single" w:color="auto" w:sz="4" w:space="0"/>
              <w:right w:val="single" w:color="auto" w:sz="4" w:space="0"/>
            </w:tcBorders>
            <w:noWrap w:val="0"/>
            <w:vAlign w:val="center"/>
          </w:tcPr>
          <w:p w14:paraId="08D5566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noWrap w:val="0"/>
            <w:vAlign w:val="center"/>
          </w:tcPr>
          <w:p w14:paraId="78D1AD3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644" w:type="dxa"/>
            <w:tcBorders>
              <w:top w:val="nil"/>
              <w:left w:val="nil"/>
              <w:bottom w:val="single" w:color="auto" w:sz="4" w:space="0"/>
              <w:right w:val="single" w:color="auto" w:sz="4" w:space="0"/>
            </w:tcBorders>
            <w:noWrap w:val="0"/>
            <w:vAlign w:val="center"/>
          </w:tcPr>
          <w:p w14:paraId="1AC7C08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57" w:type="dxa"/>
            <w:tcBorders>
              <w:top w:val="nil"/>
              <w:left w:val="nil"/>
              <w:bottom w:val="single" w:color="auto" w:sz="4" w:space="0"/>
              <w:right w:val="single" w:color="auto" w:sz="4" w:space="0"/>
            </w:tcBorders>
            <w:noWrap w:val="0"/>
            <w:vAlign w:val="center"/>
          </w:tcPr>
          <w:p w14:paraId="32366A3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3547FEF">
        <w:tblPrEx>
          <w:tblCellMar>
            <w:top w:w="0" w:type="dxa"/>
            <w:left w:w="108" w:type="dxa"/>
            <w:bottom w:w="0" w:type="dxa"/>
            <w:right w:w="108" w:type="dxa"/>
          </w:tblCellMar>
        </w:tblPrEx>
        <w:trPr>
          <w:trHeight w:val="342" w:hRule="atLeast"/>
          <w:jc w:val="center"/>
        </w:trPr>
        <w:tc>
          <w:tcPr>
            <w:tcW w:w="2286" w:type="dxa"/>
            <w:vMerge w:val="restart"/>
            <w:tcBorders>
              <w:top w:val="nil"/>
              <w:left w:val="single" w:color="auto" w:sz="4" w:space="0"/>
              <w:bottom w:val="single" w:color="auto" w:sz="4" w:space="0"/>
              <w:right w:val="single" w:color="auto" w:sz="4" w:space="0"/>
            </w:tcBorders>
            <w:noWrap w:val="0"/>
            <w:vAlign w:val="center"/>
          </w:tcPr>
          <w:p w14:paraId="2349725A">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428" w:type="dxa"/>
            <w:tcBorders>
              <w:top w:val="nil"/>
              <w:left w:val="nil"/>
              <w:bottom w:val="single" w:color="auto" w:sz="4" w:space="0"/>
              <w:right w:val="single" w:color="auto" w:sz="4" w:space="0"/>
            </w:tcBorders>
            <w:noWrap w:val="0"/>
            <w:vAlign w:val="center"/>
          </w:tcPr>
          <w:p w14:paraId="0995D0A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195" w:type="dxa"/>
            <w:tcBorders>
              <w:top w:val="nil"/>
              <w:left w:val="nil"/>
              <w:bottom w:val="single" w:color="auto" w:sz="4" w:space="0"/>
              <w:right w:val="single" w:color="auto" w:sz="4" w:space="0"/>
            </w:tcBorders>
            <w:noWrap w:val="0"/>
            <w:vAlign w:val="center"/>
          </w:tcPr>
          <w:p w14:paraId="3EE3EC9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noWrap w:val="0"/>
            <w:vAlign w:val="center"/>
          </w:tcPr>
          <w:p w14:paraId="280E6C3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44" w:type="dxa"/>
            <w:tcBorders>
              <w:top w:val="nil"/>
              <w:left w:val="nil"/>
              <w:bottom w:val="single" w:color="auto" w:sz="4" w:space="0"/>
              <w:right w:val="single" w:color="auto" w:sz="4" w:space="0"/>
            </w:tcBorders>
            <w:noWrap w:val="0"/>
            <w:vAlign w:val="center"/>
          </w:tcPr>
          <w:p w14:paraId="3B91F55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57" w:type="dxa"/>
            <w:tcBorders>
              <w:top w:val="nil"/>
              <w:left w:val="nil"/>
              <w:bottom w:val="single" w:color="auto" w:sz="4" w:space="0"/>
              <w:right w:val="single" w:color="auto" w:sz="4" w:space="0"/>
            </w:tcBorders>
            <w:noWrap w:val="0"/>
            <w:vAlign w:val="center"/>
          </w:tcPr>
          <w:p w14:paraId="1F69809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FBB5883">
        <w:tblPrEx>
          <w:tblCellMar>
            <w:top w:w="0" w:type="dxa"/>
            <w:left w:w="108" w:type="dxa"/>
            <w:bottom w:w="0" w:type="dxa"/>
            <w:right w:w="108" w:type="dxa"/>
          </w:tblCellMar>
        </w:tblPrEx>
        <w:trPr>
          <w:trHeight w:val="342" w:hRule="atLeast"/>
          <w:jc w:val="center"/>
        </w:trPr>
        <w:tc>
          <w:tcPr>
            <w:tcW w:w="2286" w:type="dxa"/>
            <w:vMerge w:val="continue"/>
            <w:tcBorders>
              <w:top w:val="nil"/>
              <w:left w:val="single" w:color="auto" w:sz="4" w:space="0"/>
              <w:bottom w:val="single" w:color="auto" w:sz="4" w:space="0"/>
              <w:right w:val="single" w:color="auto" w:sz="4" w:space="0"/>
            </w:tcBorders>
            <w:noWrap w:val="0"/>
            <w:vAlign w:val="center"/>
          </w:tcPr>
          <w:p w14:paraId="67AC9991">
            <w:pPr>
              <w:widowControl/>
              <w:jc w:val="center"/>
              <w:rPr>
                <w:rFonts w:hint="eastAsia" w:ascii="宋体" w:hAnsi="宋体" w:cs="宋体"/>
                <w:b/>
                <w:bCs/>
                <w:color w:val="auto"/>
                <w:kern w:val="0"/>
                <w:sz w:val="18"/>
                <w:szCs w:val="18"/>
                <w:highlight w:val="none"/>
              </w:rPr>
            </w:pPr>
          </w:p>
        </w:tc>
        <w:tc>
          <w:tcPr>
            <w:tcW w:w="1428" w:type="dxa"/>
            <w:tcBorders>
              <w:top w:val="nil"/>
              <w:left w:val="nil"/>
              <w:bottom w:val="single" w:color="auto" w:sz="4" w:space="0"/>
              <w:right w:val="single" w:color="auto" w:sz="4" w:space="0"/>
            </w:tcBorders>
            <w:noWrap w:val="0"/>
            <w:vAlign w:val="center"/>
          </w:tcPr>
          <w:p w14:paraId="30D48B1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195" w:type="dxa"/>
            <w:tcBorders>
              <w:top w:val="nil"/>
              <w:left w:val="nil"/>
              <w:bottom w:val="single" w:color="auto" w:sz="4" w:space="0"/>
              <w:right w:val="single" w:color="auto" w:sz="4" w:space="0"/>
            </w:tcBorders>
            <w:noWrap w:val="0"/>
            <w:vAlign w:val="center"/>
          </w:tcPr>
          <w:p w14:paraId="69E48EF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noWrap w:val="0"/>
            <w:vAlign w:val="center"/>
          </w:tcPr>
          <w:p w14:paraId="3A8A604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44" w:type="dxa"/>
            <w:tcBorders>
              <w:top w:val="nil"/>
              <w:left w:val="nil"/>
              <w:bottom w:val="single" w:color="auto" w:sz="4" w:space="0"/>
              <w:right w:val="single" w:color="auto" w:sz="4" w:space="0"/>
            </w:tcBorders>
            <w:noWrap w:val="0"/>
            <w:vAlign w:val="center"/>
          </w:tcPr>
          <w:p w14:paraId="5E4ED0F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57" w:type="dxa"/>
            <w:tcBorders>
              <w:top w:val="nil"/>
              <w:left w:val="nil"/>
              <w:bottom w:val="single" w:color="auto" w:sz="4" w:space="0"/>
              <w:right w:val="single" w:color="auto" w:sz="4" w:space="0"/>
            </w:tcBorders>
            <w:noWrap w:val="0"/>
            <w:vAlign w:val="center"/>
          </w:tcPr>
          <w:p w14:paraId="1E05385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6EB0775">
        <w:tblPrEx>
          <w:tblCellMar>
            <w:top w:w="0" w:type="dxa"/>
            <w:left w:w="108" w:type="dxa"/>
            <w:bottom w:w="0" w:type="dxa"/>
            <w:right w:w="108" w:type="dxa"/>
          </w:tblCellMar>
        </w:tblPrEx>
        <w:trPr>
          <w:trHeight w:val="342" w:hRule="atLeast"/>
          <w:jc w:val="center"/>
        </w:trPr>
        <w:tc>
          <w:tcPr>
            <w:tcW w:w="2286" w:type="dxa"/>
            <w:vMerge w:val="restart"/>
            <w:tcBorders>
              <w:top w:val="nil"/>
              <w:left w:val="single" w:color="auto" w:sz="4" w:space="0"/>
              <w:bottom w:val="single" w:color="auto" w:sz="4" w:space="0"/>
              <w:right w:val="single" w:color="auto" w:sz="4" w:space="0"/>
            </w:tcBorders>
            <w:noWrap w:val="0"/>
            <w:vAlign w:val="center"/>
          </w:tcPr>
          <w:p w14:paraId="44AE9D36">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428" w:type="dxa"/>
            <w:tcBorders>
              <w:top w:val="nil"/>
              <w:left w:val="nil"/>
              <w:bottom w:val="single" w:color="auto" w:sz="4" w:space="0"/>
              <w:right w:val="single" w:color="auto" w:sz="4" w:space="0"/>
            </w:tcBorders>
            <w:noWrap w:val="0"/>
            <w:vAlign w:val="center"/>
          </w:tcPr>
          <w:p w14:paraId="6ED8666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195" w:type="dxa"/>
            <w:tcBorders>
              <w:top w:val="nil"/>
              <w:left w:val="nil"/>
              <w:bottom w:val="single" w:color="auto" w:sz="4" w:space="0"/>
              <w:right w:val="single" w:color="auto" w:sz="4" w:space="0"/>
            </w:tcBorders>
            <w:noWrap w:val="0"/>
            <w:vAlign w:val="center"/>
          </w:tcPr>
          <w:p w14:paraId="2064D96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noWrap w:val="0"/>
            <w:vAlign w:val="center"/>
          </w:tcPr>
          <w:p w14:paraId="6A545CE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44" w:type="dxa"/>
            <w:tcBorders>
              <w:top w:val="nil"/>
              <w:left w:val="nil"/>
              <w:bottom w:val="single" w:color="auto" w:sz="4" w:space="0"/>
              <w:right w:val="single" w:color="auto" w:sz="4" w:space="0"/>
            </w:tcBorders>
            <w:noWrap w:val="0"/>
            <w:vAlign w:val="center"/>
          </w:tcPr>
          <w:p w14:paraId="3E84945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57" w:type="dxa"/>
            <w:tcBorders>
              <w:top w:val="nil"/>
              <w:left w:val="nil"/>
              <w:bottom w:val="single" w:color="auto" w:sz="4" w:space="0"/>
              <w:right w:val="single" w:color="auto" w:sz="4" w:space="0"/>
            </w:tcBorders>
            <w:noWrap w:val="0"/>
            <w:vAlign w:val="center"/>
          </w:tcPr>
          <w:p w14:paraId="5045B8D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EBA4014">
        <w:tblPrEx>
          <w:tblCellMar>
            <w:top w:w="0" w:type="dxa"/>
            <w:left w:w="108" w:type="dxa"/>
            <w:bottom w:w="0" w:type="dxa"/>
            <w:right w:w="108" w:type="dxa"/>
          </w:tblCellMar>
        </w:tblPrEx>
        <w:trPr>
          <w:trHeight w:val="342" w:hRule="atLeast"/>
          <w:jc w:val="center"/>
        </w:trPr>
        <w:tc>
          <w:tcPr>
            <w:tcW w:w="2286" w:type="dxa"/>
            <w:vMerge w:val="continue"/>
            <w:tcBorders>
              <w:top w:val="nil"/>
              <w:left w:val="single" w:color="auto" w:sz="4" w:space="0"/>
              <w:bottom w:val="single" w:color="auto" w:sz="4" w:space="0"/>
              <w:right w:val="single" w:color="auto" w:sz="4" w:space="0"/>
            </w:tcBorders>
            <w:noWrap w:val="0"/>
            <w:vAlign w:val="center"/>
          </w:tcPr>
          <w:p w14:paraId="5B5FA5AD">
            <w:pPr>
              <w:widowControl/>
              <w:jc w:val="center"/>
              <w:rPr>
                <w:rFonts w:hint="eastAsia" w:ascii="宋体" w:hAnsi="宋体" w:cs="宋体"/>
                <w:b/>
                <w:bCs/>
                <w:color w:val="auto"/>
                <w:kern w:val="0"/>
                <w:sz w:val="18"/>
                <w:szCs w:val="18"/>
                <w:highlight w:val="none"/>
              </w:rPr>
            </w:pPr>
          </w:p>
        </w:tc>
        <w:tc>
          <w:tcPr>
            <w:tcW w:w="1428" w:type="dxa"/>
            <w:tcBorders>
              <w:top w:val="nil"/>
              <w:left w:val="nil"/>
              <w:bottom w:val="single" w:color="auto" w:sz="4" w:space="0"/>
              <w:right w:val="single" w:color="auto" w:sz="4" w:space="0"/>
            </w:tcBorders>
            <w:noWrap w:val="0"/>
            <w:vAlign w:val="center"/>
          </w:tcPr>
          <w:p w14:paraId="0A275B1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195" w:type="dxa"/>
            <w:tcBorders>
              <w:top w:val="nil"/>
              <w:left w:val="nil"/>
              <w:bottom w:val="single" w:color="auto" w:sz="4" w:space="0"/>
              <w:right w:val="single" w:color="auto" w:sz="4" w:space="0"/>
            </w:tcBorders>
            <w:noWrap w:val="0"/>
            <w:vAlign w:val="center"/>
          </w:tcPr>
          <w:p w14:paraId="4670EED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noWrap w:val="0"/>
            <w:vAlign w:val="center"/>
          </w:tcPr>
          <w:p w14:paraId="41A854B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44" w:type="dxa"/>
            <w:tcBorders>
              <w:top w:val="nil"/>
              <w:left w:val="nil"/>
              <w:bottom w:val="single" w:color="auto" w:sz="4" w:space="0"/>
              <w:right w:val="single" w:color="auto" w:sz="4" w:space="0"/>
            </w:tcBorders>
            <w:noWrap w:val="0"/>
            <w:vAlign w:val="center"/>
          </w:tcPr>
          <w:p w14:paraId="0D0C0C1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57" w:type="dxa"/>
            <w:tcBorders>
              <w:top w:val="nil"/>
              <w:left w:val="nil"/>
              <w:bottom w:val="single" w:color="auto" w:sz="4" w:space="0"/>
              <w:right w:val="single" w:color="auto" w:sz="4" w:space="0"/>
            </w:tcBorders>
            <w:noWrap w:val="0"/>
            <w:vAlign w:val="center"/>
          </w:tcPr>
          <w:p w14:paraId="395E21E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9A1F3BE">
        <w:tblPrEx>
          <w:tblCellMar>
            <w:top w:w="0" w:type="dxa"/>
            <w:left w:w="108" w:type="dxa"/>
            <w:bottom w:w="0" w:type="dxa"/>
            <w:right w:w="108" w:type="dxa"/>
          </w:tblCellMar>
        </w:tblPrEx>
        <w:trPr>
          <w:trHeight w:val="342" w:hRule="atLeast"/>
          <w:jc w:val="center"/>
        </w:trPr>
        <w:tc>
          <w:tcPr>
            <w:tcW w:w="2286" w:type="dxa"/>
            <w:vMerge w:val="restart"/>
            <w:tcBorders>
              <w:top w:val="nil"/>
              <w:left w:val="single" w:color="auto" w:sz="4" w:space="0"/>
              <w:bottom w:val="single" w:color="auto" w:sz="4" w:space="0"/>
              <w:right w:val="single" w:color="auto" w:sz="4" w:space="0"/>
            </w:tcBorders>
            <w:noWrap w:val="0"/>
            <w:vAlign w:val="center"/>
          </w:tcPr>
          <w:p w14:paraId="26055F9D">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428" w:type="dxa"/>
            <w:tcBorders>
              <w:top w:val="nil"/>
              <w:left w:val="nil"/>
              <w:bottom w:val="single" w:color="auto" w:sz="4" w:space="0"/>
              <w:right w:val="single" w:color="auto" w:sz="4" w:space="0"/>
            </w:tcBorders>
            <w:noWrap w:val="0"/>
            <w:vAlign w:val="center"/>
          </w:tcPr>
          <w:p w14:paraId="0392C1B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195" w:type="dxa"/>
            <w:tcBorders>
              <w:top w:val="nil"/>
              <w:left w:val="nil"/>
              <w:bottom w:val="single" w:color="auto" w:sz="4" w:space="0"/>
              <w:right w:val="single" w:color="auto" w:sz="4" w:space="0"/>
            </w:tcBorders>
            <w:noWrap w:val="0"/>
            <w:vAlign w:val="center"/>
          </w:tcPr>
          <w:p w14:paraId="6D80401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noWrap w:val="0"/>
            <w:vAlign w:val="center"/>
          </w:tcPr>
          <w:p w14:paraId="506C2A3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644" w:type="dxa"/>
            <w:tcBorders>
              <w:top w:val="nil"/>
              <w:left w:val="nil"/>
              <w:bottom w:val="single" w:color="auto" w:sz="4" w:space="0"/>
              <w:right w:val="single" w:color="auto" w:sz="4" w:space="0"/>
            </w:tcBorders>
            <w:noWrap w:val="0"/>
            <w:vAlign w:val="center"/>
          </w:tcPr>
          <w:p w14:paraId="0A3CEFF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57" w:type="dxa"/>
            <w:tcBorders>
              <w:top w:val="nil"/>
              <w:left w:val="nil"/>
              <w:bottom w:val="single" w:color="auto" w:sz="4" w:space="0"/>
              <w:right w:val="single" w:color="auto" w:sz="4" w:space="0"/>
            </w:tcBorders>
            <w:noWrap w:val="0"/>
            <w:vAlign w:val="center"/>
          </w:tcPr>
          <w:p w14:paraId="26F7F12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FFE4629">
        <w:tblPrEx>
          <w:tblCellMar>
            <w:top w:w="0" w:type="dxa"/>
            <w:left w:w="108" w:type="dxa"/>
            <w:bottom w:w="0" w:type="dxa"/>
            <w:right w:w="108" w:type="dxa"/>
          </w:tblCellMar>
        </w:tblPrEx>
        <w:trPr>
          <w:trHeight w:val="342" w:hRule="atLeast"/>
          <w:jc w:val="center"/>
        </w:trPr>
        <w:tc>
          <w:tcPr>
            <w:tcW w:w="2286" w:type="dxa"/>
            <w:vMerge w:val="continue"/>
            <w:tcBorders>
              <w:top w:val="nil"/>
              <w:left w:val="single" w:color="auto" w:sz="4" w:space="0"/>
              <w:bottom w:val="single" w:color="auto" w:sz="4" w:space="0"/>
              <w:right w:val="single" w:color="auto" w:sz="4" w:space="0"/>
            </w:tcBorders>
            <w:noWrap w:val="0"/>
            <w:vAlign w:val="center"/>
          </w:tcPr>
          <w:p w14:paraId="346FB8FA">
            <w:pPr>
              <w:widowControl/>
              <w:jc w:val="center"/>
              <w:rPr>
                <w:rFonts w:hint="eastAsia" w:ascii="宋体" w:hAnsi="宋体" w:cs="宋体"/>
                <w:b/>
                <w:bCs/>
                <w:color w:val="auto"/>
                <w:kern w:val="0"/>
                <w:sz w:val="18"/>
                <w:szCs w:val="18"/>
                <w:highlight w:val="none"/>
              </w:rPr>
            </w:pPr>
          </w:p>
        </w:tc>
        <w:tc>
          <w:tcPr>
            <w:tcW w:w="1428" w:type="dxa"/>
            <w:tcBorders>
              <w:top w:val="nil"/>
              <w:left w:val="nil"/>
              <w:bottom w:val="single" w:color="auto" w:sz="4" w:space="0"/>
              <w:right w:val="single" w:color="auto" w:sz="4" w:space="0"/>
            </w:tcBorders>
            <w:noWrap w:val="0"/>
            <w:vAlign w:val="center"/>
          </w:tcPr>
          <w:p w14:paraId="3347E1D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195" w:type="dxa"/>
            <w:tcBorders>
              <w:top w:val="nil"/>
              <w:left w:val="nil"/>
              <w:bottom w:val="single" w:color="auto" w:sz="4" w:space="0"/>
              <w:right w:val="single" w:color="auto" w:sz="4" w:space="0"/>
            </w:tcBorders>
            <w:noWrap w:val="0"/>
            <w:vAlign w:val="center"/>
          </w:tcPr>
          <w:p w14:paraId="4842D7D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noWrap w:val="0"/>
            <w:vAlign w:val="center"/>
          </w:tcPr>
          <w:p w14:paraId="5B6A822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644" w:type="dxa"/>
            <w:tcBorders>
              <w:top w:val="nil"/>
              <w:left w:val="nil"/>
              <w:bottom w:val="single" w:color="auto" w:sz="4" w:space="0"/>
              <w:right w:val="single" w:color="auto" w:sz="4" w:space="0"/>
            </w:tcBorders>
            <w:noWrap w:val="0"/>
            <w:vAlign w:val="center"/>
          </w:tcPr>
          <w:p w14:paraId="11AA3CA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57" w:type="dxa"/>
            <w:tcBorders>
              <w:top w:val="nil"/>
              <w:left w:val="nil"/>
              <w:bottom w:val="single" w:color="auto" w:sz="4" w:space="0"/>
              <w:right w:val="single" w:color="auto" w:sz="4" w:space="0"/>
            </w:tcBorders>
            <w:noWrap w:val="0"/>
            <w:vAlign w:val="center"/>
          </w:tcPr>
          <w:p w14:paraId="6F5847D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4600956">
        <w:tblPrEx>
          <w:tblCellMar>
            <w:top w:w="0" w:type="dxa"/>
            <w:left w:w="108" w:type="dxa"/>
            <w:bottom w:w="0" w:type="dxa"/>
            <w:right w:w="108" w:type="dxa"/>
          </w:tblCellMar>
        </w:tblPrEx>
        <w:trPr>
          <w:trHeight w:val="342" w:hRule="atLeast"/>
          <w:jc w:val="center"/>
        </w:trPr>
        <w:tc>
          <w:tcPr>
            <w:tcW w:w="2286" w:type="dxa"/>
            <w:vMerge w:val="restart"/>
            <w:tcBorders>
              <w:top w:val="nil"/>
              <w:left w:val="single" w:color="auto" w:sz="4" w:space="0"/>
              <w:bottom w:val="single" w:color="auto" w:sz="4" w:space="0"/>
              <w:right w:val="single" w:color="auto" w:sz="4" w:space="0"/>
            </w:tcBorders>
            <w:noWrap w:val="0"/>
            <w:vAlign w:val="center"/>
          </w:tcPr>
          <w:p w14:paraId="0B169E35">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428" w:type="dxa"/>
            <w:tcBorders>
              <w:top w:val="nil"/>
              <w:left w:val="nil"/>
              <w:bottom w:val="single" w:color="auto" w:sz="4" w:space="0"/>
              <w:right w:val="single" w:color="auto" w:sz="4" w:space="0"/>
            </w:tcBorders>
            <w:noWrap w:val="0"/>
            <w:vAlign w:val="center"/>
          </w:tcPr>
          <w:p w14:paraId="0619C36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195" w:type="dxa"/>
            <w:tcBorders>
              <w:top w:val="nil"/>
              <w:left w:val="nil"/>
              <w:bottom w:val="single" w:color="auto" w:sz="4" w:space="0"/>
              <w:right w:val="single" w:color="auto" w:sz="4" w:space="0"/>
            </w:tcBorders>
            <w:noWrap w:val="0"/>
            <w:vAlign w:val="center"/>
          </w:tcPr>
          <w:p w14:paraId="6756DD5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noWrap w:val="0"/>
            <w:vAlign w:val="center"/>
          </w:tcPr>
          <w:p w14:paraId="4162C26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44" w:type="dxa"/>
            <w:tcBorders>
              <w:top w:val="nil"/>
              <w:left w:val="nil"/>
              <w:bottom w:val="single" w:color="auto" w:sz="4" w:space="0"/>
              <w:right w:val="single" w:color="auto" w:sz="4" w:space="0"/>
            </w:tcBorders>
            <w:noWrap w:val="0"/>
            <w:vAlign w:val="center"/>
          </w:tcPr>
          <w:p w14:paraId="45507E5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57" w:type="dxa"/>
            <w:tcBorders>
              <w:top w:val="nil"/>
              <w:left w:val="nil"/>
              <w:bottom w:val="single" w:color="auto" w:sz="4" w:space="0"/>
              <w:right w:val="single" w:color="auto" w:sz="4" w:space="0"/>
            </w:tcBorders>
            <w:noWrap w:val="0"/>
            <w:vAlign w:val="center"/>
          </w:tcPr>
          <w:p w14:paraId="3E78696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FB6C3F3">
        <w:tblPrEx>
          <w:tblCellMar>
            <w:top w:w="0" w:type="dxa"/>
            <w:left w:w="108" w:type="dxa"/>
            <w:bottom w:w="0" w:type="dxa"/>
            <w:right w:w="108" w:type="dxa"/>
          </w:tblCellMar>
        </w:tblPrEx>
        <w:trPr>
          <w:trHeight w:val="342" w:hRule="atLeast"/>
          <w:jc w:val="center"/>
        </w:trPr>
        <w:tc>
          <w:tcPr>
            <w:tcW w:w="2286" w:type="dxa"/>
            <w:vMerge w:val="continue"/>
            <w:tcBorders>
              <w:top w:val="nil"/>
              <w:left w:val="single" w:color="auto" w:sz="4" w:space="0"/>
              <w:bottom w:val="single" w:color="auto" w:sz="4" w:space="0"/>
              <w:right w:val="single" w:color="auto" w:sz="4" w:space="0"/>
            </w:tcBorders>
            <w:noWrap w:val="0"/>
            <w:vAlign w:val="center"/>
          </w:tcPr>
          <w:p w14:paraId="0A083AE3">
            <w:pPr>
              <w:widowControl/>
              <w:jc w:val="center"/>
              <w:rPr>
                <w:rFonts w:hint="eastAsia" w:ascii="宋体" w:hAnsi="宋体" w:cs="宋体"/>
                <w:b/>
                <w:bCs/>
                <w:color w:val="auto"/>
                <w:kern w:val="0"/>
                <w:sz w:val="18"/>
                <w:szCs w:val="18"/>
                <w:highlight w:val="none"/>
              </w:rPr>
            </w:pPr>
          </w:p>
        </w:tc>
        <w:tc>
          <w:tcPr>
            <w:tcW w:w="1428" w:type="dxa"/>
            <w:tcBorders>
              <w:top w:val="nil"/>
              <w:left w:val="nil"/>
              <w:bottom w:val="single" w:color="auto" w:sz="4" w:space="0"/>
              <w:right w:val="single" w:color="auto" w:sz="4" w:space="0"/>
            </w:tcBorders>
            <w:noWrap w:val="0"/>
            <w:vAlign w:val="center"/>
          </w:tcPr>
          <w:p w14:paraId="32615AC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195" w:type="dxa"/>
            <w:tcBorders>
              <w:top w:val="nil"/>
              <w:left w:val="nil"/>
              <w:bottom w:val="single" w:color="auto" w:sz="4" w:space="0"/>
              <w:right w:val="single" w:color="auto" w:sz="4" w:space="0"/>
            </w:tcBorders>
            <w:noWrap w:val="0"/>
            <w:vAlign w:val="center"/>
          </w:tcPr>
          <w:p w14:paraId="7F5E4EB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noWrap w:val="0"/>
            <w:vAlign w:val="center"/>
          </w:tcPr>
          <w:p w14:paraId="0BC4C6B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644" w:type="dxa"/>
            <w:tcBorders>
              <w:top w:val="nil"/>
              <w:left w:val="nil"/>
              <w:bottom w:val="single" w:color="auto" w:sz="4" w:space="0"/>
              <w:right w:val="single" w:color="auto" w:sz="4" w:space="0"/>
            </w:tcBorders>
            <w:noWrap w:val="0"/>
            <w:vAlign w:val="center"/>
          </w:tcPr>
          <w:p w14:paraId="028ECEA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057" w:type="dxa"/>
            <w:tcBorders>
              <w:top w:val="nil"/>
              <w:left w:val="nil"/>
              <w:bottom w:val="single" w:color="auto" w:sz="4" w:space="0"/>
              <w:right w:val="single" w:color="auto" w:sz="4" w:space="0"/>
            </w:tcBorders>
            <w:noWrap w:val="0"/>
            <w:vAlign w:val="center"/>
          </w:tcPr>
          <w:p w14:paraId="55A9FC3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A201052">
        <w:tblPrEx>
          <w:tblCellMar>
            <w:top w:w="0" w:type="dxa"/>
            <w:left w:w="108" w:type="dxa"/>
            <w:bottom w:w="0" w:type="dxa"/>
            <w:right w:w="108" w:type="dxa"/>
          </w:tblCellMar>
        </w:tblPrEx>
        <w:trPr>
          <w:trHeight w:val="342" w:hRule="atLeast"/>
          <w:jc w:val="center"/>
        </w:trPr>
        <w:tc>
          <w:tcPr>
            <w:tcW w:w="2286" w:type="dxa"/>
            <w:vMerge w:val="restart"/>
            <w:tcBorders>
              <w:top w:val="nil"/>
              <w:left w:val="single" w:color="auto" w:sz="4" w:space="0"/>
              <w:bottom w:val="single" w:color="auto" w:sz="4" w:space="0"/>
              <w:right w:val="single" w:color="auto" w:sz="4" w:space="0"/>
            </w:tcBorders>
            <w:noWrap w:val="0"/>
            <w:vAlign w:val="center"/>
          </w:tcPr>
          <w:p w14:paraId="407F1637">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428" w:type="dxa"/>
            <w:tcBorders>
              <w:top w:val="nil"/>
              <w:left w:val="nil"/>
              <w:bottom w:val="single" w:color="auto" w:sz="4" w:space="0"/>
              <w:right w:val="single" w:color="auto" w:sz="4" w:space="0"/>
            </w:tcBorders>
            <w:noWrap w:val="0"/>
            <w:vAlign w:val="center"/>
          </w:tcPr>
          <w:p w14:paraId="0BBB2D5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195" w:type="dxa"/>
            <w:tcBorders>
              <w:top w:val="nil"/>
              <w:left w:val="nil"/>
              <w:bottom w:val="single" w:color="auto" w:sz="4" w:space="0"/>
              <w:right w:val="single" w:color="auto" w:sz="4" w:space="0"/>
            </w:tcBorders>
            <w:noWrap w:val="0"/>
            <w:vAlign w:val="center"/>
          </w:tcPr>
          <w:p w14:paraId="7DAE5FC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noWrap w:val="0"/>
            <w:vAlign w:val="center"/>
          </w:tcPr>
          <w:p w14:paraId="5288640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644" w:type="dxa"/>
            <w:tcBorders>
              <w:top w:val="nil"/>
              <w:left w:val="nil"/>
              <w:bottom w:val="single" w:color="auto" w:sz="4" w:space="0"/>
              <w:right w:val="single" w:color="auto" w:sz="4" w:space="0"/>
            </w:tcBorders>
            <w:noWrap w:val="0"/>
            <w:vAlign w:val="center"/>
          </w:tcPr>
          <w:p w14:paraId="5F0908F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057" w:type="dxa"/>
            <w:tcBorders>
              <w:top w:val="nil"/>
              <w:left w:val="nil"/>
              <w:bottom w:val="single" w:color="auto" w:sz="4" w:space="0"/>
              <w:right w:val="single" w:color="auto" w:sz="4" w:space="0"/>
            </w:tcBorders>
            <w:noWrap w:val="0"/>
            <w:vAlign w:val="center"/>
          </w:tcPr>
          <w:p w14:paraId="3EC6502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02A55FCF">
        <w:tblPrEx>
          <w:tblCellMar>
            <w:top w:w="0" w:type="dxa"/>
            <w:left w:w="108" w:type="dxa"/>
            <w:bottom w:w="0" w:type="dxa"/>
            <w:right w:w="108" w:type="dxa"/>
          </w:tblCellMar>
        </w:tblPrEx>
        <w:trPr>
          <w:trHeight w:val="342" w:hRule="atLeast"/>
          <w:jc w:val="center"/>
        </w:trPr>
        <w:tc>
          <w:tcPr>
            <w:tcW w:w="2286" w:type="dxa"/>
            <w:vMerge w:val="continue"/>
            <w:tcBorders>
              <w:top w:val="nil"/>
              <w:left w:val="single" w:color="auto" w:sz="4" w:space="0"/>
              <w:bottom w:val="single" w:color="auto" w:sz="4" w:space="0"/>
              <w:right w:val="single" w:color="auto" w:sz="4" w:space="0"/>
            </w:tcBorders>
            <w:noWrap w:val="0"/>
            <w:vAlign w:val="center"/>
          </w:tcPr>
          <w:p w14:paraId="3CC6F065">
            <w:pPr>
              <w:widowControl/>
              <w:jc w:val="center"/>
              <w:rPr>
                <w:rFonts w:hint="eastAsia" w:ascii="宋体" w:hAnsi="宋体" w:cs="宋体"/>
                <w:b/>
                <w:bCs/>
                <w:color w:val="auto"/>
                <w:kern w:val="0"/>
                <w:sz w:val="18"/>
                <w:szCs w:val="18"/>
                <w:highlight w:val="none"/>
              </w:rPr>
            </w:pPr>
          </w:p>
        </w:tc>
        <w:tc>
          <w:tcPr>
            <w:tcW w:w="1428" w:type="dxa"/>
            <w:tcBorders>
              <w:top w:val="nil"/>
              <w:left w:val="nil"/>
              <w:bottom w:val="single" w:color="auto" w:sz="4" w:space="0"/>
              <w:right w:val="single" w:color="auto" w:sz="4" w:space="0"/>
            </w:tcBorders>
            <w:noWrap w:val="0"/>
            <w:vAlign w:val="center"/>
          </w:tcPr>
          <w:p w14:paraId="4BDD2F6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195" w:type="dxa"/>
            <w:tcBorders>
              <w:top w:val="nil"/>
              <w:left w:val="nil"/>
              <w:bottom w:val="single" w:color="auto" w:sz="4" w:space="0"/>
              <w:right w:val="single" w:color="auto" w:sz="4" w:space="0"/>
            </w:tcBorders>
            <w:noWrap w:val="0"/>
            <w:vAlign w:val="center"/>
          </w:tcPr>
          <w:p w14:paraId="3E458B2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noWrap w:val="0"/>
            <w:vAlign w:val="center"/>
          </w:tcPr>
          <w:p w14:paraId="1E2A648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644" w:type="dxa"/>
            <w:tcBorders>
              <w:top w:val="nil"/>
              <w:left w:val="nil"/>
              <w:bottom w:val="single" w:color="auto" w:sz="4" w:space="0"/>
              <w:right w:val="single" w:color="auto" w:sz="4" w:space="0"/>
            </w:tcBorders>
            <w:noWrap w:val="0"/>
            <w:vAlign w:val="center"/>
          </w:tcPr>
          <w:p w14:paraId="1A2E57A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057" w:type="dxa"/>
            <w:tcBorders>
              <w:top w:val="nil"/>
              <w:left w:val="nil"/>
              <w:bottom w:val="single" w:color="auto" w:sz="4" w:space="0"/>
              <w:right w:val="single" w:color="auto" w:sz="4" w:space="0"/>
            </w:tcBorders>
            <w:noWrap w:val="0"/>
            <w:vAlign w:val="center"/>
          </w:tcPr>
          <w:p w14:paraId="43A5288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058C0AB5">
        <w:tblPrEx>
          <w:tblCellMar>
            <w:top w:w="0" w:type="dxa"/>
            <w:left w:w="108" w:type="dxa"/>
            <w:bottom w:w="0" w:type="dxa"/>
            <w:right w:w="108" w:type="dxa"/>
          </w:tblCellMar>
        </w:tblPrEx>
        <w:trPr>
          <w:trHeight w:val="342" w:hRule="atLeast"/>
          <w:jc w:val="center"/>
        </w:trPr>
        <w:tc>
          <w:tcPr>
            <w:tcW w:w="2286" w:type="dxa"/>
            <w:vMerge w:val="restart"/>
            <w:tcBorders>
              <w:top w:val="nil"/>
              <w:left w:val="single" w:color="auto" w:sz="4" w:space="0"/>
              <w:bottom w:val="single" w:color="auto" w:sz="4" w:space="0"/>
              <w:right w:val="single" w:color="auto" w:sz="4" w:space="0"/>
            </w:tcBorders>
            <w:noWrap w:val="0"/>
            <w:vAlign w:val="center"/>
          </w:tcPr>
          <w:p w14:paraId="1D9DB772">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428" w:type="dxa"/>
            <w:tcBorders>
              <w:top w:val="nil"/>
              <w:left w:val="nil"/>
              <w:bottom w:val="single" w:color="auto" w:sz="4" w:space="0"/>
              <w:right w:val="single" w:color="auto" w:sz="4" w:space="0"/>
            </w:tcBorders>
            <w:noWrap w:val="0"/>
            <w:vAlign w:val="center"/>
          </w:tcPr>
          <w:p w14:paraId="66D4E65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195" w:type="dxa"/>
            <w:tcBorders>
              <w:top w:val="nil"/>
              <w:left w:val="nil"/>
              <w:bottom w:val="single" w:color="auto" w:sz="4" w:space="0"/>
              <w:right w:val="single" w:color="auto" w:sz="4" w:space="0"/>
            </w:tcBorders>
            <w:noWrap w:val="0"/>
            <w:vAlign w:val="center"/>
          </w:tcPr>
          <w:p w14:paraId="6B17538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noWrap w:val="0"/>
            <w:vAlign w:val="center"/>
          </w:tcPr>
          <w:p w14:paraId="3C7EF8F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44" w:type="dxa"/>
            <w:tcBorders>
              <w:top w:val="nil"/>
              <w:left w:val="nil"/>
              <w:bottom w:val="single" w:color="auto" w:sz="4" w:space="0"/>
              <w:right w:val="single" w:color="auto" w:sz="4" w:space="0"/>
            </w:tcBorders>
            <w:noWrap w:val="0"/>
            <w:vAlign w:val="center"/>
          </w:tcPr>
          <w:p w14:paraId="5512B13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057" w:type="dxa"/>
            <w:tcBorders>
              <w:top w:val="nil"/>
              <w:left w:val="nil"/>
              <w:bottom w:val="single" w:color="auto" w:sz="4" w:space="0"/>
              <w:right w:val="single" w:color="auto" w:sz="4" w:space="0"/>
            </w:tcBorders>
            <w:noWrap w:val="0"/>
            <w:vAlign w:val="center"/>
          </w:tcPr>
          <w:p w14:paraId="362141F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4058FE6F">
        <w:tblPrEx>
          <w:tblCellMar>
            <w:top w:w="0" w:type="dxa"/>
            <w:left w:w="108" w:type="dxa"/>
            <w:bottom w:w="0" w:type="dxa"/>
            <w:right w:w="108" w:type="dxa"/>
          </w:tblCellMar>
        </w:tblPrEx>
        <w:trPr>
          <w:trHeight w:val="342" w:hRule="atLeast"/>
          <w:jc w:val="center"/>
        </w:trPr>
        <w:tc>
          <w:tcPr>
            <w:tcW w:w="2286" w:type="dxa"/>
            <w:vMerge w:val="continue"/>
            <w:tcBorders>
              <w:top w:val="nil"/>
              <w:left w:val="single" w:color="auto" w:sz="4" w:space="0"/>
              <w:bottom w:val="single" w:color="auto" w:sz="4" w:space="0"/>
              <w:right w:val="single" w:color="auto" w:sz="4" w:space="0"/>
            </w:tcBorders>
            <w:noWrap w:val="0"/>
            <w:vAlign w:val="center"/>
          </w:tcPr>
          <w:p w14:paraId="4CD4C3F9">
            <w:pPr>
              <w:widowControl/>
              <w:jc w:val="center"/>
              <w:rPr>
                <w:rFonts w:hint="eastAsia" w:ascii="宋体" w:hAnsi="宋体" w:cs="宋体"/>
                <w:b/>
                <w:bCs/>
                <w:color w:val="auto"/>
                <w:kern w:val="0"/>
                <w:sz w:val="18"/>
                <w:szCs w:val="18"/>
                <w:highlight w:val="none"/>
              </w:rPr>
            </w:pPr>
          </w:p>
        </w:tc>
        <w:tc>
          <w:tcPr>
            <w:tcW w:w="1428" w:type="dxa"/>
            <w:tcBorders>
              <w:top w:val="nil"/>
              <w:left w:val="nil"/>
              <w:bottom w:val="single" w:color="auto" w:sz="4" w:space="0"/>
              <w:right w:val="single" w:color="auto" w:sz="4" w:space="0"/>
            </w:tcBorders>
            <w:noWrap w:val="0"/>
            <w:vAlign w:val="center"/>
          </w:tcPr>
          <w:p w14:paraId="1235EEC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195" w:type="dxa"/>
            <w:tcBorders>
              <w:top w:val="nil"/>
              <w:left w:val="nil"/>
              <w:bottom w:val="single" w:color="auto" w:sz="4" w:space="0"/>
              <w:right w:val="single" w:color="auto" w:sz="4" w:space="0"/>
            </w:tcBorders>
            <w:noWrap w:val="0"/>
            <w:vAlign w:val="center"/>
          </w:tcPr>
          <w:p w14:paraId="303F608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noWrap w:val="0"/>
            <w:vAlign w:val="center"/>
          </w:tcPr>
          <w:p w14:paraId="0E30A41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644" w:type="dxa"/>
            <w:tcBorders>
              <w:top w:val="nil"/>
              <w:left w:val="nil"/>
              <w:bottom w:val="single" w:color="auto" w:sz="4" w:space="0"/>
              <w:right w:val="single" w:color="auto" w:sz="4" w:space="0"/>
            </w:tcBorders>
            <w:noWrap w:val="0"/>
            <w:vAlign w:val="center"/>
          </w:tcPr>
          <w:p w14:paraId="08B4B23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057" w:type="dxa"/>
            <w:tcBorders>
              <w:top w:val="nil"/>
              <w:left w:val="nil"/>
              <w:bottom w:val="single" w:color="auto" w:sz="4" w:space="0"/>
              <w:right w:val="single" w:color="auto" w:sz="4" w:space="0"/>
            </w:tcBorders>
            <w:noWrap w:val="0"/>
            <w:vAlign w:val="center"/>
          </w:tcPr>
          <w:p w14:paraId="745C13D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4C13DC20">
        <w:tblPrEx>
          <w:tblCellMar>
            <w:top w:w="0" w:type="dxa"/>
            <w:left w:w="108" w:type="dxa"/>
            <w:bottom w:w="0" w:type="dxa"/>
            <w:right w:w="108" w:type="dxa"/>
          </w:tblCellMar>
        </w:tblPrEx>
        <w:trPr>
          <w:trHeight w:val="342" w:hRule="atLeast"/>
          <w:jc w:val="center"/>
        </w:trPr>
        <w:tc>
          <w:tcPr>
            <w:tcW w:w="2286" w:type="dxa"/>
            <w:vMerge w:val="restart"/>
            <w:tcBorders>
              <w:top w:val="nil"/>
              <w:left w:val="single" w:color="auto" w:sz="4" w:space="0"/>
              <w:bottom w:val="single" w:color="auto" w:sz="4" w:space="0"/>
              <w:right w:val="single" w:color="auto" w:sz="4" w:space="0"/>
            </w:tcBorders>
            <w:noWrap w:val="0"/>
            <w:vAlign w:val="center"/>
          </w:tcPr>
          <w:p w14:paraId="448E98A3">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428" w:type="dxa"/>
            <w:tcBorders>
              <w:top w:val="nil"/>
              <w:left w:val="nil"/>
              <w:bottom w:val="single" w:color="auto" w:sz="4" w:space="0"/>
              <w:right w:val="single" w:color="auto" w:sz="4" w:space="0"/>
            </w:tcBorders>
            <w:noWrap w:val="0"/>
            <w:vAlign w:val="center"/>
          </w:tcPr>
          <w:p w14:paraId="265C4AB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195" w:type="dxa"/>
            <w:tcBorders>
              <w:top w:val="nil"/>
              <w:left w:val="nil"/>
              <w:bottom w:val="single" w:color="auto" w:sz="4" w:space="0"/>
              <w:right w:val="single" w:color="auto" w:sz="4" w:space="0"/>
            </w:tcBorders>
            <w:noWrap w:val="0"/>
            <w:vAlign w:val="center"/>
          </w:tcPr>
          <w:p w14:paraId="128A2D5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noWrap w:val="0"/>
            <w:vAlign w:val="center"/>
          </w:tcPr>
          <w:p w14:paraId="4BFFD82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44" w:type="dxa"/>
            <w:tcBorders>
              <w:top w:val="nil"/>
              <w:left w:val="nil"/>
              <w:bottom w:val="single" w:color="auto" w:sz="4" w:space="0"/>
              <w:right w:val="single" w:color="auto" w:sz="4" w:space="0"/>
            </w:tcBorders>
            <w:noWrap w:val="0"/>
            <w:vAlign w:val="center"/>
          </w:tcPr>
          <w:p w14:paraId="2307A6E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57" w:type="dxa"/>
            <w:tcBorders>
              <w:top w:val="nil"/>
              <w:left w:val="nil"/>
              <w:bottom w:val="single" w:color="auto" w:sz="4" w:space="0"/>
              <w:right w:val="single" w:color="auto" w:sz="4" w:space="0"/>
            </w:tcBorders>
            <w:noWrap w:val="0"/>
            <w:vAlign w:val="center"/>
          </w:tcPr>
          <w:p w14:paraId="33E555B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EC22BD5">
        <w:tblPrEx>
          <w:tblCellMar>
            <w:top w:w="0" w:type="dxa"/>
            <w:left w:w="108" w:type="dxa"/>
            <w:bottom w:w="0" w:type="dxa"/>
            <w:right w:w="108" w:type="dxa"/>
          </w:tblCellMar>
        </w:tblPrEx>
        <w:trPr>
          <w:trHeight w:val="342" w:hRule="atLeast"/>
          <w:jc w:val="center"/>
        </w:trPr>
        <w:tc>
          <w:tcPr>
            <w:tcW w:w="2286" w:type="dxa"/>
            <w:vMerge w:val="continue"/>
            <w:tcBorders>
              <w:top w:val="nil"/>
              <w:left w:val="single" w:color="auto" w:sz="4" w:space="0"/>
              <w:bottom w:val="single" w:color="auto" w:sz="4" w:space="0"/>
              <w:right w:val="single" w:color="auto" w:sz="4" w:space="0"/>
            </w:tcBorders>
            <w:noWrap w:val="0"/>
            <w:vAlign w:val="center"/>
          </w:tcPr>
          <w:p w14:paraId="595A49F9">
            <w:pPr>
              <w:widowControl/>
              <w:jc w:val="center"/>
              <w:rPr>
                <w:rFonts w:hint="eastAsia" w:ascii="宋体" w:hAnsi="宋体" w:cs="宋体"/>
                <w:b/>
                <w:bCs/>
                <w:color w:val="auto"/>
                <w:kern w:val="0"/>
                <w:sz w:val="18"/>
                <w:szCs w:val="18"/>
                <w:highlight w:val="none"/>
              </w:rPr>
            </w:pPr>
          </w:p>
        </w:tc>
        <w:tc>
          <w:tcPr>
            <w:tcW w:w="1428" w:type="dxa"/>
            <w:tcBorders>
              <w:top w:val="nil"/>
              <w:left w:val="nil"/>
              <w:bottom w:val="single" w:color="auto" w:sz="4" w:space="0"/>
              <w:right w:val="single" w:color="auto" w:sz="4" w:space="0"/>
            </w:tcBorders>
            <w:noWrap w:val="0"/>
            <w:vAlign w:val="center"/>
          </w:tcPr>
          <w:p w14:paraId="18496E2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195" w:type="dxa"/>
            <w:tcBorders>
              <w:top w:val="nil"/>
              <w:left w:val="nil"/>
              <w:bottom w:val="single" w:color="auto" w:sz="4" w:space="0"/>
              <w:right w:val="single" w:color="auto" w:sz="4" w:space="0"/>
            </w:tcBorders>
            <w:noWrap w:val="0"/>
            <w:vAlign w:val="center"/>
          </w:tcPr>
          <w:p w14:paraId="56A20DD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noWrap w:val="0"/>
            <w:vAlign w:val="center"/>
          </w:tcPr>
          <w:p w14:paraId="1D8CC61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644" w:type="dxa"/>
            <w:tcBorders>
              <w:top w:val="nil"/>
              <w:left w:val="nil"/>
              <w:bottom w:val="single" w:color="auto" w:sz="4" w:space="0"/>
              <w:right w:val="single" w:color="auto" w:sz="4" w:space="0"/>
            </w:tcBorders>
            <w:noWrap w:val="0"/>
            <w:vAlign w:val="center"/>
          </w:tcPr>
          <w:p w14:paraId="1364A3D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057" w:type="dxa"/>
            <w:tcBorders>
              <w:top w:val="nil"/>
              <w:left w:val="nil"/>
              <w:bottom w:val="single" w:color="auto" w:sz="4" w:space="0"/>
              <w:right w:val="single" w:color="auto" w:sz="4" w:space="0"/>
            </w:tcBorders>
            <w:noWrap w:val="0"/>
            <w:vAlign w:val="center"/>
          </w:tcPr>
          <w:p w14:paraId="59E45A8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732C159">
        <w:tblPrEx>
          <w:tblCellMar>
            <w:top w:w="0" w:type="dxa"/>
            <w:left w:w="108" w:type="dxa"/>
            <w:bottom w:w="0" w:type="dxa"/>
            <w:right w:w="108" w:type="dxa"/>
          </w:tblCellMar>
        </w:tblPrEx>
        <w:trPr>
          <w:trHeight w:val="352" w:hRule="atLeast"/>
          <w:jc w:val="center"/>
        </w:trPr>
        <w:tc>
          <w:tcPr>
            <w:tcW w:w="2286" w:type="dxa"/>
            <w:tcBorders>
              <w:top w:val="nil"/>
              <w:left w:val="single" w:color="auto" w:sz="4" w:space="0"/>
              <w:bottom w:val="single" w:color="auto" w:sz="4" w:space="0"/>
              <w:right w:val="single" w:color="auto" w:sz="4" w:space="0"/>
            </w:tcBorders>
            <w:noWrap w:val="0"/>
            <w:vAlign w:val="center"/>
          </w:tcPr>
          <w:p w14:paraId="03097365">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428" w:type="dxa"/>
            <w:tcBorders>
              <w:top w:val="nil"/>
              <w:left w:val="nil"/>
              <w:bottom w:val="single" w:color="auto" w:sz="4" w:space="0"/>
              <w:right w:val="single" w:color="auto" w:sz="4" w:space="0"/>
            </w:tcBorders>
            <w:noWrap w:val="0"/>
            <w:vAlign w:val="center"/>
          </w:tcPr>
          <w:p w14:paraId="14D04C5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195" w:type="dxa"/>
            <w:tcBorders>
              <w:top w:val="nil"/>
              <w:left w:val="nil"/>
              <w:bottom w:val="single" w:color="auto" w:sz="4" w:space="0"/>
              <w:right w:val="single" w:color="auto" w:sz="4" w:space="0"/>
            </w:tcBorders>
            <w:noWrap w:val="0"/>
            <w:vAlign w:val="center"/>
          </w:tcPr>
          <w:p w14:paraId="61D3FF0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noWrap w:val="0"/>
            <w:vAlign w:val="center"/>
          </w:tcPr>
          <w:p w14:paraId="53C4980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44" w:type="dxa"/>
            <w:tcBorders>
              <w:top w:val="nil"/>
              <w:left w:val="nil"/>
              <w:bottom w:val="single" w:color="auto" w:sz="4" w:space="0"/>
              <w:right w:val="single" w:color="auto" w:sz="4" w:space="0"/>
            </w:tcBorders>
            <w:noWrap w:val="0"/>
            <w:vAlign w:val="center"/>
          </w:tcPr>
          <w:p w14:paraId="6387CF3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57" w:type="dxa"/>
            <w:tcBorders>
              <w:top w:val="nil"/>
              <w:left w:val="nil"/>
              <w:bottom w:val="single" w:color="auto" w:sz="4" w:space="0"/>
              <w:right w:val="single" w:color="auto" w:sz="4" w:space="0"/>
            </w:tcBorders>
            <w:noWrap w:val="0"/>
            <w:vAlign w:val="center"/>
          </w:tcPr>
          <w:p w14:paraId="6CCF767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7DAE164B">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6EA1B606">
      <w:pPr>
        <w:widowControl/>
        <w:jc w:val="left"/>
        <w:rPr>
          <w:rFonts w:hint="eastAsia" w:ascii="宋体" w:hAnsi="宋体" w:cs="宋体"/>
          <w:color w:val="auto"/>
          <w:szCs w:val="20"/>
          <w:highlight w:val="none"/>
        </w:rPr>
        <w:sectPr>
          <w:pgSz w:w="11906" w:h="16838"/>
          <w:pgMar w:top="1332" w:right="1434" w:bottom="1332" w:left="1434" w:header="850" w:footer="992" w:gutter="0"/>
          <w:cols w:space="0" w:num="1"/>
          <w:rtlGutter w:val="0"/>
          <w:docGrid w:type="lines" w:linePitch="315" w:charSpace="0"/>
        </w:sectPr>
      </w:pPr>
    </w:p>
    <w:p w14:paraId="47459F32">
      <w:pPr>
        <w:widowControl/>
        <w:tabs>
          <w:tab w:val="left" w:pos="0"/>
          <w:tab w:val="left" w:pos="3165"/>
          <w:tab w:val="center" w:pos="4153"/>
        </w:tabs>
        <w:autoSpaceDE w:val="0"/>
        <w:autoSpaceDN w:val="0"/>
        <w:adjustRightInd w:val="0"/>
        <w:spacing w:before="340" w:after="340" w:line="360" w:lineRule="auto"/>
        <w:ind w:firstLine="420"/>
        <w:jc w:val="center"/>
        <w:outlineLvl w:val="0"/>
        <w:rPr>
          <w:rFonts w:ascii="宋体" w:hAnsi="宋体" w:eastAsia="宋体" w:cs="宋体"/>
          <w:b/>
          <w:bCs/>
          <w:color w:val="auto"/>
          <w:kern w:val="44"/>
          <w:sz w:val="44"/>
          <w:szCs w:val="44"/>
          <w:highlight w:val="none"/>
        </w:rPr>
      </w:pPr>
      <w:bookmarkStart w:id="13" w:name="_Toc108596905"/>
      <w:bookmarkStart w:id="14" w:name="_Toc14106"/>
      <w:r>
        <w:rPr>
          <w:rFonts w:hint="eastAsia" w:ascii="宋体" w:hAnsi="宋体" w:eastAsia="宋体" w:cs="宋体"/>
          <w:b/>
          <w:bCs/>
          <w:color w:val="auto"/>
          <w:kern w:val="44"/>
          <w:sz w:val="44"/>
          <w:szCs w:val="44"/>
          <w:highlight w:val="none"/>
        </w:rPr>
        <w:t>第四章 评审程序、评审方法和评审标准</w:t>
      </w:r>
      <w:bookmarkEnd w:id="13"/>
      <w:bookmarkEnd w:id="14"/>
    </w:p>
    <w:p w14:paraId="7F8745C0">
      <w:pPr>
        <w:keepNext/>
        <w:keepLines/>
        <w:pageBreakBefore w:val="0"/>
        <w:widowControl/>
        <w:kinsoku/>
        <w:wordWrap/>
        <w:overflowPunct/>
        <w:topLinePunct w:val="0"/>
        <w:autoSpaceDE/>
        <w:autoSpaceDN/>
        <w:bidi w:val="0"/>
        <w:adjustRightInd/>
        <w:snapToGrid/>
        <w:jc w:val="center"/>
        <w:textAlignment w:val="auto"/>
        <w:outlineLvl w:val="2"/>
        <w:rPr>
          <w:rFonts w:ascii="宋体" w:hAnsi="宋体" w:eastAsia="宋体" w:cs="宋体"/>
          <w:b/>
          <w:bCs/>
          <w:color w:val="auto"/>
          <w:sz w:val="30"/>
          <w:szCs w:val="24"/>
          <w:highlight w:val="none"/>
        </w:rPr>
      </w:pPr>
      <w:r>
        <w:rPr>
          <w:rFonts w:hint="eastAsia" w:ascii="宋体" w:hAnsi="宋体" w:eastAsia="宋体" w:cs="宋体"/>
          <w:b/>
          <w:bCs/>
          <w:color w:val="auto"/>
          <w:sz w:val="30"/>
          <w:szCs w:val="24"/>
          <w:highlight w:val="none"/>
        </w:rPr>
        <w:t>一、评审程序和评审方法</w:t>
      </w:r>
    </w:p>
    <w:p w14:paraId="51D2536E">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1.资格审查</w:t>
      </w:r>
    </w:p>
    <w:p w14:paraId="09BF19B9">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1.1响应文件开启后，磋商小组依法对供应商的资格证明文件进行审查。</w:t>
      </w:r>
    </w:p>
    <w:p w14:paraId="579B15AE">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（1）查询渠道：“信用中国”网站(www.creditchina.gov.cn) 、中国政府采购网(www.ccgp.gov.cn)。</w:t>
      </w:r>
    </w:p>
    <w:p w14:paraId="2FB5E0DD">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55FE6F88">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查询记录和证据留存方式：在查询网站中直接打印查询记录，打印材料作为评审资料保存。</w:t>
      </w:r>
    </w:p>
    <w:p w14:paraId="06C2D0D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p w14:paraId="3CECB86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1.2资格审查标准为本磋商文件中载明对供应商资格要求的条件。资格审查采用合格制，凡符合磋商文件规定的供应商资格要求的响应文件均通过资格审查。</w:t>
      </w:r>
    </w:p>
    <w:p w14:paraId="5D3C924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1.3供应商有下列情形之一的，资格审查不通过，其响应文件按无效响应处理：</w:t>
      </w:r>
    </w:p>
    <w:p w14:paraId="12C28DD0">
      <w:pPr>
        <w:widowControl/>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4276777C">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（2）未按磋商文件规定的方式获取本磋商文件的供应商；</w:t>
      </w:r>
    </w:p>
    <w:p w14:paraId="1FEAB875">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（3）响应文件的资格证明文件缺少任一项“供应商须知前附表”资格证明文件规定的“必须提供”的文件资料的；</w:t>
      </w:r>
    </w:p>
    <w:p w14:paraId="3260D499">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（4）响应文件中的资格证明文件出现任一项不符合“供应商须知前附表”资格证明文件规定的“必须提供”的文件资料要求或者无效的；</w:t>
      </w:r>
    </w:p>
    <w:p w14:paraId="1FD6F29A">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（5）同一合同项下的不同供应商，单位负责人为同一人或者存在直接控股、管理关系的；为本项目提供过整体设计、规范编制或者项目管理、监理、检测等服务的供应商，再参加该采购项目的其他采购活动的。</w:t>
      </w:r>
    </w:p>
    <w:p w14:paraId="0DC1AAA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1.4通过资格审查的合格供应商不足3家的，不得进入符合性审查环节，采购人或者采购代理机构应当重新开展采购活动。</w:t>
      </w:r>
    </w:p>
    <w:p w14:paraId="286281B0">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2.符合性审查</w:t>
      </w:r>
    </w:p>
    <w:p w14:paraId="6910FD69">
      <w:pPr>
        <w:spacing w:line="360" w:lineRule="auto"/>
        <w:ind w:firstLine="420" w:firstLineChars="200"/>
        <w:rPr>
          <w:rFonts w:ascii="宋体" w:hAnsi="宋体" w:eastAsia="宋体" w:cs="宋体"/>
          <w:color w:val="auto"/>
          <w:szCs w:val="21"/>
          <w:highlight w:val="none"/>
        </w:rPr>
      </w:pPr>
      <w:bookmarkStart w:id="15" w:name="_Hlk42528882"/>
      <w:r>
        <w:rPr>
          <w:rFonts w:hint="eastAsia" w:ascii="宋体" w:hAnsi="宋体" w:eastAsia="宋体" w:cs="宋体"/>
          <w:color w:val="auto"/>
          <w:szCs w:val="21"/>
          <w:highlight w:val="none"/>
        </w:rPr>
        <w:t>2.1由磋商小组对通过资格审查的合格供应商的响应文件的磋商报价、商务、技术等实质性要求进行符合性审查，以确定其是否满足磋商文件的实质性要求。</w:t>
      </w:r>
    </w:p>
    <w:bookmarkEnd w:id="15"/>
    <w:p w14:paraId="769E67B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B74132F">
      <w:pPr>
        <w:spacing w:line="360" w:lineRule="auto"/>
        <w:ind w:firstLine="420" w:firstLineChars="200"/>
        <w:rPr>
          <w:rFonts w:ascii="宋体" w:hAnsi="宋体" w:eastAsia="宋体" w:cs="宋体"/>
          <w:color w:val="auto"/>
          <w:spacing w:val="-6"/>
          <w:szCs w:val="21"/>
          <w:highlight w:val="none"/>
        </w:rPr>
      </w:pPr>
      <w:r>
        <w:rPr>
          <w:rFonts w:hint="eastAsia" w:ascii="宋体" w:hAnsi="宋体" w:eastAsia="宋体" w:cs="宋体"/>
          <w:color w:val="auto"/>
          <w:szCs w:val="21"/>
          <w:highlight w:val="none"/>
        </w:rPr>
        <w:t>2.3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者加盖公章。由委托代理人签字的，</w:t>
      </w:r>
      <w:r>
        <w:rPr>
          <w:rFonts w:hint="eastAsia" w:ascii="宋体" w:hAnsi="宋体" w:eastAsia="宋体" w:cs="宋体"/>
          <w:bCs/>
          <w:color w:val="auto"/>
          <w:szCs w:val="21"/>
          <w:highlight w:val="none"/>
        </w:rPr>
        <w:t>若委托代理人不是响应文件中授权的委托代理人时，必须同时出示有效的授权委托书原件</w:t>
      </w:r>
      <w:r>
        <w:rPr>
          <w:rFonts w:hint="eastAsia" w:ascii="宋体" w:hAnsi="宋体" w:eastAsia="宋体" w:cs="宋体"/>
          <w:color w:val="auto"/>
          <w:spacing w:val="-6"/>
          <w:szCs w:val="21"/>
          <w:highlight w:val="none"/>
        </w:rPr>
        <w:t>。供应商为自然人的，必须由本人签字并附身份证明。</w:t>
      </w:r>
    </w:p>
    <w:p w14:paraId="48EF44A0">
      <w:pPr>
        <w:spacing w:line="360" w:lineRule="auto"/>
        <w:ind w:firstLine="396" w:firstLineChars="200"/>
        <w:rPr>
          <w:rFonts w:ascii="宋体" w:hAnsi="宋体" w:eastAsia="宋体" w:cs="宋体"/>
          <w:color w:val="auto"/>
          <w:szCs w:val="21"/>
          <w:highlight w:val="none"/>
        </w:rPr>
      </w:pPr>
      <w:r>
        <w:rPr>
          <w:rFonts w:hint="eastAsia" w:ascii="宋体" w:hAnsi="宋体" w:eastAsia="宋体" w:cs="宋体"/>
          <w:color w:val="auto"/>
          <w:spacing w:val="-6"/>
          <w:szCs w:val="21"/>
          <w:highlight w:val="none"/>
        </w:rPr>
        <w:t>2.4</w:t>
      </w:r>
      <w:r>
        <w:rPr>
          <w:rFonts w:hint="eastAsia" w:ascii="宋体" w:hAnsi="宋体" w:eastAsia="宋体" w:cs="宋体"/>
          <w:color w:val="auto"/>
          <w:szCs w:val="21"/>
          <w:highlight w:val="none"/>
        </w:rPr>
        <w:t xml:space="preserve">首次响应文件报价出现前后不一致的，按照下列规定修正： </w:t>
      </w:r>
    </w:p>
    <w:p w14:paraId="2584E0F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6645566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4786449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279C812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480C446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0D0557A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2.5商务技术报价评审</w:t>
      </w:r>
    </w:p>
    <w:p w14:paraId="49B5E9A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41DCED0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70C4974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1）提供响应文件正、副本数量不足；</w:t>
      </w:r>
    </w:p>
    <w:p w14:paraId="776DEAF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2）响应文件未按磋商文件要求签署、盖章；</w:t>
      </w:r>
    </w:p>
    <w:p w14:paraId="2F659B9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3）委托代理人未能出具有效身份证或者出具的身份证与授权委托书中的信息不符的； </w:t>
      </w:r>
    </w:p>
    <w:p w14:paraId="41F1727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4）提交的磋商保证金无效的或者未按照磋商文件的规定提交磋商保证金；</w:t>
      </w:r>
    </w:p>
    <w:p w14:paraId="6114157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14:paraId="6993542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6）商务要求允许负偏离的条款数超过“供应商须知前附表”规定项数的；</w:t>
      </w:r>
    </w:p>
    <w:p w14:paraId="13261BA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7）未对磋商有效期作出响应或者响应文件承诺的磋商有效期不满足磋商文件要求；</w:t>
      </w:r>
    </w:p>
    <w:p w14:paraId="1969339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8）响应文件的实质性内容未使用中文表述、使用计量单位不符合磋商文件要求；</w:t>
      </w:r>
    </w:p>
    <w:p w14:paraId="7E86ABA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9）响应文件中的文件资料因填写不齐全或者内容虚假或者出现其他情形而导致被磋商小组认定无效；</w:t>
      </w:r>
    </w:p>
    <w:p w14:paraId="18ED911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10）响应文件含有采购人不能接受的附加条件；</w:t>
      </w:r>
    </w:p>
    <w:p w14:paraId="5D88340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11）属于“供应商须知正文”第7.5条情形；</w:t>
      </w:r>
    </w:p>
    <w:p w14:paraId="4DB0EB4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12）技术要求允许负偏离的条款数超过“供应商须知前附表”规定项数；</w:t>
      </w:r>
    </w:p>
    <w:p w14:paraId="3273C4E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13）虚假竞标，或者出现其他情形而导致被磋商小组认定无效；</w:t>
      </w:r>
    </w:p>
    <w:p w14:paraId="4C9796A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14）</w:t>
      </w:r>
      <w:bookmarkStart w:id="16" w:name="_Hlk71704147"/>
      <w:r>
        <w:rPr>
          <w:rFonts w:hint="eastAsia" w:ascii="宋体" w:hAnsi="宋体" w:eastAsia="宋体" w:cs="宋体"/>
          <w:color w:val="auto"/>
          <w:szCs w:val="21"/>
          <w:highlight w:val="none"/>
        </w:rPr>
        <w:t>磋商文件未载明允许提供备选（替代）竞标方案或明确不允许提供备选（替代）竞标方案时，供应商提供了备选（替代）竞标方案的；</w:t>
      </w:r>
      <w:bookmarkEnd w:id="16"/>
    </w:p>
    <w:p w14:paraId="7FF1B55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15）响应文件标注的项目名称或者项目编号与磋商文件标注的项目名称或者项目编号不一致的；</w:t>
      </w:r>
    </w:p>
    <w:p w14:paraId="076E02A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16）竞争性磋商采购文件明确不允许分包，响应文件拟分包的；</w:t>
      </w:r>
    </w:p>
    <w:p w14:paraId="03BA568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17）未响应磋商文件实质性要求；</w:t>
      </w:r>
    </w:p>
    <w:p w14:paraId="2F3A326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18）法律、法规和磋商文件规定的其他无效情形。</w:t>
      </w:r>
    </w:p>
    <w:p w14:paraId="4F42F34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187EB25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报价商务技术文件中规定的“磋商报价表”；</w:t>
      </w:r>
    </w:p>
    <w:p w14:paraId="305EDF7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6ADCAB7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完整唯一报价；供应商未就所竞标分标的全部内容作唯一总价报价；供应商响应文件中存在有选择、有条件报价的（磋商文件允许有备选方案或者其他约定的除外）；</w:t>
      </w:r>
    </w:p>
    <w:p w14:paraId="16C6159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4）磋商报价（包含首次报价、最后报价）超过所竞标分标规定的采购预算金额或者最高限价的（如本项目公布了最高限价）；</w:t>
      </w:r>
      <w:bookmarkStart w:id="17" w:name="_Hlk42596405"/>
      <w:r>
        <w:rPr>
          <w:rFonts w:hint="eastAsia" w:ascii="宋体" w:hAnsi="宋体" w:eastAsia="宋体" w:cs="宋体"/>
          <w:color w:val="auto"/>
          <w:szCs w:val="21"/>
          <w:highlight w:val="none"/>
        </w:rPr>
        <w:t>磋商报价（包含首次报价、最后报价）</w:t>
      </w:r>
      <w:bookmarkEnd w:id="17"/>
      <w:bookmarkStart w:id="18" w:name="_Hlk42596276"/>
      <w:r>
        <w:rPr>
          <w:rFonts w:hint="eastAsia" w:ascii="宋体" w:hAnsi="宋体" w:eastAsia="宋体" w:cs="宋体"/>
          <w:color w:val="auto"/>
          <w:szCs w:val="21"/>
          <w:highlight w:val="none"/>
        </w:rPr>
        <w:t>超过磋商文件分项采购预算金额或者最高限价的</w:t>
      </w:r>
      <w:bookmarkEnd w:id="18"/>
      <w:r>
        <w:rPr>
          <w:rFonts w:hint="eastAsia" w:ascii="宋体" w:hAnsi="宋体" w:eastAsia="宋体" w:cs="宋体"/>
          <w:color w:val="auto"/>
          <w:szCs w:val="21"/>
          <w:highlight w:val="none"/>
        </w:rPr>
        <w:t>（如本项目公布了最高限价）；</w:t>
      </w:r>
    </w:p>
    <w:p w14:paraId="14B4EB3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磋商报价（包含首次报价、最后报价）超过所竞标分标规定的采购预算金额或者最高限价（如本项目公布了最高限价）；或者经供应商确认修正后磋商报价（包含首次报价、最后报价）超过磋商文件分项采购预算金额或者最高限价的（如本项目公布了最高限价）。</w:t>
      </w:r>
    </w:p>
    <w:p w14:paraId="5B0A0C6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6）响应文件响应的标的数量及单位与竞争性磋商采购文件要求实质性不一致的。</w:t>
      </w:r>
    </w:p>
    <w:p w14:paraId="7CAF64E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6DE6606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2.7通过符合性审查的合格供应商不足3家的，不得进入磋商环节，采购人或者采购代理机构应当重新开展采购活动。</w:t>
      </w:r>
    </w:p>
    <w:p w14:paraId="581FC6BB">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3.磋商程序</w:t>
      </w:r>
    </w:p>
    <w:p w14:paraId="0079717A">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4814870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40315A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3.3对磋商文件作出的实质性变动是磋商文件的有效组成部分，由磋商小组及时以书面形式同时通知所有参加磋商的供应商。</w:t>
      </w:r>
    </w:p>
    <w:p w14:paraId="772B796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3.4供应商必须按照磋商文件的变动情况和磋商小组的要求重新提交响应文件，并由其法定代表人或者授权代表签字或者加盖公章。由委托代理人签字的，</w:t>
      </w:r>
      <w:r>
        <w:rPr>
          <w:rFonts w:hint="eastAsia" w:ascii="宋体" w:hAnsi="宋体" w:eastAsia="宋体" w:cs="宋体"/>
          <w:bCs/>
          <w:color w:val="auto"/>
          <w:szCs w:val="21"/>
          <w:highlight w:val="none"/>
        </w:rPr>
        <w:t>若委托代理人不是响应文件中授权的委托代理人时，必须同时出示有效的授权委托书原件</w:t>
      </w:r>
      <w:r>
        <w:rPr>
          <w:rFonts w:hint="eastAsia" w:ascii="宋体" w:hAnsi="宋体" w:eastAsia="宋体" w:cs="宋体"/>
          <w:color w:val="auto"/>
          <w:szCs w:val="21"/>
          <w:highlight w:val="none"/>
        </w:rPr>
        <w:t>。供应商为自然人的，必须由本人签字并附身份证明。参加磋商的供应商未在规定时间内重新提交响应文件的，视同退出磋商。</w:t>
      </w:r>
    </w:p>
    <w:p w14:paraId="5CCCE81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4883299B">
      <w:pPr>
        <w:widowControl/>
        <w:tabs>
          <w:tab w:val="left" w:pos="540"/>
        </w:tabs>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3.6采购代理机构对磋商过程和重要磋商内容进行记录，磋商双方在记录上签字确认。</w:t>
      </w:r>
    </w:p>
    <w:p w14:paraId="6DF729BA">
      <w:pPr>
        <w:widowControl/>
        <w:tabs>
          <w:tab w:val="left" w:pos="540"/>
        </w:tabs>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3.7磋商过程中重新提交的响应文件，供应商可以在开启前补充、修改。</w:t>
      </w:r>
    </w:p>
    <w:p w14:paraId="2A8E0AB5">
      <w:pPr>
        <w:widowControl/>
        <w:tabs>
          <w:tab w:val="left" w:pos="540"/>
        </w:tabs>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3.8 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91A64C7">
      <w:pPr>
        <w:tabs>
          <w:tab w:val="left" w:pos="2835"/>
        </w:tabs>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3.9对磋商过程提交的响应文件进行有效性、完整性和响应程度审查，通过审查的合格供应商不足3家的，采购人或者采购代理机构应当重新开展采购活动。</w:t>
      </w:r>
    </w:p>
    <w:p w14:paraId="7F0411F5">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4.最后报价</w:t>
      </w:r>
    </w:p>
    <w:p w14:paraId="6DFF403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4.1磋商文件能够详细列明采购标的的技术、服务要求的，磋商结束后，由磋商小组要求所有继续参加磋商的供应商在规定时间内密封提交最后报价，除本章第4.3条外，提交最后报价的供应商不得少于3家，否则必须重新采购。</w:t>
      </w:r>
    </w:p>
    <w:p w14:paraId="2A87BCC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5EBCDD5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4.3 最后报价是供应商响应文件的有效组成部分。符合《政府采购竞争性磋商采购方式管理暂行办法》（财库〔2014〕214号）第三条第四项“市场竞争不充分的科研项目，以及需要扶持的科技成果转化项目” 和本章第3.8条情形的，提交最后报价的供应商可以为2家。</w:t>
      </w:r>
    </w:p>
    <w:p w14:paraId="6902CA9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20F22C3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4.5供应商未在规定时间内提交最后报价的，视同退出磋商。</w:t>
      </w:r>
    </w:p>
    <w:p w14:paraId="24D35E4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4.6磋商小组收齐某一分标最后报价后统一开启，磋商小组对最后报价进行有效性、完整性和响应程度的审查。</w:t>
      </w:r>
    </w:p>
    <w:p w14:paraId="3713200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4.7响应文件最后报价出现前后不一致的，按照本章第2.4条的规定修正。 </w:t>
      </w:r>
    </w:p>
    <w:p w14:paraId="6CE8F61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4.8修正后的报价出现下列情形的，按无效响应处理：</w:t>
      </w:r>
    </w:p>
    <w:p w14:paraId="382555E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（1）供应商不确认的；</w:t>
      </w:r>
    </w:p>
    <w:p w14:paraId="515AACE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（2）经供应商确认修正后的磋商报价（包含首次报价、最后报价）超过所竞标分标规定的采购预算金额或者最高限价的（如本项目公布了最高限价）；</w:t>
      </w:r>
    </w:p>
    <w:p w14:paraId="79AD6B0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（3）经供应商确认修正后的磋商报价（包含首次报价、最后报价）超过分项采购预算金额或者最高限价的（如本项目公布了最高限价）。</w:t>
      </w:r>
    </w:p>
    <w:p w14:paraId="76D10E3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4.9经供应商确认修正后的最后报价作为评审及签订合同的依据。</w:t>
      </w:r>
    </w:p>
    <w:p w14:paraId="4D61889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4.10供应商出现最后报价按无效响应处理或者响应文件按无效处理时</w:t>
      </w:r>
      <w:r>
        <w:rPr>
          <w:rFonts w:hint="eastAsia" w:ascii="宋体" w:hAnsi="宋体" w:eastAsia="宋体" w:cs="宋体"/>
          <w:color w:val="auto"/>
          <w:sz w:val="22"/>
          <w:highlight w:val="none"/>
        </w:rPr>
        <w:t>，磋商小组应当告知有关供应商</w:t>
      </w:r>
      <w:r>
        <w:rPr>
          <w:rFonts w:hint="eastAsia" w:ascii="宋体" w:hAnsi="宋体" w:eastAsia="宋体" w:cs="宋体"/>
          <w:color w:val="auto"/>
          <w:szCs w:val="21"/>
          <w:highlight w:val="none"/>
        </w:rPr>
        <w:t>。</w:t>
      </w:r>
    </w:p>
    <w:p w14:paraId="206D336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4.11最后报价结束后，磋商小组不得再与供应商进行任何形式的商谈。</w:t>
      </w:r>
    </w:p>
    <w:p w14:paraId="4FA9BED8">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5.比较与评价</w:t>
      </w:r>
    </w:p>
    <w:p w14:paraId="1A938D0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5.1评审方法：综合评分法。</w:t>
      </w:r>
    </w:p>
    <w:p w14:paraId="697A1F5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5.2经磋商确定最终采购需求和提交最后报价的供应商后，由磋商小组采用综合评分法对提交最后报价的供应商的响应文件和最后报价进行综合评分。</w:t>
      </w:r>
    </w:p>
    <w:p w14:paraId="2B317FA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5.3评审时，磋商小组各成员应当独立对每个有效响应的文件进行评价、打分，然后汇总每个供应商每项评分因素的得分。</w:t>
      </w:r>
    </w:p>
    <w:p w14:paraId="34751F7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3D2DD89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24EEE58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5.4评审价为供应商的最后报价进行政策性扣除后的价格，评审价只是作为评审时使用。最终成交供应商的成交金额等于最后报价（如有修正，以确认修正后的最后报价为准）。</w:t>
      </w:r>
    </w:p>
    <w:p w14:paraId="5D5ADAA5">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szCs w:val="21"/>
          <w:highlight w:val="none"/>
        </w:rPr>
        <w:t>5.5由磋商小组根据综合评分情况，按照评审得分由高到低顺序推荐3名以上成交候选供应商，并编写评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6396C73E">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2C5342C">
      <w:pPr>
        <w:keepNext/>
        <w:keepLines/>
        <w:pageBreakBefore w:val="0"/>
        <w:widowControl/>
        <w:kinsoku/>
        <w:wordWrap/>
        <w:overflowPunct/>
        <w:topLinePunct w:val="0"/>
        <w:autoSpaceDE/>
        <w:autoSpaceDN/>
        <w:bidi w:val="0"/>
        <w:adjustRightInd/>
        <w:snapToGrid/>
        <w:jc w:val="center"/>
        <w:textAlignment w:val="auto"/>
        <w:outlineLvl w:val="2"/>
        <w:rPr>
          <w:rFonts w:ascii="宋体" w:hAnsi="宋体" w:eastAsia="宋体" w:cs="宋体"/>
          <w:b/>
          <w:bCs/>
          <w:color w:val="auto"/>
          <w:sz w:val="30"/>
          <w:szCs w:val="24"/>
          <w:highlight w:val="none"/>
        </w:rPr>
      </w:pPr>
      <w:r>
        <w:rPr>
          <w:rFonts w:hint="eastAsia" w:ascii="宋体" w:hAnsi="宋体" w:eastAsia="宋体" w:cs="宋体"/>
          <w:b/>
          <w:bCs/>
          <w:color w:val="auto"/>
          <w:sz w:val="30"/>
          <w:szCs w:val="24"/>
          <w:highlight w:val="none"/>
        </w:rPr>
        <w:t>二、评审标准</w:t>
      </w:r>
    </w:p>
    <w:p w14:paraId="07C933EB">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6.评审依据</w:t>
      </w:r>
    </w:p>
    <w:p w14:paraId="648FE449">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磋商小组将以磋商响应文件为评审依据，对供应商的报价、技术、商务等方面内容按百分制打分。（计分方法按四舍五入取至百分位）</w:t>
      </w:r>
    </w:p>
    <w:tbl>
      <w:tblPr>
        <w:tblStyle w:val="26"/>
        <w:tblW w:w="10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68"/>
        <w:gridCol w:w="7371"/>
        <w:gridCol w:w="799"/>
      </w:tblGrid>
      <w:tr w14:paraId="12E3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30" w:type="dxa"/>
            <w:noWrap w:val="0"/>
            <w:vAlign w:val="center"/>
          </w:tcPr>
          <w:p w14:paraId="51ADF7A2">
            <w:pPr>
              <w:jc w:val="center"/>
              <w:rPr>
                <w:rFonts w:ascii="宋体" w:hAnsi="宋体" w:cs="Tahoma"/>
                <w:b/>
                <w:bCs/>
                <w:kern w:val="0"/>
              </w:rPr>
            </w:pPr>
            <w:bookmarkStart w:id="112" w:name="_GoBack"/>
            <w:r>
              <w:rPr>
                <w:rFonts w:hint="eastAsia" w:ascii="宋体" w:hAnsi="宋体" w:cs="Tahoma"/>
                <w:b/>
                <w:bCs/>
                <w:kern w:val="0"/>
              </w:rPr>
              <w:t>序号</w:t>
            </w:r>
          </w:p>
        </w:tc>
        <w:tc>
          <w:tcPr>
            <w:tcW w:w="1268" w:type="dxa"/>
            <w:noWrap w:val="0"/>
            <w:vAlign w:val="center"/>
          </w:tcPr>
          <w:p w14:paraId="1BCC0626">
            <w:pPr>
              <w:jc w:val="center"/>
              <w:rPr>
                <w:rFonts w:ascii="宋体" w:hAnsi="宋体" w:cs="Tahoma"/>
                <w:b/>
                <w:bCs/>
                <w:kern w:val="0"/>
              </w:rPr>
            </w:pPr>
            <w:r>
              <w:rPr>
                <w:rFonts w:hint="eastAsia" w:ascii="宋体" w:hAnsi="宋体" w:cs="Tahoma"/>
                <w:b/>
                <w:bCs/>
                <w:kern w:val="0"/>
              </w:rPr>
              <w:t>评审因素</w:t>
            </w:r>
          </w:p>
        </w:tc>
        <w:tc>
          <w:tcPr>
            <w:tcW w:w="7371" w:type="dxa"/>
            <w:noWrap w:val="0"/>
            <w:vAlign w:val="center"/>
          </w:tcPr>
          <w:p w14:paraId="1949316C">
            <w:pPr>
              <w:jc w:val="center"/>
              <w:rPr>
                <w:rFonts w:ascii="宋体" w:hAnsi="宋体" w:cs="Tahoma"/>
                <w:b/>
                <w:bCs/>
                <w:kern w:val="0"/>
              </w:rPr>
            </w:pPr>
            <w:r>
              <w:rPr>
                <w:rFonts w:hint="eastAsia" w:ascii="宋体" w:hAnsi="宋体" w:cs="Tahoma"/>
                <w:b/>
                <w:bCs/>
                <w:kern w:val="0"/>
              </w:rPr>
              <w:t>评审因素具体内容</w:t>
            </w:r>
          </w:p>
        </w:tc>
        <w:tc>
          <w:tcPr>
            <w:tcW w:w="799" w:type="dxa"/>
            <w:noWrap w:val="0"/>
            <w:vAlign w:val="center"/>
          </w:tcPr>
          <w:p w14:paraId="21DAE5C1">
            <w:pPr>
              <w:jc w:val="center"/>
              <w:rPr>
                <w:rFonts w:ascii="宋体" w:hAnsi="宋体" w:cs="Tahoma"/>
                <w:b/>
                <w:bCs/>
                <w:kern w:val="0"/>
              </w:rPr>
            </w:pPr>
            <w:r>
              <w:rPr>
                <w:rFonts w:hint="eastAsia" w:ascii="宋体" w:hAnsi="宋体" w:cs="Tahoma"/>
                <w:b/>
                <w:bCs/>
                <w:kern w:val="0"/>
              </w:rPr>
              <w:t>分值</w:t>
            </w:r>
          </w:p>
        </w:tc>
      </w:tr>
      <w:tr w14:paraId="77F6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30" w:type="dxa"/>
            <w:noWrap w:val="0"/>
            <w:vAlign w:val="center"/>
          </w:tcPr>
          <w:p w14:paraId="6D069055">
            <w:pPr>
              <w:jc w:val="center"/>
              <w:rPr>
                <w:rFonts w:ascii="宋体" w:hAnsi="宋体" w:cs="Tahoma"/>
                <w:kern w:val="0"/>
              </w:rPr>
            </w:pPr>
            <w:r>
              <w:rPr>
                <w:rFonts w:hint="eastAsia" w:ascii="宋体" w:hAnsi="宋体" w:cs="Tahoma"/>
                <w:kern w:val="0"/>
              </w:rPr>
              <w:t>1</w:t>
            </w:r>
          </w:p>
        </w:tc>
        <w:tc>
          <w:tcPr>
            <w:tcW w:w="1268" w:type="dxa"/>
            <w:noWrap w:val="0"/>
            <w:vAlign w:val="center"/>
          </w:tcPr>
          <w:p w14:paraId="0A8B8820">
            <w:pPr>
              <w:jc w:val="center"/>
            </w:pPr>
            <w:r>
              <w:rPr>
                <w:rFonts w:hint="eastAsia"/>
              </w:rPr>
              <w:t>价格分</w:t>
            </w:r>
          </w:p>
        </w:tc>
        <w:tc>
          <w:tcPr>
            <w:tcW w:w="7371" w:type="dxa"/>
            <w:noWrap w:val="0"/>
            <w:vAlign w:val="top"/>
          </w:tcPr>
          <w:p w14:paraId="08B6F90F">
            <w:pPr>
              <w:pStyle w:val="17"/>
              <w:spacing w:line="400" w:lineRule="exact"/>
              <w:rPr>
                <w:rFonts w:hint="eastAsia" w:hAnsi="宋体" w:cs="宋体"/>
                <w:b/>
                <w:bCs/>
                <w:color w:val="auto"/>
                <w:kern w:val="2"/>
                <w:sz w:val="21"/>
                <w:highlight w:val="none"/>
                <w:lang w:val="en-US" w:eastAsia="zh-CN"/>
              </w:rPr>
            </w:pPr>
            <w:r>
              <w:rPr>
                <w:rFonts w:hint="eastAsia" w:hAnsi="宋体" w:cs="宋体"/>
                <w:b/>
                <w:bCs/>
                <w:color w:val="auto"/>
                <w:kern w:val="2"/>
                <w:sz w:val="21"/>
                <w:highlight w:val="none"/>
                <w:lang w:val="en-US" w:eastAsia="zh-CN"/>
              </w:rPr>
              <w:t>一、政府采购政策扣除</w:t>
            </w:r>
          </w:p>
          <w:p w14:paraId="02E58603">
            <w:pPr>
              <w:pStyle w:val="17"/>
              <w:spacing w:line="400" w:lineRule="exact"/>
              <w:rPr>
                <w:rFonts w:hint="eastAsia" w:hAnsi="宋体" w:cs="宋体"/>
                <w:color w:val="auto"/>
                <w:kern w:val="2"/>
                <w:sz w:val="21"/>
                <w:highlight w:val="none"/>
                <w:lang w:val="en-US" w:eastAsia="zh-CN"/>
              </w:rPr>
            </w:pPr>
            <w:r>
              <w:rPr>
                <w:rFonts w:hint="eastAsia" w:hAnsi="宋体" w:cs="宋体"/>
                <w:color w:val="auto"/>
                <w:kern w:val="2"/>
                <w:sz w:val="21"/>
                <w:highlight w:val="none"/>
                <w:lang w:val="en-US" w:eastAsia="zh-CN"/>
              </w:rPr>
              <w:t>本项目为专门面向中小企业采购的项目，不再执行价格评审优惠的扶持政策，</w:t>
            </w:r>
            <w:r>
              <w:rPr>
                <w:rFonts w:hint="eastAsia" w:ascii="宋体" w:hAnsi="宋体" w:eastAsia="宋体" w:cs="宋体"/>
                <w:color w:val="000000"/>
                <w:szCs w:val="21"/>
                <w:highlight w:val="none"/>
              </w:rPr>
              <w:t>供应商应为小微企业或监狱企业或残疾人福利性单位</w:t>
            </w:r>
            <w:r>
              <w:rPr>
                <w:rFonts w:hint="eastAsia" w:hAnsi="宋体" w:cs="宋体"/>
                <w:color w:val="auto"/>
                <w:kern w:val="2"/>
                <w:sz w:val="21"/>
                <w:highlight w:val="none"/>
                <w:lang w:val="en-US" w:eastAsia="zh-CN"/>
              </w:rPr>
              <w:t>。</w:t>
            </w:r>
          </w:p>
          <w:p w14:paraId="2F4EB87F">
            <w:pPr>
              <w:pStyle w:val="17"/>
              <w:spacing w:line="400" w:lineRule="exact"/>
              <w:rPr>
                <w:rFonts w:hint="eastAsia" w:hAnsi="宋体" w:cs="宋体"/>
                <w:b/>
                <w:color w:val="auto"/>
                <w:sz w:val="21"/>
                <w:highlight w:val="none"/>
                <w:lang w:val="en-US" w:eastAsia="zh-CN"/>
              </w:rPr>
            </w:pPr>
            <w:r>
              <w:rPr>
                <w:rFonts w:hint="eastAsia" w:hAnsi="宋体" w:cs="宋体"/>
                <w:b/>
                <w:color w:val="auto"/>
                <w:sz w:val="21"/>
                <w:highlight w:val="none"/>
                <w:lang w:val="en-US" w:eastAsia="zh-CN"/>
              </w:rPr>
              <w:t>二、报价分（满分10分）</w:t>
            </w:r>
          </w:p>
          <w:p w14:paraId="256760A5">
            <w:pPr>
              <w:spacing w:line="360" w:lineRule="auto"/>
              <w:ind w:firstLine="420" w:firstLineChars="200"/>
              <w:rPr>
                <w:rFonts w:hint="eastAsia" w:hAnsi="宋体" w:cs="宋体"/>
                <w:bCs/>
                <w:color w:val="auto"/>
                <w:sz w:val="21"/>
                <w:highlight w:val="none"/>
                <w:lang w:val="en-US" w:eastAsia="zh-CN"/>
              </w:rPr>
            </w:pPr>
            <w:r>
              <w:rPr>
                <w:rFonts w:hint="eastAsia" w:hAnsi="宋体" w:cs="宋体"/>
                <w:bCs/>
                <w:color w:val="auto"/>
                <w:sz w:val="21"/>
                <w:highlight w:val="none"/>
                <w:lang w:val="en-US" w:eastAsia="zh-CN"/>
              </w:rPr>
              <w:t>1、报价分采用低价优先法计算，满足磋商文件要求且最后报价最低的有效供应商的报价为评标基准价，其报价分为满分10分。</w:t>
            </w:r>
          </w:p>
          <w:p w14:paraId="272792AF">
            <w:pPr>
              <w:spacing w:line="360" w:lineRule="auto"/>
              <w:ind w:firstLine="420" w:firstLineChars="200"/>
              <w:rPr>
                <w:rFonts w:hint="eastAsia" w:hAnsi="宋体" w:cs="宋体"/>
                <w:bCs/>
                <w:color w:val="auto"/>
                <w:sz w:val="21"/>
                <w:highlight w:val="none"/>
                <w:lang w:val="en-US" w:eastAsia="zh-CN"/>
              </w:rPr>
            </w:pPr>
            <w:r>
              <w:rPr>
                <w:rFonts w:hint="eastAsia" w:hAnsi="宋体" w:cs="宋体"/>
                <w:bCs/>
                <w:color w:val="auto"/>
                <w:sz w:val="21"/>
                <w:highlight w:val="none"/>
                <w:lang w:val="en-US" w:eastAsia="zh-CN"/>
              </w:rPr>
              <w:t>2、其他供应商的价格分统一按照下列公式计算：</w:t>
            </w:r>
          </w:p>
          <w:p w14:paraId="7B387532">
            <w:pPr>
              <w:spacing w:line="360" w:lineRule="auto"/>
              <w:ind w:firstLine="420" w:firstLineChars="200"/>
              <w:rPr>
                <w:rFonts w:hint="eastAsia" w:ascii="宋体" w:hAnsi="宋体"/>
                <w:bCs/>
                <w:lang w:val="en-US" w:eastAsia="zh-CN"/>
              </w:rPr>
            </w:pPr>
            <w:r>
              <w:rPr>
                <w:rFonts w:hint="eastAsia" w:hAnsi="宋体" w:cs="宋体"/>
                <w:bCs/>
                <w:color w:val="auto"/>
                <w:sz w:val="21"/>
                <w:highlight w:val="none"/>
                <w:lang w:val="en-US" w:eastAsia="zh-CN"/>
              </w:rPr>
              <w:t>某有效供应商的报价分=（评标基准价／某有效供应商最后报价）×10分。</w:t>
            </w:r>
          </w:p>
        </w:tc>
        <w:tc>
          <w:tcPr>
            <w:tcW w:w="799" w:type="dxa"/>
            <w:noWrap w:val="0"/>
            <w:vAlign w:val="center"/>
          </w:tcPr>
          <w:p w14:paraId="3236ADC0">
            <w:pPr>
              <w:jc w:val="center"/>
              <w:rPr>
                <w:rFonts w:ascii="宋体" w:hAnsi="宋体" w:cs="Tahoma"/>
                <w:kern w:val="0"/>
              </w:rPr>
            </w:pPr>
            <w:r>
              <w:rPr>
                <w:rFonts w:hint="eastAsia" w:ascii="宋体" w:hAnsi="宋体" w:cs="Tahoma"/>
                <w:kern w:val="0"/>
              </w:rPr>
              <w:t>10分</w:t>
            </w:r>
          </w:p>
        </w:tc>
      </w:tr>
      <w:tr w14:paraId="0EA57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30" w:type="dxa"/>
            <w:noWrap w:val="0"/>
            <w:vAlign w:val="center"/>
          </w:tcPr>
          <w:p w14:paraId="1F454FB6">
            <w:pPr>
              <w:jc w:val="center"/>
              <w:rPr>
                <w:rFonts w:ascii="宋体" w:hAnsi="宋体" w:cs="Tahoma"/>
                <w:b/>
                <w:bCs w:val="0"/>
                <w:kern w:val="0"/>
              </w:rPr>
            </w:pPr>
            <w:r>
              <w:rPr>
                <w:rFonts w:hint="eastAsia" w:ascii="宋体" w:hAnsi="宋体"/>
                <w:b/>
                <w:bCs w:val="0"/>
                <w:kern w:val="0"/>
              </w:rPr>
              <w:t>2</w:t>
            </w:r>
          </w:p>
        </w:tc>
        <w:tc>
          <w:tcPr>
            <w:tcW w:w="1268" w:type="dxa"/>
            <w:noWrap w:val="0"/>
            <w:vAlign w:val="center"/>
          </w:tcPr>
          <w:p w14:paraId="3B35F3C0">
            <w:pPr>
              <w:jc w:val="center"/>
              <w:rPr>
                <w:rFonts w:ascii="宋体" w:hAnsi="宋体" w:cs="Tahoma"/>
                <w:b/>
                <w:bCs w:val="0"/>
                <w:kern w:val="0"/>
              </w:rPr>
            </w:pPr>
            <w:r>
              <w:rPr>
                <w:rFonts w:hint="eastAsia" w:ascii="宋体" w:hAnsi="宋体"/>
                <w:b/>
                <w:bCs w:val="0"/>
                <w:kern w:val="0"/>
              </w:rPr>
              <w:t>服务方案分（</w:t>
            </w:r>
            <w:r>
              <w:rPr>
                <w:rFonts w:hint="eastAsia" w:ascii="宋体" w:hAnsi="宋体"/>
                <w:b/>
                <w:bCs w:val="0"/>
                <w:kern w:val="0"/>
                <w:lang w:val="en-US" w:eastAsia="zh-CN"/>
              </w:rPr>
              <w:t>55</w:t>
            </w:r>
            <w:r>
              <w:rPr>
                <w:rFonts w:hint="eastAsia" w:ascii="宋体" w:hAnsi="宋体"/>
                <w:b/>
                <w:bCs w:val="0"/>
                <w:kern w:val="0"/>
              </w:rPr>
              <w:t>分）</w:t>
            </w:r>
          </w:p>
        </w:tc>
        <w:tc>
          <w:tcPr>
            <w:tcW w:w="8170" w:type="dxa"/>
            <w:gridSpan w:val="2"/>
            <w:noWrap w:val="0"/>
            <w:vAlign w:val="center"/>
          </w:tcPr>
          <w:p w14:paraId="1B299A59">
            <w:pPr>
              <w:jc w:val="center"/>
              <w:rPr>
                <w:rFonts w:ascii="宋体" w:hAnsi="宋体" w:cs="Tahoma"/>
                <w:b/>
                <w:bCs w:val="0"/>
                <w:kern w:val="0"/>
              </w:rPr>
            </w:pPr>
            <w:r>
              <w:rPr>
                <w:rFonts w:hint="eastAsia" w:ascii="宋体" w:hAnsi="宋体" w:cs="Tahoma"/>
                <w:b/>
                <w:bCs w:val="0"/>
                <w:kern w:val="0"/>
              </w:rPr>
              <w:t>评审因素</w:t>
            </w:r>
          </w:p>
        </w:tc>
      </w:tr>
      <w:tr w14:paraId="6838B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30" w:type="dxa"/>
            <w:noWrap w:val="0"/>
            <w:vAlign w:val="center"/>
          </w:tcPr>
          <w:p w14:paraId="065D318B">
            <w:pPr>
              <w:adjustRightInd w:val="0"/>
              <w:ind w:right="-105" w:rightChars="-50"/>
              <w:jc w:val="center"/>
              <w:textAlignment w:val="baseline"/>
              <w:rPr>
                <w:rFonts w:ascii="宋体" w:hAnsi="宋体"/>
                <w:bCs/>
                <w:kern w:val="0"/>
              </w:rPr>
            </w:pPr>
            <w:r>
              <w:rPr>
                <w:rFonts w:hint="eastAsia" w:ascii="宋体" w:hAnsi="宋体"/>
                <w:bCs/>
                <w:kern w:val="0"/>
              </w:rPr>
              <w:t>2</w:t>
            </w:r>
            <w:r>
              <w:rPr>
                <w:rFonts w:ascii="宋体" w:hAnsi="宋体"/>
                <w:bCs/>
                <w:kern w:val="0"/>
              </w:rPr>
              <w:t>.1</w:t>
            </w:r>
          </w:p>
        </w:tc>
        <w:tc>
          <w:tcPr>
            <w:tcW w:w="1268" w:type="dxa"/>
            <w:noWrap w:val="0"/>
            <w:vAlign w:val="center"/>
          </w:tcPr>
          <w:p w14:paraId="790A1F52">
            <w:pPr>
              <w:adjustRightInd w:val="0"/>
              <w:textAlignment w:val="baseline"/>
              <w:rPr>
                <w:rFonts w:ascii="宋体" w:hAnsi="宋体"/>
                <w:bCs/>
                <w:kern w:val="0"/>
              </w:rPr>
            </w:pPr>
            <w:r>
              <w:rPr>
                <w:rFonts w:hint="eastAsia" w:ascii="宋体" w:hAnsi="宋体"/>
                <w:bCs/>
                <w:kern w:val="0"/>
              </w:rPr>
              <w:t>总体方案分</w:t>
            </w:r>
          </w:p>
        </w:tc>
        <w:tc>
          <w:tcPr>
            <w:tcW w:w="7371" w:type="dxa"/>
            <w:noWrap w:val="0"/>
            <w:vAlign w:val="center"/>
          </w:tcPr>
          <w:p w14:paraId="4F432863">
            <w:pPr>
              <w:spacing w:line="400" w:lineRule="exact"/>
              <w:rPr>
                <w:rFonts w:ascii="宋体" w:hAnsi="宋体" w:cs="宋体"/>
                <w:b/>
                <w:kern w:val="0"/>
              </w:rPr>
            </w:pPr>
            <w:r>
              <w:rPr>
                <w:rFonts w:hint="eastAsia" w:ascii="宋体" w:hAnsi="宋体" w:cs="宋体"/>
                <w:b/>
                <w:kern w:val="0"/>
                <w:lang w:val="en-US" w:eastAsia="zh-CN"/>
              </w:rPr>
              <w:t>磋商</w:t>
            </w:r>
            <w:r>
              <w:rPr>
                <w:rFonts w:hint="eastAsia" w:ascii="宋体" w:hAnsi="宋体" w:cs="宋体"/>
                <w:b/>
                <w:kern w:val="0"/>
              </w:rPr>
              <w:t>小组根据各供应商的方案，对项目理解、技术方案、方案编制进度等方面独立打分。</w:t>
            </w:r>
          </w:p>
          <w:p w14:paraId="34F1CCD3">
            <w:pPr>
              <w:spacing w:line="400" w:lineRule="exact"/>
              <w:rPr>
                <w:rFonts w:ascii="宋体" w:hAnsi="宋体" w:cs="宋体"/>
                <w:bCs/>
                <w:kern w:val="0"/>
              </w:rPr>
            </w:pPr>
            <w:r>
              <w:rPr>
                <w:rFonts w:hint="eastAsia" w:ascii="宋体" w:hAnsi="宋体" w:cs="宋体"/>
                <w:b/>
                <w:kern w:val="0"/>
              </w:rPr>
              <w:t>一档（</w:t>
            </w:r>
            <w:r>
              <w:rPr>
                <w:rFonts w:hint="eastAsia" w:ascii="宋体" w:hAnsi="宋体" w:cs="宋体"/>
                <w:b/>
                <w:kern w:val="0"/>
                <w:lang w:val="en-US" w:eastAsia="zh-CN"/>
              </w:rPr>
              <w:t>15</w:t>
            </w:r>
            <w:r>
              <w:rPr>
                <w:rFonts w:hint="eastAsia" w:ascii="宋体" w:hAnsi="宋体" w:cs="宋体"/>
                <w:b/>
                <w:kern w:val="0"/>
              </w:rPr>
              <w:t>分）：</w:t>
            </w:r>
            <w:r>
              <w:rPr>
                <w:rFonts w:hint="eastAsia" w:ascii="宋体" w:hAnsi="宋体" w:cs="宋体"/>
                <w:bCs/>
                <w:kern w:val="0"/>
              </w:rPr>
              <w:t>对项目认识不足；技术方案</w:t>
            </w:r>
            <w:r>
              <w:rPr>
                <w:rFonts w:hint="eastAsia" w:ascii="宋体" w:hAnsi="宋体" w:cs="宋体"/>
                <w:bCs/>
                <w:kern w:val="0"/>
                <w:lang w:val="en-US" w:eastAsia="zh-CN"/>
              </w:rPr>
              <w:t>前后不一致，多以名词解释为主</w:t>
            </w:r>
            <w:r>
              <w:rPr>
                <w:rFonts w:hint="eastAsia" w:ascii="宋体" w:hAnsi="宋体" w:cs="宋体"/>
                <w:bCs/>
                <w:kern w:val="0"/>
              </w:rPr>
              <w:t>；进度计划不合理</w:t>
            </w:r>
            <w:r>
              <w:rPr>
                <w:rFonts w:hint="eastAsia" w:ascii="宋体" w:hAnsi="宋体" w:cs="宋体"/>
                <w:bCs/>
                <w:kern w:val="0"/>
                <w:lang w:val="en-US" w:eastAsia="zh-CN"/>
              </w:rPr>
              <w:t>或与本项目无关</w:t>
            </w:r>
            <w:r>
              <w:rPr>
                <w:rFonts w:hint="eastAsia" w:ascii="宋体" w:hAnsi="宋体" w:cs="宋体"/>
                <w:bCs/>
                <w:kern w:val="0"/>
              </w:rPr>
              <w:t>。</w:t>
            </w:r>
          </w:p>
          <w:p w14:paraId="548A4391">
            <w:pPr>
              <w:spacing w:line="400" w:lineRule="exact"/>
              <w:rPr>
                <w:rFonts w:ascii="宋体" w:hAnsi="宋体" w:cs="宋体"/>
                <w:bCs/>
                <w:kern w:val="0"/>
              </w:rPr>
            </w:pPr>
            <w:r>
              <w:rPr>
                <w:rFonts w:hint="eastAsia" w:ascii="宋体" w:hAnsi="宋体" w:cs="宋体"/>
                <w:b/>
                <w:kern w:val="0"/>
              </w:rPr>
              <w:t>二档（</w:t>
            </w:r>
            <w:r>
              <w:rPr>
                <w:rFonts w:hint="eastAsia" w:ascii="宋体" w:hAnsi="宋体" w:cs="宋体"/>
                <w:b/>
                <w:kern w:val="0"/>
                <w:lang w:val="en-US" w:eastAsia="zh-CN"/>
              </w:rPr>
              <w:t>20</w:t>
            </w:r>
            <w:r>
              <w:rPr>
                <w:rFonts w:hint="eastAsia" w:ascii="宋体" w:hAnsi="宋体" w:cs="宋体"/>
                <w:b/>
                <w:kern w:val="0"/>
              </w:rPr>
              <w:t>分）：</w:t>
            </w:r>
            <w:r>
              <w:rPr>
                <w:rFonts w:hint="eastAsia" w:ascii="宋体" w:hAnsi="宋体" w:cs="宋体"/>
                <w:bCs/>
                <w:kern w:val="0"/>
              </w:rPr>
              <w:t>对项目认识，思路清晰；技术方案满足采购需求，条理清晰；有进度计划，有进度保证措施</w:t>
            </w:r>
            <w:r>
              <w:rPr>
                <w:rFonts w:hint="eastAsia" w:ascii="宋体" w:hAnsi="宋体" w:cs="宋体"/>
                <w:bCs/>
                <w:kern w:val="0"/>
                <w:lang w:val="en-US" w:eastAsia="zh-CN"/>
              </w:rPr>
              <w:t>等</w:t>
            </w:r>
            <w:r>
              <w:rPr>
                <w:rFonts w:hint="eastAsia" w:ascii="宋体" w:hAnsi="宋体" w:cs="宋体"/>
                <w:bCs/>
                <w:kern w:val="0"/>
              </w:rPr>
              <w:t>。</w:t>
            </w:r>
          </w:p>
          <w:p w14:paraId="2A08CC95">
            <w:pPr>
              <w:spacing w:line="400" w:lineRule="exact"/>
              <w:rPr>
                <w:rFonts w:ascii="宋体" w:hAnsi="宋体" w:cs="宋体"/>
                <w:bCs/>
                <w:kern w:val="0"/>
              </w:rPr>
            </w:pPr>
            <w:r>
              <w:rPr>
                <w:rFonts w:hint="eastAsia" w:ascii="宋体" w:hAnsi="宋体" w:cs="宋体"/>
                <w:b/>
                <w:kern w:val="0"/>
              </w:rPr>
              <w:t>三档（</w:t>
            </w:r>
            <w:r>
              <w:rPr>
                <w:rFonts w:hint="eastAsia" w:ascii="宋体" w:hAnsi="宋体" w:cs="宋体"/>
                <w:b/>
                <w:kern w:val="0"/>
                <w:lang w:val="en-US" w:eastAsia="zh-CN"/>
              </w:rPr>
              <w:t>25</w:t>
            </w:r>
            <w:r>
              <w:rPr>
                <w:rFonts w:hint="eastAsia" w:ascii="宋体" w:hAnsi="宋体" w:cs="宋体"/>
                <w:b/>
                <w:kern w:val="0"/>
              </w:rPr>
              <w:t>分）：</w:t>
            </w:r>
            <w:r>
              <w:rPr>
                <w:rFonts w:hint="eastAsia" w:ascii="宋体" w:hAnsi="宋体" w:cs="宋体"/>
                <w:bCs/>
                <w:kern w:val="0"/>
              </w:rPr>
              <w:t>对项目认识充分，方案表达清晰，措施具体且依据项目具体情况采取有效的措施，符合规范要求；技术方案满足</w:t>
            </w:r>
            <w:r>
              <w:rPr>
                <w:rFonts w:hint="eastAsia" w:ascii="宋体" w:hAnsi="宋体" w:cs="宋体"/>
                <w:bCs/>
                <w:kern w:val="0"/>
                <w:lang w:eastAsia="zh-CN"/>
              </w:rPr>
              <w:t>采购</w:t>
            </w:r>
            <w:r>
              <w:rPr>
                <w:rFonts w:hint="eastAsia" w:ascii="宋体" w:hAnsi="宋体" w:cs="宋体"/>
                <w:bCs/>
                <w:kern w:val="0"/>
              </w:rPr>
              <w:t>需求，条理清晰可行；进度计划合理，进度保证措施及质量保证体系</w:t>
            </w:r>
            <w:r>
              <w:rPr>
                <w:rFonts w:hint="eastAsia" w:ascii="宋体" w:hAnsi="宋体" w:cs="宋体"/>
                <w:bCs/>
                <w:kern w:val="0"/>
                <w:lang w:eastAsia="zh-CN"/>
              </w:rPr>
              <w:t>可行</w:t>
            </w:r>
            <w:r>
              <w:rPr>
                <w:rFonts w:hint="eastAsia" w:ascii="宋体" w:hAnsi="宋体" w:cs="宋体"/>
                <w:bCs/>
                <w:kern w:val="0"/>
              </w:rPr>
              <w:t xml:space="preserve">。                                                   </w:t>
            </w:r>
          </w:p>
          <w:p w14:paraId="5FDAB336">
            <w:pPr>
              <w:spacing w:line="400" w:lineRule="exact"/>
              <w:rPr>
                <w:rFonts w:ascii="宋体"/>
              </w:rPr>
            </w:pPr>
            <w:r>
              <w:rPr>
                <w:rFonts w:hint="eastAsia" w:ascii="宋体" w:hAnsi="宋体" w:cs="宋体"/>
                <w:b/>
                <w:kern w:val="0"/>
              </w:rPr>
              <w:t>四档（</w:t>
            </w:r>
            <w:r>
              <w:rPr>
                <w:rFonts w:hint="eastAsia" w:ascii="宋体" w:hAnsi="宋体" w:cs="宋体"/>
                <w:b/>
                <w:kern w:val="0"/>
                <w:lang w:val="en-US" w:eastAsia="zh-CN"/>
              </w:rPr>
              <w:t>30</w:t>
            </w:r>
            <w:r>
              <w:rPr>
                <w:rFonts w:hint="eastAsia" w:ascii="宋体" w:hAnsi="宋体" w:cs="宋体"/>
                <w:b/>
                <w:kern w:val="0"/>
              </w:rPr>
              <w:t>分）：</w:t>
            </w:r>
            <w:r>
              <w:rPr>
                <w:rFonts w:hint="eastAsia" w:ascii="宋体" w:hAnsi="宋体" w:cs="宋体"/>
                <w:bCs/>
                <w:kern w:val="0"/>
              </w:rPr>
              <w:t>对项目规划的特点、关键技术问题的认识准确透彻，总体规划思路、规划理念和规划方案表述清晰、</w:t>
            </w:r>
            <w:r>
              <w:rPr>
                <w:rFonts w:hint="eastAsia" w:ascii="宋体" w:hAnsi="宋体" w:cs="宋体"/>
                <w:bCs/>
                <w:kern w:val="0"/>
                <w:lang w:eastAsia="zh-CN"/>
              </w:rPr>
              <w:t>严谨</w:t>
            </w:r>
            <w:r>
              <w:rPr>
                <w:rFonts w:hint="eastAsia" w:ascii="宋体" w:hAnsi="宋体" w:cs="宋体"/>
                <w:bCs/>
                <w:kern w:val="0"/>
              </w:rPr>
              <w:t>，措施有效、成熟且依据项目具体情况采取有针对性的措施，符合规范要求；技术方案完全满足采购需求、完整科学、</w:t>
            </w:r>
            <w:r>
              <w:rPr>
                <w:rFonts w:hint="eastAsia" w:ascii="宋体" w:hAnsi="宋体" w:cs="宋体"/>
                <w:bCs/>
                <w:kern w:val="0"/>
                <w:lang w:val="en-US" w:eastAsia="zh-CN"/>
              </w:rPr>
              <w:t>有针对性</w:t>
            </w:r>
            <w:r>
              <w:rPr>
                <w:rFonts w:hint="eastAsia" w:ascii="宋体" w:hAnsi="宋体" w:cs="宋体"/>
                <w:bCs/>
                <w:kern w:val="0"/>
              </w:rPr>
              <w:t>，计划条理清晰；进度计划科学</w:t>
            </w:r>
            <w:r>
              <w:rPr>
                <w:rFonts w:hint="eastAsia" w:ascii="宋体" w:hAnsi="宋体" w:cs="宋体"/>
                <w:bCs/>
                <w:kern w:val="0"/>
                <w:lang w:val="en-US" w:eastAsia="zh-CN"/>
              </w:rPr>
              <w:t>规划</w:t>
            </w:r>
            <w:r>
              <w:rPr>
                <w:rFonts w:hint="eastAsia" w:ascii="宋体" w:hAnsi="宋体" w:cs="宋体"/>
                <w:bCs/>
                <w:kern w:val="0"/>
              </w:rPr>
              <w:t>、安排</w:t>
            </w:r>
            <w:r>
              <w:rPr>
                <w:rFonts w:hint="eastAsia" w:ascii="宋体" w:hAnsi="宋体" w:cs="宋体"/>
                <w:bCs/>
                <w:kern w:val="0"/>
                <w:lang w:val="en-US" w:eastAsia="zh-CN"/>
              </w:rPr>
              <w:t>得当</w:t>
            </w:r>
            <w:r>
              <w:rPr>
                <w:rFonts w:hint="eastAsia" w:ascii="宋体" w:hAnsi="宋体" w:cs="宋体"/>
                <w:bCs/>
                <w:kern w:val="0"/>
              </w:rPr>
              <w:t>，进度保证措施及质量保证体系合理、</w:t>
            </w:r>
            <w:r>
              <w:rPr>
                <w:rFonts w:hint="eastAsia" w:ascii="宋体" w:hAnsi="宋体" w:cs="宋体"/>
                <w:bCs/>
                <w:kern w:val="0"/>
                <w:lang w:val="en-US" w:eastAsia="zh-CN"/>
              </w:rPr>
              <w:t>完整</w:t>
            </w:r>
            <w:r>
              <w:rPr>
                <w:rFonts w:hint="eastAsia" w:ascii="宋体" w:hAnsi="宋体" w:cs="宋体"/>
                <w:bCs/>
                <w:kern w:val="0"/>
                <w:lang w:eastAsia="zh-CN"/>
              </w:rPr>
              <w:t>、</w:t>
            </w:r>
            <w:r>
              <w:rPr>
                <w:rFonts w:hint="eastAsia" w:ascii="宋体" w:hAnsi="宋体" w:cs="宋体"/>
                <w:bCs/>
                <w:kern w:val="0"/>
                <w:lang w:val="en-US" w:eastAsia="zh-CN"/>
              </w:rPr>
              <w:t>方法得当</w:t>
            </w:r>
            <w:r>
              <w:rPr>
                <w:rFonts w:hint="eastAsia" w:ascii="宋体" w:hAnsi="宋体" w:cs="宋体"/>
                <w:bCs/>
                <w:kern w:val="0"/>
              </w:rPr>
              <w:t>。</w:t>
            </w:r>
          </w:p>
        </w:tc>
        <w:tc>
          <w:tcPr>
            <w:tcW w:w="799" w:type="dxa"/>
            <w:noWrap w:val="0"/>
            <w:vAlign w:val="center"/>
          </w:tcPr>
          <w:p w14:paraId="502B6946">
            <w:pPr>
              <w:jc w:val="center"/>
              <w:rPr>
                <w:rFonts w:ascii="宋体" w:hAnsi="宋体" w:cs="Tahoma"/>
                <w:kern w:val="0"/>
              </w:rPr>
            </w:pPr>
            <w:r>
              <w:rPr>
                <w:rFonts w:hint="eastAsia" w:ascii="宋体" w:hAnsi="宋体" w:cs="Tahoma"/>
                <w:kern w:val="0"/>
                <w:lang w:val="en-US" w:eastAsia="zh-CN"/>
              </w:rPr>
              <w:t>30</w:t>
            </w:r>
            <w:r>
              <w:rPr>
                <w:rFonts w:hint="eastAsia" w:ascii="宋体" w:hAnsi="宋体" w:cs="Tahoma"/>
                <w:kern w:val="0"/>
              </w:rPr>
              <w:t>分</w:t>
            </w:r>
          </w:p>
        </w:tc>
      </w:tr>
      <w:tr w14:paraId="79DF5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30" w:type="dxa"/>
            <w:noWrap w:val="0"/>
            <w:vAlign w:val="center"/>
          </w:tcPr>
          <w:p w14:paraId="2F3C2689">
            <w:pPr>
              <w:adjustRightInd w:val="0"/>
              <w:ind w:right="-105" w:rightChars="-50"/>
              <w:jc w:val="center"/>
              <w:textAlignment w:val="baseline"/>
              <w:rPr>
                <w:rFonts w:ascii="宋体" w:hAnsi="宋体"/>
                <w:bCs/>
                <w:kern w:val="0"/>
              </w:rPr>
            </w:pPr>
            <w:r>
              <w:rPr>
                <w:rFonts w:hint="eastAsia" w:ascii="宋体" w:hAnsi="宋体"/>
                <w:bCs/>
                <w:kern w:val="0"/>
              </w:rPr>
              <w:t>2.2</w:t>
            </w:r>
          </w:p>
        </w:tc>
        <w:tc>
          <w:tcPr>
            <w:tcW w:w="1268" w:type="dxa"/>
            <w:noWrap w:val="0"/>
            <w:vAlign w:val="center"/>
          </w:tcPr>
          <w:p w14:paraId="363AA97C">
            <w:pPr>
              <w:adjustRightInd w:val="0"/>
              <w:jc w:val="center"/>
              <w:textAlignment w:val="baseline"/>
            </w:pPr>
            <w:r>
              <w:rPr>
                <w:rFonts w:hint="eastAsia"/>
              </w:rPr>
              <w:t>技术措施方案分</w:t>
            </w:r>
          </w:p>
        </w:tc>
        <w:tc>
          <w:tcPr>
            <w:tcW w:w="7371" w:type="dxa"/>
            <w:noWrap w:val="0"/>
            <w:vAlign w:val="center"/>
          </w:tcPr>
          <w:p w14:paraId="01A8A63E">
            <w:pPr>
              <w:spacing w:line="400" w:lineRule="exact"/>
              <w:rPr>
                <w:rFonts w:ascii="宋体" w:hAnsi="宋体" w:cs="宋体"/>
                <w:bCs/>
                <w:kern w:val="0"/>
              </w:rPr>
            </w:pPr>
            <w:r>
              <w:rPr>
                <w:rFonts w:hint="eastAsia" w:ascii="宋体" w:hAnsi="宋体" w:cs="宋体"/>
                <w:b/>
                <w:kern w:val="0"/>
              </w:rPr>
              <w:t>一档（</w:t>
            </w:r>
            <w:r>
              <w:rPr>
                <w:rFonts w:hint="eastAsia" w:ascii="宋体" w:hAnsi="宋体" w:cs="宋体"/>
                <w:b/>
                <w:kern w:val="0"/>
                <w:lang w:val="en-US" w:eastAsia="zh-CN"/>
              </w:rPr>
              <w:t>10</w:t>
            </w:r>
            <w:r>
              <w:rPr>
                <w:rFonts w:hint="eastAsia" w:ascii="宋体" w:hAnsi="宋体" w:cs="宋体"/>
                <w:b/>
                <w:kern w:val="0"/>
              </w:rPr>
              <w:t>分）</w:t>
            </w:r>
            <w:r>
              <w:rPr>
                <w:rFonts w:hint="eastAsia" w:ascii="宋体" w:hAnsi="宋体" w:cs="宋体"/>
                <w:bCs/>
                <w:kern w:val="0"/>
              </w:rPr>
              <w:t>：工期计划、服务人员配备不合理，未能如期完成本项目任务，服务承诺不可行</w:t>
            </w:r>
            <w:r>
              <w:rPr>
                <w:rFonts w:hint="eastAsia" w:ascii="宋体" w:hAnsi="宋体" w:cs="宋体"/>
                <w:bCs/>
                <w:kern w:val="0"/>
                <w:lang w:eastAsia="zh-CN"/>
              </w:rPr>
              <w:t>、</w:t>
            </w:r>
            <w:r>
              <w:rPr>
                <w:rFonts w:hint="eastAsia" w:ascii="宋体" w:hAnsi="宋体" w:cs="宋体"/>
                <w:bCs/>
                <w:kern w:val="0"/>
                <w:lang w:val="en-US" w:eastAsia="zh-CN"/>
              </w:rPr>
              <w:t>不能满足采购要求</w:t>
            </w:r>
            <w:r>
              <w:rPr>
                <w:rFonts w:hint="eastAsia" w:ascii="宋体" w:hAnsi="宋体" w:cs="宋体"/>
                <w:bCs/>
                <w:kern w:val="0"/>
              </w:rPr>
              <w:t>。</w:t>
            </w:r>
          </w:p>
          <w:p w14:paraId="797C9E91">
            <w:pPr>
              <w:spacing w:line="400" w:lineRule="exact"/>
              <w:rPr>
                <w:rFonts w:ascii="宋体" w:hAnsi="宋体" w:cs="宋体"/>
                <w:bCs/>
                <w:kern w:val="0"/>
              </w:rPr>
            </w:pPr>
            <w:r>
              <w:rPr>
                <w:rFonts w:hint="eastAsia" w:ascii="宋体" w:hAnsi="宋体" w:cs="宋体"/>
                <w:b/>
                <w:kern w:val="0"/>
              </w:rPr>
              <w:t>二档（</w:t>
            </w:r>
            <w:r>
              <w:rPr>
                <w:rFonts w:hint="eastAsia" w:ascii="宋体" w:hAnsi="宋体" w:cs="宋体"/>
                <w:b/>
                <w:kern w:val="0"/>
                <w:lang w:val="en-US" w:eastAsia="zh-CN"/>
              </w:rPr>
              <w:t>15</w:t>
            </w:r>
            <w:r>
              <w:rPr>
                <w:rFonts w:hint="eastAsia" w:ascii="宋体" w:hAnsi="宋体" w:cs="宋体"/>
                <w:b/>
                <w:kern w:val="0"/>
              </w:rPr>
              <w:t>分）</w:t>
            </w:r>
            <w:r>
              <w:rPr>
                <w:rFonts w:hint="eastAsia" w:ascii="宋体" w:hAnsi="宋体" w:cs="宋体"/>
                <w:bCs/>
                <w:kern w:val="0"/>
              </w:rPr>
              <w:t>：工期计划、服务人员配备满足采购文件要求，能如期完成本项目任务，服务承诺较可行，质量控制措施描述</w:t>
            </w:r>
            <w:r>
              <w:rPr>
                <w:rFonts w:hint="eastAsia" w:ascii="宋体" w:hAnsi="宋体" w:cs="宋体"/>
                <w:bCs/>
                <w:kern w:val="0"/>
                <w:lang w:val="en-US" w:eastAsia="zh-CN"/>
              </w:rPr>
              <w:t>与采购需求相关</w:t>
            </w:r>
            <w:r>
              <w:rPr>
                <w:rFonts w:hint="eastAsia" w:ascii="宋体" w:hAnsi="宋体" w:cs="宋体"/>
                <w:bCs/>
                <w:kern w:val="0"/>
              </w:rPr>
              <w:t>。</w:t>
            </w:r>
          </w:p>
          <w:p w14:paraId="1661CEB0">
            <w:pPr>
              <w:spacing w:line="400" w:lineRule="exact"/>
              <w:rPr>
                <w:rFonts w:ascii="宋体" w:hAnsi="宋体" w:cs="宋体"/>
                <w:bCs/>
                <w:kern w:val="0"/>
              </w:rPr>
            </w:pPr>
            <w:r>
              <w:rPr>
                <w:rFonts w:hint="eastAsia" w:ascii="宋体" w:hAnsi="宋体" w:cs="宋体"/>
                <w:b/>
                <w:kern w:val="0"/>
              </w:rPr>
              <w:t>三档（</w:t>
            </w:r>
            <w:r>
              <w:rPr>
                <w:rFonts w:hint="eastAsia" w:ascii="宋体" w:hAnsi="宋体" w:cs="宋体"/>
                <w:b/>
                <w:kern w:val="0"/>
                <w:lang w:val="en-US" w:eastAsia="zh-CN"/>
              </w:rPr>
              <w:t>20</w:t>
            </w:r>
            <w:r>
              <w:rPr>
                <w:rFonts w:hint="eastAsia" w:ascii="宋体" w:hAnsi="宋体" w:cs="宋体"/>
                <w:b/>
                <w:kern w:val="0"/>
              </w:rPr>
              <w:t>分）</w:t>
            </w:r>
            <w:r>
              <w:rPr>
                <w:rFonts w:hint="eastAsia" w:ascii="宋体" w:hAnsi="宋体" w:cs="宋体"/>
                <w:bCs/>
                <w:kern w:val="0"/>
              </w:rPr>
              <w:t>：工期计划、服务人员配备合理，能如期完成项目任务，服务承诺全面，质量控制措施、响应时间等有详细描述，承诺内容可行。</w:t>
            </w:r>
          </w:p>
          <w:p w14:paraId="2D23EBB2">
            <w:pPr>
              <w:spacing w:line="400" w:lineRule="exact"/>
            </w:pPr>
            <w:r>
              <w:rPr>
                <w:rFonts w:hint="eastAsia" w:ascii="宋体" w:hAnsi="宋体" w:cs="宋体"/>
                <w:b/>
                <w:kern w:val="0"/>
              </w:rPr>
              <w:t>四档（</w:t>
            </w:r>
            <w:r>
              <w:rPr>
                <w:rFonts w:hint="eastAsia" w:ascii="宋体" w:hAnsi="宋体" w:cs="宋体"/>
                <w:b/>
                <w:kern w:val="0"/>
                <w:lang w:val="en-US" w:eastAsia="zh-CN"/>
              </w:rPr>
              <w:t>25</w:t>
            </w:r>
            <w:r>
              <w:rPr>
                <w:rFonts w:hint="eastAsia" w:ascii="宋体" w:hAnsi="宋体" w:cs="宋体"/>
                <w:b/>
                <w:kern w:val="0"/>
              </w:rPr>
              <w:t>分）</w:t>
            </w:r>
            <w:r>
              <w:rPr>
                <w:rFonts w:hint="eastAsia" w:ascii="宋体" w:hAnsi="宋体" w:cs="宋体"/>
                <w:bCs/>
                <w:kern w:val="0"/>
              </w:rPr>
              <w:t>：工期计划、服务人员配备合理性、科学，能如期或提前完成项目任务，服务流程合理清晰，完成时间、应急预案、服务承诺全面、有针对性，质量控制措施得力，具有相应技术系统支撑整体服务流程实施，承诺内容</w:t>
            </w:r>
            <w:r>
              <w:rPr>
                <w:rFonts w:hint="eastAsia" w:ascii="宋体" w:hAnsi="宋体" w:cs="宋体"/>
                <w:bCs/>
                <w:kern w:val="0"/>
                <w:lang w:val="en-US" w:eastAsia="zh-CN"/>
              </w:rPr>
              <w:t>具体、有针对性</w:t>
            </w:r>
            <w:r>
              <w:rPr>
                <w:rFonts w:hint="eastAsia" w:ascii="宋体" w:hAnsi="宋体" w:cs="宋体"/>
                <w:bCs/>
                <w:kern w:val="0"/>
              </w:rPr>
              <w:t>。</w:t>
            </w:r>
          </w:p>
        </w:tc>
        <w:tc>
          <w:tcPr>
            <w:tcW w:w="799" w:type="dxa"/>
            <w:noWrap w:val="0"/>
            <w:vAlign w:val="center"/>
          </w:tcPr>
          <w:p w14:paraId="56FD2B58">
            <w:pPr>
              <w:jc w:val="center"/>
              <w:rPr>
                <w:rFonts w:ascii="宋体" w:hAnsi="宋体" w:cs="Tahoma"/>
                <w:kern w:val="0"/>
              </w:rPr>
            </w:pPr>
            <w:r>
              <w:rPr>
                <w:rFonts w:hint="eastAsia" w:ascii="宋体" w:hAnsi="宋体" w:cs="Tahoma"/>
                <w:kern w:val="0"/>
                <w:lang w:val="en-US" w:eastAsia="zh-CN"/>
              </w:rPr>
              <w:t>25</w:t>
            </w:r>
            <w:r>
              <w:rPr>
                <w:rFonts w:hint="eastAsia" w:ascii="宋体" w:hAnsi="宋体" w:cs="Tahoma"/>
                <w:kern w:val="0"/>
              </w:rPr>
              <w:t>分</w:t>
            </w:r>
          </w:p>
        </w:tc>
      </w:tr>
      <w:tr w14:paraId="2B32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0" w:type="dxa"/>
            <w:noWrap w:val="0"/>
            <w:vAlign w:val="center"/>
          </w:tcPr>
          <w:p w14:paraId="77C677EB">
            <w:pPr>
              <w:jc w:val="center"/>
              <w:rPr>
                <w:rFonts w:hint="eastAsia" w:ascii="宋体" w:hAnsi="宋体" w:eastAsia="宋体" w:cs="Tahoma"/>
                <w:kern w:val="0"/>
                <w:lang w:val="en-US" w:eastAsia="zh-CN"/>
              </w:rPr>
            </w:pPr>
            <w:r>
              <w:rPr>
                <w:rFonts w:hint="eastAsia" w:ascii="宋体" w:hAnsi="宋体" w:cs="Tahoma"/>
                <w:kern w:val="0"/>
                <w:lang w:val="en-US" w:eastAsia="zh-CN"/>
              </w:rPr>
              <w:t>3</w:t>
            </w:r>
          </w:p>
        </w:tc>
        <w:tc>
          <w:tcPr>
            <w:tcW w:w="1268" w:type="dxa"/>
            <w:noWrap w:val="0"/>
            <w:vAlign w:val="center"/>
          </w:tcPr>
          <w:p w14:paraId="21E8039A">
            <w:pPr>
              <w:jc w:val="center"/>
              <w:rPr>
                <w:rFonts w:hint="eastAsia" w:ascii="宋体" w:hAnsi="宋体" w:cs="Courier New"/>
                <w:bCs/>
              </w:rPr>
            </w:pPr>
            <w:r>
              <w:rPr>
                <w:rFonts w:hint="eastAsia"/>
              </w:rPr>
              <w:t>劳动争议处理流程及措施分</w:t>
            </w:r>
          </w:p>
        </w:tc>
        <w:tc>
          <w:tcPr>
            <w:tcW w:w="7371" w:type="dxa"/>
            <w:noWrap w:val="0"/>
            <w:vAlign w:val="center"/>
          </w:tcPr>
          <w:p w14:paraId="43941A97">
            <w:pPr>
              <w:spacing w:line="400" w:lineRule="exact"/>
              <w:rPr>
                <w:rFonts w:hint="eastAsia" w:ascii="Times New Roman" w:hAnsi="Times New Roman" w:eastAsia="宋体" w:cs="Times New Roman"/>
                <w:b w:val="0"/>
                <w:kern w:val="2"/>
                <w:sz w:val="21"/>
              </w:rPr>
            </w:pPr>
            <w:r>
              <w:rPr>
                <w:rFonts w:hint="eastAsia" w:ascii="Times New Roman" w:hAnsi="Times New Roman" w:eastAsia="宋体" w:cs="Times New Roman"/>
                <w:b w:val="0"/>
                <w:kern w:val="2"/>
                <w:sz w:val="21"/>
              </w:rPr>
              <w:t>劳动争议处理流程及措施、方案（其中应包括劳动争议、劳资纠纷等突发事件）</w:t>
            </w:r>
          </w:p>
          <w:p w14:paraId="22212AED">
            <w:pPr>
              <w:spacing w:line="400" w:lineRule="exact"/>
              <w:rPr>
                <w:rFonts w:hint="eastAsia" w:ascii="Times New Roman" w:hAnsi="Times New Roman" w:eastAsia="宋体" w:cs="Times New Roman"/>
                <w:b w:val="0"/>
                <w:kern w:val="2"/>
                <w:sz w:val="21"/>
              </w:rPr>
            </w:pPr>
            <w:r>
              <w:rPr>
                <w:rFonts w:hint="eastAsia" w:ascii="宋体" w:hAnsi="宋体" w:eastAsia="宋体" w:cs="宋体"/>
                <w:b/>
                <w:kern w:val="0"/>
                <w:sz w:val="21"/>
              </w:rPr>
              <w:t>一档（</w:t>
            </w:r>
            <w:r>
              <w:rPr>
                <w:rFonts w:hint="eastAsia" w:ascii="宋体" w:hAnsi="宋体" w:eastAsia="宋体" w:cs="宋体"/>
                <w:b/>
                <w:kern w:val="0"/>
                <w:sz w:val="21"/>
                <w:lang w:val="en-US" w:eastAsia="zh-CN"/>
              </w:rPr>
              <w:t>7</w:t>
            </w:r>
            <w:r>
              <w:rPr>
                <w:rFonts w:hint="eastAsia" w:ascii="宋体" w:hAnsi="宋体" w:eastAsia="宋体" w:cs="宋体"/>
                <w:b/>
                <w:kern w:val="0"/>
                <w:sz w:val="21"/>
              </w:rPr>
              <w:t>分）：</w:t>
            </w:r>
            <w:r>
              <w:rPr>
                <w:rFonts w:hint="eastAsia" w:ascii="Times New Roman" w:hAnsi="Times New Roman" w:eastAsia="宋体" w:cs="Times New Roman"/>
                <w:b w:val="0"/>
                <w:kern w:val="2"/>
                <w:sz w:val="21"/>
              </w:rPr>
              <w:t>仅提供了劳动争议处理方法，描述简单</w:t>
            </w:r>
            <w:r>
              <w:rPr>
                <w:rFonts w:hint="eastAsia" w:ascii="Times New Roman" w:hAnsi="Times New Roman" w:eastAsia="宋体" w:cs="Times New Roman"/>
                <w:b w:val="0"/>
                <w:kern w:val="2"/>
                <w:sz w:val="21"/>
                <w:lang w:eastAsia="zh-CN"/>
              </w:rPr>
              <w:t>，</w:t>
            </w:r>
            <w:r>
              <w:rPr>
                <w:rFonts w:hint="eastAsia" w:ascii="Times New Roman" w:hAnsi="Times New Roman" w:eastAsia="宋体" w:cs="Times New Roman"/>
                <w:b w:val="0"/>
                <w:kern w:val="2"/>
                <w:sz w:val="21"/>
                <w:lang w:val="en-US" w:eastAsia="zh-CN"/>
              </w:rPr>
              <w:t>内容陈述与项目不符</w:t>
            </w:r>
            <w:r>
              <w:rPr>
                <w:rFonts w:hint="eastAsia" w:ascii="Times New Roman" w:hAnsi="Times New Roman" w:eastAsia="宋体" w:cs="Times New Roman"/>
                <w:b w:val="0"/>
                <w:kern w:val="2"/>
                <w:sz w:val="21"/>
              </w:rPr>
              <w:t>。</w:t>
            </w:r>
          </w:p>
          <w:p w14:paraId="2CF33923">
            <w:pPr>
              <w:spacing w:line="400" w:lineRule="exact"/>
              <w:rPr>
                <w:rFonts w:hint="eastAsia" w:ascii="宋体" w:hAnsi="宋体" w:eastAsia="宋体" w:cs="宋体"/>
                <w:bCs/>
                <w:kern w:val="0"/>
                <w:sz w:val="21"/>
                <w:szCs w:val="24"/>
              </w:rPr>
            </w:pPr>
            <w:r>
              <w:rPr>
                <w:rFonts w:hint="eastAsia" w:ascii="宋体" w:hAnsi="宋体" w:eastAsia="宋体" w:cs="宋体"/>
                <w:b/>
                <w:kern w:val="0"/>
                <w:sz w:val="21"/>
                <w:szCs w:val="24"/>
              </w:rPr>
              <w:t>二档（</w:t>
            </w:r>
            <w:r>
              <w:rPr>
                <w:rFonts w:hint="eastAsia" w:ascii="宋体" w:hAnsi="宋体" w:eastAsia="宋体" w:cs="宋体"/>
                <w:b/>
                <w:kern w:val="0"/>
                <w:sz w:val="21"/>
                <w:szCs w:val="24"/>
                <w:lang w:val="en-US" w:eastAsia="zh-CN"/>
              </w:rPr>
              <w:t>11</w:t>
            </w:r>
            <w:r>
              <w:rPr>
                <w:rFonts w:hint="eastAsia" w:ascii="宋体" w:hAnsi="宋体" w:eastAsia="宋体" w:cs="宋体"/>
                <w:b/>
                <w:kern w:val="0"/>
                <w:sz w:val="21"/>
                <w:szCs w:val="24"/>
              </w:rPr>
              <w:t>分）：</w:t>
            </w:r>
            <w:r>
              <w:rPr>
                <w:rFonts w:hint="eastAsia" w:ascii="宋体" w:hAnsi="宋体" w:eastAsia="宋体" w:cs="宋体"/>
                <w:bCs/>
                <w:kern w:val="0"/>
                <w:sz w:val="21"/>
                <w:szCs w:val="24"/>
              </w:rPr>
              <w:t>劳动争议处理方案内容详细，有风险防范措施，符合</w:t>
            </w:r>
            <w:r>
              <w:rPr>
                <w:rFonts w:hint="eastAsia" w:ascii="宋体" w:hAnsi="宋体" w:eastAsia="宋体" w:cs="宋体"/>
                <w:bCs/>
                <w:kern w:val="0"/>
                <w:sz w:val="21"/>
                <w:szCs w:val="24"/>
                <w:lang w:val="en-US" w:eastAsia="zh-CN"/>
              </w:rPr>
              <w:t>采购</w:t>
            </w:r>
            <w:r>
              <w:rPr>
                <w:rFonts w:hint="eastAsia" w:ascii="宋体" w:hAnsi="宋体" w:eastAsia="宋体" w:cs="宋体"/>
                <w:bCs/>
                <w:kern w:val="0"/>
                <w:sz w:val="21"/>
                <w:szCs w:val="24"/>
              </w:rPr>
              <w:t>文件要求。</w:t>
            </w:r>
          </w:p>
          <w:p w14:paraId="0D3E3479">
            <w:pPr>
              <w:spacing w:line="400" w:lineRule="exact"/>
              <w:rPr>
                <w:rFonts w:hint="eastAsia"/>
                <w:kern w:val="2"/>
                <w:sz w:val="21"/>
                <w:szCs w:val="24"/>
              </w:rPr>
            </w:pPr>
            <w:r>
              <w:rPr>
                <w:rFonts w:hint="eastAsia" w:ascii="宋体" w:hAnsi="宋体" w:eastAsia="宋体" w:cs="宋体"/>
                <w:b/>
                <w:bCs w:val="0"/>
                <w:kern w:val="0"/>
                <w:sz w:val="21"/>
                <w:szCs w:val="24"/>
              </w:rPr>
              <w:t>三档（</w:t>
            </w:r>
            <w:r>
              <w:rPr>
                <w:rFonts w:hint="eastAsia" w:ascii="宋体" w:hAnsi="宋体" w:eastAsia="宋体" w:cs="宋体"/>
                <w:b/>
                <w:bCs w:val="0"/>
                <w:kern w:val="0"/>
                <w:sz w:val="21"/>
                <w:szCs w:val="24"/>
                <w:lang w:val="en-US" w:eastAsia="zh-CN"/>
              </w:rPr>
              <w:t>15</w:t>
            </w:r>
            <w:r>
              <w:rPr>
                <w:rFonts w:hint="eastAsia" w:ascii="宋体" w:hAnsi="宋体" w:eastAsia="宋体" w:cs="宋体"/>
                <w:b/>
                <w:bCs w:val="0"/>
                <w:kern w:val="0"/>
                <w:sz w:val="21"/>
                <w:szCs w:val="24"/>
              </w:rPr>
              <w:t>分）：</w:t>
            </w:r>
            <w:r>
              <w:rPr>
                <w:rFonts w:hint="eastAsia" w:ascii="宋体" w:hAnsi="宋体" w:eastAsia="宋体" w:cs="宋体"/>
                <w:bCs/>
                <w:kern w:val="0"/>
                <w:sz w:val="21"/>
                <w:szCs w:val="24"/>
              </w:rPr>
              <w:t>劳动争议处理设有专业机制或专业部门，方法高效、方案内容完善；风险防范措施科学合理且设有应急预案；对用工单位以及服务人员有较好的增值服务，完全满足</w:t>
            </w:r>
            <w:r>
              <w:rPr>
                <w:rFonts w:hint="eastAsia" w:ascii="宋体" w:hAnsi="宋体" w:eastAsia="宋体" w:cs="宋体"/>
                <w:bCs/>
                <w:kern w:val="0"/>
                <w:sz w:val="21"/>
                <w:szCs w:val="24"/>
                <w:lang w:val="en-US" w:eastAsia="zh-CN"/>
              </w:rPr>
              <w:t>采购</w:t>
            </w:r>
            <w:r>
              <w:rPr>
                <w:rFonts w:hint="eastAsia" w:ascii="宋体" w:hAnsi="宋体" w:eastAsia="宋体" w:cs="宋体"/>
                <w:bCs/>
                <w:kern w:val="0"/>
                <w:sz w:val="21"/>
                <w:szCs w:val="24"/>
              </w:rPr>
              <w:t>文件要求。</w:t>
            </w:r>
          </w:p>
        </w:tc>
        <w:tc>
          <w:tcPr>
            <w:tcW w:w="799" w:type="dxa"/>
            <w:noWrap w:val="0"/>
            <w:vAlign w:val="center"/>
          </w:tcPr>
          <w:p w14:paraId="5D227BDF">
            <w:pPr>
              <w:jc w:val="center"/>
              <w:rPr>
                <w:rFonts w:hint="default" w:ascii="宋体" w:hAnsi="宋体" w:eastAsia="宋体" w:cs="Tahoma"/>
                <w:kern w:val="0"/>
                <w:lang w:val="en-US" w:eastAsia="zh-CN"/>
              </w:rPr>
            </w:pPr>
            <w:r>
              <w:rPr>
                <w:rFonts w:hint="eastAsia" w:ascii="宋体" w:hAnsi="宋体" w:cs="Tahoma"/>
                <w:kern w:val="0"/>
                <w:lang w:val="en-US" w:eastAsia="zh-CN"/>
              </w:rPr>
              <w:t>15分</w:t>
            </w:r>
          </w:p>
        </w:tc>
      </w:tr>
      <w:tr w14:paraId="7D73C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0" w:type="dxa"/>
            <w:noWrap w:val="0"/>
            <w:vAlign w:val="center"/>
          </w:tcPr>
          <w:p w14:paraId="536E7F43">
            <w:pPr>
              <w:jc w:val="center"/>
              <w:rPr>
                <w:rFonts w:hint="eastAsia" w:ascii="宋体" w:hAnsi="宋体" w:eastAsia="宋体" w:cs="Tahoma"/>
                <w:kern w:val="0"/>
                <w:lang w:eastAsia="zh-CN"/>
              </w:rPr>
            </w:pPr>
            <w:r>
              <w:rPr>
                <w:rFonts w:hint="eastAsia" w:ascii="宋体" w:hAnsi="宋体" w:cs="Tahoma"/>
                <w:kern w:val="0"/>
                <w:lang w:val="en-US" w:eastAsia="zh-CN"/>
              </w:rPr>
              <w:t>4</w:t>
            </w:r>
          </w:p>
        </w:tc>
        <w:tc>
          <w:tcPr>
            <w:tcW w:w="1268" w:type="dxa"/>
            <w:noWrap w:val="0"/>
            <w:vAlign w:val="center"/>
          </w:tcPr>
          <w:p w14:paraId="5E0D7B7B">
            <w:pPr>
              <w:rPr>
                <w:rFonts w:ascii="宋体" w:hAnsi="宋体" w:cs="Courier New"/>
                <w:bCs/>
              </w:rPr>
            </w:pPr>
            <w:r>
              <w:rPr>
                <w:rFonts w:hint="eastAsia" w:ascii="宋体" w:hAnsi="宋体" w:cs="Courier New"/>
                <w:bCs/>
              </w:rPr>
              <w:t>拟投入项目人员情况分</w:t>
            </w:r>
          </w:p>
        </w:tc>
        <w:tc>
          <w:tcPr>
            <w:tcW w:w="7371" w:type="dxa"/>
            <w:noWrap w:val="0"/>
            <w:vAlign w:val="center"/>
          </w:tcPr>
          <w:p w14:paraId="12BFFCCB">
            <w:pPr>
              <w:spacing w:line="400" w:lineRule="exact"/>
              <w:rPr>
                <w:rFonts w:hint="eastAsia" w:ascii="宋体" w:hAnsi="宋体" w:cs="宋体"/>
                <w:b w:val="0"/>
                <w:bCs w:val="0"/>
                <w:kern w:val="0"/>
              </w:rPr>
            </w:pPr>
            <w:r>
              <w:rPr>
                <w:rFonts w:hint="eastAsia" w:ascii="宋体" w:hAnsi="宋体" w:cs="宋体"/>
                <w:b w:val="0"/>
                <w:bCs w:val="0"/>
                <w:kern w:val="0"/>
              </w:rPr>
              <w:t>（1）供应商</w:t>
            </w:r>
            <w:r>
              <w:rPr>
                <w:rFonts w:hint="eastAsia" w:ascii="宋体" w:hAnsi="宋体" w:cs="宋体"/>
                <w:b w:val="0"/>
                <w:bCs w:val="0"/>
                <w:kern w:val="0"/>
                <w:lang w:val="en-US" w:eastAsia="zh-CN"/>
              </w:rPr>
              <w:t>拟投入</w:t>
            </w:r>
            <w:r>
              <w:rPr>
                <w:rFonts w:hint="eastAsia" w:ascii="宋体" w:hAnsi="宋体" w:cs="宋体"/>
                <w:b w:val="0"/>
                <w:bCs w:val="0"/>
                <w:kern w:val="0"/>
              </w:rPr>
              <w:t>项目负责人</w:t>
            </w:r>
            <w:r>
              <w:rPr>
                <w:rFonts w:hint="eastAsia" w:ascii="宋体" w:hAnsi="宋体" w:cs="宋体"/>
                <w:b w:val="0"/>
                <w:bCs w:val="0"/>
                <w:kern w:val="0"/>
                <w:lang w:eastAsia="zh-CN"/>
              </w:rPr>
              <w:t>：</w:t>
            </w:r>
            <w:r>
              <w:rPr>
                <w:rFonts w:hint="eastAsia" w:ascii="宋体" w:hAnsi="宋体" w:cs="宋体"/>
                <w:kern w:val="0"/>
                <w:lang w:val="en-US" w:eastAsia="zh-CN"/>
              </w:rPr>
              <w:t>具有大学本科及以上学历，具备高级经济师（人力资源专业）的</w:t>
            </w:r>
            <w:r>
              <w:rPr>
                <w:rFonts w:hint="eastAsia" w:ascii="宋体" w:hAnsi="宋体" w:cs="宋体"/>
                <w:kern w:val="0"/>
              </w:rPr>
              <w:t>得</w:t>
            </w:r>
            <w:r>
              <w:rPr>
                <w:rFonts w:hint="eastAsia" w:ascii="宋体" w:hAnsi="宋体" w:cs="宋体"/>
                <w:kern w:val="0"/>
                <w:lang w:val="en-US" w:eastAsia="zh-CN"/>
              </w:rPr>
              <w:t>2</w:t>
            </w:r>
            <w:r>
              <w:rPr>
                <w:rFonts w:hint="eastAsia" w:ascii="宋体" w:hAnsi="宋体" w:cs="宋体"/>
                <w:kern w:val="0"/>
              </w:rPr>
              <w:t>分，满分</w:t>
            </w:r>
            <w:r>
              <w:rPr>
                <w:rFonts w:hint="eastAsia" w:ascii="宋体" w:hAnsi="宋体" w:cs="宋体"/>
                <w:kern w:val="0"/>
                <w:lang w:val="en-US" w:eastAsia="zh-CN"/>
              </w:rPr>
              <w:t>2</w:t>
            </w:r>
            <w:r>
              <w:rPr>
                <w:rFonts w:hint="eastAsia" w:ascii="宋体" w:hAnsi="宋体" w:cs="宋体"/>
                <w:kern w:val="0"/>
              </w:rPr>
              <w:t>分。</w:t>
            </w:r>
            <w:r>
              <w:rPr>
                <w:rFonts w:hint="eastAsia" w:ascii="宋体" w:hAnsi="宋体" w:cs="宋体"/>
                <w:b w:val="0"/>
                <w:bCs w:val="0"/>
                <w:kern w:val="0"/>
              </w:rPr>
              <w:t>（注：须提供</w:t>
            </w:r>
            <w:r>
              <w:rPr>
                <w:rFonts w:hint="eastAsia" w:ascii="宋体" w:hAnsi="宋体" w:cs="宋体"/>
                <w:b w:val="0"/>
                <w:bCs w:val="0"/>
                <w:kern w:val="0"/>
                <w:lang w:val="en-US" w:eastAsia="zh-CN"/>
              </w:rPr>
              <w:t>其</w:t>
            </w:r>
            <w:r>
              <w:rPr>
                <w:rFonts w:hint="eastAsia" w:ascii="宋体" w:hAnsi="宋体" w:cs="宋体"/>
                <w:b w:val="0"/>
                <w:bCs w:val="0"/>
                <w:kern w:val="0"/>
              </w:rPr>
              <w:t>人员</w:t>
            </w:r>
            <w:r>
              <w:rPr>
                <w:rFonts w:hint="eastAsia" w:ascii="宋体" w:hAnsi="宋体" w:cs="宋体"/>
                <w:b w:val="0"/>
                <w:bCs w:val="0"/>
                <w:kern w:val="0"/>
                <w:lang w:val="en-US" w:eastAsia="zh-CN"/>
              </w:rPr>
              <w:t>相关证书及近半年内任意一个月供应商为其缴纳社保证明材料复印件</w:t>
            </w:r>
            <w:r>
              <w:rPr>
                <w:rFonts w:hint="eastAsia" w:ascii="宋体" w:hAnsi="宋体" w:cs="宋体"/>
                <w:b w:val="0"/>
                <w:bCs w:val="0"/>
                <w:kern w:val="0"/>
              </w:rPr>
              <w:t>并加盖供应商</w:t>
            </w:r>
            <w:r>
              <w:rPr>
                <w:rFonts w:hint="eastAsia" w:ascii="宋体" w:hAnsi="宋体" w:cs="宋体"/>
                <w:b w:val="0"/>
                <w:bCs w:val="0"/>
                <w:kern w:val="0"/>
                <w:lang w:val="en-US" w:eastAsia="zh-CN"/>
              </w:rPr>
              <w:t>公章</w:t>
            </w:r>
            <w:r>
              <w:rPr>
                <w:rFonts w:hint="eastAsia" w:ascii="宋体" w:hAnsi="宋体" w:cs="宋体"/>
                <w:b w:val="0"/>
                <w:bCs w:val="0"/>
                <w:kern w:val="0"/>
              </w:rPr>
              <w:t>，</w:t>
            </w:r>
            <w:r>
              <w:rPr>
                <w:rFonts w:hint="eastAsia" w:ascii="宋体" w:hAnsi="宋体" w:cs="宋体"/>
                <w:b w:val="0"/>
                <w:bCs w:val="0"/>
                <w:kern w:val="0"/>
                <w:lang w:val="en-US" w:eastAsia="zh-CN"/>
              </w:rPr>
              <w:t>否则</w:t>
            </w:r>
            <w:r>
              <w:rPr>
                <w:rFonts w:hint="eastAsia" w:ascii="宋体" w:hAnsi="宋体" w:cs="宋体"/>
                <w:b w:val="0"/>
                <w:bCs w:val="0"/>
                <w:kern w:val="0"/>
              </w:rPr>
              <w:t>不得分</w:t>
            </w:r>
            <w:r>
              <w:rPr>
                <w:rFonts w:hint="eastAsia" w:ascii="宋体" w:hAnsi="宋体" w:cs="宋体"/>
                <w:b w:val="0"/>
                <w:bCs w:val="0"/>
                <w:kern w:val="0"/>
                <w:lang w:eastAsia="zh-CN"/>
              </w:rPr>
              <w:t>。</w:t>
            </w:r>
            <w:r>
              <w:rPr>
                <w:rFonts w:hint="eastAsia" w:ascii="宋体" w:hAnsi="宋体" w:cs="宋体"/>
                <w:b w:val="0"/>
                <w:bCs w:val="0"/>
                <w:kern w:val="0"/>
              </w:rPr>
              <w:t>）</w:t>
            </w:r>
          </w:p>
          <w:p w14:paraId="24F4506C">
            <w:pPr>
              <w:spacing w:line="400" w:lineRule="exact"/>
              <w:rPr>
                <w:b w:val="0"/>
                <w:bCs w:val="0"/>
              </w:rPr>
            </w:pPr>
            <w:r>
              <w:rPr>
                <w:rFonts w:hint="eastAsia" w:ascii="宋体" w:hAnsi="宋体" w:cs="宋体"/>
                <w:b w:val="0"/>
                <w:bCs w:val="0"/>
                <w:kern w:val="0"/>
              </w:rPr>
              <w:t>（2）供应商</w:t>
            </w:r>
            <w:r>
              <w:rPr>
                <w:rFonts w:hint="eastAsia" w:ascii="宋体" w:hAnsi="宋体" w:cs="宋体"/>
                <w:b w:val="0"/>
                <w:bCs w:val="0"/>
                <w:kern w:val="0"/>
                <w:lang w:val="en-US" w:eastAsia="zh-CN"/>
              </w:rPr>
              <w:t>拟投入</w:t>
            </w:r>
            <w:r>
              <w:rPr>
                <w:rFonts w:hint="eastAsia" w:ascii="宋体" w:hAnsi="宋体" w:cs="宋体"/>
                <w:b w:val="0"/>
                <w:bCs w:val="0"/>
                <w:kern w:val="0"/>
              </w:rPr>
              <w:t>项目成员：持有中级及以上经济师（人力资源专业）</w:t>
            </w:r>
            <w:r>
              <w:rPr>
                <w:rFonts w:hint="eastAsia" w:ascii="宋体" w:hAnsi="宋体" w:cs="宋体"/>
                <w:b w:val="0"/>
                <w:bCs w:val="0"/>
                <w:kern w:val="0"/>
                <w:lang w:eastAsia="zh-CN"/>
              </w:rPr>
              <w:t>的</w:t>
            </w:r>
            <w:r>
              <w:rPr>
                <w:rFonts w:hint="eastAsia" w:ascii="宋体" w:hAnsi="宋体" w:cs="宋体"/>
                <w:b w:val="0"/>
                <w:bCs w:val="0"/>
                <w:kern w:val="0"/>
              </w:rPr>
              <w:t>得</w:t>
            </w:r>
            <w:r>
              <w:rPr>
                <w:rFonts w:hint="eastAsia" w:ascii="宋体" w:hAnsi="宋体" w:cs="宋体"/>
                <w:b w:val="0"/>
                <w:bCs w:val="0"/>
                <w:kern w:val="0"/>
                <w:lang w:val="en-US" w:eastAsia="zh-CN"/>
              </w:rPr>
              <w:t>2</w:t>
            </w:r>
            <w:r>
              <w:rPr>
                <w:rFonts w:hint="eastAsia" w:ascii="宋体" w:hAnsi="宋体" w:cs="宋体"/>
                <w:b w:val="0"/>
                <w:bCs w:val="0"/>
                <w:kern w:val="0"/>
              </w:rPr>
              <w:t>分，满分</w:t>
            </w:r>
            <w:r>
              <w:rPr>
                <w:rFonts w:hint="eastAsia" w:ascii="宋体" w:hAnsi="宋体" w:cs="宋体"/>
                <w:b w:val="0"/>
                <w:bCs w:val="0"/>
                <w:kern w:val="0"/>
                <w:lang w:val="en-US" w:eastAsia="zh-CN"/>
              </w:rPr>
              <w:t>8</w:t>
            </w:r>
            <w:r>
              <w:rPr>
                <w:rFonts w:hint="eastAsia" w:ascii="宋体" w:hAnsi="宋体" w:cs="宋体"/>
                <w:b w:val="0"/>
                <w:bCs w:val="0"/>
                <w:kern w:val="0"/>
              </w:rPr>
              <w:t>分。（注：须提供</w:t>
            </w:r>
            <w:r>
              <w:rPr>
                <w:rFonts w:hint="eastAsia" w:ascii="宋体" w:hAnsi="宋体" w:cs="宋体"/>
                <w:b w:val="0"/>
                <w:bCs w:val="0"/>
                <w:kern w:val="0"/>
                <w:lang w:val="en-US" w:eastAsia="zh-CN"/>
              </w:rPr>
              <w:t>其</w:t>
            </w:r>
            <w:r>
              <w:rPr>
                <w:rFonts w:hint="eastAsia" w:ascii="宋体" w:hAnsi="宋体" w:cs="宋体"/>
                <w:b w:val="0"/>
                <w:bCs w:val="0"/>
                <w:kern w:val="0"/>
              </w:rPr>
              <w:t>人员</w:t>
            </w:r>
            <w:r>
              <w:rPr>
                <w:rFonts w:hint="eastAsia" w:ascii="宋体" w:hAnsi="宋体" w:cs="宋体"/>
                <w:b w:val="0"/>
                <w:bCs w:val="0"/>
                <w:kern w:val="0"/>
                <w:lang w:val="en-US" w:eastAsia="zh-CN"/>
              </w:rPr>
              <w:t>相关证书及近半年内任意一个月供应商为其缴纳社保证明材料复印件</w:t>
            </w:r>
            <w:r>
              <w:rPr>
                <w:rFonts w:hint="eastAsia" w:ascii="宋体" w:hAnsi="宋体" w:cs="宋体"/>
                <w:b w:val="0"/>
                <w:bCs w:val="0"/>
                <w:kern w:val="0"/>
              </w:rPr>
              <w:t>并加盖供应商</w:t>
            </w:r>
            <w:r>
              <w:rPr>
                <w:rFonts w:hint="eastAsia" w:ascii="宋体" w:hAnsi="宋体" w:cs="宋体"/>
                <w:b w:val="0"/>
                <w:bCs w:val="0"/>
                <w:kern w:val="0"/>
                <w:lang w:val="en-US" w:eastAsia="zh-CN"/>
              </w:rPr>
              <w:t>公章</w:t>
            </w:r>
            <w:r>
              <w:rPr>
                <w:rFonts w:hint="eastAsia" w:ascii="宋体" w:hAnsi="宋体" w:cs="宋体"/>
                <w:b w:val="0"/>
                <w:bCs w:val="0"/>
                <w:kern w:val="0"/>
              </w:rPr>
              <w:t>，</w:t>
            </w:r>
            <w:r>
              <w:rPr>
                <w:rFonts w:hint="eastAsia" w:ascii="宋体" w:hAnsi="宋体" w:cs="宋体"/>
                <w:b w:val="0"/>
                <w:bCs w:val="0"/>
                <w:kern w:val="0"/>
                <w:lang w:val="en-US" w:eastAsia="zh-CN"/>
              </w:rPr>
              <w:t>否则</w:t>
            </w:r>
            <w:r>
              <w:rPr>
                <w:rFonts w:hint="eastAsia" w:ascii="宋体" w:hAnsi="宋体" w:cs="宋体"/>
                <w:b w:val="0"/>
                <w:bCs w:val="0"/>
                <w:kern w:val="0"/>
              </w:rPr>
              <w:t>不得分</w:t>
            </w:r>
            <w:r>
              <w:rPr>
                <w:rFonts w:hint="eastAsia" w:ascii="宋体" w:hAnsi="宋体" w:cs="宋体"/>
                <w:b w:val="0"/>
                <w:bCs w:val="0"/>
                <w:kern w:val="0"/>
                <w:lang w:eastAsia="zh-CN"/>
              </w:rPr>
              <w:t>。</w:t>
            </w:r>
            <w:r>
              <w:rPr>
                <w:rFonts w:hint="eastAsia" w:ascii="宋体" w:hAnsi="宋体" w:cs="宋体"/>
                <w:b w:val="0"/>
                <w:bCs w:val="0"/>
                <w:kern w:val="0"/>
              </w:rPr>
              <w:t>）</w:t>
            </w:r>
          </w:p>
        </w:tc>
        <w:tc>
          <w:tcPr>
            <w:tcW w:w="799" w:type="dxa"/>
            <w:noWrap w:val="0"/>
            <w:vAlign w:val="center"/>
          </w:tcPr>
          <w:p w14:paraId="32FEF120">
            <w:pPr>
              <w:jc w:val="center"/>
              <w:rPr>
                <w:rFonts w:ascii="宋体" w:hAnsi="宋体" w:cs="Tahoma"/>
                <w:kern w:val="0"/>
              </w:rPr>
            </w:pPr>
            <w:r>
              <w:rPr>
                <w:rFonts w:hint="eastAsia" w:ascii="宋体" w:hAnsi="宋体" w:cs="Tahoma"/>
                <w:kern w:val="0"/>
                <w:lang w:val="en-US" w:eastAsia="zh-CN"/>
              </w:rPr>
              <w:t>10</w:t>
            </w:r>
            <w:r>
              <w:rPr>
                <w:rFonts w:hint="eastAsia" w:ascii="宋体" w:hAnsi="宋体" w:cs="Tahoma"/>
                <w:kern w:val="0"/>
              </w:rPr>
              <w:t>分</w:t>
            </w:r>
          </w:p>
        </w:tc>
      </w:tr>
      <w:tr w14:paraId="1DEFE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30" w:type="dxa"/>
            <w:noWrap w:val="0"/>
            <w:vAlign w:val="center"/>
          </w:tcPr>
          <w:p w14:paraId="1716AF6B">
            <w:pPr>
              <w:jc w:val="center"/>
              <w:rPr>
                <w:rFonts w:hint="eastAsia" w:ascii="宋体" w:hAnsi="宋体" w:eastAsia="宋体" w:cs="Tahoma"/>
                <w:kern w:val="0"/>
                <w:lang w:eastAsia="zh-CN"/>
              </w:rPr>
            </w:pPr>
            <w:r>
              <w:rPr>
                <w:rFonts w:hint="eastAsia" w:ascii="宋体" w:hAnsi="宋体" w:cs="Tahoma"/>
                <w:kern w:val="0"/>
                <w:lang w:val="en-US" w:eastAsia="zh-CN"/>
              </w:rPr>
              <w:t>5</w:t>
            </w:r>
          </w:p>
        </w:tc>
        <w:tc>
          <w:tcPr>
            <w:tcW w:w="1268" w:type="dxa"/>
            <w:noWrap w:val="0"/>
            <w:vAlign w:val="center"/>
          </w:tcPr>
          <w:p w14:paraId="696A395C">
            <w:pPr>
              <w:jc w:val="center"/>
              <w:rPr>
                <w:rFonts w:ascii="宋体" w:hAnsi="宋体" w:cs="Tahoma"/>
                <w:kern w:val="0"/>
              </w:rPr>
            </w:pPr>
            <w:r>
              <w:rPr>
                <w:rFonts w:hint="eastAsia"/>
              </w:rPr>
              <w:t>信誉业绩分</w:t>
            </w:r>
          </w:p>
        </w:tc>
        <w:tc>
          <w:tcPr>
            <w:tcW w:w="7371" w:type="dxa"/>
            <w:noWrap w:val="0"/>
            <w:vAlign w:val="top"/>
          </w:tcPr>
          <w:p w14:paraId="540DA260">
            <w:pPr>
              <w:spacing w:line="400" w:lineRule="exact"/>
              <w:rPr>
                <w:rFonts w:hint="eastAsia" w:ascii="宋体" w:hAnsi="宋体" w:cs="宋体"/>
                <w:bCs w:val="0"/>
                <w:kern w:val="0"/>
              </w:rPr>
            </w:pPr>
            <w:r>
              <w:rPr>
                <w:rFonts w:hint="eastAsia" w:ascii="宋体" w:hAnsi="宋体" w:cs="宋体"/>
                <w:bCs w:val="0"/>
                <w:kern w:val="0"/>
              </w:rPr>
              <w:t>（1）供应商</w:t>
            </w:r>
            <w:r>
              <w:rPr>
                <w:rFonts w:hint="eastAsia" w:ascii="宋体" w:hAnsi="宋体" w:cs="宋体" w:eastAsiaTheme="minorEastAsia"/>
                <w:kern w:val="0"/>
                <w:sz w:val="21"/>
                <w:szCs w:val="22"/>
                <w:highlight w:val="none"/>
                <w:lang w:val="en-US" w:eastAsia="zh-CN" w:bidi="ar"/>
              </w:rPr>
              <w:t>具有有效期内的质量管理体系（认证范围须包含劳务外包或者劳务派遣）、环境管理体系</w:t>
            </w:r>
            <w:r>
              <w:rPr>
                <w:rFonts w:hint="eastAsia" w:ascii="宋体" w:hAnsi="宋体" w:cs="宋体"/>
                <w:kern w:val="0"/>
                <w:sz w:val="21"/>
                <w:szCs w:val="22"/>
                <w:highlight w:val="none"/>
                <w:lang w:val="en-US" w:eastAsia="zh-CN" w:bidi="ar"/>
              </w:rPr>
              <w:t>、</w:t>
            </w:r>
            <w:r>
              <w:rPr>
                <w:rFonts w:hint="eastAsia" w:ascii="宋体" w:hAnsi="宋体" w:cs="宋体" w:eastAsiaTheme="minorEastAsia"/>
                <w:kern w:val="0"/>
                <w:sz w:val="21"/>
                <w:szCs w:val="22"/>
                <w:highlight w:val="none"/>
                <w:lang w:val="en-US" w:eastAsia="zh-CN" w:bidi="ar"/>
              </w:rPr>
              <w:t>职业健康安全管理体系</w:t>
            </w:r>
            <w:r>
              <w:rPr>
                <w:rFonts w:hint="eastAsia" w:ascii="宋体" w:hAnsi="宋体" w:cs="宋体"/>
                <w:kern w:val="0"/>
                <w:sz w:val="21"/>
                <w:szCs w:val="22"/>
                <w:highlight w:val="none"/>
                <w:lang w:val="en-US" w:eastAsia="zh-CN" w:bidi="ar"/>
              </w:rPr>
              <w:t>、信息安全管理体系</w:t>
            </w:r>
            <w:r>
              <w:rPr>
                <w:rFonts w:hint="eastAsia" w:ascii="宋体" w:hAnsi="宋体" w:cs="宋体" w:eastAsiaTheme="minorEastAsia"/>
                <w:kern w:val="0"/>
                <w:sz w:val="21"/>
                <w:szCs w:val="22"/>
                <w:highlight w:val="none"/>
                <w:lang w:val="en-US" w:eastAsia="zh-CN" w:bidi="ar"/>
              </w:rPr>
              <w:t>的企业认证证书</w:t>
            </w:r>
            <w:r>
              <w:rPr>
                <w:rFonts w:hint="eastAsia" w:ascii="宋体" w:hAnsi="宋体" w:cs="宋体"/>
                <w:bCs w:val="0"/>
                <w:kern w:val="0"/>
              </w:rPr>
              <w:t>的</w:t>
            </w:r>
            <w:r>
              <w:rPr>
                <w:rFonts w:hint="eastAsia" w:ascii="宋体" w:hAnsi="宋体" w:cs="宋体"/>
                <w:bCs w:val="0"/>
                <w:kern w:val="0"/>
                <w:lang w:eastAsia="zh-CN"/>
              </w:rPr>
              <w:t>，每项得</w:t>
            </w:r>
            <w:r>
              <w:rPr>
                <w:rFonts w:hint="eastAsia" w:ascii="宋体" w:hAnsi="宋体" w:cs="宋体"/>
                <w:bCs w:val="0"/>
                <w:kern w:val="0"/>
                <w:lang w:val="en-US" w:eastAsia="zh-CN"/>
              </w:rPr>
              <w:t>1分，满分4</w:t>
            </w:r>
            <w:r>
              <w:rPr>
                <w:rFonts w:hint="eastAsia" w:ascii="宋体" w:hAnsi="宋体" w:cs="宋体"/>
                <w:bCs w:val="0"/>
                <w:kern w:val="0"/>
              </w:rPr>
              <w:t>分（认证范围须包含劳务外包或者劳务派遣）。（须提供有效证书复印件，否则不得分）</w:t>
            </w:r>
          </w:p>
          <w:p w14:paraId="2F687060">
            <w:pPr>
              <w:spacing w:line="400" w:lineRule="exact"/>
              <w:rPr>
                <w:rFonts w:hint="eastAsia" w:ascii="宋体" w:hAnsi="宋体" w:cs="宋体"/>
                <w:kern w:val="0"/>
                <w:lang w:val="en-US" w:eastAsia="zh-CN"/>
              </w:rPr>
            </w:pPr>
            <w:r>
              <w:rPr>
                <w:rFonts w:hint="eastAsia" w:ascii="宋体" w:hAnsi="宋体" w:cs="宋体"/>
                <w:kern w:val="0"/>
              </w:rPr>
              <w:t>（</w:t>
            </w:r>
            <w:r>
              <w:rPr>
                <w:rFonts w:hint="eastAsia" w:ascii="宋体" w:hAnsi="宋体" w:cs="宋体"/>
                <w:kern w:val="0"/>
                <w:lang w:val="en-US" w:eastAsia="zh-CN"/>
              </w:rPr>
              <w:t>2</w:t>
            </w:r>
            <w:r>
              <w:rPr>
                <w:rFonts w:hint="eastAsia" w:ascii="宋体" w:hAnsi="宋体" w:cs="宋体"/>
                <w:kern w:val="0"/>
              </w:rPr>
              <w:t>）供应商 202</w:t>
            </w:r>
            <w:r>
              <w:rPr>
                <w:rFonts w:hint="eastAsia" w:ascii="宋体" w:hAnsi="宋体" w:cs="宋体"/>
                <w:kern w:val="0"/>
                <w:lang w:val="en-US" w:eastAsia="zh-CN"/>
              </w:rPr>
              <w:t>2</w:t>
            </w:r>
            <w:r>
              <w:rPr>
                <w:rFonts w:hint="eastAsia" w:ascii="宋体" w:hAnsi="宋体" w:cs="宋体"/>
                <w:kern w:val="0"/>
              </w:rPr>
              <w:t>年1月1日以来已完成的同类项目业绩（同类项目业绩是指劳务外包）的每项得</w:t>
            </w:r>
            <w:r>
              <w:rPr>
                <w:rFonts w:hint="eastAsia" w:ascii="宋体" w:hAnsi="宋体" w:cs="宋体"/>
                <w:kern w:val="0"/>
                <w:lang w:val="en-US" w:eastAsia="zh-CN"/>
              </w:rPr>
              <w:t>1</w:t>
            </w:r>
            <w:r>
              <w:rPr>
                <w:rFonts w:hint="eastAsia" w:ascii="宋体" w:hAnsi="宋体" w:cs="宋体"/>
                <w:kern w:val="0"/>
              </w:rPr>
              <w:t>分，满分</w:t>
            </w:r>
            <w:r>
              <w:rPr>
                <w:rFonts w:hint="eastAsia" w:ascii="宋体" w:hAnsi="宋体" w:cs="宋体"/>
                <w:kern w:val="0"/>
                <w:lang w:val="en-US" w:eastAsia="zh-CN"/>
              </w:rPr>
              <w:t>6</w:t>
            </w:r>
            <w:r>
              <w:rPr>
                <w:rFonts w:hint="eastAsia" w:ascii="宋体" w:hAnsi="宋体" w:cs="宋体"/>
                <w:kern w:val="0"/>
              </w:rPr>
              <w:t>分。（须提供合同复印件或中标通知书复印件，否则不得分）。</w:t>
            </w:r>
          </w:p>
          <w:p w14:paraId="660C5A77">
            <w:pPr>
              <w:pStyle w:val="19"/>
              <w:rPr>
                <w:rFonts w:hint="eastAsia"/>
                <w:b w:val="0"/>
                <w:bCs w:val="0"/>
                <w:lang w:val="en-US" w:eastAsia="zh-CN"/>
              </w:rPr>
            </w:pPr>
          </w:p>
        </w:tc>
        <w:tc>
          <w:tcPr>
            <w:tcW w:w="799" w:type="dxa"/>
            <w:noWrap w:val="0"/>
            <w:vAlign w:val="center"/>
          </w:tcPr>
          <w:p w14:paraId="7C144A16">
            <w:pPr>
              <w:jc w:val="center"/>
              <w:rPr>
                <w:rFonts w:hint="default" w:ascii="宋体" w:hAnsi="宋体" w:cs="Tahoma"/>
                <w:kern w:val="0"/>
                <w:lang w:val="en-US"/>
              </w:rPr>
            </w:pPr>
            <w:r>
              <w:rPr>
                <w:rFonts w:hint="eastAsia" w:ascii="宋体" w:hAnsi="宋体" w:cs="Tahoma"/>
                <w:kern w:val="0"/>
                <w:lang w:val="en-US" w:eastAsia="zh-CN"/>
              </w:rPr>
              <w:t>10</w:t>
            </w:r>
          </w:p>
        </w:tc>
      </w:tr>
      <w:tr w14:paraId="1472D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369" w:type="dxa"/>
            <w:gridSpan w:val="3"/>
            <w:noWrap w:val="0"/>
            <w:vAlign w:val="center"/>
          </w:tcPr>
          <w:p w14:paraId="536EE3C1">
            <w:pPr>
              <w:pStyle w:val="17"/>
              <w:spacing w:line="360" w:lineRule="auto"/>
              <w:ind w:firstLine="422"/>
              <w:rPr>
                <w:rFonts w:hint="default" w:hAnsi="宋体" w:eastAsia="宋体" w:cs="Courier New"/>
                <w:bCs/>
                <w:kern w:val="2"/>
                <w:sz w:val="21"/>
                <w:lang w:val="en-US" w:eastAsia="zh-CN"/>
              </w:rPr>
            </w:pPr>
            <w:r>
              <w:rPr>
                <w:rFonts w:hint="eastAsia" w:hAnsi="宋体" w:cs="Courier New"/>
                <w:b/>
                <w:kern w:val="2"/>
                <w:sz w:val="21"/>
              </w:rPr>
              <w:t>总得分＝</w:t>
            </w:r>
            <w:r>
              <w:rPr>
                <w:rFonts w:hint="eastAsia" w:hAnsi="宋体" w:cs="Courier New"/>
                <w:b/>
                <w:kern w:val="2"/>
                <w:sz w:val="21"/>
                <w:lang w:val="en-US" w:eastAsia="zh-CN"/>
              </w:rPr>
              <w:t>1+2+3+4+5</w:t>
            </w:r>
          </w:p>
        </w:tc>
        <w:tc>
          <w:tcPr>
            <w:tcW w:w="799" w:type="dxa"/>
            <w:noWrap w:val="0"/>
            <w:vAlign w:val="center"/>
          </w:tcPr>
          <w:p w14:paraId="5F7B2DEB">
            <w:pPr>
              <w:ind w:firstLine="420"/>
              <w:jc w:val="center"/>
              <w:rPr>
                <w:rFonts w:ascii="宋体" w:hAnsi="宋体" w:cs="Tahoma"/>
                <w:kern w:val="0"/>
              </w:rPr>
            </w:pPr>
          </w:p>
        </w:tc>
      </w:tr>
      <w:bookmarkEnd w:id="112"/>
    </w:tbl>
    <w:p w14:paraId="19D63B63">
      <w:pPr>
        <w:pStyle w:val="19"/>
        <w:rPr>
          <w:rFonts w:hint="eastAsia" w:ascii="宋体" w:hAnsi="宋体" w:eastAsia="宋体" w:cs="宋体"/>
          <w:bCs/>
          <w:color w:val="auto"/>
          <w:szCs w:val="21"/>
          <w:highlight w:val="none"/>
        </w:rPr>
      </w:pPr>
    </w:p>
    <w:p w14:paraId="1FFDE089">
      <w:pPr>
        <w:widowControl/>
        <w:numPr>
          <w:ilvl w:val="0"/>
          <w:numId w:val="0"/>
        </w:numPr>
        <w:spacing w:line="360" w:lineRule="auto"/>
        <w:ind w:firstLine="371" w:firstLineChars="176"/>
        <w:jc w:val="left"/>
        <w:outlineLvl w:val="3"/>
        <w:rPr>
          <w:rFonts w:ascii="宋体" w:hAnsi="宋体" w:eastAsia="宋体" w:cs="宋体"/>
          <w:b/>
          <w:color w:val="auto"/>
          <w:spacing w:val="10"/>
          <w:kern w:val="0"/>
          <w:sz w:val="28"/>
          <w:szCs w:val="28"/>
          <w:highlight w:val="none"/>
        </w:rPr>
      </w:pPr>
      <w:r>
        <w:rPr>
          <w:rFonts w:ascii="宋体" w:hAnsi="宋体" w:eastAsia="宋体" w:cs="宋体"/>
          <w:b/>
          <w:bCs/>
          <w:color w:val="auto"/>
          <w:kern w:val="2"/>
          <w:sz w:val="21"/>
          <w:szCs w:val="21"/>
          <w:highlight w:val="none"/>
          <w:lang w:val="en-US" w:eastAsia="zh-CN" w:bidi="ar-SA"/>
        </w:rPr>
        <w:t>7.</w:t>
      </w:r>
      <w:r>
        <w:rPr>
          <w:rFonts w:hint="eastAsia" w:ascii="宋体" w:hAnsi="宋体" w:eastAsia="宋体" w:cs="宋体"/>
          <w:b/>
          <w:bCs/>
          <w:color w:val="auto"/>
          <w:szCs w:val="21"/>
          <w:highlight w:val="none"/>
        </w:rPr>
        <w:t>由磋商小组根据综合评分情况，按照评审得分由高到低顺序推荐3名以上成交候选供应商，并编写评审报告。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商务分由高到低排序）。评审得分、最后报价（不计算价格折扣）、技术得分、商务分均相同的，由磋商小组随机抽取推荐。</w:t>
      </w:r>
      <w:r>
        <w:rPr>
          <w:rFonts w:hint="eastAsia" w:ascii="宋体" w:hAnsi="宋体" w:eastAsia="宋体" w:cs="宋体"/>
          <w:b/>
          <w:color w:val="auto"/>
          <w:spacing w:val="10"/>
          <w:kern w:val="0"/>
          <w:sz w:val="28"/>
          <w:szCs w:val="28"/>
          <w:highlight w:val="none"/>
        </w:rPr>
        <w:br w:type="page"/>
      </w:r>
    </w:p>
    <w:p w14:paraId="2B2B2C0E">
      <w:pPr>
        <w:rPr>
          <w:color w:val="auto"/>
          <w:highlight w:val="none"/>
        </w:rPr>
      </w:pPr>
    </w:p>
    <w:p w14:paraId="032FDF42">
      <w:pPr>
        <w:pStyle w:val="5"/>
        <w:ind w:firstLine="560"/>
        <w:rPr>
          <w:color w:val="auto"/>
          <w:highlight w:val="none"/>
        </w:rPr>
      </w:pPr>
    </w:p>
    <w:p w14:paraId="0F593746">
      <w:pPr>
        <w:rPr>
          <w:color w:val="auto"/>
          <w:highlight w:val="none"/>
        </w:rPr>
      </w:pPr>
    </w:p>
    <w:p w14:paraId="4146CCA8">
      <w:pPr>
        <w:pStyle w:val="5"/>
        <w:ind w:firstLine="560"/>
        <w:rPr>
          <w:color w:val="auto"/>
          <w:highlight w:val="none"/>
        </w:rPr>
      </w:pPr>
    </w:p>
    <w:p w14:paraId="52511C5F">
      <w:pPr>
        <w:widowControl/>
        <w:tabs>
          <w:tab w:val="center" w:pos="4153"/>
          <w:tab w:val="right" w:pos="8306"/>
        </w:tabs>
        <w:snapToGrid w:val="0"/>
        <w:ind w:firstLine="360" w:firstLineChars="200"/>
        <w:jc w:val="left"/>
        <w:rPr>
          <w:rFonts w:ascii="宋体" w:hAnsi="宋体" w:eastAsia="宋体" w:cs="宋体"/>
          <w:color w:val="auto"/>
          <w:sz w:val="18"/>
          <w:szCs w:val="18"/>
          <w:highlight w:val="none"/>
        </w:rPr>
      </w:pPr>
    </w:p>
    <w:p w14:paraId="5EE9802E">
      <w:pPr>
        <w:widowControl/>
        <w:tabs>
          <w:tab w:val="center" w:pos="4153"/>
          <w:tab w:val="right" w:pos="8306"/>
        </w:tabs>
        <w:snapToGrid w:val="0"/>
        <w:ind w:firstLine="360" w:firstLineChars="200"/>
        <w:jc w:val="left"/>
        <w:rPr>
          <w:rFonts w:ascii="宋体" w:hAnsi="宋体" w:eastAsia="宋体" w:cs="宋体"/>
          <w:color w:val="auto"/>
          <w:sz w:val="18"/>
          <w:szCs w:val="18"/>
          <w:highlight w:val="none"/>
        </w:rPr>
      </w:pPr>
    </w:p>
    <w:p w14:paraId="332A2D67">
      <w:pPr>
        <w:widowControl/>
        <w:tabs>
          <w:tab w:val="center" w:pos="4153"/>
          <w:tab w:val="right" w:pos="8306"/>
        </w:tabs>
        <w:snapToGrid w:val="0"/>
        <w:ind w:firstLine="360" w:firstLineChars="200"/>
        <w:jc w:val="left"/>
        <w:rPr>
          <w:rFonts w:ascii="宋体" w:hAnsi="宋体" w:eastAsia="宋体" w:cs="宋体"/>
          <w:color w:val="auto"/>
          <w:sz w:val="18"/>
          <w:szCs w:val="18"/>
          <w:highlight w:val="none"/>
        </w:rPr>
      </w:pPr>
    </w:p>
    <w:p w14:paraId="1A53EC5B">
      <w:pPr>
        <w:widowControl/>
        <w:tabs>
          <w:tab w:val="center" w:pos="4153"/>
          <w:tab w:val="right" w:pos="8306"/>
        </w:tabs>
        <w:snapToGrid w:val="0"/>
        <w:ind w:firstLine="360" w:firstLineChars="200"/>
        <w:jc w:val="left"/>
        <w:rPr>
          <w:rFonts w:ascii="宋体" w:hAnsi="宋体" w:eastAsia="宋体" w:cs="宋体"/>
          <w:color w:val="auto"/>
          <w:sz w:val="18"/>
          <w:szCs w:val="18"/>
          <w:highlight w:val="none"/>
        </w:rPr>
      </w:pPr>
    </w:p>
    <w:p w14:paraId="210D78F7">
      <w:pPr>
        <w:widowControl/>
        <w:tabs>
          <w:tab w:val="center" w:pos="4153"/>
          <w:tab w:val="right" w:pos="8306"/>
        </w:tabs>
        <w:snapToGrid w:val="0"/>
        <w:ind w:firstLine="360" w:firstLineChars="200"/>
        <w:jc w:val="left"/>
        <w:rPr>
          <w:rFonts w:ascii="宋体" w:hAnsi="宋体" w:eastAsia="宋体" w:cs="宋体"/>
          <w:color w:val="auto"/>
          <w:sz w:val="18"/>
          <w:szCs w:val="18"/>
          <w:highlight w:val="none"/>
        </w:rPr>
      </w:pPr>
    </w:p>
    <w:p w14:paraId="6CCF7D28">
      <w:pPr>
        <w:widowControl/>
        <w:tabs>
          <w:tab w:val="center" w:pos="4153"/>
          <w:tab w:val="right" w:pos="8306"/>
        </w:tabs>
        <w:snapToGrid w:val="0"/>
        <w:ind w:firstLine="360" w:firstLineChars="200"/>
        <w:jc w:val="left"/>
        <w:rPr>
          <w:rFonts w:ascii="宋体" w:hAnsi="宋体" w:eastAsia="宋体" w:cs="宋体"/>
          <w:color w:val="auto"/>
          <w:sz w:val="18"/>
          <w:szCs w:val="18"/>
          <w:highlight w:val="none"/>
        </w:rPr>
      </w:pPr>
    </w:p>
    <w:p w14:paraId="1B03D241">
      <w:pPr>
        <w:widowControl/>
        <w:tabs>
          <w:tab w:val="center" w:pos="4153"/>
          <w:tab w:val="right" w:pos="8306"/>
        </w:tabs>
        <w:snapToGrid w:val="0"/>
        <w:ind w:firstLine="360" w:firstLineChars="200"/>
        <w:jc w:val="left"/>
        <w:rPr>
          <w:rFonts w:ascii="宋体" w:hAnsi="宋体" w:eastAsia="宋体" w:cs="宋体"/>
          <w:color w:val="auto"/>
          <w:sz w:val="18"/>
          <w:szCs w:val="18"/>
          <w:highlight w:val="none"/>
        </w:rPr>
      </w:pPr>
    </w:p>
    <w:p w14:paraId="43AE4A9F">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color w:val="auto"/>
          <w:kern w:val="44"/>
          <w:sz w:val="44"/>
          <w:szCs w:val="44"/>
          <w:highlight w:val="none"/>
        </w:rPr>
        <w:sectPr>
          <w:pgSz w:w="11906" w:h="16838"/>
          <w:pgMar w:top="1332" w:right="1434" w:bottom="1332" w:left="1434" w:header="850" w:footer="992" w:gutter="0"/>
          <w:cols w:space="0" w:num="1"/>
          <w:rtlGutter w:val="0"/>
          <w:docGrid w:type="lines" w:linePitch="315" w:charSpace="0"/>
        </w:sectPr>
      </w:pPr>
      <w:bookmarkStart w:id="19" w:name="_Toc108596906"/>
      <w:r>
        <w:rPr>
          <w:rFonts w:hint="eastAsia" w:ascii="宋体" w:hAnsi="宋体" w:eastAsia="宋体" w:cs="宋体"/>
          <w:b/>
          <w:bCs/>
          <w:color w:val="auto"/>
          <w:kern w:val="44"/>
          <w:sz w:val="44"/>
          <w:szCs w:val="44"/>
          <w:highlight w:val="none"/>
        </w:rPr>
        <w:t>第五章 响应文件格式</w:t>
      </w:r>
      <w:bookmarkEnd w:id="19"/>
    </w:p>
    <w:p w14:paraId="01E1D0F7">
      <w:pPr>
        <w:keepNext/>
        <w:keepLines/>
        <w:widowControl/>
        <w:spacing w:line="480" w:lineRule="auto"/>
        <w:jc w:val="left"/>
        <w:outlineLvl w:val="1"/>
        <w:rPr>
          <w:rFonts w:ascii="宋体" w:hAnsi="宋体" w:eastAsia="宋体" w:cs="宋体"/>
          <w:b/>
          <w:bCs/>
          <w:color w:val="auto"/>
          <w:sz w:val="28"/>
          <w:szCs w:val="44"/>
          <w:highlight w:val="none"/>
        </w:rPr>
      </w:pPr>
      <w:r>
        <w:rPr>
          <w:rFonts w:hint="eastAsia" w:ascii="宋体" w:hAnsi="宋体" w:eastAsia="宋体" w:cs="宋体"/>
          <w:b/>
          <w:bCs/>
          <w:color w:val="auto"/>
          <w:sz w:val="28"/>
          <w:szCs w:val="44"/>
          <w:highlight w:val="none"/>
        </w:rPr>
        <w:t>一、资格证明文件格式</w:t>
      </w:r>
    </w:p>
    <w:p w14:paraId="04FE6CEA">
      <w:pPr>
        <w:keepNext/>
        <w:keepLines/>
        <w:widowControl/>
        <w:spacing w:line="360" w:lineRule="auto"/>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1.资格证明文件封面格式</w:t>
      </w:r>
    </w:p>
    <w:p w14:paraId="4C760DF0">
      <w:pPr>
        <w:widowControl/>
        <w:spacing w:line="360" w:lineRule="auto"/>
        <w:ind w:firstLine="199" w:firstLineChars="83"/>
        <w:jc w:val="left"/>
        <w:rPr>
          <w:rFonts w:ascii="宋体" w:hAnsi="宋体" w:eastAsia="宋体" w:cs="宋体"/>
          <w:color w:val="auto"/>
          <w:sz w:val="24"/>
          <w:szCs w:val="24"/>
          <w:highlight w:val="none"/>
        </w:rPr>
      </w:pPr>
    </w:p>
    <w:p w14:paraId="5492F6B7">
      <w:pPr>
        <w:widowControl/>
        <w:spacing w:line="360" w:lineRule="auto"/>
        <w:jc w:val="center"/>
        <w:rPr>
          <w:rFonts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电子响应文件</w:t>
      </w:r>
    </w:p>
    <w:p w14:paraId="4CB4A77D">
      <w:pPr>
        <w:widowControl/>
        <w:spacing w:line="360" w:lineRule="auto"/>
        <w:jc w:val="center"/>
        <w:rPr>
          <w:rFonts w:ascii="宋体" w:hAnsi="宋体" w:eastAsia="宋体" w:cs="宋体"/>
          <w:b/>
          <w:bCs/>
          <w:color w:val="auto"/>
          <w:sz w:val="44"/>
          <w:szCs w:val="44"/>
          <w:highlight w:val="none"/>
        </w:rPr>
      </w:pPr>
    </w:p>
    <w:p w14:paraId="709D0F88">
      <w:pPr>
        <w:widowControl/>
        <w:spacing w:line="360" w:lineRule="auto"/>
        <w:jc w:val="center"/>
        <w:rPr>
          <w:rFonts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资格证明文件</w:t>
      </w:r>
    </w:p>
    <w:p w14:paraId="1068E77E">
      <w:pPr>
        <w:widowControl/>
        <w:spacing w:line="360" w:lineRule="auto"/>
        <w:ind w:firstLine="480" w:firstLineChars="200"/>
        <w:jc w:val="left"/>
        <w:rPr>
          <w:rFonts w:ascii="宋体" w:hAnsi="宋体" w:eastAsia="宋体" w:cs="宋体"/>
          <w:color w:val="auto"/>
          <w:sz w:val="24"/>
          <w:szCs w:val="24"/>
          <w:highlight w:val="none"/>
        </w:rPr>
      </w:pPr>
    </w:p>
    <w:p w14:paraId="7BD278E0">
      <w:pPr>
        <w:widowControl/>
        <w:spacing w:line="360" w:lineRule="auto"/>
        <w:ind w:firstLine="480" w:firstLineChars="200"/>
        <w:jc w:val="left"/>
        <w:rPr>
          <w:rFonts w:ascii="宋体" w:hAnsi="宋体" w:eastAsia="宋体" w:cs="宋体"/>
          <w:color w:val="auto"/>
          <w:sz w:val="24"/>
          <w:szCs w:val="24"/>
          <w:highlight w:val="none"/>
        </w:rPr>
      </w:pPr>
    </w:p>
    <w:p w14:paraId="4E65CCD1">
      <w:pPr>
        <w:widowControl/>
        <w:spacing w:line="360" w:lineRule="auto"/>
        <w:ind w:firstLine="480" w:firstLineChars="200"/>
        <w:jc w:val="left"/>
        <w:rPr>
          <w:rFonts w:ascii="宋体" w:hAnsi="宋体" w:eastAsia="宋体" w:cs="宋体"/>
          <w:color w:val="auto"/>
          <w:sz w:val="24"/>
          <w:szCs w:val="24"/>
          <w:highlight w:val="none"/>
        </w:rPr>
      </w:pPr>
    </w:p>
    <w:p w14:paraId="234615D8">
      <w:pPr>
        <w:widowControl/>
        <w:spacing w:line="360" w:lineRule="auto"/>
        <w:ind w:firstLine="1132" w:firstLineChars="354"/>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项目名称：</w:t>
      </w:r>
    </w:p>
    <w:p w14:paraId="34BB6596">
      <w:pPr>
        <w:widowControl/>
        <w:spacing w:line="360" w:lineRule="auto"/>
        <w:ind w:firstLine="1132" w:firstLineChars="354"/>
        <w:jc w:val="left"/>
        <w:rPr>
          <w:rFonts w:ascii="宋体" w:hAnsi="宋体" w:eastAsia="宋体" w:cs="宋体"/>
          <w:color w:val="auto"/>
          <w:sz w:val="32"/>
          <w:szCs w:val="32"/>
          <w:highlight w:val="none"/>
        </w:rPr>
      </w:pPr>
    </w:p>
    <w:p w14:paraId="0795D0AF">
      <w:pPr>
        <w:widowControl/>
        <w:spacing w:line="360" w:lineRule="auto"/>
        <w:ind w:firstLine="1132" w:firstLineChars="354"/>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w:t>
      </w:r>
    </w:p>
    <w:p w14:paraId="2D810D76">
      <w:pPr>
        <w:widowControl/>
        <w:spacing w:before="25" w:after="25" w:line="360" w:lineRule="auto"/>
        <w:ind w:firstLine="680" w:firstLineChars="200"/>
        <w:jc w:val="left"/>
        <w:rPr>
          <w:rFonts w:ascii="宋体" w:hAnsi="宋体" w:eastAsia="宋体" w:cs="宋体"/>
          <w:bCs/>
          <w:color w:val="auto"/>
          <w:spacing w:val="10"/>
          <w:kern w:val="0"/>
          <w:sz w:val="32"/>
          <w:szCs w:val="32"/>
          <w:highlight w:val="none"/>
        </w:rPr>
      </w:pPr>
    </w:p>
    <w:p w14:paraId="18AEB9B5">
      <w:pPr>
        <w:widowControl/>
        <w:spacing w:before="25" w:after="25" w:line="360" w:lineRule="auto"/>
        <w:ind w:firstLine="680" w:firstLineChars="200"/>
        <w:jc w:val="left"/>
        <w:rPr>
          <w:rFonts w:ascii="宋体" w:hAnsi="宋体" w:eastAsia="宋体" w:cs="宋体"/>
          <w:bCs/>
          <w:color w:val="auto"/>
          <w:spacing w:val="10"/>
          <w:kern w:val="0"/>
          <w:sz w:val="32"/>
          <w:szCs w:val="32"/>
          <w:highlight w:val="none"/>
        </w:rPr>
      </w:pPr>
      <w:r>
        <w:rPr>
          <w:rFonts w:hint="eastAsia" w:ascii="宋体" w:hAnsi="宋体" w:eastAsia="宋体" w:cs="宋体"/>
          <w:bCs/>
          <w:color w:val="auto"/>
          <w:spacing w:val="10"/>
          <w:kern w:val="0"/>
          <w:sz w:val="32"/>
          <w:szCs w:val="32"/>
          <w:highlight w:val="none"/>
        </w:rPr>
        <w:t xml:space="preserve">  分 标 号：（如无分标写“无”）</w:t>
      </w:r>
    </w:p>
    <w:p w14:paraId="2E316A73">
      <w:pPr>
        <w:widowControl/>
        <w:spacing w:line="360" w:lineRule="auto"/>
        <w:jc w:val="left"/>
        <w:rPr>
          <w:rFonts w:ascii="宋体" w:hAnsi="宋体" w:eastAsia="宋体" w:cs="宋体"/>
          <w:color w:val="auto"/>
          <w:sz w:val="32"/>
          <w:szCs w:val="32"/>
          <w:highlight w:val="none"/>
        </w:rPr>
      </w:pPr>
    </w:p>
    <w:p w14:paraId="46541FDB">
      <w:pPr>
        <w:widowControl/>
        <w:spacing w:line="360" w:lineRule="auto"/>
        <w:ind w:firstLine="1132" w:firstLineChars="354"/>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供应商名称：</w:t>
      </w:r>
    </w:p>
    <w:p w14:paraId="5C6A10D1">
      <w:pPr>
        <w:widowControl/>
        <w:spacing w:line="360" w:lineRule="auto"/>
        <w:ind w:firstLine="1132" w:firstLineChars="354"/>
        <w:jc w:val="left"/>
        <w:rPr>
          <w:rFonts w:ascii="宋体" w:hAnsi="宋体" w:eastAsia="宋体" w:cs="宋体"/>
          <w:color w:val="auto"/>
          <w:sz w:val="32"/>
          <w:szCs w:val="32"/>
          <w:highlight w:val="none"/>
        </w:rPr>
      </w:pPr>
    </w:p>
    <w:p w14:paraId="425FB400">
      <w:pPr>
        <w:widowControl/>
        <w:spacing w:line="360" w:lineRule="auto"/>
        <w:ind w:firstLine="640" w:firstLineChars="20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505E2D80">
      <w:pPr>
        <w:widowControl/>
        <w:spacing w:line="360" w:lineRule="auto"/>
        <w:ind w:firstLine="420" w:firstLineChars="200"/>
        <w:jc w:val="left"/>
        <w:rPr>
          <w:rFonts w:ascii="宋体" w:hAnsi="宋体" w:eastAsia="宋体" w:cs="宋体"/>
          <w:color w:val="auto"/>
          <w:szCs w:val="21"/>
          <w:highlight w:val="none"/>
        </w:rPr>
      </w:pPr>
    </w:p>
    <w:p w14:paraId="3A493C99">
      <w:pPr>
        <w:widowControl/>
        <w:spacing w:before="260" w:after="260" w:line="415"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436BDF4D">
      <w:pPr>
        <w:keepNext/>
        <w:keepLines/>
        <w:widowControl/>
        <w:spacing w:line="360" w:lineRule="auto"/>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2.供应商直接控股、管理关系信息表</w:t>
      </w:r>
    </w:p>
    <w:p w14:paraId="5B3FD217">
      <w:pPr>
        <w:widowControl/>
        <w:spacing w:line="360" w:lineRule="auto"/>
        <w:ind w:firstLine="420" w:firstLineChars="200"/>
        <w:jc w:val="left"/>
        <w:rPr>
          <w:rFonts w:ascii="宋体" w:hAnsi="宋体" w:eastAsia="宋体" w:cs="宋体"/>
          <w:color w:val="auto"/>
          <w:szCs w:val="21"/>
          <w:highlight w:val="none"/>
        </w:rPr>
      </w:pPr>
    </w:p>
    <w:p w14:paraId="66AE4328">
      <w:pPr>
        <w:widowControl/>
        <w:snapToGrid w:val="0"/>
        <w:spacing w:before="50" w:after="50"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供应商直接控股股东信息表</w:t>
      </w:r>
    </w:p>
    <w:p w14:paraId="2F6EF33E">
      <w:pPr>
        <w:widowControl/>
        <w:spacing w:line="360" w:lineRule="auto"/>
        <w:ind w:firstLine="420" w:firstLineChars="200"/>
        <w:jc w:val="left"/>
        <w:rPr>
          <w:rFonts w:ascii="宋体" w:hAnsi="宋体" w:eastAsia="宋体" w:cs="宋体"/>
          <w:color w:val="auto"/>
          <w:szCs w:val="21"/>
          <w:highlight w:val="none"/>
        </w:rPr>
      </w:pPr>
    </w:p>
    <w:tbl>
      <w:tblPr>
        <w:tblStyle w:val="26"/>
        <w:tblW w:w="8744" w:type="dxa"/>
        <w:jc w:val="center"/>
        <w:shd w:val="clear" w:color="auto" w:fill="FBFBFB"/>
        <w:tblLayout w:type="fixed"/>
        <w:tblCellMar>
          <w:top w:w="0" w:type="dxa"/>
          <w:left w:w="0" w:type="dxa"/>
          <w:bottom w:w="0" w:type="dxa"/>
          <w:right w:w="0" w:type="dxa"/>
        </w:tblCellMar>
      </w:tblPr>
      <w:tblGrid>
        <w:gridCol w:w="782"/>
        <w:gridCol w:w="2199"/>
        <w:gridCol w:w="1431"/>
        <w:gridCol w:w="3609"/>
        <w:gridCol w:w="723"/>
      </w:tblGrid>
      <w:tr w14:paraId="39129177">
        <w:tblPrEx>
          <w:shd w:val="clear" w:color="auto" w:fill="FBFBFB"/>
          <w:tblCellMar>
            <w:top w:w="0" w:type="dxa"/>
            <w:left w:w="0" w:type="dxa"/>
            <w:bottom w:w="0" w:type="dxa"/>
            <w:right w:w="0" w:type="dxa"/>
          </w:tblCellMar>
        </w:tblPrEx>
        <w:trPr>
          <w:tblHeader/>
          <w:jc w:val="center"/>
        </w:trPr>
        <w:tc>
          <w:tcPr>
            <w:tcW w:w="78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590EAEA">
            <w:pPr>
              <w:widowControl/>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219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176FEA">
            <w:pPr>
              <w:widowControl/>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直接控股股东名称</w:t>
            </w:r>
          </w:p>
        </w:tc>
        <w:tc>
          <w:tcPr>
            <w:tcW w:w="143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AA28EC">
            <w:pPr>
              <w:widowControl/>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出资比例</w:t>
            </w:r>
          </w:p>
        </w:tc>
        <w:tc>
          <w:tcPr>
            <w:tcW w:w="360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4D1C77">
            <w:pPr>
              <w:widowControl/>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身份证号码或者统一社会信用代码</w:t>
            </w:r>
          </w:p>
        </w:tc>
        <w:tc>
          <w:tcPr>
            <w:tcW w:w="72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CDD168">
            <w:pPr>
              <w:widowControl/>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备注</w:t>
            </w:r>
          </w:p>
        </w:tc>
      </w:tr>
      <w:tr w14:paraId="5DF0E647">
        <w:tblPrEx>
          <w:tblCellMar>
            <w:top w:w="0" w:type="dxa"/>
            <w:left w:w="0" w:type="dxa"/>
            <w:bottom w:w="0" w:type="dxa"/>
            <w:right w:w="0" w:type="dxa"/>
          </w:tblCellMar>
        </w:tblPrEx>
        <w:trPr>
          <w:jc w:val="center"/>
        </w:trPr>
        <w:tc>
          <w:tcPr>
            <w:tcW w:w="78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BA4F26">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19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CAB925">
            <w:pPr>
              <w:widowControl/>
              <w:spacing w:line="360" w:lineRule="auto"/>
              <w:jc w:val="center"/>
              <w:rPr>
                <w:rFonts w:ascii="宋体" w:hAnsi="宋体" w:eastAsia="宋体" w:cs="宋体"/>
                <w:color w:val="auto"/>
                <w:kern w:val="0"/>
                <w:szCs w:val="21"/>
                <w:highlight w:val="none"/>
              </w:rPr>
            </w:pPr>
          </w:p>
        </w:tc>
        <w:tc>
          <w:tcPr>
            <w:tcW w:w="143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5D90679">
            <w:pPr>
              <w:widowControl/>
              <w:spacing w:line="360" w:lineRule="auto"/>
              <w:jc w:val="center"/>
              <w:rPr>
                <w:rFonts w:ascii="宋体" w:hAnsi="宋体" w:eastAsia="宋体" w:cs="宋体"/>
                <w:color w:val="auto"/>
                <w:kern w:val="0"/>
                <w:szCs w:val="21"/>
                <w:highlight w:val="none"/>
              </w:rPr>
            </w:pPr>
          </w:p>
        </w:tc>
        <w:tc>
          <w:tcPr>
            <w:tcW w:w="360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9F94AF7">
            <w:pPr>
              <w:widowControl/>
              <w:spacing w:line="360" w:lineRule="auto"/>
              <w:jc w:val="center"/>
              <w:rPr>
                <w:rFonts w:ascii="宋体" w:hAnsi="宋体" w:eastAsia="宋体" w:cs="宋体"/>
                <w:color w:val="auto"/>
                <w:kern w:val="0"/>
                <w:szCs w:val="21"/>
                <w:highlight w:val="none"/>
              </w:rPr>
            </w:pPr>
          </w:p>
        </w:tc>
        <w:tc>
          <w:tcPr>
            <w:tcW w:w="72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10BC70">
            <w:pPr>
              <w:widowControl/>
              <w:spacing w:line="360" w:lineRule="auto"/>
              <w:jc w:val="center"/>
              <w:rPr>
                <w:rFonts w:ascii="宋体" w:hAnsi="宋体" w:eastAsia="宋体" w:cs="宋体"/>
                <w:color w:val="auto"/>
                <w:kern w:val="0"/>
                <w:szCs w:val="21"/>
                <w:highlight w:val="none"/>
              </w:rPr>
            </w:pPr>
          </w:p>
        </w:tc>
      </w:tr>
      <w:tr w14:paraId="092D361D">
        <w:tblPrEx>
          <w:tblCellMar>
            <w:top w:w="0" w:type="dxa"/>
            <w:left w:w="0" w:type="dxa"/>
            <w:bottom w:w="0" w:type="dxa"/>
            <w:right w:w="0" w:type="dxa"/>
          </w:tblCellMar>
        </w:tblPrEx>
        <w:trPr>
          <w:jc w:val="center"/>
        </w:trPr>
        <w:tc>
          <w:tcPr>
            <w:tcW w:w="78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24E97C">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19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0B36F37">
            <w:pPr>
              <w:widowControl/>
              <w:spacing w:line="360" w:lineRule="auto"/>
              <w:jc w:val="center"/>
              <w:rPr>
                <w:rFonts w:ascii="宋体" w:hAnsi="宋体" w:eastAsia="宋体" w:cs="宋体"/>
                <w:color w:val="auto"/>
                <w:kern w:val="0"/>
                <w:szCs w:val="21"/>
                <w:highlight w:val="none"/>
              </w:rPr>
            </w:pPr>
          </w:p>
        </w:tc>
        <w:tc>
          <w:tcPr>
            <w:tcW w:w="143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D35BB0">
            <w:pPr>
              <w:widowControl/>
              <w:spacing w:line="360" w:lineRule="auto"/>
              <w:jc w:val="center"/>
              <w:rPr>
                <w:rFonts w:ascii="宋体" w:hAnsi="宋体" w:eastAsia="宋体" w:cs="宋体"/>
                <w:color w:val="auto"/>
                <w:kern w:val="0"/>
                <w:szCs w:val="21"/>
                <w:highlight w:val="none"/>
              </w:rPr>
            </w:pPr>
          </w:p>
        </w:tc>
        <w:tc>
          <w:tcPr>
            <w:tcW w:w="360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55682A">
            <w:pPr>
              <w:widowControl/>
              <w:spacing w:line="360" w:lineRule="auto"/>
              <w:jc w:val="center"/>
              <w:rPr>
                <w:rFonts w:ascii="宋体" w:hAnsi="宋体" w:eastAsia="宋体" w:cs="宋体"/>
                <w:color w:val="auto"/>
                <w:kern w:val="0"/>
                <w:szCs w:val="21"/>
                <w:highlight w:val="none"/>
              </w:rPr>
            </w:pPr>
          </w:p>
        </w:tc>
        <w:tc>
          <w:tcPr>
            <w:tcW w:w="72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F0A5993">
            <w:pPr>
              <w:widowControl/>
              <w:spacing w:line="360" w:lineRule="auto"/>
              <w:jc w:val="center"/>
              <w:rPr>
                <w:rFonts w:ascii="宋体" w:hAnsi="宋体" w:eastAsia="宋体" w:cs="宋体"/>
                <w:color w:val="auto"/>
                <w:kern w:val="0"/>
                <w:szCs w:val="21"/>
                <w:highlight w:val="none"/>
              </w:rPr>
            </w:pPr>
          </w:p>
        </w:tc>
      </w:tr>
      <w:tr w14:paraId="55B05605">
        <w:tblPrEx>
          <w:tblCellMar>
            <w:top w:w="0" w:type="dxa"/>
            <w:left w:w="0" w:type="dxa"/>
            <w:bottom w:w="0" w:type="dxa"/>
            <w:right w:w="0" w:type="dxa"/>
          </w:tblCellMar>
        </w:tblPrEx>
        <w:trPr>
          <w:jc w:val="center"/>
        </w:trPr>
        <w:tc>
          <w:tcPr>
            <w:tcW w:w="78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2670193">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219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0F09FC">
            <w:pPr>
              <w:widowControl/>
              <w:spacing w:line="360" w:lineRule="auto"/>
              <w:jc w:val="center"/>
              <w:rPr>
                <w:rFonts w:ascii="宋体" w:hAnsi="宋体" w:eastAsia="宋体" w:cs="宋体"/>
                <w:color w:val="auto"/>
                <w:kern w:val="0"/>
                <w:szCs w:val="21"/>
                <w:highlight w:val="none"/>
              </w:rPr>
            </w:pPr>
          </w:p>
        </w:tc>
        <w:tc>
          <w:tcPr>
            <w:tcW w:w="143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6F6043">
            <w:pPr>
              <w:widowControl/>
              <w:spacing w:line="360" w:lineRule="auto"/>
              <w:jc w:val="center"/>
              <w:rPr>
                <w:rFonts w:ascii="宋体" w:hAnsi="宋体" w:eastAsia="宋体" w:cs="宋体"/>
                <w:color w:val="auto"/>
                <w:kern w:val="0"/>
                <w:szCs w:val="21"/>
                <w:highlight w:val="none"/>
              </w:rPr>
            </w:pPr>
          </w:p>
        </w:tc>
        <w:tc>
          <w:tcPr>
            <w:tcW w:w="360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D38CD18">
            <w:pPr>
              <w:widowControl/>
              <w:spacing w:line="360" w:lineRule="auto"/>
              <w:jc w:val="center"/>
              <w:rPr>
                <w:rFonts w:ascii="宋体" w:hAnsi="宋体" w:eastAsia="宋体" w:cs="宋体"/>
                <w:color w:val="auto"/>
                <w:kern w:val="0"/>
                <w:szCs w:val="21"/>
                <w:highlight w:val="none"/>
              </w:rPr>
            </w:pPr>
          </w:p>
        </w:tc>
        <w:tc>
          <w:tcPr>
            <w:tcW w:w="72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8E62B1">
            <w:pPr>
              <w:widowControl/>
              <w:spacing w:line="360" w:lineRule="auto"/>
              <w:jc w:val="center"/>
              <w:rPr>
                <w:rFonts w:ascii="宋体" w:hAnsi="宋体" w:eastAsia="宋体" w:cs="宋体"/>
                <w:color w:val="auto"/>
                <w:kern w:val="0"/>
                <w:szCs w:val="21"/>
                <w:highlight w:val="none"/>
              </w:rPr>
            </w:pPr>
          </w:p>
        </w:tc>
      </w:tr>
      <w:tr w14:paraId="6AE437FF">
        <w:tblPrEx>
          <w:tblCellMar>
            <w:top w:w="0" w:type="dxa"/>
            <w:left w:w="0" w:type="dxa"/>
            <w:bottom w:w="0" w:type="dxa"/>
            <w:right w:w="0" w:type="dxa"/>
          </w:tblCellMar>
        </w:tblPrEx>
        <w:trPr>
          <w:jc w:val="center"/>
        </w:trPr>
        <w:tc>
          <w:tcPr>
            <w:tcW w:w="78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F75C059">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219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34E40F1">
            <w:pPr>
              <w:widowControl/>
              <w:spacing w:line="360" w:lineRule="auto"/>
              <w:jc w:val="center"/>
              <w:rPr>
                <w:rFonts w:ascii="宋体" w:hAnsi="宋体" w:eastAsia="宋体" w:cs="宋体"/>
                <w:color w:val="auto"/>
                <w:kern w:val="0"/>
                <w:szCs w:val="21"/>
                <w:highlight w:val="none"/>
              </w:rPr>
            </w:pPr>
          </w:p>
        </w:tc>
        <w:tc>
          <w:tcPr>
            <w:tcW w:w="143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D9A5BD0">
            <w:pPr>
              <w:widowControl/>
              <w:spacing w:line="360" w:lineRule="auto"/>
              <w:jc w:val="center"/>
              <w:rPr>
                <w:rFonts w:ascii="宋体" w:hAnsi="宋体" w:eastAsia="宋体" w:cs="宋体"/>
                <w:color w:val="auto"/>
                <w:kern w:val="0"/>
                <w:szCs w:val="21"/>
                <w:highlight w:val="none"/>
              </w:rPr>
            </w:pPr>
          </w:p>
        </w:tc>
        <w:tc>
          <w:tcPr>
            <w:tcW w:w="360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1FAC5F">
            <w:pPr>
              <w:widowControl/>
              <w:spacing w:line="360" w:lineRule="auto"/>
              <w:jc w:val="center"/>
              <w:rPr>
                <w:rFonts w:ascii="宋体" w:hAnsi="宋体" w:eastAsia="宋体" w:cs="宋体"/>
                <w:color w:val="auto"/>
                <w:kern w:val="0"/>
                <w:szCs w:val="21"/>
                <w:highlight w:val="none"/>
              </w:rPr>
            </w:pPr>
          </w:p>
        </w:tc>
        <w:tc>
          <w:tcPr>
            <w:tcW w:w="72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05810D">
            <w:pPr>
              <w:widowControl/>
              <w:spacing w:line="360" w:lineRule="auto"/>
              <w:jc w:val="center"/>
              <w:rPr>
                <w:rFonts w:ascii="宋体" w:hAnsi="宋体" w:eastAsia="宋体" w:cs="宋体"/>
                <w:color w:val="auto"/>
                <w:kern w:val="0"/>
                <w:szCs w:val="21"/>
                <w:highlight w:val="none"/>
              </w:rPr>
            </w:pPr>
          </w:p>
        </w:tc>
      </w:tr>
    </w:tbl>
    <w:p w14:paraId="0FF4E0EB">
      <w:pPr>
        <w:widowControl/>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注：</w:t>
      </w:r>
    </w:p>
    <w:p w14:paraId="17564D71">
      <w:pPr>
        <w:widowControl/>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845AED9">
      <w:pPr>
        <w:widowControl/>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2.本表所指的控股关系仅限于直接控股关系，不包括间接的控股关系。公司实际控制人与公司之间的关系不属于本表所指的直接控股关系。</w:t>
      </w:r>
    </w:p>
    <w:p w14:paraId="6EB28AE1">
      <w:pPr>
        <w:widowControl/>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3.供应商不存在直接控股股东的，则填“无”。</w:t>
      </w:r>
    </w:p>
    <w:p w14:paraId="6A1BB817">
      <w:pPr>
        <w:widowControl/>
        <w:snapToGrid w:val="0"/>
        <w:spacing w:line="360" w:lineRule="auto"/>
        <w:ind w:firstLine="420" w:firstLineChars="200"/>
        <w:jc w:val="left"/>
        <w:rPr>
          <w:rFonts w:ascii="宋体" w:hAnsi="宋体" w:eastAsia="宋体" w:cs="宋体"/>
          <w:color w:val="auto"/>
          <w:szCs w:val="21"/>
          <w:highlight w:val="none"/>
        </w:rPr>
      </w:pPr>
    </w:p>
    <w:p w14:paraId="537ACE5C">
      <w:pPr>
        <w:widowControl/>
        <w:snapToGrid w:val="0"/>
        <w:spacing w:line="360" w:lineRule="auto"/>
        <w:ind w:firstLine="420" w:firstLineChars="200"/>
        <w:jc w:val="left"/>
        <w:rPr>
          <w:rFonts w:ascii="宋体" w:hAnsi="宋体" w:eastAsia="宋体" w:cs="宋体"/>
          <w:color w:val="auto"/>
          <w:szCs w:val="21"/>
          <w:highlight w:val="none"/>
        </w:rPr>
      </w:pPr>
    </w:p>
    <w:p w14:paraId="464BC3A5">
      <w:pPr>
        <w:widowControl/>
        <w:spacing w:line="600" w:lineRule="auto"/>
        <w:jc w:val="left"/>
        <w:rPr>
          <w:rFonts w:ascii="宋体" w:hAnsi="宋体" w:eastAsia="宋体" w:cs="宋体"/>
          <w:color w:val="auto"/>
          <w:spacing w:val="20"/>
          <w:szCs w:val="21"/>
          <w:highlight w:val="none"/>
          <w:u w:val="single"/>
        </w:rPr>
      </w:pPr>
      <w:r>
        <w:rPr>
          <w:rFonts w:hint="eastAsia" w:ascii="宋体" w:hAnsi="宋体" w:eastAsia="宋体" w:cs="宋体"/>
          <w:color w:val="auto"/>
          <w:szCs w:val="21"/>
          <w:highlight w:val="none"/>
        </w:rPr>
        <w:t>法定代表人或者委托代理人</w:t>
      </w:r>
      <w:r>
        <w:rPr>
          <w:rFonts w:hint="eastAsia" w:ascii="宋体" w:hAnsi="宋体" w:eastAsia="宋体" w:cs="宋体"/>
          <w:color w:val="auto"/>
          <w:spacing w:val="20"/>
          <w:szCs w:val="21"/>
          <w:highlight w:val="none"/>
        </w:rPr>
        <w:t>（签字/电子签名）：</w:t>
      </w:r>
      <w:r>
        <w:rPr>
          <w:rFonts w:hint="eastAsia" w:ascii="宋体" w:hAnsi="宋体" w:eastAsia="宋体" w:cs="宋体"/>
          <w:color w:val="auto"/>
          <w:spacing w:val="20"/>
          <w:szCs w:val="21"/>
          <w:highlight w:val="none"/>
          <w:u w:val="single"/>
        </w:rPr>
        <w:t xml:space="preserve">      </w:t>
      </w:r>
    </w:p>
    <w:p w14:paraId="228C2421">
      <w:pPr>
        <w:widowControl/>
        <w:spacing w:line="60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lang w:val="zh-CN"/>
        </w:rPr>
        <w:t>供应商名称（盖公章）</w:t>
      </w:r>
      <w:r>
        <w:rPr>
          <w:rFonts w:hint="eastAsia" w:ascii="宋体" w:hAnsi="宋体" w:eastAsia="宋体" w:cs="宋体"/>
          <w:color w:val="auto"/>
          <w:spacing w:val="20"/>
          <w:szCs w:val="21"/>
          <w:highlight w:val="none"/>
        </w:rPr>
        <w:t>：</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pacing w:val="20"/>
          <w:szCs w:val="21"/>
          <w:highlight w:val="none"/>
        </w:rPr>
        <w:t xml:space="preserve">    日  期：</w:t>
      </w:r>
      <w:r>
        <w:rPr>
          <w:rFonts w:hint="eastAsia" w:ascii="宋体" w:hAnsi="宋体" w:eastAsia="宋体" w:cs="宋体"/>
          <w:color w:val="auto"/>
          <w:spacing w:val="20"/>
          <w:szCs w:val="21"/>
          <w:highlight w:val="none"/>
          <w:u w:val="single"/>
        </w:rPr>
        <w:t xml:space="preserve">        </w:t>
      </w:r>
    </w:p>
    <w:p w14:paraId="5AFDBEC1">
      <w:pPr>
        <w:widowControl/>
        <w:spacing w:before="260" w:after="260" w:line="415"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br w:type="page"/>
      </w:r>
    </w:p>
    <w:p w14:paraId="71FB94D5">
      <w:pPr>
        <w:widowControl/>
        <w:spacing w:line="360" w:lineRule="auto"/>
        <w:ind w:firstLine="640" w:firstLineChars="200"/>
        <w:jc w:val="left"/>
        <w:rPr>
          <w:rFonts w:ascii="宋体" w:hAnsi="宋体" w:eastAsia="宋体" w:cs="宋体"/>
          <w:color w:val="auto"/>
          <w:sz w:val="32"/>
          <w:szCs w:val="32"/>
          <w:highlight w:val="none"/>
        </w:rPr>
      </w:pPr>
    </w:p>
    <w:p w14:paraId="12418956">
      <w:pPr>
        <w:widowControl/>
        <w:snapToGrid w:val="0"/>
        <w:spacing w:before="50" w:after="50"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供应商直接管理关系信息表</w:t>
      </w:r>
    </w:p>
    <w:p w14:paraId="6B14D8D7">
      <w:pPr>
        <w:widowControl/>
        <w:spacing w:line="360" w:lineRule="auto"/>
        <w:ind w:firstLine="420" w:firstLineChars="200"/>
        <w:jc w:val="left"/>
        <w:rPr>
          <w:rFonts w:ascii="宋体" w:hAnsi="宋体" w:eastAsia="宋体" w:cs="宋体"/>
          <w:color w:val="auto"/>
          <w:szCs w:val="21"/>
          <w:highlight w:val="none"/>
        </w:rPr>
      </w:pPr>
    </w:p>
    <w:tbl>
      <w:tblPr>
        <w:tblStyle w:val="26"/>
        <w:tblW w:w="8744" w:type="dxa"/>
        <w:jc w:val="center"/>
        <w:shd w:val="clear" w:color="auto" w:fill="FBFBFB"/>
        <w:tblLayout w:type="fixed"/>
        <w:tblCellMar>
          <w:top w:w="0" w:type="dxa"/>
          <w:left w:w="0" w:type="dxa"/>
          <w:bottom w:w="0" w:type="dxa"/>
          <w:right w:w="0" w:type="dxa"/>
        </w:tblCellMar>
      </w:tblPr>
      <w:tblGrid>
        <w:gridCol w:w="932"/>
        <w:gridCol w:w="3003"/>
        <w:gridCol w:w="2934"/>
        <w:gridCol w:w="1875"/>
      </w:tblGrid>
      <w:tr w14:paraId="30E4C89F">
        <w:tblPrEx>
          <w:shd w:val="clear" w:color="auto" w:fill="FBFBFB"/>
          <w:tblCellMar>
            <w:top w:w="0" w:type="dxa"/>
            <w:left w:w="0" w:type="dxa"/>
            <w:bottom w:w="0" w:type="dxa"/>
            <w:right w:w="0" w:type="dxa"/>
          </w:tblCellMar>
        </w:tblPrEx>
        <w:trPr>
          <w:tblHeader/>
          <w:jc w:val="center"/>
        </w:trPr>
        <w:tc>
          <w:tcPr>
            <w:tcW w:w="93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8DA68F7">
            <w:pPr>
              <w:widowControl/>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300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D81E34D">
            <w:pPr>
              <w:widowControl/>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直接管理关系单位名称</w:t>
            </w:r>
          </w:p>
        </w:tc>
        <w:tc>
          <w:tcPr>
            <w:tcW w:w="293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CE8FAC">
            <w:pPr>
              <w:widowControl/>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统一社会信用代码</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7663AD">
            <w:pPr>
              <w:widowControl/>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备注</w:t>
            </w:r>
          </w:p>
        </w:tc>
      </w:tr>
      <w:tr w14:paraId="37B4CEED">
        <w:tblPrEx>
          <w:tblCellMar>
            <w:top w:w="0" w:type="dxa"/>
            <w:left w:w="0" w:type="dxa"/>
            <w:bottom w:w="0" w:type="dxa"/>
            <w:right w:w="0" w:type="dxa"/>
          </w:tblCellMar>
        </w:tblPrEx>
        <w:trPr>
          <w:jc w:val="center"/>
        </w:trPr>
        <w:tc>
          <w:tcPr>
            <w:tcW w:w="93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AAD79B">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00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7F205A0">
            <w:pPr>
              <w:widowControl/>
              <w:spacing w:line="360" w:lineRule="auto"/>
              <w:jc w:val="center"/>
              <w:rPr>
                <w:rFonts w:ascii="宋体" w:hAnsi="宋体" w:eastAsia="宋体" w:cs="宋体"/>
                <w:color w:val="auto"/>
                <w:kern w:val="0"/>
                <w:szCs w:val="21"/>
                <w:highlight w:val="none"/>
              </w:rPr>
            </w:pPr>
          </w:p>
        </w:tc>
        <w:tc>
          <w:tcPr>
            <w:tcW w:w="293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3B1E9A6">
            <w:pPr>
              <w:widowControl/>
              <w:spacing w:line="360" w:lineRule="auto"/>
              <w:jc w:val="center"/>
              <w:rPr>
                <w:rFonts w:ascii="宋体" w:hAnsi="宋体" w:eastAsia="宋体" w:cs="宋体"/>
                <w:color w:val="auto"/>
                <w:kern w:val="0"/>
                <w:szCs w:val="21"/>
                <w:highlight w:val="none"/>
              </w:rPr>
            </w:pPr>
          </w:p>
        </w:tc>
        <w:tc>
          <w:tcPr>
            <w:tcW w:w="187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E75F47">
            <w:pPr>
              <w:widowControl/>
              <w:spacing w:line="360" w:lineRule="auto"/>
              <w:jc w:val="center"/>
              <w:rPr>
                <w:rFonts w:ascii="宋体" w:hAnsi="宋体" w:eastAsia="宋体" w:cs="宋体"/>
                <w:color w:val="auto"/>
                <w:kern w:val="0"/>
                <w:szCs w:val="21"/>
                <w:highlight w:val="none"/>
              </w:rPr>
            </w:pPr>
          </w:p>
        </w:tc>
      </w:tr>
      <w:tr w14:paraId="239B7B21">
        <w:tblPrEx>
          <w:tblCellMar>
            <w:top w:w="0" w:type="dxa"/>
            <w:left w:w="0" w:type="dxa"/>
            <w:bottom w:w="0" w:type="dxa"/>
            <w:right w:w="0" w:type="dxa"/>
          </w:tblCellMar>
        </w:tblPrEx>
        <w:trPr>
          <w:jc w:val="center"/>
        </w:trPr>
        <w:tc>
          <w:tcPr>
            <w:tcW w:w="93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D230C42">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00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B9C939">
            <w:pPr>
              <w:widowControl/>
              <w:spacing w:line="360" w:lineRule="auto"/>
              <w:jc w:val="center"/>
              <w:rPr>
                <w:rFonts w:ascii="宋体" w:hAnsi="宋体" w:eastAsia="宋体" w:cs="宋体"/>
                <w:color w:val="auto"/>
                <w:kern w:val="0"/>
                <w:szCs w:val="21"/>
                <w:highlight w:val="none"/>
              </w:rPr>
            </w:pPr>
          </w:p>
        </w:tc>
        <w:tc>
          <w:tcPr>
            <w:tcW w:w="293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F25760C">
            <w:pPr>
              <w:widowControl/>
              <w:spacing w:line="360" w:lineRule="auto"/>
              <w:jc w:val="center"/>
              <w:rPr>
                <w:rFonts w:ascii="宋体" w:hAnsi="宋体" w:eastAsia="宋体" w:cs="宋体"/>
                <w:color w:val="auto"/>
                <w:kern w:val="0"/>
                <w:szCs w:val="21"/>
                <w:highlight w:val="none"/>
              </w:rPr>
            </w:pPr>
          </w:p>
        </w:tc>
        <w:tc>
          <w:tcPr>
            <w:tcW w:w="187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24DAB2">
            <w:pPr>
              <w:widowControl/>
              <w:spacing w:line="360" w:lineRule="auto"/>
              <w:jc w:val="center"/>
              <w:rPr>
                <w:rFonts w:ascii="宋体" w:hAnsi="宋体" w:eastAsia="宋体" w:cs="宋体"/>
                <w:color w:val="auto"/>
                <w:kern w:val="0"/>
                <w:szCs w:val="21"/>
                <w:highlight w:val="none"/>
              </w:rPr>
            </w:pPr>
          </w:p>
        </w:tc>
      </w:tr>
      <w:tr w14:paraId="11910EBF">
        <w:tblPrEx>
          <w:tblCellMar>
            <w:top w:w="0" w:type="dxa"/>
            <w:left w:w="0" w:type="dxa"/>
            <w:bottom w:w="0" w:type="dxa"/>
            <w:right w:w="0" w:type="dxa"/>
          </w:tblCellMar>
        </w:tblPrEx>
        <w:trPr>
          <w:jc w:val="center"/>
        </w:trPr>
        <w:tc>
          <w:tcPr>
            <w:tcW w:w="93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B9C82C">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300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6D0CCA">
            <w:pPr>
              <w:widowControl/>
              <w:spacing w:line="360" w:lineRule="auto"/>
              <w:jc w:val="center"/>
              <w:rPr>
                <w:rFonts w:ascii="宋体" w:hAnsi="宋体" w:eastAsia="宋体" w:cs="宋体"/>
                <w:color w:val="auto"/>
                <w:kern w:val="0"/>
                <w:szCs w:val="21"/>
                <w:highlight w:val="none"/>
              </w:rPr>
            </w:pPr>
          </w:p>
        </w:tc>
        <w:tc>
          <w:tcPr>
            <w:tcW w:w="293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E352D5C">
            <w:pPr>
              <w:widowControl/>
              <w:spacing w:line="360" w:lineRule="auto"/>
              <w:jc w:val="center"/>
              <w:rPr>
                <w:rFonts w:ascii="宋体" w:hAnsi="宋体" w:eastAsia="宋体" w:cs="宋体"/>
                <w:color w:val="auto"/>
                <w:kern w:val="0"/>
                <w:szCs w:val="21"/>
                <w:highlight w:val="none"/>
              </w:rPr>
            </w:pPr>
          </w:p>
        </w:tc>
        <w:tc>
          <w:tcPr>
            <w:tcW w:w="187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810A3C">
            <w:pPr>
              <w:widowControl/>
              <w:spacing w:line="360" w:lineRule="auto"/>
              <w:jc w:val="center"/>
              <w:rPr>
                <w:rFonts w:ascii="宋体" w:hAnsi="宋体" w:eastAsia="宋体" w:cs="宋体"/>
                <w:color w:val="auto"/>
                <w:kern w:val="0"/>
                <w:szCs w:val="21"/>
                <w:highlight w:val="none"/>
              </w:rPr>
            </w:pPr>
          </w:p>
        </w:tc>
      </w:tr>
      <w:tr w14:paraId="160001B0">
        <w:tblPrEx>
          <w:tblCellMar>
            <w:top w:w="0" w:type="dxa"/>
            <w:left w:w="0" w:type="dxa"/>
            <w:bottom w:w="0" w:type="dxa"/>
            <w:right w:w="0" w:type="dxa"/>
          </w:tblCellMar>
        </w:tblPrEx>
        <w:trPr>
          <w:jc w:val="center"/>
        </w:trPr>
        <w:tc>
          <w:tcPr>
            <w:tcW w:w="93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F94DB6">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300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EA0E5A">
            <w:pPr>
              <w:widowControl/>
              <w:spacing w:line="360" w:lineRule="auto"/>
              <w:jc w:val="center"/>
              <w:rPr>
                <w:rFonts w:ascii="宋体" w:hAnsi="宋体" w:eastAsia="宋体" w:cs="宋体"/>
                <w:color w:val="auto"/>
                <w:kern w:val="0"/>
                <w:szCs w:val="21"/>
                <w:highlight w:val="none"/>
              </w:rPr>
            </w:pPr>
          </w:p>
        </w:tc>
        <w:tc>
          <w:tcPr>
            <w:tcW w:w="293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30E034">
            <w:pPr>
              <w:widowControl/>
              <w:spacing w:line="360" w:lineRule="auto"/>
              <w:jc w:val="center"/>
              <w:rPr>
                <w:rFonts w:ascii="宋体" w:hAnsi="宋体" w:eastAsia="宋体" w:cs="宋体"/>
                <w:color w:val="auto"/>
                <w:kern w:val="0"/>
                <w:szCs w:val="21"/>
                <w:highlight w:val="none"/>
              </w:rPr>
            </w:pPr>
          </w:p>
        </w:tc>
        <w:tc>
          <w:tcPr>
            <w:tcW w:w="187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94202B0">
            <w:pPr>
              <w:widowControl/>
              <w:spacing w:line="360" w:lineRule="auto"/>
              <w:jc w:val="center"/>
              <w:rPr>
                <w:rFonts w:ascii="宋体" w:hAnsi="宋体" w:eastAsia="宋体" w:cs="宋体"/>
                <w:color w:val="auto"/>
                <w:kern w:val="0"/>
                <w:szCs w:val="21"/>
                <w:highlight w:val="none"/>
              </w:rPr>
            </w:pPr>
          </w:p>
        </w:tc>
      </w:tr>
    </w:tbl>
    <w:p w14:paraId="139F2DE0">
      <w:pPr>
        <w:widowControl/>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注：</w:t>
      </w:r>
    </w:p>
    <w:p w14:paraId="3694A8CF">
      <w:pPr>
        <w:widowControl/>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1.管理关系：是指不具有出资持股关系的其他单位之间存在的管理与被管理关系，如一些上下级关系的事业单位和团体组织。</w:t>
      </w:r>
    </w:p>
    <w:p w14:paraId="3512DAA1">
      <w:pPr>
        <w:widowControl/>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pacing w:val="-6"/>
          <w:szCs w:val="21"/>
          <w:highlight w:val="none"/>
        </w:rPr>
        <w:t>本表所指的管理关系仅限于直接管理关系，不包括间接的管理关系。</w:t>
      </w:r>
    </w:p>
    <w:p w14:paraId="16D881F8">
      <w:pPr>
        <w:widowControl/>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3.供应商不存在直接管理关系的，则填“无”。</w:t>
      </w:r>
    </w:p>
    <w:p w14:paraId="0BBB802E">
      <w:pPr>
        <w:widowControl/>
        <w:snapToGrid w:val="0"/>
        <w:spacing w:line="360" w:lineRule="auto"/>
        <w:ind w:firstLine="420" w:firstLineChars="200"/>
        <w:jc w:val="left"/>
        <w:rPr>
          <w:rFonts w:ascii="宋体" w:hAnsi="宋体" w:eastAsia="宋体" w:cs="宋体"/>
          <w:color w:val="auto"/>
          <w:szCs w:val="21"/>
          <w:highlight w:val="none"/>
        </w:rPr>
      </w:pPr>
    </w:p>
    <w:p w14:paraId="08541B20">
      <w:pPr>
        <w:widowControl/>
        <w:snapToGrid w:val="0"/>
        <w:spacing w:line="360" w:lineRule="auto"/>
        <w:ind w:firstLine="420" w:firstLineChars="200"/>
        <w:jc w:val="left"/>
        <w:rPr>
          <w:rFonts w:ascii="宋体" w:hAnsi="宋体" w:eastAsia="宋体" w:cs="宋体"/>
          <w:color w:val="auto"/>
          <w:szCs w:val="21"/>
          <w:highlight w:val="none"/>
        </w:rPr>
      </w:pPr>
    </w:p>
    <w:p w14:paraId="67EF4BD3">
      <w:pPr>
        <w:widowControl/>
        <w:snapToGrid w:val="0"/>
        <w:spacing w:line="360" w:lineRule="auto"/>
        <w:ind w:firstLine="420" w:firstLineChars="200"/>
        <w:jc w:val="left"/>
        <w:rPr>
          <w:rFonts w:ascii="宋体" w:hAnsi="宋体" w:eastAsia="宋体" w:cs="宋体"/>
          <w:color w:val="auto"/>
          <w:szCs w:val="21"/>
          <w:highlight w:val="none"/>
        </w:rPr>
      </w:pPr>
    </w:p>
    <w:p w14:paraId="4C3E2191">
      <w:pPr>
        <w:widowControl/>
        <w:spacing w:line="600" w:lineRule="auto"/>
        <w:jc w:val="left"/>
        <w:rPr>
          <w:rFonts w:ascii="宋体" w:hAnsi="宋体" w:eastAsia="宋体" w:cs="宋体"/>
          <w:color w:val="auto"/>
          <w:spacing w:val="20"/>
          <w:szCs w:val="21"/>
          <w:highlight w:val="none"/>
          <w:u w:val="single"/>
        </w:rPr>
      </w:pPr>
      <w:r>
        <w:rPr>
          <w:rFonts w:hint="eastAsia" w:ascii="宋体" w:hAnsi="宋体" w:eastAsia="宋体" w:cs="宋体"/>
          <w:color w:val="auto"/>
          <w:szCs w:val="21"/>
          <w:highlight w:val="none"/>
        </w:rPr>
        <w:t>法定代表人或者委托代理人（签字/电子签名）</w:t>
      </w:r>
      <w:r>
        <w:rPr>
          <w:rFonts w:hint="eastAsia" w:ascii="宋体" w:hAnsi="宋体" w:eastAsia="宋体" w:cs="宋体"/>
          <w:color w:val="auto"/>
          <w:spacing w:val="20"/>
          <w:szCs w:val="21"/>
          <w:highlight w:val="none"/>
        </w:rPr>
        <w:t>：</w:t>
      </w:r>
      <w:r>
        <w:rPr>
          <w:rFonts w:hint="eastAsia" w:ascii="宋体" w:hAnsi="宋体" w:eastAsia="宋体" w:cs="宋体"/>
          <w:color w:val="auto"/>
          <w:spacing w:val="20"/>
          <w:szCs w:val="21"/>
          <w:highlight w:val="none"/>
          <w:u w:val="single"/>
        </w:rPr>
        <w:t xml:space="preserve">        </w:t>
      </w:r>
    </w:p>
    <w:p w14:paraId="59FCF4F2">
      <w:pPr>
        <w:widowControl/>
        <w:spacing w:line="60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lang w:val="zh-CN"/>
        </w:rPr>
        <w:t>供应商名称（盖公章）</w:t>
      </w:r>
      <w:r>
        <w:rPr>
          <w:rFonts w:hint="eastAsia" w:ascii="宋体" w:hAnsi="宋体" w:eastAsia="宋体" w:cs="宋体"/>
          <w:color w:val="auto"/>
          <w:spacing w:val="20"/>
          <w:szCs w:val="21"/>
          <w:highlight w:val="none"/>
        </w:rPr>
        <w:t>：</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pacing w:val="20"/>
          <w:szCs w:val="21"/>
          <w:highlight w:val="none"/>
        </w:rPr>
        <w:t xml:space="preserve">    日  期：</w:t>
      </w:r>
      <w:r>
        <w:rPr>
          <w:rFonts w:hint="eastAsia" w:ascii="宋体" w:hAnsi="宋体" w:eastAsia="宋体" w:cs="宋体"/>
          <w:color w:val="auto"/>
          <w:spacing w:val="20"/>
          <w:szCs w:val="21"/>
          <w:highlight w:val="none"/>
          <w:u w:val="single"/>
        </w:rPr>
        <w:t xml:space="preserve">        </w:t>
      </w:r>
    </w:p>
    <w:p w14:paraId="65ACB6E7">
      <w:pPr>
        <w:widowControl/>
        <w:snapToGrid w:val="0"/>
        <w:spacing w:before="50" w:afterLines="50" w:line="360" w:lineRule="auto"/>
        <w:ind w:firstLine="420" w:firstLineChars="200"/>
        <w:jc w:val="left"/>
        <w:rPr>
          <w:rFonts w:ascii="宋体" w:hAnsi="宋体" w:eastAsia="宋体" w:cs="宋体"/>
          <w:color w:val="auto"/>
          <w:szCs w:val="21"/>
          <w:highlight w:val="none"/>
        </w:rPr>
      </w:pPr>
    </w:p>
    <w:p w14:paraId="1EAB1CB9">
      <w:pPr>
        <w:widowControl/>
        <w:spacing w:line="360" w:lineRule="auto"/>
        <w:jc w:val="left"/>
        <w:rPr>
          <w:rFonts w:ascii="宋体" w:hAnsi="宋体" w:eastAsia="宋体" w:cs="宋体"/>
          <w:color w:val="auto"/>
          <w:szCs w:val="21"/>
          <w:highlight w:val="none"/>
        </w:rPr>
      </w:pPr>
    </w:p>
    <w:p w14:paraId="61A84018">
      <w:pPr>
        <w:widowControl/>
        <w:spacing w:before="260" w:after="260" w:line="415"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03921F5E">
      <w:pPr>
        <w:keepNext/>
        <w:keepLines/>
        <w:widowControl/>
        <w:spacing w:line="360" w:lineRule="auto"/>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3.磋商声明</w:t>
      </w:r>
    </w:p>
    <w:p w14:paraId="15DE3EAE">
      <w:pPr>
        <w:widowControl/>
        <w:snapToGrid w:val="0"/>
        <w:spacing w:line="320" w:lineRule="exact"/>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磋商声明</w:t>
      </w:r>
    </w:p>
    <w:p w14:paraId="48B181B3">
      <w:pPr>
        <w:widowControl/>
        <w:spacing w:line="320" w:lineRule="exact"/>
        <w:jc w:val="left"/>
        <w:rPr>
          <w:rFonts w:ascii="宋体" w:hAnsi="宋体" w:eastAsia="宋体" w:cs="宋体"/>
          <w:b/>
          <w:bCs/>
          <w:color w:val="auto"/>
          <w:szCs w:val="21"/>
          <w:highlight w:val="none"/>
          <w:u w:val="single"/>
        </w:rPr>
      </w:pPr>
      <w:r>
        <w:rPr>
          <w:rFonts w:hint="eastAsia" w:ascii="宋体" w:hAnsi="宋体" w:eastAsia="宋体" w:cs="宋体"/>
          <w:b/>
          <w:bCs/>
          <w:color w:val="auto"/>
          <w:szCs w:val="21"/>
          <w:highlight w:val="none"/>
        </w:rPr>
        <w:t>致：</w:t>
      </w:r>
      <w:r>
        <w:rPr>
          <w:rFonts w:hint="eastAsia" w:ascii="宋体" w:hAnsi="宋体" w:eastAsia="宋体" w:cs="宋体"/>
          <w:b/>
          <w:bCs/>
          <w:color w:val="auto"/>
          <w:szCs w:val="21"/>
          <w:highlight w:val="none"/>
          <w:u w:val="single"/>
        </w:rPr>
        <w:t>（采购人名称）</w:t>
      </w:r>
    </w:p>
    <w:p w14:paraId="0A74340A">
      <w:pPr>
        <w:widowControl/>
        <w:spacing w:line="32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u w:val="single"/>
        </w:rPr>
        <w:t>（供应商名称）</w:t>
      </w:r>
      <w:r>
        <w:rPr>
          <w:rFonts w:hint="eastAsia" w:ascii="宋体" w:hAnsi="宋体" w:eastAsia="宋体" w:cs="宋体"/>
          <w:color w:val="auto"/>
          <w:szCs w:val="21"/>
          <w:highlight w:val="none"/>
        </w:rPr>
        <w:t>系中华人民共和国合法供应商，经营地址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B2F2EEC">
      <w:pPr>
        <w:widowControl/>
        <w:spacing w:line="32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我方愿意参加贵方组织的</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u w:val="single"/>
          <w:lang w:eastAsia="zh-CN"/>
        </w:rPr>
        <w:t>（项目编号）</w:t>
      </w:r>
      <w:r>
        <w:rPr>
          <w:rFonts w:hint="eastAsia" w:ascii="宋体" w:hAnsi="宋体" w:eastAsia="宋体" w:cs="宋体"/>
          <w:color w:val="auto"/>
          <w:szCs w:val="21"/>
          <w:highlight w:val="none"/>
        </w:rPr>
        <w:t>项目的磋商，为便于贵方公正、择优地确定成交供应商及其响应产品和服务，我方就本次磋商有关事项郑重声明如下：</w:t>
      </w:r>
    </w:p>
    <w:p w14:paraId="2FC7942E">
      <w:pPr>
        <w:widowControl/>
        <w:spacing w:line="32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1.我方向贵方提交的所有响应文件、资料都是准确的和真实的。</w:t>
      </w:r>
    </w:p>
    <w:p w14:paraId="568B8BE4">
      <w:pPr>
        <w:widowControl/>
        <w:spacing w:line="32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2.我方不是为本次采购项目提供整体设计、规范编制或者项目管理、监理、检测等服务的供应商。</w:t>
      </w:r>
    </w:p>
    <w:p w14:paraId="31C432A0">
      <w:pPr>
        <w:widowControl/>
        <w:spacing w:line="32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3.在此，我方宣布同意如下：</w:t>
      </w:r>
    </w:p>
    <w:p w14:paraId="791A4E40">
      <w:pPr>
        <w:widowControl/>
        <w:spacing w:line="32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（1）将按磋商文件的约定履行合同责任和义务；</w:t>
      </w:r>
    </w:p>
    <w:p w14:paraId="34178991">
      <w:pPr>
        <w:widowControl/>
        <w:spacing w:line="32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（2）已详细审查全部磋商文件，包括澄清或者更正公告（如有）；</w:t>
      </w:r>
    </w:p>
    <w:p w14:paraId="30670A68">
      <w:pPr>
        <w:widowControl/>
        <w:spacing w:line="32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（3）同意提供按照贵方可能要求的与磋商有关的一切数据或者资料；</w:t>
      </w:r>
    </w:p>
    <w:p w14:paraId="6E1FE157">
      <w:pPr>
        <w:widowControl/>
        <w:spacing w:line="32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（4）响应磋商文件规定的磋商有效期。</w:t>
      </w:r>
    </w:p>
    <w:p w14:paraId="471F3B6D">
      <w:pPr>
        <w:widowControl/>
        <w:spacing w:line="32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4.我方承诺符合《中华人民共和国政府采购法》第二十二条规定：</w:t>
      </w:r>
    </w:p>
    <w:p w14:paraId="00048249">
      <w:pPr>
        <w:widowControl/>
        <w:spacing w:line="32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（1）具有独立承担民事责任的能力；</w:t>
      </w:r>
    </w:p>
    <w:p w14:paraId="0C742C59">
      <w:pPr>
        <w:widowControl/>
        <w:spacing w:line="32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（2）具有良好的商业信誉和健全的财务会计制度；</w:t>
      </w:r>
    </w:p>
    <w:p w14:paraId="71C2D608">
      <w:pPr>
        <w:widowControl/>
        <w:spacing w:line="32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（3）具有履行合同所必需的设备和专业技术能力；</w:t>
      </w:r>
    </w:p>
    <w:p w14:paraId="56465C9E">
      <w:pPr>
        <w:widowControl/>
        <w:spacing w:line="32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（4）有依法缴纳税收和社会保障资金的良好记录；</w:t>
      </w:r>
    </w:p>
    <w:p w14:paraId="27458169">
      <w:pPr>
        <w:widowControl/>
        <w:spacing w:line="32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（5）参加政府采购活动前三年内，在经营活动中没有重大违法记录；</w:t>
      </w:r>
    </w:p>
    <w:p w14:paraId="0304DE50">
      <w:pPr>
        <w:widowControl/>
        <w:spacing w:line="32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（6）法律、行政法规规定的其他条件。</w:t>
      </w:r>
    </w:p>
    <w:p w14:paraId="479FE57E">
      <w:pPr>
        <w:widowControl/>
        <w:spacing w:line="32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B839C80">
      <w:pPr>
        <w:widowControl/>
        <w:spacing w:line="32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6.根据《中华人民共和国政府采购法实施条例》第五十条要求对政府采购合同进行公告，但政府采购合同中涉及国家秘密、商业秘密的内容除外。我方就对本次响应文件进行注明如下：（</w:t>
      </w:r>
      <w:r>
        <w:rPr>
          <w:rFonts w:hint="eastAsia" w:ascii="宋体" w:hAnsi="宋体" w:eastAsia="宋体" w:cs="宋体"/>
          <w:b/>
          <w:bCs/>
          <w:color w:val="auto"/>
          <w:szCs w:val="21"/>
          <w:highlight w:val="none"/>
        </w:rPr>
        <w:t>两项内容中必须选择一项</w:t>
      </w:r>
      <w:r>
        <w:rPr>
          <w:rFonts w:hint="eastAsia" w:ascii="宋体" w:hAnsi="宋体" w:eastAsia="宋体" w:cs="宋体"/>
          <w:color w:val="auto"/>
          <w:szCs w:val="21"/>
          <w:highlight w:val="none"/>
        </w:rPr>
        <w:t>）</w:t>
      </w:r>
    </w:p>
    <w:p w14:paraId="6D9A144E">
      <w:pPr>
        <w:widowControl/>
        <w:spacing w:line="32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□我方本次响应文件</w:t>
      </w:r>
      <w:r>
        <w:rPr>
          <w:rFonts w:hint="eastAsia" w:ascii="宋体" w:hAnsi="宋体" w:eastAsia="宋体" w:cs="宋体"/>
          <w:color w:val="auto"/>
          <w:kern w:val="0"/>
          <w:szCs w:val="21"/>
          <w:highlight w:val="none"/>
        </w:rPr>
        <w:t>内容中</w:t>
      </w:r>
      <w:r>
        <w:rPr>
          <w:rFonts w:hint="eastAsia" w:ascii="宋体" w:hAnsi="宋体" w:eastAsia="宋体" w:cs="宋体"/>
          <w:color w:val="auto"/>
          <w:szCs w:val="21"/>
          <w:highlight w:val="none"/>
        </w:rPr>
        <w:t>未</w:t>
      </w:r>
      <w:r>
        <w:rPr>
          <w:rFonts w:hint="eastAsia" w:ascii="宋体" w:hAnsi="宋体" w:eastAsia="宋体" w:cs="宋体"/>
          <w:color w:val="auto"/>
          <w:kern w:val="0"/>
          <w:szCs w:val="21"/>
          <w:highlight w:val="none"/>
        </w:rPr>
        <w:t>涉及商业秘密；</w:t>
      </w:r>
    </w:p>
    <w:p w14:paraId="41A2AB4A">
      <w:pPr>
        <w:widowControl/>
        <w:spacing w:line="32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□我方本次响应文件</w:t>
      </w:r>
      <w:r>
        <w:rPr>
          <w:rFonts w:hint="eastAsia" w:ascii="宋体" w:hAnsi="宋体" w:eastAsia="宋体" w:cs="宋体"/>
          <w:color w:val="auto"/>
          <w:kern w:val="0"/>
          <w:szCs w:val="21"/>
          <w:highlight w:val="none"/>
        </w:rPr>
        <w:t>涉及商业秘密的内容有：</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60C2800A">
      <w:pPr>
        <w:spacing w:line="320" w:lineRule="exact"/>
        <w:ind w:firstLine="420" w:firstLineChars="200"/>
        <w:contextualSpacing/>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7.与本磋商有关的一切正式往来信函请寄：</w:t>
      </w:r>
    </w:p>
    <w:p w14:paraId="10A9E51F">
      <w:pPr>
        <w:spacing w:line="320" w:lineRule="exact"/>
        <w:ind w:firstLine="420" w:firstLineChars="200"/>
        <w:contextualSpacing/>
        <w:jc w:val="left"/>
        <w:rPr>
          <w:rFonts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lang w:val="zh-CN"/>
        </w:rPr>
        <w:t>地址：</w:t>
      </w:r>
      <w:r>
        <w:rPr>
          <w:rFonts w:hint="eastAsia" w:ascii="宋体" w:hAnsi="宋体" w:eastAsia="宋体" w:cs="宋体"/>
          <w:color w:val="auto"/>
          <w:kern w:val="0"/>
          <w:szCs w:val="21"/>
          <w:highlight w:val="none"/>
          <w:u w:val="single"/>
          <w:lang w:val="zh-CN"/>
        </w:rPr>
        <w:t xml:space="preserve">                          </w:t>
      </w:r>
      <w:r>
        <w:rPr>
          <w:rFonts w:hint="eastAsia" w:ascii="宋体" w:hAnsi="宋体" w:eastAsia="宋体" w:cs="宋体"/>
          <w:color w:val="auto"/>
          <w:kern w:val="0"/>
          <w:szCs w:val="21"/>
          <w:highlight w:val="none"/>
          <w:lang w:val="zh-CN"/>
        </w:rPr>
        <w:t xml:space="preserve">   邮政编号：</w:t>
      </w:r>
      <w:r>
        <w:rPr>
          <w:rFonts w:hint="eastAsia" w:ascii="宋体" w:hAnsi="宋体" w:eastAsia="宋体" w:cs="宋体"/>
          <w:color w:val="auto"/>
          <w:kern w:val="0"/>
          <w:szCs w:val="21"/>
          <w:highlight w:val="none"/>
          <w:u w:val="single"/>
          <w:lang w:val="zh-CN"/>
        </w:rPr>
        <w:t xml:space="preserve">                      </w:t>
      </w:r>
    </w:p>
    <w:p w14:paraId="0C24DA02">
      <w:pPr>
        <w:spacing w:line="320" w:lineRule="exact"/>
        <w:ind w:firstLine="420" w:firstLineChars="200"/>
        <w:contextualSpacing/>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电话/传真：</w:t>
      </w:r>
      <w:r>
        <w:rPr>
          <w:rFonts w:hint="eastAsia" w:ascii="宋体" w:hAnsi="宋体" w:eastAsia="宋体" w:cs="宋体"/>
          <w:color w:val="auto"/>
          <w:kern w:val="0"/>
          <w:szCs w:val="21"/>
          <w:highlight w:val="none"/>
          <w:u w:val="single"/>
          <w:lang w:val="zh-CN"/>
        </w:rPr>
        <w:t xml:space="preserve">                     </w:t>
      </w:r>
      <w:r>
        <w:rPr>
          <w:rFonts w:hint="eastAsia" w:ascii="宋体" w:hAnsi="宋体" w:eastAsia="宋体" w:cs="宋体"/>
          <w:color w:val="auto"/>
          <w:kern w:val="0"/>
          <w:szCs w:val="21"/>
          <w:highlight w:val="none"/>
          <w:lang w:val="zh-CN"/>
        </w:rPr>
        <w:t xml:space="preserve">   电子邮箱：</w:t>
      </w:r>
      <w:r>
        <w:rPr>
          <w:rFonts w:hint="eastAsia" w:ascii="宋体" w:hAnsi="宋体" w:eastAsia="宋体" w:cs="宋体"/>
          <w:color w:val="auto"/>
          <w:kern w:val="0"/>
          <w:szCs w:val="21"/>
          <w:highlight w:val="none"/>
          <w:u w:val="single"/>
          <w:lang w:val="zh-CN"/>
        </w:rPr>
        <w:t xml:space="preserve">                      </w:t>
      </w:r>
    </w:p>
    <w:p w14:paraId="41F946C7">
      <w:pPr>
        <w:tabs>
          <w:tab w:val="left" w:pos="939"/>
        </w:tabs>
        <w:spacing w:line="32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帐号：</w:t>
      </w:r>
      <w:r>
        <w:rPr>
          <w:rFonts w:hint="eastAsia" w:ascii="宋体" w:hAnsi="宋体" w:eastAsia="宋体" w:cs="宋体"/>
          <w:color w:val="auto"/>
          <w:szCs w:val="21"/>
          <w:highlight w:val="none"/>
          <w:u w:val="single"/>
        </w:rPr>
        <w:t xml:space="preserve">                          </w:t>
      </w:r>
    </w:p>
    <w:p w14:paraId="39531429">
      <w:pPr>
        <w:tabs>
          <w:tab w:val="left" w:pos="939"/>
        </w:tabs>
        <w:spacing w:line="32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8.以上事项如有虚假或者隐瞒，我方愿意承担一切后果，并不再寻求任何旨在减轻或者免除法律责任的辩解。</w:t>
      </w:r>
    </w:p>
    <w:p w14:paraId="71404FD7">
      <w:pPr>
        <w:tabs>
          <w:tab w:val="left" w:pos="939"/>
        </w:tabs>
        <w:spacing w:line="320" w:lineRule="exact"/>
        <w:ind w:firstLine="315" w:firstLineChars="15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4DF4AC5B">
      <w:pPr>
        <w:widowControl/>
        <w:spacing w:line="32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法定代表人（签字/电子签名）：</w:t>
      </w:r>
      <w:r>
        <w:rPr>
          <w:rFonts w:hint="eastAsia" w:ascii="宋体" w:hAnsi="宋体" w:eastAsia="宋体" w:cs="宋体"/>
          <w:color w:val="auto"/>
          <w:szCs w:val="21"/>
          <w:highlight w:val="none"/>
          <w:u w:val="single"/>
        </w:rPr>
        <w:t xml:space="preserve">          </w:t>
      </w:r>
    </w:p>
    <w:p w14:paraId="1B17C39B">
      <w:pPr>
        <w:widowControl/>
        <w:spacing w:line="32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供应商名称</w:t>
      </w:r>
      <w:r>
        <w:rPr>
          <w:rFonts w:hint="eastAsia" w:ascii="宋体" w:hAnsi="宋体" w:eastAsia="宋体" w:cs="宋体"/>
          <w:color w:val="auto"/>
          <w:szCs w:val="21"/>
          <w:highlight w:val="none"/>
          <w:lang w:val="zh-CN"/>
        </w:rPr>
        <w:t>（盖公章）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13BDD018">
      <w:pPr>
        <w:widowControl/>
        <w:wordWrap w:val="0"/>
        <w:spacing w:line="320" w:lineRule="exact"/>
        <w:jc w:val="right"/>
        <w:rPr>
          <w:rFonts w:ascii="宋体" w:hAnsi="宋体" w:eastAsia="宋体" w:cs="宋体"/>
          <w:color w:val="auto"/>
          <w:sz w:val="24"/>
          <w:szCs w:val="24"/>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r>
        <w:rPr>
          <w:rFonts w:hint="eastAsia" w:ascii="宋体" w:hAnsi="宋体" w:eastAsia="宋体" w:cs="宋体"/>
          <w:color w:val="auto"/>
          <w:sz w:val="24"/>
          <w:szCs w:val="24"/>
          <w:highlight w:val="none"/>
        </w:rPr>
        <w:t xml:space="preserve">   </w:t>
      </w:r>
    </w:p>
    <w:p w14:paraId="3BF60B98">
      <w:pPr>
        <w:keepNext/>
        <w:keepLines/>
        <w:widowControl/>
        <w:spacing w:line="480" w:lineRule="auto"/>
        <w:jc w:val="left"/>
        <w:outlineLvl w:val="1"/>
        <w:rPr>
          <w:rFonts w:ascii="宋体" w:hAnsi="宋体" w:eastAsia="宋体" w:cs="宋体"/>
          <w:b/>
          <w:bCs/>
          <w:color w:val="auto"/>
          <w:sz w:val="28"/>
          <w:szCs w:val="44"/>
          <w:highlight w:val="none"/>
        </w:rPr>
      </w:pPr>
      <w:r>
        <w:rPr>
          <w:rFonts w:hint="eastAsia" w:ascii="宋体" w:hAnsi="宋体" w:eastAsia="宋体" w:cs="宋体"/>
          <w:b/>
          <w:bCs/>
          <w:color w:val="auto"/>
          <w:sz w:val="28"/>
          <w:szCs w:val="44"/>
          <w:highlight w:val="none"/>
        </w:rPr>
        <w:t>二、报价文件格式</w:t>
      </w:r>
    </w:p>
    <w:p w14:paraId="33E8ECE9">
      <w:pPr>
        <w:keepNext/>
        <w:keepLines/>
        <w:widowControl/>
        <w:spacing w:line="360" w:lineRule="auto"/>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1.报价文件封面格式</w:t>
      </w:r>
    </w:p>
    <w:p w14:paraId="598EDDBC">
      <w:pPr>
        <w:widowControl/>
        <w:spacing w:line="360" w:lineRule="auto"/>
        <w:ind w:firstLine="199" w:firstLineChars="83"/>
        <w:jc w:val="left"/>
        <w:rPr>
          <w:rFonts w:ascii="宋体" w:hAnsi="宋体" w:eastAsia="宋体" w:cs="宋体"/>
          <w:color w:val="auto"/>
          <w:sz w:val="24"/>
          <w:szCs w:val="24"/>
          <w:highlight w:val="none"/>
        </w:rPr>
      </w:pPr>
    </w:p>
    <w:p w14:paraId="7C36125D">
      <w:pPr>
        <w:widowControl/>
        <w:spacing w:line="360" w:lineRule="auto"/>
        <w:jc w:val="center"/>
        <w:rPr>
          <w:rFonts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电子响应文件</w:t>
      </w:r>
    </w:p>
    <w:p w14:paraId="1882CB34">
      <w:pPr>
        <w:widowControl/>
        <w:spacing w:line="360" w:lineRule="auto"/>
        <w:ind w:firstLine="199" w:firstLineChars="83"/>
        <w:jc w:val="left"/>
        <w:rPr>
          <w:rFonts w:ascii="宋体" w:hAnsi="宋体" w:eastAsia="宋体" w:cs="宋体"/>
          <w:color w:val="auto"/>
          <w:sz w:val="24"/>
          <w:szCs w:val="24"/>
          <w:highlight w:val="none"/>
        </w:rPr>
      </w:pPr>
    </w:p>
    <w:p w14:paraId="1CDE7E9B">
      <w:pPr>
        <w:widowControl/>
        <w:spacing w:line="360" w:lineRule="auto"/>
        <w:ind w:firstLine="199" w:firstLineChars="83"/>
        <w:jc w:val="left"/>
        <w:rPr>
          <w:rFonts w:ascii="宋体" w:hAnsi="宋体" w:eastAsia="宋体" w:cs="宋体"/>
          <w:color w:val="auto"/>
          <w:sz w:val="24"/>
          <w:szCs w:val="24"/>
          <w:highlight w:val="none"/>
        </w:rPr>
      </w:pPr>
    </w:p>
    <w:p w14:paraId="6173CE78">
      <w:pPr>
        <w:widowControl/>
        <w:spacing w:line="360" w:lineRule="auto"/>
        <w:ind w:firstLine="199" w:firstLineChars="45"/>
        <w:jc w:val="center"/>
        <w:rPr>
          <w:rFonts w:ascii="宋体" w:hAnsi="宋体" w:eastAsia="宋体" w:cs="宋体"/>
          <w:color w:val="auto"/>
          <w:sz w:val="24"/>
          <w:szCs w:val="24"/>
          <w:highlight w:val="none"/>
        </w:rPr>
      </w:pPr>
      <w:r>
        <w:rPr>
          <w:rFonts w:hint="eastAsia" w:ascii="宋体" w:hAnsi="宋体" w:eastAsia="宋体" w:cs="宋体"/>
          <w:b/>
          <w:bCs/>
          <w:color w:val="auto"/>
          <w:sz w:val="44"/>
          <w:szCs w:val="44"/>
          <w:highlight w:val="none"/>
        </w:rPr>
        <w:t>报价文件</w:t>
      </w:r>
    </w:p>
    <w:p w14:paraId="6F4796E4">
      <w:pPr>
        <w:widowControl/>
        <w:spacing w:line="360" w:lineRule="auto"/>
        <w:ind w:firstLine="480" w:firstLineChars="200"/>
        <w:jc w:val="left"/>
        <w:rPr>
          <w:rFonts w:ascii="宋体" w:hAnsi="宋体" w:eastAsia="宋体" w:cs="宋体"/>
          <w:color w:val="auto"/>
          <w:sz w:val="24"/>
          <w:szCs w:val="24"/>
          <w:highlight w:val="none"/>
        </w:rPr>
      </w:pPr>
    </w:p>
    <w:p w14:paraId="31BF7284">
      <w:pPr>
        <w:widowControl/>
        <w:spacing w:line="360" w:lineRule="auto"/>
        <w:ind w:firstLine="480" w:firstLineChars="200"/>
        <w:jc w:val="left"/>
        <w:rPr>
          <w:rFonts w:ascii="宋体" w:hAnsi="宋体" w:eastAsia="宋体" w:cs="宋体"/>
          <w:color w:val="auto"/>
          <w:sz w:val="24"/>
          <w:szCs w:val="24"/>
          <w:highlight w:val="none"/>
        </w:rPr>
      </w:pPr>
    </w:p>
    <w:p w14:paraId="764633A4">
      <w:pPr>
        <w:widowControl/>
        <w:spacing w:line="360" w:lineRule="auto"/>
        <w:ind w:firstLine="1132" w:firstLineChars="354"/>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项目名称：</w:t>
      </w:r>
    </w:p>
    <w:p w14:paraId="033BEC36">
      <w:pPr>
        <w:widowControl/>
        <w:spacing w:line="360" w:lineRule="auto"/>
        <w:ind w:firstLine="1132" w:firstLineChars="354"/>
        <w:jc w:val="left"/>
        <w:rPr>
          <w:rFonts w:ascii="宋体" w:hAnsi="宋体" w:eastAsia="宋体" w:cs="宋体"/>
          <w:color w:val="auto"/>
          <w:sz w:val="32"/>
          <w:szCs w:val="32"/>
          <w:highlight w:val="none"/>
        </w:rPr>
      </w:pPr>
    </w:p>
    <w:p w14:paraId="796743F0">
      <w:pPr>
        <w:widowControl/>
        <w:spacing w:line="360" w:lineRule="auto"/>
        <w:ind w:firstLine="1132" w:firstLineChars="354"/>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w:t>
      </w:r>
    </w:p>
    <w:p w14:paraId="70607531">
      <w:pPr>
        <w:widowControl/>
        <w:spacing w:before="25" w:after="25" w:line="360" w:lineRule="auto"/>
        <w:ind w:firstLine="680" w:firstLineChars="200"/>
        <w:jc w:val="left"/>
        <w:rPr>
          <w:rFonts w:ascii="宋体" w:hAnsi="宋体" w:eastAsia="宋体" w:cs="宋体"/>
          <w:bCs/>
          <w:color w:val="auto"/>
          <w:spacing w:val="10"/>
          <w:kern w:val="0"/>
          <w:sz w:val="32"/>
          <w:szCs w:val="32"/>
          <w:highlight w:val="none"/>
        </w:rPr>
      </w:pPr>
    </w:p>
    <w:p w14:paraId="37C8CC43">
      <w:pPr>
        <w:widowControl/>
        <w:spacing w:before="25" w:after="25" w:line="360" w:lineRule="auto"/>
        <w:ind w:firstLine="680" w:firstLineChars="200"/>
        <w:jc w:val="left"/>
        <w:rPr>
          <w:rFonts w:ascii="宋体" w:hAnsi="宋体" w:eastAsia="宋体" w:cs="宋体"/>
          <w:bCs/>
          <w:color w:val="auto"/>
          <w:spacing w:val="10"/>
          <w:kern w:val="0"/>
          <w:sz w:val="32"/>
          <w:szCs w:val="32"/>
          <w:highlight w:val="none"/>
        </w:rPr>
      </w:pPr>
      <w:r>
        <w:rPr>
          <w:rFonts w:hint="eastAsia" w:ascii="宋体" w:hAnsi="宋体" w:eastAsia="宋体" w:cs="宋体"/>
          <w:bCs/>
          <w:color w:val="auto"/>
          <w:spacing w:val="10"/>
          <w:kern w:val="0"/>
          <w:sz w:val="32"/>
          <w:szCs w:val="32"/>
          <w:highlight w:val="none"/>
        </w:rPr>
        <w:t xml:space="preserve">  分 标 号：（如无分标写“无”）</w:t>
      </w:r>
    </w:p>
    <w:p w14:paraId="1C2CD18C">
      <w:pPr>
        <w:widowControl/>
        <w:spacing w:line="360" w:lineRule="auto"/>
        <w:jc w:val="left"/>
        <w:rPr>
          <w:rFonts w:ascii="宋体" w:hAnsi="宋体" w:eastAsia="宋体" w:cs="宋体"/>
          <w:color w:val="auto"/>
          <w:sz w:val="32"/>
          <w:szCs w:val="32"/>
          <w:highlight w:val="none"/>
        </w:rPr>
      </w:pPr>
    </w:p>
    <w:p w14:paraId="12CEA521">
      <w:pPr>
        <w:widowControl/>
        <w:spacing w:line="360" w:lineRule="auto"/>
        <w:ind w:firstLine="1132" w:firstLineChars="354"/>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供应商名称：</w:t>
      </w:r>
    </w:p>
    <w:p w14:paraId="1A60E86D">
      <w:pPr>
        <w:widowControl/>
        <w:spacing w:line="360" w:lineRule="auto"/>
        <w:ind w:firstLine="1132" w:firstLineChars="354"/>
        <w:jc w:val="left"/>
        <w:rPr>
          <w:rFonts w:ascii="宋体" w:hAnsi="宋体" w:eastAsia="宋体" w:cs="宋体"/>
          <w:color w:val="auto"/>
          <w:sz w:val="32"/>
          <w:szCs w:val="32"/>
          <w:highlight w:val="none"/>
        </w:rPr>
      </w:pPr>
    </w:p>
    <w:p w14:paraId="28B3B4AE">
      <w:pPr>
        <w:widowControl/>
        <w:spacing w:line="360" w:lineRule="auto"/>
        <w:ind w:firstLine="640" w:firstLineChars="20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50EC2180">
      <w:pPr>
        <w:widowControl/>
        <w:spacing w:line="360" w:lineRule="auto"/>
        <w:ind w:firstLine="420" w:firstLineChars="200"/>
        <w:jc w:val="left"/>
        <w:rPr>
          <w:rFonts w:ascii="宋体" w:hAnsi="宋体" w:eastAsia="宋体" w:cs="宋体"/>
          <w:color w:val="auto"/>
          <w:szCs w:val="21"/>
          <w:highlight w:val="none"/>
        </w:rPr>
      </w:pPr>
    </w:p>
    <w:p w14:paraId="12C48AD3">
      <w:pPr>
        <w:widowControl/>
        <w:spacing w:line="360" w:lineRule="auto"/>
        <w:ind w:firstLine="420" w:firstLineChars="200"/>
        <w:jc w:val="left"/>
        <w:rPr>
          <w:rFonts w:ascii="宋体" w:hAnsi="宋体" w:eastAsia="宋体" w:cs="宋体"/>
          <w:color w:val="auto"/>
          <w:szCs w:val="21"/>
          <w:highlight w:val="none"/>
        </w:rPr>
      </w:pPr>
    </w:p>
    <w:p w14:paraId="049F32C6">
      <w:pPr>
        <w:widowControl/>
        <w:spacing w:line="360" w:lineRule="auto"/>
        <w:ind w:firstLine="420" w:firstLineChars="200"/>
        <w:jc w:val="left"/>
        <w:rPr>
          <w:rFonts w:ascii="宋体" w:hAnsi="宋体" w:eastAsia="宋体" w:cs="宋体"/>
          <w:color w:val="auto"/>
          <w:szCs w:val="21"/>
          <w:highlight w:val="none"/>
        </w:rPr>
        <w:sectPr>
          <w:pgSz w:w="11906" w:h="16838"/>
          <w:pgMar w:top="1332" w:right="1434" w:bottom="1332" w:left="1434" w:header="850" w:footer="992" w:gutter="0"/>
          <w:cols w:space="0" w:num="1"/>
          <w:rtlGutter w:val="0"/>
          <w:docGrid w:type="lines" w:linePitch="315" w:charSpace="0"/>
        </w:sectPr>
      </w:pPr>
    </w:p>
    <w:p w14:paraId="748DE6BC">
      <w:pPr>
        <w:widowControl/>
        <w:spacing w:line="360" w:lineRule="auto"/>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.磋商报价表</w:t>
      </w:r>
    </w:p>
    <w:p w14:paraId="3A2E97D7">
      <w:pPr>
        <w:widowControl/>
        <w:spacing w:line="360" w:lineRule="auto"/>
        <w:ind w:firstLine="420" w:firstLineChars="200"/>
        <w:jc w:val="left"/>
        <w:rPr>
          <w:rFonts w:ascii="宋体" w:hAnsi="宋体" w:eastAsia="宋体" w:cs="宋体"/>
          <w:color w:val="auto"/>
          <w:szCs w:val="21"/>
          <w:highlight w:val="none"/>
        </w:rPr>
      </w:pPr>
    </w:p>
    <w:p w14:paraId="00A1E1AF">
      <w:pPr>
        <w:widowControl/>
        <w:snapToGrid w:val="0"/>
        <w:spacing w:before="50" w:after="50"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磋商报价表</w:t>
      </w:r>
    </w:p>
    <w:p w14:paraId="6BE3E752">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567A0F93">
      <w:pPr>
        <w:widowControl/>
        <w:spacing w:line="360" w:lineRule="auto"/>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p>
    <w:p w14:paraId="367670A3">
      <w:pPr>
        <w:widowControl/>
        <w:spacing w:line="360" w:lineRule="auto"/>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4314F0FA">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_____分标                                        单位：元</w:t>
      </w:r>
    </w:p>
    <w:p w14:paraId="2EE571EC">
      <w:pPr>
        <w:widowControl/>
        <w:spacing w:line="360" w:lineRule="auto"/>
        <w:jc w:val="left"/>
        <w:rPr>
          <w:rFonts w:ascii="宋体" w:hAnsi="宋体" w:eastAsia="宋体" w:cs="宋体"/>
          <w:color w:val="auto"/>
          <w:szCs w:val="21"/>
          <w:highlight w:val="none"/>
        </w:rPr>
      </w:pPr>
    </w:p>
    <w:tbl>
      <w:tblPr>
        <w:tblStyle w:val="26"/>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2146"/>
        <w:gridCol w:w="888"/>
        <w:gridCol w:w="785"/>
        <w:gridCol w:w="1180"/>
        <w:gridCol w:w="1426"/>
        <w:gridCol w:w="1727"/>
      </w:tblGrid>
      <w:tr w14:paraId="7AF55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43" w:type="dxa"/>
            <w:tcBorders>
              <w:top w:val="single" w:color="auto" w:sz="4" w:space="0"/>
              <w:left w:val="single" w:color="auto" w:sz="4" w:space="0"/>
              <w:bottom w:val="single" w:color="auto" w:sz="4" w:space="0"/>
              <w:right w:val="single" w:color="auto" w:sz="4" w:space="0"/>
            </w:tcBorders>
            <w:vAlign w:val="center"/>
          </w:tcPr>
          <w:p w14:paraId="259ACEA8">
            <w:pPr>
              <w:widowControl/>
              <w:spacing w:line="360" w:lineRule="auto"/>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146" w:type="dxa"/>
            <w:tcBorders>
              <w:top w:val="single" w:color="auto" w:sz="4" w:space="0"/>
              <w:left w:val="single" w:color="auto" w:sz="4" w:space="0"/>
              <w:bottom w:val="single" w:color="auto" w:sz="4" w:space="0"/>
              <w:right w:val="single" w:color="auto" w:sz="4" w:space="0"/>
            </w:tcBorders>
            <w:vAlign w:val="center"/>
          </w:tcPr>
          <w:p w14:paraId="410F05D8">
            <w:pPr>
              <w:widowControl/>
              <w:spacing w:line="360" w:lineRule="auto"/>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标的名称</w:t>
            </w:r>
          </w:p>
        </w:tc>
        <w:tc>
          <w:tcPr>
            <w:tcW w:w="888" w:type="dxa"/>
            <w:tcBorders>
              <w:top w:val="single" w:color="auto" w:sz="4" w:space="0"/>
              <w:left w:val="single" w:color="auto" w:sz="4" w:space="0"/>
              <w:bottom w:val="single" w:color="auto" w:sz="4" w:space="0"/>
              <w:right w:val="single" w:color="auto" w:sz="4" w:space="0"/>
            </w:tcBorders>
            <w:vAlign w:val="center"/>
          </w:tcPr>
          <w:p w14:paraId="500C16E5">
            <w:pPr>
              <w:widowControl/>
              <w:spacing w:line="360" w:lineRule="auto"/>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785" w:type="dxa"/>
            <w:tcBorders>
              <w:top w:val="single" w:color="auto" w:sz="4" w:space="0"/>
              <w:left w:val="single" w:color="auto" w:sz="4" w:space="0"/>
              <w:bottom w:val="single" w:color="auto" w:sz="4" w:space="0"/>
              <w:right w:val="single" w:color="auto" w:sz="4" w:space="0"/>
            </w:tcBorders>
            <w:vAlign w:val="center"/>
          </w:tcPr>
          <w:p w14:paraId="37A2B373">
            <w:pPr>
              <w:widowControl/>
              <w:spacing w:line="360" w:lineRule="auto"/>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1180" w:type="dxa"/>
            <w:tcBorders>
              <w:top w:val="single" w:color="auto" w:sz="4" w:space="0"/>
              <w:left w:val="single" w:color="auto" w:sz="4" w:space="0"/>
              <w:bottom w:val="single" w:color="auto" w:sz="4" w:space="0"/>
              <w:right w:val="single" w:color="auto" w:sz="4" w:space="0"/>
            </w:tcBorders>
            <w:vAlign w:val="center"/>
          </w:tcPr>
          <w:p w14:paraId="11C1670A">
            <w:pPr>
              <w:widowControl/>
              <w:spacing w:line="360" w:lineRule="auto"/>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单价</w:t>
            </w:r>
          </w:p>
        </w:tc>
        <w:tc>
          <w:tcPr>
            <w:tcW w:w="1426" w:type="dxa"/>
            <w:tcBorders>
              <w:top w:val="single" w:color="auto" w:sz="4" w:space="0"/>
              <w:left w:val="single" w:color="auto" w:sz="4" w:space="0"/>
              <w:bottom w:val="single" w:color="auto" w:sz="4" w:space="0"/>
              <w:right w:val="single" w:color="auto" w:sz="4" w:space="0"/>
            </w:tcBorders>
            <w:vAlign w:val="center"/>
          </w:tcPr>
          <w:p w14:paraId="6AFC169E">
            <w:pPr>
              <w:widowControl/>
              <w:spacing w:line="360" w:lineRule="auto"/>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合价</w:t>
            </w:r>
          </w:p>
        </w:tc>
        <w:tc>
          <w:tcPr>
            <w:tcW w:w="1727" w:type="dxa"/>
            <w:tcBorders>
              <w:top w:val="single" w:color="auto" w:sz="4" w:space="0"/>
              <w:left w:val="single" w:color="auto" w:sz="4" w:space="0"/>
              <w:bottom w:val="single" w:color="auto" w:sz="4" w:space="0"/>
              <w:right w:val="single" w:color="auto" w:sz="4" w:space="0"/>
            </w:tcBorders>
            <w:vAlign w:val="center"/>
          </w:tcPr>
          <w:p w14:paraId="62C0CAE6">
            <w:pPr>
              <w:widowControl/>
              <w:spacing w:line="240" w:lineRule="auto"/>
              <w:contextualSpacing/>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备注</w:t>
            </w:r>
          </w:p>
        </w:tc>
      </w:tr>
      <w:tr w14:paraId="32D9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43" w:type="dxa"/>
            <w:tcBorders>
              <w:top w:val="single" w:color="auto" w:sz="4" w:space="0"/>
              <w:left w:val="single" w:color="auto" w:sz="4" w:space="0"/>
              <w:bottom w:val="single" w:color="auto" w:sz="4" w:space="0"/>
              <w:right w:val="single" w:color="auto" w:sz="4" w:space="0"/>
            </w:tcBorders>
            <w:vAlign w:val="center"/>
          </w:tcPr>
          <w:p w14:paraId="29ADD7CE">
            <w:pPr>
              <w:widowControl/>
              <w:spacing w:line="360" w:lineRule="auto"/>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46" w:type="dxa"/>
            <w:tcBorders>
              <w:top w:val="single" w:color="auto" w:sz="4" w:space="0"/>
              <w:left w:val="single" w:color="auto" w:sz="4" w:space="0"/>
              <w:bottom w:val="single" w:color="auto" w:sz="4" w:space="0"/>
              <w:right w:val="single" w:color="auto" w:sz="4" w:space="0"/>
            </w:tcBorders>
            <w:vAlign w:val="center"/>
          </w:tcPr>
          <w:p w14:paraId="074A36A8">
            <w:pPr>
              <w:widowControl/>
              <w:spacing w:line="360" w:lineRule="auto"/>
              <w:ind w:firstLine="420" w:firstLineChars="200"/>
              <w:contextualSpacing/>
              <w:jc w:val="center"/>
              <w:rPr>
                <w:rFonts w:ascii="宋体" w:hAnsi="宋体" w:eastAsia="宋体" w:cs="宋体"/>
                <w:color w:val="auto"/>
                <w:szCs w:val="21"/>
                <w:highlight w:val="none"/>
              </w:rPr>
            </w:pPr>
          </w:p>
        </w:tc>
        <w:tc>
          <w:tcPr>
            <w:tcW w:w="888" w:type="dxa"/>
            <w:tcBorders>
              <w:top w:val="single" w:color="auto" w:sz="4" w:space="0"/>
              <w:left w:val="single" w:color="auto" w:sz="4" w:space="0"/>
              <w:bottom w:val="single" w:color="auto" w:sz="4" w:space="0"/>
              <w:right w:val="single" w:color="auto" w:sz="4" w:space="0"/>
            </w:tcBorders>
            <w:vAlign w:val="center"/>
          </w:tcPr>
          <w:p w14:paraId="3BAD1E7A">
            <w:pPr>
              <w:widowControl/>
              <w:spacing w:line="360" w:lineRule="auto"/>
              <w:ind w:firstLine="420" w:firstLineChars="200"/>
              <w:contextualSpacing/>
              <w:jc w:val="center"/>
              <w:rPr>
                <w:rFonts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5CE045C7">
            <w:pPr>
              <w:widowControl/>
              <w:spacing w:line="360" w:lineRule="auto"/>
              <w:ind w:firstLine="420" w:firstLineChars="200"/>
              <w:contextualSpacing/>
              <w:jc w:val="left"/>
              <w:rPr>
                <w:rFonts w:ascii="宋体" w:hAnsi="宋体" w:eastAsia="宋体" w:cs="宋体"/>
                <w:color w:val="auto"/>
                <w:szCs w:val="21"/>
                <w:highlight w:val="none"/>
              </w:rPr>
            </w:pPr>
          </w:p>
        </w:tc>
        <w:tc>
          <w:tcPr>
            <w:tcW w:w="1180" w:type="dxa"/>
            <w:tcBorders>
              <w:top w:val="single" w:color="auto" w:sz="4" w:space="0"/>
              <w:left w:val="single" w:color="auto" w:sz="4" w:space="0"/>
              <w:bottom w:val="single" w:color="auto" w:sz="4" w:space="0"/>
              <w:right w:val="single" w:color="auto" w:sz="4" w:space="0"/>
            </w:tcBorders>
          </w:tcPr>
          <w:p w14:paraId="7182C71D">
            <w:pPr>
              <w:widowControl/>
              <w:spacing w:line="360" w:lineRule="auto"/>
              <w:ind w:firstLine="420" w:firstLineChars="200"/>
              <w:contextualSpacing/>
              <w:jc w:val="left"/>
              <w:rPr>
                <w:rFonts w:ascii="宋体" w:hAnsi="宋体" w:eastAsia="宋体" w:cs="宋体"/>
                <w:color w:val="auto"/>
                <w:szCs w:val="21"/>
                <w:highlight w:val="none"/>
              </w:rPr>
            </w:pPr>
          </w:p>
        </w:tc>
        <w:tc>
          <w:tcPr>
            <w:tcW w:w="1426" w:type="dxa"/>
            <w:tcBorders>
              <w:top w:val="single" w:color="auto" w:sz="4" w:space="0"/>
              <w:left w:val="single" w:color="auto" w:sz="4" w:space="0"/>
              <w:bottom w:val="single" w:color="auto" w:sz="4" w:space="0"/>
              <w:right w:val="single" w:color="auto" w:sz="4" w:space="0"/>
            </w:tcBorders>
          </w:tcPr>
          <w:p w14:paraId="4CF930F5">
            <w:pPr>
              <w:widowControl/>
              <w:spacing w:line="360" w:lineRule="auto"/>
              <w:ind w:firstLine="420" w:firstLineChars="200"/>
              <w:contextualSpacing/>
              <w:jc w:val="left"/>
              <w:rPr>
                <w:rFonts w:ascii="宋体" w:hAnsi="宋体" w:eastAsia="宋体" w:cs="宋体"/>
                <w:color w:val="auto"/>
                <w:szCs w:val="21"/>
                <w:highlight w:val="none"/>
              </w:rPr>
            </w:pPr>
          </w:p>
        </w:tc>
        <w:tc>
          <w:tcPr>
            <w:tcW w:w="1727" w:type="dxa"/>
            <w:tcBorders>
              <w:top w:val="single" w:color="auto" w:sz="4" w:space="0"/>
              <w:left w:val="single" w:color="auto" w:sz="4" w:space="0"/>
              <w:bottom w:val="single" w:color="auto" w:sz="4" w:space="0"/>
              <w:right w:val="single" w:color="auto" w:sz="4" w:space="0"/>
            </w:tcBorders>
          </w:tcPr>
          <w:p w14:paraId="1A1BA457">
            <w:pPr>
              <w:widowControl/>
              <w:spacing w:line="360" w:lineRule="auto"/>
              <w:ind w:firstLine="420" w:firstLineChars="200"/>
              <w:contextualSpacing/>
              <w:jc w:val="left"/>
              <w:rPr>
                <w:rFonts w:ascii="宋体" w:hAnsi="宋体" w:eastAsia="宋体" w:cs="宋体"/>
                <w:color w:val="auto"/>
                <w:szCs w:val="21"/>
                <w:highlight w:val="none"/>
              </w:rPr>
            </w:pPr>
          </w:p>
        </w:tc>
      </w:tr>
      <w:tr w14:paraId="21934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7"/>
            <w:tcBorders>
              <w:top w:val="single" w:color="auto" w:sz="4" w:space="0"/>
              <w:left w:val="single" w:color="auto" w:sz="4" w:space="0"/>
              <w:bottom w:val="single" w:color="auto" w:sz="4" w:space="0"/>
              <w:right w:val="single" w:color="auto" w:sz="4" w:space="0"/>
            </w:tcBorders>
            <w:vAlign w:val="center"/>
          </w:tcPr>
          <w:p w14:paraId="69974F81">
            <w:pPr>
              <w:widowControl/>
              <w:spacing w:line="360" w:lineRule="auto"/>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合计金额大写：人民币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tc>
      </w:tr>
      <w:tr w14:paraId="0950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right"/>
        </w:trPr>
        <w:tc>
          <w:tcPr>
            <w:tcW w:w="9095" w:type="dxa"/>
            <w:gridSpan w:val="7"/>
            <w:tcBorders>
              <w:top w:val="single" w:color="auto" w:sz="4" w:space="0"/>
              <w:left w:val="single" w:color="auto" w:sz="4" w:space="0"/>
              <w:bottom w:val="single" w:color="auto" w:sz="4" w:space="0"/>
              <w:right w:val="single" w:color="auto" w:sz="4" w:space="0"/>
            </w:tcBorders>
            <w:vAlign w:val="center"/>
          </w:tcPr>
          <w:p w14:paraId="7BBD9DBD">
            <w:pPr>
              <w:widowControl/>
              <w:spacing w:line="360" w:lineRule="auto"/>
              <w:contextualSpacing/>
              <w:jc w:val="left"/>
              <w:rPr>
                <w:rFonts w:ascii="宋体" w:hAnsi="宋体" w:eastAsia="宋体" w:cs="宋体"/>
                <w:color w:val="auto"/>
                <w:szCs w:val="21"/>
                <w:highlight w:val="none"/>
              </w:rPr>
            </w:pPr>
            <w:r>
              <w:rPr>
                <w:rFonts w:hint="eastAsia" w:ascii="宋体" w:hAnsi="宋体" w:eastAsia="宋体" w:cs="Times New Roman"/>
                <w:color w:val="auto"/>
                <w:kern w:val="2"/>
                <w:sz w:val="21"/>
                <w:szCs w:val="21"/>
                <w:highlight w:val="none"/>
                <w:lang w:val="en-US" w:eastAsia="zh-CN" w:bidi="ar-SA"/>
              </w:rPr>
              <w:t>服务期限：自合同签订之日起两年。</w:t>
            </w:r>
          </w:p>
        </w:tc>
      </w:tr>
    </w:tbl>
    <w:p w14:paraId="5D93F922">
      <w:pPr>
        <w:widowControl/>
        <w:spacing w:line="336" w:lineRule="auto"/>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注: </w:t>
      </w:r>
    </w:p>
    <w:p w14:paraId="739357D1">
      <w:pPr>
        <w:widowControl/>
        <w:spacing w:line="336" w:lineRule="auto"/>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1.供应商的报价表必须加盖供应商公章并由法定代表人或者委托代理人签字，</w:t>
      </w:r>
      <w:r>
        <w:rPr>
          <w:rFonts w:hint="eastAsia" w:ascii="宋体" w:hAnsi="宋体" w:eastAsia="宋体" w:cs="宋体"/>
          <w:b/>
          <w:color w:val="auto"/>
          <w:szCs w:val="21"/>
          <w:highlight w:val="none"/>
        </w:rPr>
        <w:t>否则其响应文件按无效响应处理</w:t>
      </w:r>
      <w:r>
        <w:rPr>
          <w:rFonts w:hint="eastAsia" w:ascii="宋体" w:hAnsi="宋体" w:eastAsia="宋体" w:cs="宋体"/>
          <w:color w:val="auto"/>
          <w:szCs w:val="21"/>
          <w:highlight w:val="none"/>
        </w:rPr>
        <w:t>。</w:t>
      </w:r>
    </w:p>
    <w:p w14:paraId="1F191C98">
      <w:pPr>
        <w:widowControl/>
        <w:spacing w:line="336" w:lineRule="auto"/>
        <w:ind w:firstLine="420" w:firstLineChars="200"/>
        <w:contextualSpacing/>
        <w:jc w:val="left"/>
        <w:rPr>
          <w:rFonts w:ascii="宋体" w:hAnsi="宋体" w:eastAsia="宋体" w:cs="宋体"/>
          <w:b/>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color w:val="auto"/>
          <w:szCs w:val="21"/>
          <w:highlight w:val="none"/>
        </w:rPr>
        <w:t>报价一经涂改，应在涂改处加盖供应商公章或者由法定代表人或者委托代理人签字或者盖章</w:t>
      </w:r>
      <w:r>
        <w:rPr>
          <w:rFonts w:hint="eastAsia" w:ascii="宋体" w:hAnsi="宋体" w:eastAsia="宋体" w:cs="宋体"/>
          <w:b/>
          <w:color w:val="auto"/>
          <w:szCs w:val="21"/>
          <w:highlight w:val="none"/>
        </w:rPr>
        <w:t>，否则其响应文件按无效响应处理。</w:t>
      </w:r>
    </w:p>
    <w:p w14:paraId="6F7BE623">
      <w:pPr>
        <w:widowControl/>
        <w:spacing w:line="336" w:lineRule="auto"/>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3.如为联合体磋商，“供应商名称”处必须列明联合体各方名称，标注联合体牵头人名称，</w:t>
      </w:r>
      <w:r>
        <w:rPr>
          <w:rFonts w:hint="eastAsia" w:ascii="宋体" w:hAnsi="宋体" w:eastAsia="宋体" w:cs="宋体"/>
          <w:b/>
          <w:color w:val="auto"/>
          <w:szCs w:val="21"/>
          <w:highlight w:val="none"/>
        </w:rPr>
        <w:t>否则其响应文件按无效响应处理。（采购人可根据项目情况自行修改是否需要联合体各方签字盖章）。</w:t>
      </w:r>
    </w:p>
    <w:p w14:paraId="5AF4F52B">
      <w:pPr>
        <w:widowControl/>
        <w:spacing w:line="336" w:lineRule="auto"/>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4.如为联合体磋商，盖章处须加盖联合体各方公章，</w:t>
      </w:r>
      <w:r>
        <w:rPr>
          <w:rFonts w:hint="eastAsia" w:ascii="宋体" w:hAnsi="宋体" w:eastAsia="宋体" w:cs="宋体"/>
          <w:b/>
          <w:color w:val="auto"/>
          <w:szCs w:val="21"/>
          <w:highlight w:val="none"/>
        </w:rPr>
        <w:t>否则其响应文件按无效响应处理。（采购人可根据项目情况自行修改是否需要联合体各方签字盖章）。</w:t>
      </w:r>
    </w:p>
    <w:p w14:paraId="50453F32">
      <w:pPr>
        <w:widowControl/>
        <w:spacing w:line="336" w:lineRule="auto"/>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pacing w:val="-6"/>
          <w:szCs w:val="21"/>
          <w:highlight w:val="none"/>
        </w:rPr>
        <w:t>如有多分标，分别列明各分标的报价表，</w:t>
      </w:r>
      <w:r>
        <w:rPr>
          <w:rFonts w:hint="eastAsia" w:ascii="宋体" w:hAnsi="宋体" w:eastAsia="宋体" w:cs="宋体"/>
          <w:b/>
          <w:color w:val="auto"/>
          <w:spacing w:val="-6"/>
          <w:szCs w:val="21"/>
          <w:highlight w:val="none"/>
        </w:rPr>
        <w:t>否则其响应文件按无效响应处理。</w:t>
      </w:r>
    </w:p>
    <w:p w14:paraId="43E2B454">
      <w:pPr>
        <w:widowControl/>
        <w:spacing w:line="360" w:lineRule="auto"/>
        <w:ind w:firstLine="422" w:firstLineChars="200"/>
        <w:jc w:val="left"/>
        <w:rPr>
          <w:rFonts w:ascii="宋体" w:hAnsi="宋体" w:eastAsia="宋体" w:cs="宋体"/>
          <w:b/>
          <w:color w:val="auto"/>
          <w:szCs w:val="21"/>
          <w:highlight w:val="none"/>
        </w:rPr>
      </w:pPr>
    </w:p>
    <w:p w14:paraId="4F7F57C9">
      <w:pPr>
        <w:widowControl/>
        <w:spacing w:line="600" w:lineRule="auto"/>
        <w:jc w:val="left"/>
        <w:rPr>
          <w:rFonts w:ascii="宋体" w:hAnsi="宋体" w:eastAsia="宋体" w:cs="宋体"/>
          <w:color w:val="auto"/>
          <w:spacing w:val="20"/>
          <w:szCs w:val="21"/>
          <w:highlight w:val="none"/>
          <w:u w:val="single"/>
        </w:rPr>
      </w:pPr>
      <w:r>
        <w:rPr>
          <w:rFonts w:hint="eastAsia" w:ascii="宋体" w:hAnsi="宋体" w:eastAsia="宋体" w:cs="宋体"/>
          <w:color w:val="auto"/>
          <w:szCs w:val="21"/>
          <w:highlight w:val="none"/>
        </w:rPr>
        <w:t>法定代表人或者委托代理人（签字/电子签名）</w:t>
      </w:r>
      <w:r>
        <w:rPr>
          <w:rFonts w:hint="eastAsia" w:ascii="宋体" w:hAnsi="宋体" w:eastAsia="宋体" w:cs="宋体"/>
          <w:color w:val="auto"/>
          <w:spacing w:val="20"/>
          <w:szCs w:val="21"/>
          <w:highlight w:val="none"/>
        </w:rPr>
        <w:t>：</w:t>
      </w:r>
      <w:r>
        <w:rPr>
          <w:rFonts w:hint="eastAsia" w:ascii="宋体" w:hAnsi="宋体" w:eastAsia="宋体" w:cs="宋体"/>
          <w:color w:val="auto"/>
          <w:spacing w:val="20"/>
          <w:szCs w:val="21"/>
          <w:highlight w:val="none"/>
          <w:u w:val="single"/>
        </w:rPr>
        <w:t xml:space="preserve">        </w:t>
      </w:r>
    </w:p>
    <w:p w14:paraId="5F380341">
      <w:pPr>
        <w:widowControl/>
        <w:spacing w:line="60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lang w:val="zh-CN"/>
        </w:rPr>
        <w:t>供应商名称（盖公章）</w:t>
      </w:r>
      <w:r>
        <w:rPr>
          <w:rFonts w:hint="eastAsia" w:ascii="宋体" w:hAnsi="宋体" w:eastAsia="宋体" w:cs="宋体"/>
          <w:color w:val="auto"/>
          <w:spacing w:val="20"/>
          <w:szCs w:val="21"/>
          <w:highlight w:val="none"/>
        </w:rPr>
        <w:t>：</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pacing w:val="20"/>
          <w:szCs w:val="21"/>
          <w:highlight w:val="none"/>
        </w:rPr>
        <w:t xml:space="preserve">    日  期：</w:t>
      </w:r>
      <w:r>
        <w:rPr>
          <w:rFonts w:hint="eastAsia" w:ascii="宋体" w:hAnsi="宋体" w:eastAsia="宋体" w:cs="宋体"/>
          <w:color w:val="auto"/>
          <w:spacing w:val="20"/>
          <w:szCs w:val="21"/>
          <w:highlight w:val="none"/>
          <w:u w:val="single"/>
        </w:rPr>
        <w:t xml:space="preserve">        </w:t>
      </w:r>
    </w:p>
    <w:p w14:paraId="5D93F310">
      <w:pPr>
        <w:keepNext/>
        <w:keepLines/>
        <w:widowControl/>
        <w:spacing w:line="360" w:lineRule="auto"/>
        <w:jc w:val="left"/>
        <w:outlineLvl w:val="2"/>
        <w:rPr>
          <w:rFonts w:ascii="宋体" w:hAnsi="宋体" w:eastAsia="宋体" w:cs="宋体"/>
          <w:b/>
          <w:color w:val="auto"/>
          <w:sz w:val="24"/>
          <w:szCs w:val="24"/>
          <w:highlight w:val="none"/>
        </w:rPr>
        <w:sectPr>
          <w:pgSz w:w="11906" w:h="16838"/>
          <w:pgMar w:top="1332" w:right="1434" w:bottom="1332" w:left="1434" w:header="850" w:footer="992" w:gutter="0"/>
          <w:cols w:space="0" w:num="1"/>
          <w:rtlGutter w:val="0"/>
          <w:docGrid w:type="lines" w:linePitch="315" w:charSpace="0"/>
        </w:sectPr>
      </w:pPr>
    </w:p>
    <w:p w14:paraId="3BE5CB28">
      <w:pPr>
        <w:keepNext/>
        <w:keepLines/>
        <w:widowControl/>
        <w:spacing w:line="480" w:lineRule="auto"/>
        <w:jc w:val="left"/>
        <w:outlineLvl w:val="1"/>
        <w:rPr>
          <w:rFonts w:ascii="宋体" w:hAnsi="宋体" w:eastAsia="宋体" w:cs="宋体"/>
          <w:b/>
          <w:bCs/>
          <w:color w:val="auto"/>
          <w:sz w:val="28"/>
          <w:szCs w:val="44"/>
          <w:highlight w:val="none"/>
        </w:rPr>
      </w:pPr>
      <w:r>
        <w:rPr>
          <w:rFonts w:hint="eastAsia" w:ascii="宋体" w:hAnsi="宋体" w:eastAsia="宋体" w:cs="宋体"/>
          <w:b/>
          <w:bCs/>
          <w:color w:val="auto"/>
          <w:sz w:val="28"/>
          <w:szCs w:val="44"/>
          <w:highlight w:val="none"/>
        </w:rPr>
        <w:t>三、商务技术文件格式</w:t>
      </w:r>
    </w:p>
    <w:p w14:paraId="60CE25C8">
      <w:pPr>
        <w:keepNext/>
        <w:keepLines/>
        <w:widowControl/>
        <w:spacing w:line="360" w:lineRule="auto"/>
        <w:jc w:val="left"/>
        <w:outlineLvl w:val="2"/>
        <w:rPr>
          <w:rFonts w:hint="eastAsia" w:ascii="宋体" w:hAnsi="宋体" w:eastAsia="宋体" w:cs="宋体"/>
          <w:b/>
          <w:color w:val="auto"/>
          <w:sz w:val="24"/>
          <w:szCs w:val="24"/>
          <w:highlight w:val="none"/>
        </w:rPr>
      </w:pPr>
    </w:p>
    <w:p w14:paraId="64DC9CBB">
      <w:pPr>
        <w:keepNext/>
        <w:keepLines/>
        <w:widowControl/>
        <w:spacing w:line="360" w:lineRule="auto"/>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1.商务技术文件封面格式</w:t>
      </w:r>
    </w:p>
    <w:p w14:paraId="1F93F416">
      <w:pPr>
        <w:widowControl/>
        <w:spacing w:line="360" w:lineRule="auto"/>
        <w:ind w:firstLine="199" w:firstLineChars="83"/>
        <w:jc w:val="left"/>
        <w:rPr>
          <w:rFonts w:ascii="宋体" w:hAnsi="宋体" w:eastAsia="宋体" w:cs="宋体"/>
          <w:color w:val="auto"/>
          <w:sz w:val="24"/>
          <w:szCs w:val="24"/>
          <w:highlight w:val="none"/>
        </w:rPr>
      </w:pPr>
    </w:p>
    <w:p w14:paraId="16FD0160">
      <w:pPr>
        <w:widowControl/>
        <w:spacing w:line="360" w:lineRule="auto"/>
        <w:jc w:val="center"/>
        <w:rPr>
          <w:rFonts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电子响应文件</w:t>
      </w:r>
    </w:p>
    <w:p w14:paraId="56424067">
      <w:pPr>
        <w:widowControl/>
        <w:spacing w:line="360" w:lineRule="auto"/>
        <w:ind w:firstLine="199" w:firstLineChars="83"/>
        <w:jc w:val="left"/>
        <w:rPr>
          <w:rFonts w:ascii="宋体" w:hAnsi="宋体" w:eastAsia="宋体" w:cs="宋体"/>
          <w:color w:val="auto"/>
          <w:sz w:val="24"/>
          <w:szCs w:val="24"/>
          <w:highlight w:val="none"/>
        </w:rPr>
      </w:pPr>
    </w:p>
    <w:p w14:paraId="7536E72C">
      <w:pPr>
        <w:widowControl/>
        <w:spacing w:line="360" w:lineRule="auto"/>
        <w:ind w:firstLine="199" w:firstLineChars="83"/>
        <w:jc w:val="left"/>
        <w:rPr>
          <w:rFonts w:ascii="宋体" w:hAnsi="宋体" w:eastAsia="宋体" w:cs="宋体"/>
          <w:color w:val="auto"/>
          <w:sz w:val="24"/>
          <w:szCs w:val="24"/>
          <w:highlight w:val="none"/>
        </w:rPr>
      </w:pPr>
    </w:p>
    <w:p w14:paraId="7619DA1F">
      <w:pPr>
        <w:widowControl/>
        <w:spacing w:line="360" w:lineRule="auto"/>
        <w:ind w:firstLine="199" w:firstLineChars="45"/>
        <w:jc w:val="center"/>
        <w:rPr>
          <w:rFonts w:ascii="宋体" w:hAnsi="宋体" w:eastAsia="宋体" w:cs="宋体"/>
          <w:color w:val="auto"/>
          <w:sz w:val="24"/>
          <w:szCs w:val="24"/>
          <w:highlight w:val="none"/>
        </w:rPr>
      </w:pPr>
      <w:r>
        <w:rPr>
          <w:rFonts w:hint="eastAsia" w:ascii="宋体" w:hAnsi="宋体" w:eastAsia="宋体" w:cs="宋体"/>
          <w:b/>
          <w:bCs/>
          <w:color w:val="auto"/>
          <w:sz w:val="44"/>
          <w:szCs w:val="44"/>
          <w:highlight w:val="none"/>
        </w:rPr>
        <w:t>商务技术文件</w:t>
      </w:r>
    </w:p>
    <w:p w14:paraId="60B073C1">
      <w:pPr>
        <w:widowControl/>
        <w:spacing w:line="360" w:lineRule="auto"/>
        <w:ind w:firstLine="480" w:firstLineChars="200"/>
        <w:jc w:val="left"/>
        <w:rPr>
          <w:rFonts w:ascii="宋体" w:hAnsi="宋体" w:eastAsia="宋体" w:cs="宋体"/>
          <w:color w:val="auto"/>
          <w:sz w:val="24"/>
          <w:szCs w:val="24"/>
          <w:highlight w:val="none"/>
        </w:rPr>
      </w:pPr>
    </w:p>
    <w:p w14:paraId="4190E4EC">
      <w:pPr>
        <w:widowControl/>
        <w:spacing w:line="360" w:lineRule="auto"/>
        <w:ind w:firstLine="480" w:firstLineChars="200"/>
        <w:jc w:val="left"/>
        <w:rPr>
          <w:rFonts w:ascii="宋体" w:hAnsi="宋体" w:eastAsia="宋体" w:cs="宋体"/>
          <w:color w:val="auto"/>
          <w:sz w:val="24"/>
          <w:szCs w:val="24"/>
          <w:highlight w:val="none"/>
        </w:rPr>
      </w:pPr>
    </w:p>
    <w:p w14:paraId="4AB05340">
      <w:pPr>
        <w:widowControl/>
        <w:spacing w:line="360" w:lineRule="auto"/>
        <w:ind w:firstLine="1132" w:firstLineChars="354"/>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项目名称：</w:t>
      </w:r>
    </w:p>
    <w:p w14:paraId="75E8157B">
      <w:pPr>
        <w:widowControl/>
        <w:spacing w:line="360" w:lineRule="auto"/>
        <w:ind w:firstLine="1132" w:firstLineChars="354"/>
        <w:jc w:val="left"/>
        <w:rPr>
          <w:rFonts w:ascii="宋体" w:hAnsi="宋体" w:eastAsia="宋体" w:cs="宋体"/>
          <w:color w:val="auto"/>
          <w:sz w:val="32"/>
          <w:szCs w:val="32"/>
          <w:highlight w:val="none"/>
        </w:rPr>
      </w:pPr>
    </w:p>
    <w:p w14:paraId="5C9A468B">
      <w:pPr>
        <w:widowControl/>
        <w:spacing w:line="360" w:lineRule="auto"/>
        <w:ind w:firstLine="1132" w:firstLineChars="354"/>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w:t>
      </w:r>
    </w:p>
    <w:p w14:paraId="7F42D39E">
      <w:pPr>
        <w:widowControl/>
        <w:spacing w:before="25" w:after="25" w:line="360" w:lineRule="auto"/>
        <w:ind w:firstLine="680" w:firstLineChars="200"/>
        <w:jc w:val="left"/>
        <w:rPr>
          <w:rFonts w:ascii="宋体" w:hAnsi="宋体" w:eastAsia="宋体" w:cs="宋体"/>
          <w:bCs/>
          <w:color w:val="auto"/>
          <w:spacing w:val="10"/>
          <w:kern w:val="0"/>
          <w:sz w:val="32"/>
          <w:szCs w:val="32"/>
          <w:highlight w:val="none"/>
        </w:rPr>
      </w:pPr>
    </w:p>
    <w:p w14:paraId="4B2E0B07">
      <w:pPr>
        <w:widowControl/>
        <w:spacing w:before="25" w:after="25" w:line="360" w:lineRule="auto"/>
        <w:ind w:firstLine="680" w:firstLineChars="200"/>
        <w:jc w:val="left"/>
        <w:rPr>
          <w:rFonts w:ascii="宋体" w:hAnsi="宋体" w:eastAsia="宋体" w:cs="宋体"/>
          <w:bCs/>
          <w:color w:val="auto"/>
          <w:spacing w:val="10"/>
          <w:kern w:val="0"/>
          <w:sz w:val="32"/>
          <w:szCs w:val="32"/>
          <w:highlight w:val="none"/>
        </w:rPr>
      </w:pPr>
      <w:r>
        <w:rPr>
          <w:rFonts w:hint="eastAsia" w:ascii="宋体" w:hAnsi="宋体" w:eastAsia="宋体" w:cs="宋体"/>
          <w:bCs/>
          <w:color w:val="auto"/>
          <w:spacing w:val="10"/>
          <w:kern w:val="0"/>
          <w:sz w:val="32"/>
          <w:szCs w:val="32"/>
          <w:highlight w:val="none"/>
        </w:rPr>
        <w:t xml:space="preserve">  分 标 号：（如无分标写“无”）</w:t>
      </w:r>
    </w:p>
    <w:p w14:paraId="57E5556D">
      <w:pPr>
        <w:widowControl/>
        <w:spacing w:line="360" w:lineRule="auto"/>
        <w:jc w:val="left"/>
        <w:rPr>
          <w:rFonts w:ascii="宋体" w:hAnsi="宋体" w:eastAsia="宋体" w:cs="宋体"/>
          <w:color w:val="auto"/>
          <w:sz w:val="32"/>
          <w:szCs w:val="32"/>
          <w:highlight w:val="none"/>
        </w:rPr>
      </w:pPr>
    </w:p>
    <w:p w14:paraId="57854030">
      <w:pPr>
        <w:widowControl/>
        <w:spacing w:line="360" w:lineRule="auto"/>
        <w:ind w:firstLine="1132" w:firstLineChars="354"/>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供应商名称：</w:t>
      </w:r>
    </w:p>
    <w:p w14:paraId="7D1AE276">
      <w:pPr>
        <w:widowControl/>
        <w:spacing w:line="360" w:lineRule="auto"/>
        <w:ind w:firstLine="1132" w:firstLineChars="354"/>
        <w:jc w:val="left"/>
        <w:rPr>
          <w:rFonts w:ascii="宋体" w:hAnsi="宋体" w:eastAsia="宋体" w:cs="宋体"/>
          <w:color w:val="auto"/>
          <w:sz w:val="32"/>
          <w:szCs w:val="32"/>
          <w:highlight w:val="none"/>
        </w:rPr>
      </w:pPr>
    </w:p>
    <w:p w14:paraId="074A0C40">
      <w:pPr>
        <w:widowControl/>
        <w:spacing w:line="360" w:lineRule="auto"/>
        <w:ind w:firstLine="640" w:firstLineChars="20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AFA01C9">
      <w:pPr>
        <w:widowControl/>
        <w:spacing w:before="260" w:after="260" w:line="415"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251A4D80">
      <w:pPr>
        <w:keepNext/>
        <w:keepLines/>
        <w:widowControl/>
        <w:spacing w:line="360" w:lineRule="auto"/>
        <w:jc w:val="left"/>
        <w:outlineLvl w:val="2"/>
        <w:rPr>
          <w:rFonts w:hint="eastAsia" w:ascii="宋体" w:hAnsi="宋体" w:eastAsia="宋体" w:cs="宋体"/>
          <w:b/>
          <w:color w:val="auto"/>
          <w:sz w:val="24"/>
          <w:szCs w:val="24"/>
          <w:highlight w:val="none"/>
        </w:rPr>
      </w:pPr>
    </w:p>
    <w:p w14:paraId="0D0E233A">
      <w:pPr>
        <w:keepNext/>
        <w:keepLines/>
        <w:widowControl/>
        <w:spacing w:line="360" w:lineRule="auto"/>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2.无串通竞标行为的承诺函</w:t>
      </w:r>
    </w:p>
    <w:p w14:paraId="690D8313">
      <w:pPr>
        <w:widowControl/>
        <w:snapToGrid w:val="0"/>
        <w:spacing w:before="50" w:after="50"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无串通竞标行为的承诺函</w:t>
      </w:r>
    </w:p>
    <w:p w14:paraId="00311371">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一、我方承诺无下列相互串通竞标的情形：</w:t>
      </w:r>
    </w:p>
    <w:p w14:paraId="1D84EC2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1.不同供应商的响应文件由同一单位或者个人编制；或者不同供应商报名的IP地址一致的；或者编制响应文件硬件设备CPU编号、硬盘编号、网卡地址一致的情况。  </w:t>
      </w:r>
    </w:p>
    <w:p w14:paraId="7B2FE4E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2CD6980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3.不同供应商的响应文件载明的项目管理员为同一个人；</w:t>
      </w:r>
    </w:p>
    <w:p w14:paraId="4759817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4.不</w:t>
      </w:r>
      <w:r>
        <w:rPr>
          <w:rFonts w:hint="eastAsia" w:ascii="宋体" w:hAnsi="宋体" w:eastAsia="宋体" w:cs="宋体"/>
          <w:color w:val="auto"/>
          <w:spacing w:val="-6"/>
          <w:szCs w:val="21"/>
          <w:highlight w:val="none"/>
        </w:rPr>
        <w:t>同供应商的响应文件异常一致或者响应报价呈规律性差异；</w:t>
      </w:r>
    </w:p>
    <w:p w14:paraId="32473E5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0AD5386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p>
    <w:p w14:paraId="0FE4A497">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二、我方承诺无下列恶意串通的情形：</w:t>
      </w:r>
    </w:p>
    <w:p w14:paraId="245332C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4D53EDD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48A3E2A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3.供</w:t>
      </w:r>
      <w:r>
        <w:rPr>
          <w:rFonts w:hint="eastAsia" w:ascii="宋体" w:hAnsi="宋体" w:eastAsia="宋体" w:cs="宋体"/>
          <w:color w:val="auto"/>
          <w:spacing w:val="-6"/>
          <w:szCs w:val="21"/>
          <w:highlight w:val="none"/>
        </w:rPr>
        <w:t>应商之间协商报价、技术方案等响应文件的实质性内容；</w:t>
      </w:r>
    </w:p>
    <w:p w14:paraId="0967AF5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4628C2F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5.供应商之间事先约定一致抬高或者压低响应报价，或者在竞争性磋商项目中事先约定轮流以高价位或者低价位成交，或者事先约定由某一特定供应商成交，然后再参加竞标；</w:t>
      </w:r>
    </w:p>
    <w:p w14:paraId="006262C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3D96F7E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w:t>
      </w:r>
      <w:r>
        <w:rPr>
          <w:rFonts w:hint="eastAsia" w:ascii="宋体" w:hAnsi="宋体" w:eastAsia="宋体" w:cs="宋体"/>
          <w:color w:val="auto"/>
          <w:spacing w:val="-6"/>
          <w:szCs w:val="21"/>
          <w:highlight w:val="none"/>
        </w:rPr>
        <w:t>谋求特定供应商成交或者排斥其他供应商的其他串通行为。</w:t>
      </w:r>
    </w:p>
    <w:p w14:paraId="4CBFE19F">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以上情形一经核查属实，接受政府采购监管部门对我方认定存在围标串标行为，我方愿意承担一切后果，并不再寻求任何旨在减轻或者免除法律责任的辩解。</w:t>
      </w:r>
    </w:p>
    <w:p w14:paraId="2BE1C0A1">
      <w:pPr>
        <w:widowControl/>
        <w:spacing w:line="360" w:lineRule="auto"/>
        <w:ind w:firstLine="422" w:firstLineChars="200"/>
        <w:contextualSpacing/>
        <w:jc w:val="left"/>
        <w:rPr>
          <w:rFonts w:ascii="宋体" w:hAnsi="宋体" w:eastAsia="宋体" w:cs="宋体"/>
          <w:b/>
          <w:bCs/>
          <w:color w:val="auto"/>
          <w:szCs w:val="21"/>
          <w:highlight w:val="none"/>
        </w:rPr>
      </w:pPr>
    </w:p>
    <w:p w14:paraId="5FF1B820">
      <w:pPr>
        <w:widowControl/>
        <w:wordWrap w:val="0"/>
        <w:spacing w:line="600" w:lineRule="auto"/>
        <w:jc w:val="righ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供应商名称（盖公章）</w:t>
      </w:r>
      <w:r>
        <w:rPr>
          <w:rFonts w:hint="eastAsia" w:ascii="宋体" w:hAnsi="宋体" w:eastAsia="宋体" w:cs="宋体"/>
          <w:color w:val="auto"/>
          <w:spacing w:val="20"/>
          <w:szCs w:val="21"/>
          <w:highlight w:val="none"/>
        </w:rPr>
        <w:t>：</w:t>
      </w:r>
      <w:r>
        <w:rPr>
          <w:rFonts w:hint="eastAsia" w:ascii="宋体" w:hAnsi="宋体" w:eastAsia="宋体" w:cs="宋体"/>
          <w:color w:val="auto"/>
          <w:spacing w:val="20"/>
          <w:szCs w:val="21"/>
          <w:highlight w:val="none"/>
          <w:u w:val="single"/>
        </w:rPr>
        <w:t xml:space="preserve">         </w:t>
      </w:r>
    </w:p>
    <w:p w14:paraId="38F5D604">
      <w:pPr>
        <w:widowControl/>
        <w:wordWrap w:val="0"/>
        <w:spacing w:line="600" w:lineRule="auto"/>
        <w:jc w:val="right"/>
        <w:rPr>
          <w:rFonts w:ascii="宋体" w:hAnsi="宋体" w:eastAsia="宋体" w:cs="宋体"/>
          <w:color w:val="auto"/>
          <w:sz w:val="24"/>
          <w:szCs w:val="24"/>
          <w:highlight w:val="none"/>
          <w:lang w:val="zh-CN"/>
        </w:rPr>
      </w:pP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年</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月</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 xml:space="preserve">日  </w:t>
      </w:r>
      <w:r>
        <w:rPr>
          <w:rFonts w:hint="eastAsia" w:ascii="宋体" w:hAnsi="宋体" w:eastAsia="宋体" w:cs="宋体"/>
          <w:color w:val="auto"/>
          <w:sz w:val="24"/>
          <w:szCs w:val="24"/>
          <w:highlight w:val="none"/>
          <w:lang w:val="zh-CN"/>
        </w:rPr>
        <w:t xml:space="preserve">    </w:t>
      </w:r>
    </w:p>
    <w:p w14:paraId="11ED3BE5">
      <w:pPr>
        <w:keepNext/>
        <w:keepLines/>
        <w:widowControl/>
        <w:spacing w:line="360" w:lineRule="auto"/>
        <w:jc w:val="left"/>
        <w:outlineLvl w:val="2"/>
        <w:rPr>
          <w:rFonts w:ascii="宋体" w:hAnsi="宋体" w:eastAsia="宋体" w:cs="宋体"/>
          <w:b/>
          <w:color w:val="auto"/>
          <w:sz w:val="24"/>
          <w:szCs w:val="24"/>
          <w:highlight w:val="none"/>
        </w:rPr>
        <w:sectPr>
          <w:pgSz w:w="11906" w:h="16838"/>
          <w:pgMar w:top="1332" w:right="1434" w:bottom="1332" w:left="1434" w:header="850" w:footer="992" w:gutter="0"/>
          <w:cols w:space="0" w:num="1"/>
          <w:rtlGutter w:val="0"/>
          <w:docGrid w:type="lines" w:linePitch="315" w:charSpace="0"/>
        </w:sectPr>
      </w:pPr>
    </w:p>
    <w:p w14:paraId="2DB77EF8">
      <w:pPr>
        <w:keepNext/>
        <w:keepLines/>
        <w:widowControl/>
        <w:spacing w:line="360" w:lineRule="auto"/>
        <w:jc w:val="left"/>
        <w:outlineLvl w:val="2"/>
        <w:rPr>
          <w:rFonts w:hint="eastAsia" w:ascii="宋体" w:hAnsi="宋体" w:eastAsia="宋体" w:cs="宋体"/>
          <w:b/>
          <w:color w:val="auto"/>
          <w:sz w:val="24"/>
          <w:szCs w:val="24"/>
          <w:highlight w:val="none"/>
        </w:rPr>
      </w:pPr>
    </w:p>
    <w:p w14:paraId="5838AC65">
      <w:pPr>
        <w:keepNext/>
        <w:keepLines/>
        <w:widowControl/>
        <w:spacing w:line="360" w:lineRule="auto"/>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3.法定代表人证明书</w:t>
      </w:r>
    </w:p>
    <w:p w14:paraId="7E0B29FB">
      <w:pPr>
        <w:widowControl/>
        <w:snapToGrid w:val="0"/>
        <w:spacing w:before="50" w:after="50"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法定代表人证明书</w:t>
      </w:r>
    </w:p>
    <w:p w14:paraId="464716DD">
      <w:pPr>
        <w:widowControl/>
        <w:spacing w:line="360" w:lineRule="auto"/>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u w:val="single"/>
        </w:rPr>
        <w:t xml:space="preserve">                                                        </w:t>
      </w:r>
    </w:p>
    <w:p w14:paraId="6CBDB623">
      <w:pPr>
        <w:widowControl/>
        <w:spacing w:line="360" w:lineRule="auto"/>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p>
    <w:p w14:paraId="5484DE2C">
      <w:pPr>
        <w:widowControl/>
        <w:spacing w:line="360" w:lineRule="auto"/>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      别：</w:t>
      </w:r>
      <w:r>
        <w:rPr>
          <w:rFonts w:hint="eastAsia" w:ascii="宋体" w:hAnsi="宋体" w:eastAsia="宋体" w:cs="宋体"/>
          <w:color w:val="auto"/>
          <w:szCs w:val="21"/>
          <w:highlight w:val="none"/>
          <w:u w:val="single"/>
        </w:rPr>
        <w:t xml:space="preserve">                  </w:t>
      </w:r>
    </w:p>
    <w:p w14:paraId="0CD79A26">
      <w:pPr>
        <w:widowControl/>
        <w:spacing w:line="360" w:lineRule="auto"/>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年    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职      务：</w:t>
      </w:r>
      <w:r>
        <w:rPr>
          <w:rFonts w:hint="eastAsia" w:ascii="宋体" w:hAnsi="宋体" w:eastAsia="宋体" w:cs="宋体"/>
          <w:color w:val="auto"/>
          <w:szCs w:val="21"/>
          <w:highlight w:val="none"/>
          <w:u w:val="single"/>
        </w:rPr>
        <w:t xml:space="preserve">                  </w:t>
      </w:r>
    </w:p>
    <w:p w14:paraId="2AD335A8">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14:paraId="2E0E76C1">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（供应商名称）              </w:t>
      </w:r>
      <w:r>
        <w:rPr>
          <w:rFonts w:hint="eastAsia" w:ascii="宋体" w:hAnsi="宋体" w:eastAsia="宋体" w:cs="宋体"/>
          <w:color w:val="auto"/>
          <w:szCs w:val="21"/>
          <w:highlight w:val="none"/>
        </w:rPr>
        <w:t>的法定代表人。</w:t>
      </w:r>
    </w:p>
    <w:p w14:paraId="6AD6C491">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25E814FF">
      <w:pPr>
        <w:widowControl/>
        <w:spacing w:line="360" w:lineRule="auto"/>
        <w:jc w:val="left"/>
        <w:rPr>
          <w:rFonts w:ascii="宋体" w:hAnsi="宋体" w:eastAsia="宋体" w:cs="宋体"/>
          <w:color w:val="auto"/>
          <w:szCs w:val="21"/>
          <w:highlight w:val="none"/>
        </w:rPr>
      </w:pPr>
    </w:p>
    <w:p w14:paraId="17843F53">
      <w:pPr>
        <w:widowControl/>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附件：法定代表人有效身份证正反面复印件</w:t>
      </w:r>
    </w:p>
    <w:p w14:paraId="0C2036D3">
      <w:pPr>
        <w:widowControl/>
        <w:spacing w:line="360" w:lineRule="auto"/>
        <w:jc w:val="left"/>
        <w:rPr>
          <w:rFonts w:ascii="宋体" w:hAnsi="宋体" w:eastAsia="宋体" w:cs="宋体"/>
          <w:color w:val="auto"/>
          <w:szCs w:val="21"/>
          <w:highlight w:val="none"/>
        </w:rPr>
      </w:pPr>
    </w:p>
    <w:p w14:paraId="0F1D6FD9">
      <w:pPr>
        <w:widowControl/>
        <w:spacing w:line="600" w:lineRule="auto"/>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供应商名称（盖公章）</w:t>
      </w:r>
      <w:r>
        <w:rPr>
          <w:rFonts w:hint="eastAsia" w:ascii="宋体" w:hAnsi="宋体" w:eastAsia="宋体" w:cs="宋体"/>
          <w:color w:val="auto"/>
          <w:spacing w:val="20"/>
          <w:szCs w:val="21"/>
          <w:highlight w:val="none"/>
        </w:rPr>
        <w:t>：</w:t>
      </w:r>
      <w:r>
        <w:rPr>
          <w:rFonts w:hint="eastAsia" w:ascii="宋体" w:hAnsi="宋体" w:eastAsia="宋体" w:cs="宋体"/>
          <w:color w:val="auto"/>
          <w:spacing w:val="20"/>
          <w:szCs w:val="21"/>
          <w:highlight w:val="none"/>
          <w:u w:val="single"/>
        </w:rPr>
        <w:t xml:space="preserve">         </w:t>
      </w:r>
    </w:p>
    <w:p w14:paraId="21E8FBE1">
      <w:pPr>
        <w:widowControl/>
        <w:wordWrap w:val="0"/>
        <w:spacing w:line="600" w:lineRule="auto"/>
        <w:jc w:val="right"/>
        <w:rPr>
          <w:rFonts w:ascii="宋体" w:hAnsi="宋体" w:eastAsia="宋体" w:cs="宋体"/>
          <w:color w:val="auto"/>
          <w:szCs w:val="21"/>
          <w:highlight w:val="none"/>
          <w:lang w:val="zh-CN"/>
        </w:rPr>
      </w:pP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年</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月</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 xml:space="preserve">日      </w:t>
      </w:r>
    </w:p>
    <w:p w14:paraId="31E18A0B">
      <w:pPr>
        <w:widowControl/>
        <w:spacing w:line="360" w:lineRule="auto"/>
        <w:jc w:val="left"/>
        <w:rPr>
          <w:rFonts w:ascii="宋体" w:hAnsi="宋体" w:eastAsia="宋体" w:cs="宋体"/>
          <w:color w:val="auto"/>
          <w:szCs w:val="21"/>
          <w:highlight w:val="none"/>
        </w:rPr>
      </w:pPr>
    </w:p>
    <w:p w14:paraId="3966AC80">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注：自然人竞标的无需提供，联合体磋商的只需牵头人出具。</w:t>
      </w:r>
    </w:p>
    <w:p w14:paraId="4D60FB5B">
      <w:pPr>
        <w:widowControl/>
        <w:spacing w:before="260" w:after="260" w:line="415"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2E410ACA">
      <w:pPr>
        <w:keepNext/>
        <w:keepLines/>
        <w:widowControl/>
        <w:spacing w:line="360" w:lineRule="auto"/>
        <w:jc w:val="left"/>
        <w:outlineLvl w:val="2"/>
        <w:rPr>
          <w:rFonts w:hint="eastAsia" w:ascii="宋体" w:hAnsi="宋体" w:eastAsia="宋体" w:cs="宋体"/>
          <w:b/>
          <w:color w:val="auto"/>
          <w:sz w:val="24"/>
          <w:szCs w:val="24"/>
          <w:highlight w:val="none"/>
        </w:rPr>
      </w:pPr>
    </w:p>
    <w:p w14:paraId="0A5B0569">
      <w:pPr>
        <w:keepNext/>
        <w:keepLines/>
        <w:widowControl/>
        <w:spacing w:line="360" w:lineRule="auto"/>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4.授权委托书格式</w:t>
      </w:r>
    </w:p>
    <w:p w14:paraId="7536A0F9">
      <w:pPr>
        <w:widowControl/>
        <w:snapToGrid w:val="0"/>
        <w:spacing w:before="50" w:after="50"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授权委托书</w:t>
      </w:r>
    </w:p>
    <w:p w14:paraId="53F67A2C">
      <w:pPr>
        <w:widowControl/>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（非联合体磋商格式）</w:t>
      </w:r>
    </w:p>
    <w:p w14:paraId="4655AB4B">
      <w:pPr>
        <w:widowControl/>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（如有委托时）</w:t>
      </w:r>
    </w:p>
    <w:p w14:paraId="3CBBC363">
      <w:pPr>
        <w:widowControl/>
        <w:spacing w:line="360" w:lineRule="auto"/>
        <w:jc w:val="left"/>
        <w:rPr>
          <w:rFonts w:ascii="宋体" w:hAnsi="宋体" w:eastAsia="宋体" w:cs="宋体"/>
          <w:color w:val="auto"/>
          <w:szCs w:val="21"/>
          <w:highlight w:val="none"/>
        </w:rPr>
      </w:pPr>
      <w:bookmarkStart w:id="20" w:name="_Hlk75765700"/>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采购人名称 </w:t>
      </w:r>
    </w:p>
    <w:bookmarkEnd w:id="20"/>
    <w:p w14:paraId="5D82C206">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（供应商名称）的（</w:t>
      </w:r>
      <w:r>
        <w:rPr>
          <w:rFonts w:hint="eastAsia" w:ascii="宋体" w:hAnsi="宋体" w:eastAsia="宋体" w:cs="宋体"/>
          <w:b/>
          <w:bCs/>
          <w:color w:val="auto"/>
          <w:szCs w:val="21"/>
          <w:highlight w:val="none"/>
          <w:u w:val="single"/>
        </w:rPr>
        <w:t>□法定代表人/□负责人/□自然人本人</w:t>
      </w:r>
      <w:r>
        <w:rPr>
          <w:rFonts w:hint="eastAsia" w:ascii="宋体" w:hAnsi="宋体" w:eastAsia="宋体" w:cs="宋体"/>
          <w:color w:val="auto"/>
          <w:szCs w:val="21"/>
          <w:highlight w:val="none"/>
        </w:rPr>
        <w:t>），现授权委托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（姓名）以我方的名义参加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项目的磋商活动，并代表我方全权办理针对上述项目的所有采购程序和环节的具体事务和签署相关文件。</w:t>
      </w:r>
    </w:p>
    <w:p w14:paraId="441B8A1B">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我方对委托代理人的签字事项负全部责任。</w:t>
      </w:r>
    </w:p>
    <w:p w14:paraId="2926B410">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本授权书自签署之日起生效，在撤销授权的书面通知以前，本授权书一直有效。委托代理人在授权书有效期内签署的所有文件不因授权的撤销而失效。</w:t>
      </w:r>
    </w:p>
    <w:p w14:paraId="6A1E2A6D">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委托代理人无转委托权，特此委托。</w:t>
      </w:r>
    </w:p>
    <w:p w14:paraId="273462DF">
      <w:pPr>
        <w:widowControl/>
        <w:spacing w:line="360" w:lineRule="auto"/>
        <w:jc w:val="left"/>
        <w:rPr>
          <w:rFonts w:ascii="宋体" w:hAnsi="宋体" w:eastAsia="宋体" w:cs="宋体"/>
          <w:b/>
          <w:bCs/>
          <w:color w:val="auto"/>
          <w:szCs w:val="21"/>
          <w:highlight w:val="none"/>
        </w:rPr>
      </w:pPr>
    </w:p>
    <w:p w14:paraId="0A6FCD9A">
      <w:pPr>
        <w:widowControl/>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附：法定代表人身份证明书及委托代理人有效身份证正反面复印件</w:t>
      </w:r>
    </w:p>
    <w:p w14:paraId="6EFB065E">
      <w:pPr>
        <w:widowControl/>
        <w:spacing w:line="360" w:lineRule="auto"/>
        <w:ind w:firstLine="420" w:firstLineChars="200"/>
        <w:jc w:val="left"/>
        <w:rPr>
          <w:rFonts w:ascii="宋体" w:hAnsi="宋体" w:eastAsia="宋体" w:cs="宋体"/>
          <w:color w:val="auto"/>
          <w:szCs w:val="21"/>
          <w:highlight w:val="none"/>
        </w:rPr>
      </w:pPr>
    </w:p>
    <w:p w14:paraId="482AF045">
      <w:pPr>
        <w:widowControl/>
        <w:spacing w:line="48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委托代理人（签字/电子签名）：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法定代表人（签字/电子签名）：</w:t>
      </w:r>
      <w:r>
        <w:rPr>
          <w:rFonts w:hint="eastAsia" w:ascii="宋体" w:hAnsi="宋体" w:eastAsia="宋体" w:cs="宋体"/>
          <w:color w:val="auto"/>
          <w:szCs w:val="21"/>
          <w:highlight w:val="none"/>
          <w:u w:val="single"/>
        </w:rPr>
        <w:t xml:space="preserve">        </w:t>
      </w:r>
    </w:p>
    <w:p w14:paraId="2E8435E9">
      <w:pPr>
        <w:widowControl/>
        <w:spacing w:line="48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委托代理人身份证号码：</w:t>
      </w:r>
      <w:r>
        <w:rPr>
          <w:rFonts w:hint="eastAsia" w:ascii="宋体" w:hAnsi="宋体" w:eastAsia="宋体" w:cs="宋体"/>
          <w:color w:val="auto"/>
          <w:szCs w:val="21"/>
          <w:highlight w:val="none"/>
          <w:u w:val="single"/>
        </w:rPr>
        <w:t xml:space="preserve">                                                       </w:t>
      </w:r>
    </w:p>
    <w:p w14:paraId="38241728">
      <w:pPr>
        <w:widowControl/>
        <w:spacing w:line="480" w:lineRule="auto"/>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（盖公章）</w:t>
      </w:r>
      <w:r>
        <w:rPr>
          <w:rFonts w:hint="eastAsia" w:ascii="宋体" w:hAnsi="宋体" w:eastAsia="宋体" w:cs="宋体"/>
          <w:color w:val="auto"/>
          <w:spacing w:val="20"/>
          <w:szCs w:val="21"/>
          <w:highlight w:val="none"/>
        </w:rPr>
        <w:t>：</w:t>
      </w:r>
      <w:r>
        <w:rPr>
          <w:rFonts w:hint="eastAsia" w:ascii="宋体" w:hAnsi="宋体" w:eastAsia="宋体" w:cs="宋体"/>
          <w:color w:val="auto"/>
          <w:spacing w:val="20"/>
          <w:szCs w:val="21"/>
          <w:highlight w:val="none"/>
          <w:u w:val="single"/>
        </w:rPr>
        <w:t xml:space="preserve">                        </w:t>
      </w:r>
    </w:p>
    <w:p w14:paraId="50C8D2A7">
      <w:pPr>
        <w:widowControl/>
        <w:wordWrap w:val="0"/>
        <w:spacing w:line="480" w:lineRule="auto"/>
        <w:ind w:firstLine="420" w:firstLineChars="200"/>
        <w:jc w:val="right"/>
        <w:rPr>
          <w:rFonts w:ascii="宋体" w:hAnsi="宋体" w:eastAsia="宋体" w:cs="宋体"/>
          <w:color w:val="auto"/>
          <w:szCs w:val="21"/>
          <w:highlight w:val="none"/>
        </w:rPr>
      </w:pP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年</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月</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 xml:space="preserve">日    </w:t>
      </w:r>
    </w:p>
    <w:p w14:paraId="0F32F7FA">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注：1.法定代表人必须在授权委托书上亲笔签字或盖章，委托代理人必须在授权委托书上亲笔签字，</w:t>
      </w:r>
      <w:r>
        <w:rPr>
          <w:rFonts w:hint="eastAsia" w:ascii="宋体" w:hAnsi="宋体" w:eastAsia="宋体" w:cs="宋体"/>
          <w:b/>
          <w:bCs/>
          <w:color w:val="auto"/>
          <w:szCs w:val="21"/>
          <w:highlight w:val="none"/>
        </w:rPr>
        <w:t>否则其响应文件按无效响应处理</w:t>
      </w:r>
      <w:r>
        <w:rPr>
          <w:rFonts w:hint="eastAsia" w:ascii="宋体" w:hAnsi="宋体" w:eastAsia="宋体" w:cs="宋体"/>
          <w:color w:val="auto"/>
          <w:szCs w:val="21"/>
          <w:highlight w:val="none"/>
        </w:rPr>
        <w:t>。</w:t>
      </w:r>
    </w:p>
    <w:p w14:paraId="2D018057">
      <w:pPr>
        <w:widowControl/>
        <w:spacing w:line="360" w:lineRule="auto"/>
        <w:ind w:firstLine="371" w:firstLineChars="177"/>
        <w:jc w:val="left"/>
        <w:rPr>
          <w:rFonts w:ascii="宋体" w:hAnsi="宋体" w:eastAsia="宋体" w:cs="宋体"/>
          <w:color w:val="auto"/>
          <w:szCs w:val="21"/>
          <w:highlight w:val="none"/>
        </w:rPr>
      </w:pPr>
      <w:r>
        <w:rPr>
          <w:rFonts w:hint="eastAsia" w:ascii="宋体" w:hAnsi="宋体" w:eastAsia="宋体" w:cs="宋体"/>
          <w:color w:val="auto"/>
          <w:szCs w:val="21"/>
          <w:highlight w:val="none"/>
        </w:rPr>
        <w:t>2.法人、其他组织竞标时“我方”是指“我单位”，自然人竞标时“我方”是指“本人”。</w:t>
      </w:r>
    </w:p>
    <w:p w14:paraId="3CB5E55E">
      <w:pPr>
        <w:widowControl/>
        <w:spacing w:before="260" w:after="260" w:line="415"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br w:type="page"/>
      </w:r>
    </w:p>
    <w:p w14:paraId="5435A92C">
      <w:pPr>
        <w:widowControl/>
        <w:snapToGrid w:val="0"/>
        <w:spacing w:before="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授权委托书</w:t>
      </w:r>
    </w:p>
    <w:p w14:paraId="283F6B6F">
      <w:pPr>
        <w:widowControl/>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（联合体磋商格式）</w:t>
      </w:r>
    </w:p>
    <w:p w14:paraId="4C15D33B">
      <w:pPr>
        <w:widowControl/>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（如有委托时）</w:t>
      </w:r>
    </w:p>
    <w:p w14:paraId="419D381C">
      <w:pPr>
        <w:widowControl/>
        <w:spacing w:line="360" w:lineRule="auto"/>
        <w:jc w:val="left"/>
        <w:rPr>
          <w:rFonts w:ascii="宋体" w:hAnsi="宋体" w:eastAsia="宋体" w:cs="宋体"/>
          <w:color w:val="auto"/>
          <w:szCs w:val="21"/>
          <w:highlight w:val="none"/>
        </w:rPr>
      </w:pPr>
    </w:p>
    <w:p w14:paraId="1288D7DC">
      <w:pPr>
        <w:widowControl/>
        <w:spacing w:line="360" w:lineRule="auto"/>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本授权委托书声明：根据</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（牵头人名称）与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（联合体其他成员名称）签订的《联合体磋商协议书》的内容，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（牵头人名称）的法定代表人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（姓名）现授权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（姓名）为联合委托代理人，并代表我方全权办理针对上述项目的所有采购程序和环节的具体事务和签署相关文件。</w:t>
      </w:r>
    </w:p>
    <w:p w14:paraId="3F3DD683">
      <w:pPr>
        <w:widowControl/>
        <w:spacing w:line="360" w:lineRule="auto"/>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我方对委托代理人的签字事项负全部责任。</w:t>
      </w:r>
    </w:p>
    <w:p w14:paraId="65D0B32B">
      <w:pPr>
        <w:widowControl/>
        <w:spacing w:line="360" w:lineRule="auto"/>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本授权书自签署之日起生效，在撤销授权的书面通知以前，本授权书一直有效。委托代理人在授权书有效期内签署的所有文件不因授权的撤销而失效。</w:t>
      </w:r>
    </w:p>
    <w:p w14:paraId="5B1287D9">
      <w:pPr>
        <w:widowControl/>
        <w:spacing w:line="360" w:lineRule="auto"/>
        <w:ind w:firstLine="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委托代理人无转委托权，特此委托。</w:t>
      </w:r>
    </w:p>
    <w:p w14:paraId="18F0F99C">
      <w:pPr>
        <w:widowControl/>
        <w:spacing w:line="360" w:lineRule="auto"/>
        <w:ind w:firstLine="420" w:firstLineChars="200"/>
        <w:jc w:val="left"/>
        <w:rPr>
          <w:rFonts w:ascii="宋体" w:hAnsi="宋体" w:eastAsia="宋体" w:cs="宋体"/>
          <w:color w:val="auto"/>
          <w:szCs w:val="21"/>
          <w:highlight w:val="none"/>
        </w:rPr>
      </w:pPr>
    </w:p>
    <w:p w14:paraId="4AA5BB5B">
      <w:pPr>
        <w:widowControl/>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附：法定代表人身份证明书及委托代理人有效身份证正反面复印件</w:t>
      </w:r>
    </w:p>
    <w:p w14:paraId="4B395F83">
      <w:pPr>
        <w:widowControl/>
        <w:spacing w:line="360" w:lineRule="auto"/>
        <w:ind w:firstLine="420" w:firstLineChars="200"/>
        <w:jc w:val="left"/>
        <w:rPr>
          <w:rFonts w:ascii="宋体" w:hAnsi="宋体" w:eastAsia="宋体" w:cs="宋体"/>
          <w:color w:val="auto"/>
          <w:szCs w:val="21"/>
          <w:highlight w:val="none"/>
        </w:rPr>
      </w:pPr>
    </w:p>
    <w:p w14:paraId="512763DB">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牵头人法定代表人（签字/电子签名）：</w:t>
      </w:r>
    </w:p>
    <w:p w14:paraId="324DD684">
      <w:pPr>
        <w:widowControl/>
        <w:spacing w:line="360" w:lineRule="auto"/>
        <w:ind w:firstLine="1890" w:firstLineChars="900"/>
        <w:jc w:val="left"/>
        <w:rPr>
          <w:rFonts w:ascii="宋体" w:hAnsi="宋体" w:eastAsia="宋体" w:cs="宋体"/>
          <w:color w:val="auto"/>
          <w:szCs w:val="21"/>
          <w:highlight w:val="none"/>
        </w:rPr>
      </w:pPr>
      <w:r>
        <w:rPr>
          <w:rFonts w:hint="eastAsia" w:ascii="宋体" w:hAnsi="宋体" w:eastAsia="宋体" w:cs="宋体"/>
          <w:color w:val="auto"/>
          <w:szCs w:val="21"/>
          <w:highlight w:val="none"/>
        </w:rPr>
        <w:t>牵头人（盖公章）：</w:t>
      </w:r>
    </w:p>
    <w:p w14:paraId="53A2263E">
      <w:pPr>
        <w:widowControl/>
        <w:spacing w:line="360" w:lineRule="auto"/>
        <w:ind w:firstLine="3114" w:firstLineChars="1483"/>
        <w:jc w:val="left"/>
        <w:rPr>
          <w:rFonts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23292766">
      <w:pPr>
        <w:widowControl/>
        <w:spacing w:line="360" w:lineRule="auto"/>
        <w:ind w:firstLine="420" w:firstLineChars="200"/>
        <w:jc w:val="left"/>
        <w:rPr>
          <w:rFonts w:ascii="宋体" w:hAnsi="宋体" w:eastAsia="宋体" w:cs="宋体"/>
          <w:color w:val="auto"/>
          <w:szCs w:val="21"/>
          <w:highlight w:val="none"/>
        </w:rPr>
      </w:pPr>
    </w:p>
    <w:p w14:paraId="6ED5D56C">
      <w:pPr>
        <w:widowControl/>
        <w:spacing w:line="360" w:lineRule="auto"/>
        <w:ind w:firstLine="1890" w:firstLineChars="900"/>
        <w:jc w:val="left"/>
        <w:rPr>
          <w:rFonts w:ascii="宋体" w:hAnsi="宋体" w:eastAsia="宋体" w:cs="宋体"/>
          <w:color w:val="auto"/>
          <w:szCs w:val="21"/>
          <w:highlight w:val="none"/>
        </w:rPr>
      </w:pPr>
      <w:r>
        <w:rPr>
          <w:rFonts w:hint="eastAsia" w:ascii="宋体" w:hAnsi="宋体" w:eastAsia="宋体" w:cs="宋体"/>
          <w:color w:val="auto"/>
          <w:szCs w:val="21"/>
          <w:highlight w:val="none"/>
        </w:rPr>
        <w:t>被授权人（签字/电子签名）：</w:t>
      </w:r>
    </w:p>
    <w:p w14:paraId="7D586577">
      <w:pPr>
        <w:widowControl/>
        <w:spacing w:line="360" w:lineRule="auto"/>
        <w:ind w:firstLine="3150" w:firstLineChars="1500"/>
        <w:jc w:val="left"/>
        <w:rPr>
          <w:rFonts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484256B0">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注：1.法定代表人必须在授权委托书上亲笔签字或盖章，委托代理人必须在授权委托书上亲笔签字，</w:t>
      </w:r>
      <w:r>
        <w:rPr>
          <w:rFonts w:hint="eastAsia" w:ascii="宋体" w:hAnsi="宋体" w:eastAsia="宋体" w:cs="宋体"/>
          <w:b/>
          <w:bCs/>
          <w:color w:val="auto"/>
          <w:szCs w:val="21"/>
          <w:highlight w:val="none"/>
        </w:rPr>
        <w:t>否则其响应文件按无效响应处理</w:t>
      </w:r>
      <w:r>
        <w:rPr>
          <w:rFonts w:hint="eastAsia" w:ascii="宋体" w:hAnsi="宋体" w:eastAsia="宋体" w:cs="宋体"/>
          <w:color w:val="auto"/>
          <w:szCs w:val="21"/>
          <w:highlight w:val="none"/>
        </w:rPr>
        <w:t>。</w:t>
      </w:r>
    </w:p>
    <w:p w14:paraId="5885DA70">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2.本授权委托书应由联合体牵头人的法定代表人按上述规定签署。</w:t>
      </w:r>
    </w:p>
    <w:p w14:paraId="6A106EC2">
      <w:pPr>
        <w:spacing w:line="360" w:lineRule="auto"/>
        <w:ind w:firstLine="420" w:firstLineChars="200"/>
        <w:jc w:val="left"/>
        <w:rPr>
          <w:rFonts w:ascii="宋体" w:hAnsi="宋体" w:eastAsia="宋体" w:cs="宋体"/>
          <w:color w:val="auto"/>
          <w:spacing w:val="-11"/>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pacing w:val="-11"/>
          <w:szCs w:val="21"/>
          <w:highlight w:val="none"/>
        </w:rPr>
        <w:t>法人、其他组织竞标时“我方”是指“我单位”，自然人竞标时“我方”是指“本人”。</w:t>
      </w:r>
    </w:p>
    <w:p w14:paraId="53880FE0">
      <w:pPr>
        <w:keepNext/>
        <w:keepLines/>
        <w:widowControl/>
        <w:spacing w:line="360" w:lineRule="auto"/>
        <w:jc w:val="left"/>
        <w:outlineLvl w:val="2"/>
        <w:rPr>
          <w:rFonts w:ascii="宋体" w:hAnsi="宋体" w:eastAsia="宋体" w:cs="宋体"/>
          <w:b/>
          <w:color w:val="auto"/>
          <w:sz w:val="24"/>
          <w:szCs w:val="24"/>
          <w:highlight w:val="none"/>
        </w:rPr>
        <w:sectPr>
          <w:pgSz w:w="11906" w:h="16838"/>
          <w:pgMar w:top="1332" w:right="1434" w:bottom="1332" w:left="1434" w:header="850" w:footer="992" w:gutter="0"/>
          <w:cols w:space="0" w:num="1"/>
          <w:rtlGutter w:val="0"/>
          <w:docGrid w:type="lines" w:linePitch="315" w:charSpace="0"/>
        </w:sectPr>
      </w:pPr>
    </w:p>
    <w:p w14:paraId="4B604A31">
      <w:pPr>
        <w:keepNext/>
        <w:keepLines/>
        <w:widowControl/>
        <w:spacing w:line="360" w:lineRule="auto"/>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5.商务要求偏离表格式</w:t>
      </w:r>
    </w:p>
    <w:p w14:paraId="27C25C52">
      <w:pPr>
        <w:widowControl/>
        <w:spacing w:line="360" w:lineRule="auto"/>
        <w:ind w:firstLine="420" w:firstLineChars="200"/>
        <w:jc w:val="left"/>
        <w:rPr>
          <w:rFonts w:ascii="宋体" w:hAnsi="宋体" w:eastAsia="宋体" w:cs="宋体"/>
          <w:color w:val="auto"/>
          <w:szCs w:val="21"/>
          <w:highlight w:val="none"/>
        </w:rPr>
      </w:pPr>
    </w:p>
    <w:p w14:paraId="10884EEB">
      <w:pPr>
        <w:widowControl/>
        <w:snapToGrid w:val="0"/>
        <w:spacing w:before="50" w:after="50" w:line="360" w:lineRule="auto"/>
        <w:jc w:val="cente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商务要求偏离表（格式）</w:t>
      </w:r>
    </w:p>
    <w:p w14:paraId="31B62A65">
      <w:pPr>
        <w:autoSpaceDE w:val="0"/>
        <w:autoSpaceDN w:val="0"/>
        <w:adjustRightInd w:val="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____分标</w:t>
      </w:r>
    </w:p>
    <w:p w14:paraId="43BD9C82">
      <w:pPr>
        <w:autoSpaceDE w:val="0"/>
        <w:autoSpaceDN w:val="0"/>
        <w:adjustRightInd w:val="0"/>
        <w:jc w:val="left"/>
        <w:rPr>
          <w:rFonts w:ascii="宋体" w:hAnsi="宋体" w:eastAsia="宋体" w:cs="宋体"/>
          <w:color w:val="auto"/>
          <w:kern w:val="0"/>
          <w:sz w:val="24"/>
          <w:szCs w:val="24"/>
          <w:highlight w:val="none"/>
        </w:rPr>
      </w:pPr>
    </w:p>
    <w:tbl>
      <w:tblPr>
        <w:tblStyle w:val="26"/>
        <w:tblW w:w="86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13"/>
        <w:gridCol w:w="2552"/>
        <w:gridCol w:w="1769"/>
        <w:gridCol w:w="2044"/>
      </w:tblGrid>
      <w:tr w14:paraId="1206E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5AA6B520">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w:t>
            </w:r>
          </w:p>
        </w:tc>
        <w:tc>
          <w:tcPr>
            <w:tcW w:w="2552" w:type="dxa"/>
            <w:tcBorders>
              <w:top w:val="single" w:color="auto" w:sz="4" w:space="0"/>
              <w:left w:val="single" w:color="auto" w:sz="4" w:space="0"/>
              <w:bottom w:val="single" w:color="auto" w:sz="4" w:space="0"/>
              <w:right w:val="single" w:color="auto" w:sz="4" w:space="0"/>
            </w:tcBorders>
            <w:vAlign w:val="center"/>
          </w:tcPr>
          <w:p w14:paraId="1CF20B8D">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磋商文件商务要求</w:t>
            </w:r>
          </w:p>
        </w:tc>
        <w:tc>
          <w:tcPr>
            <w:tcW w:w="1769" w:type="dxa"/>
            <w:tcBorders>
              <w:top w:val="single" w:color="auto" w:sz="4" w:space="0"/>
              <w:left w:val="single" w:color="auto" w:sz="4" w:space="0"/>
              <w:bottom w:val="single" w:color="auto" w:sz="4" w:space="0"/>
              <w:right w:val="single" w:color="auto" w:sz="4" w:space="0"/>
            </w:tcBorders>
            <w:vAlign w:val="center"/>
          </w:tcPr>
          <w:p w14:paraId="7D4A8643">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供应商的响应</w:t>
            </w:r>
          </w:p>
        </w:tc>
        <w:tc>
          <w:tcPr>
            <w:tcW w:w="2044" w:type="dxa"/>
            <w:tcBorders>
              <w:top w:val="single" w:color="auto" w:sz="4" w:space="0"/>
              <w:left w:val="single" w:color="auto" w:sz="4" w:space="0"/>
              <w:bottom w:val="single" w:color="auto" w:sz="4" w:space="0"/>
              <w:right w:val="single" w:color="auto" w:sz="4" w:space="0"/>
            </w:tcBorders>
            <w:vAlign w:val="center"/>
          </w:tcPr>
          <w:p w14:paraId="6404AC85">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4E35C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25B2E578">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textAlignment w:val="auto"/>
              <w:rPr>
                <w:rFonts w:ascii="宋体" w:hAnsi="宋体" w:eastAsia="宋体" w:cs="宋体"/>
                <w:b w:val="0"/>
                <w:bCs w:val="0"/>
                <w:color w:val="auto"/>
                <w:szCs w:val="21"/>
                <w:highlight w:val="none"/>
              </w:rPr>
            </w:pPr>
            <w:r>
              <w:rPr>
                <w:rFonts w:hint="eastAsia" w:ascii="宋体" w:hAnsi="宋体" w:cs="宋体"/>
                <w:szCs w:val="21"/>
              </w:rPr>
              <w:t>验收标准</w:t>
            </w:r>
          </w:p>
        </w:tc>
        <w:tc>
          <w:tcPr>
            <w:tcW w:w="2552" w:type="dxa"/>
            <w:tcBorders>
              <w:top w:val="single" w:color="auto" w:sz="4" w:space="0"/>
              <w:left w:val="single" w:color="auto" w:sz="4" w:space="0"/>
              <w:bottom w:val="single" w:color="auto" w:sz="4" w:space="0"/>
              <w:right w:val="single" w:color="auto" w:sz="4" w:space="0"/>
            </w:tcBorders>
            <w:vAlign w:val="center"/>
          </w:tcPr>
          <w:p w14:paraId="16C7ABCE">
            <w:pPr>
              <w:widowControl/>
              <w:spacing w:line="360" w:lineRule="auto"/>
              <w:jc w:val="left"/>
              <w:rPr>
                <w:rFonts w:ascii="宋体" w:hAnsi="宋体" w:eastAsia="宋体" w:cs="宋体"/>
                <w:color w:val="auto"/>
                <w:szCs w:val="21"/>
                <w:highlight w:val="none"/>
              </w:rPr>
            </w:pPr>
          </w:p>
        </w:tc>
        <w:tc>
          <w:tcPr>
            <w:tcW w:w="1769" w:type="dxa"/>
            <w:tcBorders>
              <w:top w:val="single" w:color="auto" w:sz="4" w:space="0"/>
              <w:left w:val="single" w:color="auto" w:sz="4" w:space="0"/>
              <w:bottom w:val="single" w:color="auto" w:sz="4" w:space="0"/>
              <w:right w:val="single" w:color="auto" w:sz="4" w:space="0"/>
            </w:tcBorders>
            <w:vAlign w:val="center"/>
          </w:tcPr>
          <w:p w14:paraId="1FBB198D">
            <w:pPr>
              <w:widowControl/>
              <w:spacing w:line="360" w:lineRule="auto"/>
              <w:jc w:val="left"/>
              <w:rPr>
                <w:rFonts w:ascii="宋体" w:hAnsi="宋体" w:eastAsia="宋体" w:cs="宋体"/>
                <w:color w:val="auto"/>
                <w:szCs w:val="21"/>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14:paraId="78F7A9BA">
            <w:pPr>
              <w:widowControl/>
              <w:spacing w:line="360" w:lineRule="auto"/>
              <w:jc w:val="left"/>
              <w:rPr>
                <w:rFonts w:ascii="宋体" w:hAnsi="宋体" w:eastAsia="宋体" w:cs="宋体"/>
                <w:color w:val="auto"/>
                <w:szCs w:val="21"/>
                <w:highlight w:val="none"/>
              </w:rPr>
            </w:pPr>
          </w:p>
        </w:tc>
      </w:tr>
      <w:tr w14:paraId="126DC0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18A53F57">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textAlignment w:val="auto"/>
              <w:rPr>
                <w:rFonts w:ascii="宋体" w:hAnsi="宋体" w:eastAsia="宋体" w:cs="宋体"/>
                <w:b w:val="0"/>
                <w:bCs w:val="0"/>
                <w:color w:val="auto"/>
                <w:szCs w:val="21"/>
                <w:highlight w:val="none"/>
              </w:rPr>
            </w:pPr>
            <w:r>
              <w:rPr>
                <w:rFonts w:hint="eastAsia" w:ascii="宋体" w:hAnsi="宋体" w:cs="宋体"/>
                <w:szCs w:val="21"/>
              </w:rPr>
              <w:t>合同签订期</w:t>
            </w:r>
          </w:p>
        </w:tc>
        <w:tc>
          <w:tcPr>
            <w:tcW w:w="2552" w:type="dxa"/>
            <w:tcBorders>
              <w:top w:val="single" w:color="auto" w:sz="4" w:space="0"/>
              <w:left w:val="single" w:color="auto" w:sz="4" w:space="0"/>
              <w:bottom w:val="single" w:color="auto" w:sz="4" w:space="0"/>
              <w:right w:val="single" w:color="auto" w:sz="4" w:space="0"/>
            </w:tcBorders>
            <w:vAlign w:val="center"/>
          </w:tcPr>
          <w:p w14:paraId="5093D9E6">
            <w:pPr>
              <w:widowControl/>
              <w:spacing w:line="360" w:lineRule="auto"/>
              <w:jc w:val="left"/>
              <w:rPr>
                <w:rFonts w:ascii="宋体" w:hAnsi="宋体" w:eastAsia="宋体" w:cs="宋体"/>
                <w:color w:val="auto"/>
                <w:szCs w:val="21"/>
                <w:highlight w:val="none"/>
              </w:rPr>
            </w:pPr>
          </w:p>
        </w:tc>
        <w:tc>
          <w:tcPr>
            <w:tcW w:w="1769" w:type="dxa"/>
            <w:tcBorders>
              <w:top w:val="single" w:color="auto" w:sz="4" w:space="0"/>
              <w:left w:val="single" w:color="auto" w:sz="4" w:space="0"/>
              <w:bottom w:val="single" w:color="auto" w:sz="4" w:space="0"/>
              <w:right w:val="single" w:color="auto" w:sz="4" w:space="0"/>
            </w:tcBorders>
            <w:vAlign w:val="center"/>
          </w:tcPr>
          <w:p w14:paraId="43F3CE88">
            <w:pPr>
              <w:widowControl/>
              <w:spacing w:line="360" w:lineRule="auto"/>
              <w:jc w:val="left"/>
              <w:rPr>
                <w:rFonts w:ascii="宋体" w:hAnsi="宋体" w:eastAsia="宋体" w:cs="宋体"/>
                <w:color w:val="auto"/>
                <w:szCs w:val="21"/>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14:paraId="7E0B1213">
            <w:pPr>
              <w:widowControl/>
              <w:spacing w:line="360" w:lineRule="auto"/>
              <w:jc w:val="left"/>
              <w:rPr>
                <w:rFonts w:ascii="宋体" w:hAnsi="宋体" w:eastAsia="宋体" w:cs="宋体"/>
                <w:color w:val="auto"/>
                <w:szCs w:val="21"/>
                <w:highlight w:val="none"/>
              </w:rPr>
            </w:pPr>
          </w:p>
        </w:tc>
      </w:tr>
      <w:tr w14:paraId="149B72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75351F42">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textAlignment w:val="auto"/>
              <w:rPr>
                <w:rFonts w:ascii="宋体" w:hAnsi="宋体" w:eastAsia="宋体" w:cs="宋体"/>
                <w:b w:val="0"/>
                <w:bCs w:val="0"/>
                <w:color w:val="auto"/>
                <w:szCs w:val="21"/>
                <w:highlight w:val="none"/>
              </w:rPr>
            </w:pPr>
            <w:r>
              <w:rPr>
                <w:rFonts w:hint="eastAsia" w:ascii="宋体" w:hAnsi="宋体" w:cs="宋体"/>
                <w:szCs w:val="21"/>
              </w:rPr>
              <w:t>服务期限及服务地点</w:t>
            </w:r>
          </w:p>
        </w:tc>
        <w:tc>
          <w:tcPr>
            <w:tcW w:w="2552" w:type="dxa"/>
            <w:tcBorders>
              <w:top w:val="single" w:color="auto" w:sz="4" w:space="0"/>
              <w:left w:val="single" w:color="auto" w:sz="4" w:space="0"/>
              <w:bottom w:val="single" w:color="auto" w:sz="4" w:space="0"/>
              <w:right w:val="single" w:color="auto" w:sz="4" w:space="0"/>
            </w:tcBorders>
            <w:vAlign w:val="center"/>
          </w:tcPr>
          <w:p w14:paraId="7839D1A2">
            <w:pPr>
              <w:widowControl/>
              <w:spacing w:line="360" w:lineRule="auto"/>
              <w:jc w:val="left"/>
              <w:rPr>
                <w:rFonts w:ascii="宋体" w:hAnsi="宋体" w:eastAsia="宋体" w:cs="宋体"/>
                <w:color w:val="auto"/>
                <w:szCs w:val="21"/>
                <w:highlight w:val="none"/>
              </w:rPr>
            </w:pPr>
          </w:p>
        </w:tc>
        <w:tc>
          <w:tcPr>
            <w:tcW w:w="1769" w:type="dxa"/>
            <w:tcBorders>
              <w:top w:val="single" w:color="auto" w:sz="4" w:space="0"/>
              <w:left w:val="single" w:color="auto" w:sz="4" w:space="0"/>
              <w:bottom w:val="single" w:color="auto" w:sz="4" w:space="0"/>
              <w:right w:val="single" w:color="auto" w:sz="4" w:space="0"/>
            </w:tcBorders>
            <w:vAlign w:val="center"/>
          </w:tcPr>
          <w:p w14:paraId="258B275E">
            <w:pPr>
              <w:widowControl/>
              <w:spacing w:line="360" w:lineRule="auto"/>
              <w:jc w:val="left"/>
              <w:rPr>
                <w:rFonts w:ascii="宋体" w:hAnsi="宋体" w:eastAsia="宋体" w:cs="宋体"/>
                <w:color w:val="auto"/>
                <w:szCs w:val="21"/>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14:paraId="349DA1EE">
            <w:pPr>
              <w:widowControl/>
              <w:spacing w:line="360" w:lineRule="auto"/>
              <w:jc w:val="left"/>
              <w:rPr>
                <w:rFonts w:ascii="宋体" w:hAnsi="宋体" w:eastAsia="宋体" w:cs="宋体"/>
                <w:color w:val="auto"/>
                <w:szCs w:val="21"/>
                <w:highlight w:val="none"/>
              </w:rPr>
            </w:pPr>
          </w:p>
        </w:tc>
      </w:tr>
      <w:tr w14:paraId="4655D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18E12248">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textAlignment w:val="auto"/>
              <w:rPr>
                <w:rFonts w:ascii="宋体" w:hAnsi="宋体" w:eastAsia="宋体" w:cs="宋体"/>
                <w:b w:val="0"/>
                <w:bCs w:val="0"/>
                <w:color w:val="auto"/>
                <w:szCs w:val="21"/>
                <w:highlight w:val="none"/>
              </w:rPr>
            </w:pPr>
            <w:r>
              <w:rPr>
                <w:rFonts w:hint="eastAsia" w:ascii="宋体" w:hAnsi="宋体"/>
                <w:b w:val="0"/>
                <w:bCs/>
                <w:color w:val="auto"/>
                <w:szCs w:val="21"/>
                <w:highlight w:val="none"/>
                <w:lang w:eastAsia="zh-CN"/>
              </w:rPr>
              <w:t>售后服务</w:t>
            </w:r>
            <w:r>
              <w:rPr>
                <w:rFonts w:hint="eastAsia" w:ascii="宋体" w:hAnsi="宋体"/>
                <w:b w:val="0"/>
                <w:bCs/>
                <w:color w:val="auto"/>
                <w:szCs w:val="21"/>
                <w:highlight w:val="none"/>
                <w:lang w:val="en-US" w:eastAsia="zh-CN"/>
              </w:rPr>
              <w:t>要求</w:t>
            </w:r>
          </w:p>
        </w:tc>
        <w:tc>
          <w:tcPr>
            <w:tcW w:w="2552" w:type="dxa"/>
            <w:tcBorders>
              <w:top w:val="single" w:color="auto" w:sz="4" w:space="0"/>
              <w:left w:val="single" w:color="auto" w:sz="4" w:space="0"/>
              <w:bottom w:val="single" w:color="auto" w:sz="4" w:space="0"/>
              <w:right w:val="single" w:color="auto" w:sz="4" w:space="0"/>
            </w:tcBorders>
            <w:vAlign w:val="center"/>
          </w:tcPr>
          <w:p w14:paraId="56176306">
            <w:pPr>
              <w:widowControl/>
              <w:spacing w:line="360" w:lineRule="auto"/>
              <w:jc w:val="left"/>
              <w:rPr>
                <w:rFonts w:ascii="宋体" w:hAnsi="宋体" w:eastAsia="宋体" w:cs="宋体"/>
                <w:color w:val="auto"/>
                <w:szCs w:val="21"/>
                <w:highlight w:val="none"/>
              </w:rPr>
            </w:pPr>
          </w:p>
        </w:tc>
        <w:tc>
          <w:tcPr>
            <w:tcW w:w="1769" w:type="dxa"/>
            <w:tcBorders>
              <w:top w:val="single" w:color="auto" w:sz="4" w:space="0"/>
              <w:left w:val="single" w:color="auto" w:sz="4" w:space="0"/>
              <w:bottom w:val="single" w:color="auto" w:sz="4" w:space="0"/>
              <w:right w:val="single" w:color="auto" w:sz="4" w:space="0"/>
            </w:tcBorders>
            <w:vAlign w:val="center"/>
          </w:tcPr>
          <w:p w14:paraId="71B4D4B2">
            <w:pPr>
              <w:widowControl/>
              <w:spacing w:line="360" w:lineRule="auto"/>
              <w:jc w:val="left"/>
              <w:rPr>
                <w:rFonts w:ascii="宋体" w:hAnsi="宋体" w:eastAsia="宋体" w:cs="宋体"/>
                <w:color w:val="auto"/>
                <w:szCs w:val="21"/>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14:paraId="510975B5">
            <w:pPr>
              <w:widowControl/>
              <w:spacing w:line="360" w:lineRule="auto"/>
              <w:jc w:val="left"/>
              <w:rPr>
                <w:rFonts w:ascii="宋体" w:hAnsi="宋体" w:eastAsia="宋体" w:cs="宋体"/>
                <w:color w:val="auto"/>
                <w:szCs w:val="21"/>
                <w:highlight w:val="none"/>
              </w:rPr>
            </w:pPr>
          </w:p>
        </w:tc>
      </w:tr>
      <w:tr w14:paraId="6FFF4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3CD9FEB9">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textAlignment w:val="auto"/>
              <w:rPr>
                <w:rFonts w:ascii="宋体" w:hAnsi="宋体" w:eastAsia="宋体" w:cs="宋体"/>
                <w:b w:val="0"/>
                <w:bCs w:val="0"/>
                <w:color w:val="auto"/>
                <w:szCs w:val="21"/>
                <w:highlight w:val="none"/>
              </w:rPr>
            </w:pPr>
            <w:r>
              <w:rPr>
                <w:rFonts w:hint="eastAsia" w:ascii="宋体" w:hAnsi="宋体" w:cs="宋体"/>
                <w:color w:val="auto"/>
                <w:szCs w:val="21"/>
                <w:highlight w:val="none"/>
              </w:rPr>
              <w:t>付款方式</w:t>
            </w:r>
          </w:p>
        </w:tc>
        <w:tc>
          <w:tcPr>
            <w:tcW w:w="2552" w:type="dxa"/>
            <w:tcBorders>
              <w:top w:val="single" w:color="auto" w:sz="4" w:space="0"/>
              <w:left w:val="single" w:color="auto" w:sz="4" w:space="0"/>
              <w:bottom w:val="single" w:color="auto" w:sz="4" w:space="0"/>
              <w:right w:val="single" w:color="auto" w:sz="4" w:space="0"/>
            </w:tcBorders>
            <w:vAlign w:val="center"/>
          </w:tcPr>
          <w:p w14:paraId="517C4CFC">
            <w:pPr>
              <w:widowControl/>
              <w:spacing w:line="360" w:lineRule="auto"/>
              <w:jc w:val="left"/>
              <w:rPr>
                <w:rFonts w:ascii="宋体" w:hAnsi="宋体" w:eastAsia="宋体" w:cs="宋体"/>
                <w:color w:val="auto"/>
                <w:szCs w:val="21"/>
                <w:highlight w:val="none"/>
              </w:rPr>
            </w:pPr>
          </w:p>
        </w:tc>
        <w:tc>
          <w:tcPr>
            <w:tcW w:w="1769" w:type="dxa"/>
            <w:tcBorders>
              <w:top w:val="single" w:color="auto" w:sz="4" w:space="0"/>
              <w:left w:val="single" w:color="auto" w:sz="4" w:space="0"/>
              <w:bottom w:val="single" w:color="auto" w:sz="4" w:space="0"/>
              <w:right w:val="single" w:color="auto" w:sz="4" w:space="0"/>
            </w:tcBorders>
            <w:vAlign w:val="center"/>
          </w:tcPr>
          <w:p w14:paraId="7B9CA385">
            <w:pPr>
              <w:widowControl/>
              <w:spacing w:line="360" w:lineRule="auto"/>
              <w:jc w:val="left"/>
              <w:rPr>
                <w:rFonts w:ascii="宋体" w:hAnsi="宋体" w:eastAsia="宋体" w:cs="宋体"/>
                <w:color w:val="auto"/>
                <w:szCs w:val="21"/>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14:paraId="4DE84010">
            <w:pPr>
              <w:widowControl/>
              <w:spacing w:line="360" w:lineRule="auto"/>
              <w:jc w:val="left"/>
              <w:rPr>
                <w:rFonts w:ascii="宋体" w:hAnsi="宋体" w:eastAsia="宋体" w:cs="宋体"/>
                <w:color w:val="auto"/>
                <w:szCs w:val="21"/>
                <w:highlight w:val="none"/>
              </w:rPr>
            </w:pPr>
          </w:p>
        </w:tc>
      </w:tr>
      <w:tr w14:paraId="3F9B9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224D8B97">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textAlignment w:val="auto"/>
              <w:rPr>
                <w:rFonts w:ascii="宋体" w:hAnsi="宋体" w:eastAsia="宋体" w:cs="宋体"/>
                <w:b w:val="0"/>
                <w:bCs w:val="0"/>
                <w:color w:val="auto"/>
                <w:szCs w:val="21"/>
                <w:highlight w:val="none"/>
              </w:rPr>
            </w:pPr>
            <w:r>
              <w:rPr>
                <w:rFonts w:hint="eastAsia" w:ascii="宋体" w:hAnsi="宋体" w:cs="宋体"/>
                <w:szCs w:val="21"/>
              </w:rPr>
              <w:t>报价要求</w:t>
            </w:r>
          </w:p>
        </w:tc>
        <w:tc>
          <w:tcPr>
            <w:tcW w:w="2552" w:type="dxa"/>
            <w:tcBorders>
              <w:top w:val="single" w:color="auto" w:sz="4" w:space="0"/>
              <w:left w:val="single" w:color="auto" w:sz="4" w:space="0"/>
              <w:bottom w:val="single" w:color="auto" w:sz="4" w:space="0"/>
              <w:right w:val="single" w:color="auto" w:sz="4" w:space="0"/>
            </w:tcBorders>
            <w:vAlign w:val="center"/>
          </w:tcPr>
          <w:p w14:paraId="665D57CA">
            <w:pPr>
              <w:widowControl/>
              <w:spacing w:line="360" w:lineRule="auto"/>
              <w:jc w:val="left"/>
              <w:rPr>
                <w:rFonts w:ascii="宋体" w:hAnsi="宋体" w:eastAsia="宋体" w:cs="宋体"/>
                <w:color w:val="auto"/>
                <w:szCs w:val="21"/>
                <w:highlight w:val="none"/>
              </w:rPr>
            </w:pPr>
          </w:p>
        </w:tc>
        <w:tc>
          <w:tcPr>
            <w:tcW w:w="1769" w:type="dxa"/>
            <w:tcBorders>
              <w:top w:val="single" w:color="auto" w:sz="4" w:space="0"/>
              <w:left w:val="single" w:color="auto" w:sz="4" w:space="0"/>
              <w:bottom w:val="single" w:color="auto" w:sz="4" w:space="0"/>
              <w:right w:val="single" w:color="auto" w:sz="4" w:space="0"/>
            </w:tcBorders>
            <w:vAlign w:val="center"/>
          </w:tcPr>
          <w:p w14:paraId="18211893">
            <w:pPr>
              <w:widowControl/>
              <w:spacing w:line="360" w:lineRule="auto"/>
              <w:jc w:val="left"/>
              <w:rPr>
                <w:rFonts w:ascii="宋体" w:hAnsi="宋体" w:eastAsia="宋体" w:cs="宋体"/>
                <w:color w:val="auto"/>
                <w:szCs w:val="21"/>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14:paraId="1B7C69DE">
            <w:pPr>
              <w:widowControl/>
              <w:spacing w:line="360" w:lineRule="auto"/>
              <w:jc w:val="left"/>
              <w:rPr>
                <w:rFonts w:ascii="宋体" w:hAnsi="宋体" w:eastAsia="宋体" w:cs="宋体"/>
                <w:color w:val="auto"/>
                <w:szCs w:val="21"/>
                <w:highlight w:val="none"/>
              </w:rPr>
            </w:pPr>
          </w:p>
        </w:tc>
      </w:tr>
      <w:tr w14:paraId="7D1658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2596E4EB">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textAlignment w:val="auto"/>
              <w:rPr>
                <w:rFonts w:hint="default" w:ascii="宋体" w:hAnsi="宋体" w:cs="宋体" w:eastAsiaTheme="minorEastAsia"/>
                <w:b w:val="0"/>
                <w:bCs w:val="0"/>
                <w:color w:val="auto"/>
                <w:szCs w:val="21"/>
                <w:highlight w:val="none"/>
                <w:lang w:val="en-US" w:eastAsia="zh-CN"/>
              </w:rPr>
            </w:pPr>
            <w:r>
              <w:rPr>
                <w:rFonts w:hint="eastAsia"/>
                <w:szCs w:val="21"/>
              </w:rPr>
              <w:t>其它要求</w:t>
            </w:r>
          </w:p>
        </w:tc>
        <w:tc>
          <w:tcPr>
            <w:tcW w:w="2552" w:type="dxa"/>
            <w:tcBorders>
              <w:top w:val="single" w:color="auto" w:sz="4" w:space="0"/>
              <w:left w:val="single" w:color="auto" w:sz="4" w:space="0"/>
              <w:bottom w:val="single" w:color="auto" w:sz="4" w:space="0"/>
              <w:right w:val="single" w:color="auto" w:sz="4" w:space="0"/>
            </w:tcBorders>
            <w:vAlign w:val="center"/>
          </w:tcPr>
          <w:p w14:paraId="45E531F3">
            <w:pPr>
              <w:widowControl/>
              <w:spacing w:line="360" w:lineRule="auto"/>
              <w:jc w:val="left"/>
              <w:rPr>
                <w:rFonts w:ascii="宋体" w:hAnsi="宋体" w:eastAsia="宋体" w:cs="宋体"/>
                <w:color w:val="auto"/>
                <w:szCs w:val="21"/>
                <w:highlight w:val="none"/>
              </w:rPr>
            </w:pPr>
          </w:p>
        </w:tc>
        <w:tc>
          <w:tcPr>
            <w:tcW w:w="1769" w:type="dxa"/>
            <w:tcBorders>
              <w:top w:val="single" w:color="auto" w:sz="4" w:space="0"/>
              <w:left w:val="single" w:color="auto" w:sz="4" w:space="0"/>
              <w:bottom w:val="single" w:color="auto" w:sz="4" w:space="0"/>
              <w:right w:val="single" w:color="auto" w:sz="4" w:space="0"/>
            </w:tcBorders>
            <w:vAlign w:val="center"/>
          </w:tcPr>
          <w:p w14:paraId="4A3B4345">
            <w:pPr>
              <w:widowControl/>
              <w:spacing w:line="360" w:lineRule="auto"/>
              <w:jc w:val="left"/>
              <w:rPr>
                <w:rFonts w:ascii="宋体" w:hAnsi="宋体" w:eastAsia="宋体" w:cs="宋体"/>
                <w:color w:val="auto"/>
                <w:szCs w:val="21"/>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14:paraId="0C736594">
            <w:pPr>
              <w:widowControl/>
              <w:spacing w:line="360" w:lineRule="auto"/>
              <w:jc w:val="left"/>
              <w:rPr>
                <w:rFonts w:ascii="宋体" w:hAnsi="宋体" w:eastAsia="宋体" w:cs="宋体"/>
                <w:color w:val="auto"/>
                <w:szCs w:val="21"/>
                <w:highlight w:val="none"/>
              </w:rPr>
            </w:pPr>
          </w:p>
        </w:tc>
      </w:tr>
      <w:tr w14:paraId="01280B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45327C39">
            <w:pPr>
              <w:spacing w:line="360" w:lineRule="auto"/>
              <w:ind w:left="0" w:leftChars="0" w:firstLine="0" w:firstLineChars="0"/>
              <w:jc w:val="center"/>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w:t>
            </w:r>
          </w:p>
        </w:tc>
        <w:tc>
          <w:tcPr>
            <w:tcW w:w="2552" w:type="dxa"/>
            <w:tcBorders>
              <w:top w:val="single" w:color="auto" w:sz="4" w:space="0"/>
              <w:left w:val="single" w:color="auto" w:sz="4" w:space="0"/>
              <w:bottom w:val="single" w:color="auto" w:sz="4" w:space="0"/>
              <w:right w:val="single" w:color="auto" w:sz="4" w:space="0"/>
            </w:tcBorders>
            <w:vAlign w:val="center"/>
          </w:tcPr>
          <w:p w14:paraId="64C00B42">
            <w:pPr>
              <w:widowControl/>
              <w:spacing w:line="360" w:lineRule="auto"/>
              <w:jc w:val="left"/>
              <w:rPr>
                <w:rFonts w:ascii="宋体" w:hAnsi="宋体" w:eastAsia="宋体" w:cs="宋体"/>
                <w:color w:val="auto"/>
                <w:szCs w:val="21"/>
                <w:highlight w:val="none"/>
              </w:rPr>
            </w:pPr>
          </w:p>
        </w:tc>
        <w:tc>
          <w:tcPr>
            <w:tcW w:w="1769" w:type="dxa"/>
            <w:tcBorders>
              <w:top w:val="single" w:color="auto" w:sz="4" w:space="0"/>
              <w:left w:val="single" w:color="auto" w:sz="4" w:space="0"/>
              <w:bottom w:val="single" w:color="auto" w:sz="4" w:space="0"/>
              <w:right w:val="single" w:color="auto" w:sz="4" w:space="0"/>
            </w:tcBorders>
            <w:vAlign w:val="center"/>
          </w:tcPr>
          <w:p w14:paraId="0F4F1B01">
            <w:pPr>
              <w:widowControl/>
              <w:spacing w:line="360" w:lineRule="auto"/>
              <w:jc w:val="left"/>
              <w:rPr>
                <w:rFonts w:ascii="宋体" w:hAnsi="宋体" w:eastAsia="宋体" w:cs="宋体"/>
                <w:color w:val="auto"/>
                <w:szCs w:val="21"/>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14:paraId="0166D527">
            <w:pPr>
              <w:widowControl/>
              <w:spacing w:line="360" w:lineRule="auto"/>
              <w:jc w:val="left"/>
              <w:rPr>
                <w:rFonts w:ascii="宋体" w:hAnsi="宋体" w:eastAsia="宋体" w:cs="宋体"/>
                <w:color w:val="auto"/>
                <w:szCs w:val="21"/>
                <w:highlight w:val="none"/>
              </w:rPr>
            </w:pPr>
          </w:p>
        </w:tc>
      </w:tr>
    </w:tbl>
    <w:p w14:paraId="3EE8CF17">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注：</w:t>
      </w:r>
    </w:p>
    <w:p w14:paraId="55CFBB79">
      <w:pPr>
        <w:widowControl/>
        <w:spacing w:line="360" w:lineRule="auto"/>
        <w:ind w:firstLine="371" w:firstLineChars="177"/>
        <w:jc w:val="left"/>
        <w:rPr>
          <w:rFonts w:ascii="宋体" w:hAnsi="宋体" w:eastAsia="宋体" w:cs="宋体"/>
          <w:color w:val="auto"/>
          <w:szCs w:val="21"/>
          <w:highlight w:val="none"/>
        </w:rPr>
      </w:pPr>
      <w:r>
        <w:rPr>
          <w:rFonts w:hint="eastAsia" w:ascii="宋体" w:hAnsi="宋体" w:eastAsia="宋体" w:cs="宋体"/>
          <w:color w:val="auto"/>
          <w:szCs w:val="21"/>
          <w:highlight w:val="none"/>
        </w:rPr>
        <w:t>1.说明：应对照磋商文件“第三章 采购需求”中的商务要求逐条作出明确响应，并作出偏离说明。</w:t>
      </w:r>
    </w:p>
    <w:p w14:paraId="75A08A2E">
      <w:pPr>
        <w:widowControl/>
        <w:spacing w:line="360" w:lineRule="auto"/>
        <w:ind w:firstLine="371" w:firstLineChars="177"/>
        <w:jc w:val="left"/>
        <w:rPr>
          <w:rFonts w:ascii="宋体" w:hAnsi="宋体" w:eastAsia="宋体" w:cs="宋体"/>
          <w:color w:val="auto"/>
          <w:szCs w:val="21"/>
          <w:highlight w:val="none"/>
        </w:rPr>
      </w:pPr>
      <w:r>
        <w:rPr>
          <w:rFonts w:hint="eastAsia" w:ascii="宋体" w:hAnsi="宋体" w:eastAsia="宋体" w:cs="宋体"/>
          <w:color w:val="auto"/>
          <w:szCs w:val="21"/>
          <w:highlight w:val="none"/>
        </w:rPr>
        <w:t>2.供应商应根据自身的承诺，对照磋商文件要求在“偏离说明”中注明“正偏离”、“负偏离”或者“无偏离”。既不属于“正偏离”也不属于“负偏离”即为“无偏离”。</w:t>
      </w:r>
    </w:p>
    <w:p w14:paraId="0374EFED">
      <w:pPr>
        <w:widowControl/>
        <w:spacing w:line="360" w:lineRule="auto"/>
        <w:jc w:val="left"/>
        <w:rPr>
          <w:rFonts w:ascii="宋体" w:hAnsi="宋体" w:eastAsia="宋体" w:cs="宋体"/>
          <w:color w:val="auto"/>
          <w:szCs w:val="21"/>
          <w:highlight w:val="none"/>
        </w:rPr>
      </w:pPr>
    </w:p>
    <w:p w14:paraId="7D183152">
      <w:pPr>
        <w:widowControl/>
        <w:spacing w:line="60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lang w:val="zh-CN"/>
        </w:rPr>
        <w:t>供应商名称</w:t>
      </w:r>
      <w:r>
        <w:rPr>
          <w:rFonts w:hint="eastAsia" w:ascii="宋体" w:hAnsi="宋体" w:eastAsia="宋体" w:cs="宋体"/>
          <w:color w:val="auto"/>
          <w:spacing w:val="20"/>
          <w:szCs w:val="21"/>
          <w:highlight w:val="none"/>
        </w:rPr>
        <w:t>（盖公章）：</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pacing w:val="20"/>
          <w:szCs w:val="21"/>
          <w:highlight w:val="none"/>
        </w:rPr>
        <w:t xml:space="preserve">    日  期：</w:t>
      </w:r>
      <w:r>
        <w:rPr>
          <w:rFonts w:hint="eastAsia" w:ascii="宋体" w:hAnsi="宋体" w:eastAsia="宋体" w:cs="宋体"/>
          <w:color w:val="auto"/>
          <w:spacing w:val="20"/>
          <w:szCs w:val="21"/>
          <w:highlight w:val="none"/>
          <w:u w:val="single"/>
        </w:rPr>
        <w:t xml:space="preserve">        </w:t>
      </w:r>
    </w:p>
    <w:p w14:paraId="535BC8A7">
      <w:pPr>
        <w:widowControl/>
        <w:spacing w:line="360" w:lineRule="auto"/>
        <w:jc w:val="left"/>
        <w:rPr>
          <w:rFonts w:ascii="宋体" w:hAnsi="宋体" w:eastAsia="宋体" w:cs="宋体"/>
          <w:color w:val="auto"/>
          <w:szCs w:val="21"/>
          <w:highlight w:val="none"/>
        </w:rPr>
      </w:pPr>
    </w:p>
    <w:p w14:paraId="5EFED341">
      <w:pPr>
        <w:widowControl/>
        <w:spacing w:before="260" w:after="260" w:line="415" w:lineRule="auto"/>
        <w:jc w:val="center"/>
        <w:rPr>
          <w:rFonts w:ascii="宋体" w:hAnsi="宋体" w:eastAsia="宋体" w:cs="宋体"/>
          <w:b/>
          <w:color w:val="auto"/>
          <w:sz w:val="24"/>
          <w:szCs w:val="24"/>
          <w:highlight w:val="none"/>
        </w:rPr>
      </w:pPr>
      <w:r>
        <w:rPr>
          <w:rFonts w:hint="eastAsia" w:ascii="宋体" w:hAnsi="宋体" w:eastAsia="宋体" w:cs="宋体"/>
          <w:color w:val="auto"/>
          <w:szCs w:val="21"/>
          <w:highlight w:val="none"/>
        </w:rPr>
        <w:br w:type="page"/>
      </w:r>
    </w:p>
    <w:p w14:paraId="7D13F15C">
      <w:pPr>
        <w:keepNext/>
        <w:keepLines/>
        <w:widowControl/>
        <w:spacing w:line="360" w:lineRule="auto"/>
        <w:jc w:val="left"/>
        <w:outlineLvl w:val="2"/>
        <w:rPr>
          <w:rFonts w:hint="eastAsia" w:ascii="宋体" w:hAnsi="宋体" w:eastAsia="宋体" w:cs="宋体"/>
          <w:b/>
          <w:color w:val="auto"/>
          <w:sz w:val="24"/>
          <w:szCs w:val="24"/>
          <w:highlight w:val="none"/>
        </w:rPr>
      </w:pPr>
    </w:p>
    <w:p w14:paraId="684D9DB9">
      <w:pPr>
        <w:keepNext/>
        <w:keepLines/>
        <w:widowControl/>
        <w:spacing w:line="360" w:lineRule="auto"/>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6.服务要求偏离表格式</w:t>
      </w:r>
    </w:p>
    <w:p w14:paraId="4C316D99">
      <w:pPr>
        <w:widowControl/>
        <w:spacing w:line="360" w:lineRule="auto"/>
        <w:ind w:firstLine="420" w:firstLineChars="200"/>
        <w:jc w:val="left"/>
        <w:rPr>
          <w:rFonts w:ascii="宋体" w:hAnsi="宋体" w:eastAsia="宋体" w:cs="宋体"/>
          <w:color w:val="auto"/>
          <w:szCs w:val="21"/>
          <w:highlight w:val="none"/>
        </w:rPr>
      </w:pPr>
    </w:p>
    <w:p w14:paraId="55D9AE25">
      <w:pPr>
        <w:widowControl/>
        <w:snapToGrid w:val="0"/>
        <w:spacing w:before="50" w:after="50"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服务要求偏离表（格式）</w:t>
      </w:r>
    </w:p>
    <w:p w14:paraId="615DCB1F">
      <w:pPr>
        <w:autoSpaceDE w:val="0"/>
        <w:autoSpaceDN w:val="0"/>
        <w:adjustRightInd w:val="0"/>
        <w:jc w:val="left"/>
        <w:rPr>
          <w:rFonts w:ascii="宋体" w:hAnsi="宋体" w:eastAsia="宋体" w:cs="宋体"/>
          <w:color w:val="auto"/>
          <w:kern w:val="0"/>
          <w:sz w:val="24"/>
          <w:szCs w:val="24"/>
          <w:highlight w:val="none"/>
        </w:rPr>
      </w:pPr>
    </w:p>
    <w:p w14:paraId="0CDBE1AD">
      <w:pPr>
        <w:widowControl/>
        <w:spacing w:line="360" w:lineRule="auto"/>
        <w:ind w:firstLine="240" w:firstLineChars="100"/>
        <w:jc w:val="left"/>
        <w:rPr>
          <w:rFonts w:ascii="宋体" w:hAnsi="宋体" w:eastAsia="宋体" w:cs="宋体"/>
          <w:color w:val="auto"/>
          <w:szCs w:val="21"/>
          <w:highlight w:val="none"/>
        </w:rPr>
      </w:pPr>
      <w:r>
        <w:rPr>
          <w:rFonts w:hint="eastAsia" w:ascii="宋体" w:hAnsi="宋体" w:eastAsia="宋体" w:cs="宋体"/>
          <w:color w:val="auto"/>
          <w:kern w:val="0"/>
          <w:sz w:val="24"/>
          <w:szCs w:val="24"/>
          <w:highlight w:val="none"/>
        </w:rPr>
        <w:t>____分标</w:t>
      </w:r>
    </w:p>
    <w:tbl>
      <w:tblPr>
        <w:tblStyle w:val="26"/>
        <w:tblW w:w="87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0"/>
        <w:gridCol w:w="1468"/>
        <w:gridCol w:w="2490"/>
        <w:gridCol w:w="2621"/>
        <w:gridCol w:w="1431"/>
      </w:tblGrid>
      <w:tr w14:paraId="598B08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10" w:type="dxa"/>
            <w:vAlign w:val="center"/>
          </w:tcPr>
          <w:p w14:paraId="32BBB122">
            <w:pPr>
              <w:spacing w:line="360" w:lineRule="auto"/>
              <w:contextualSpacing/>
              <w:jc w:val="center"/>
              <w:rPr>
                <w:rFonts w:ascii="宋体" w:hAnsi="宋体" w:eastAsia="宋体" w:cs="宋体"/>
                <w:color w:val="auto"/>
                <w:szCs w:val="21"/>
                <w:highlight w:val="none"/>
              </w:rPr>
            </w:pPr>
            <w:bookmarkStart w:id="21" w:name="_Toc297193185"/>
            <w:bookmarkStart w:id="22" w:name="_Toc383699906"/>
            <w:bookmarkStart w:id="23" w:name="_Toc173211900"/>
            <w:bookmarkStart w:id="24" w:name="_Toc254970729"/>
            <w:bookmarkStart w:id="25" w:name="_Toc373333689"/>
            <w:bookmarkStart w:id="26" w:name="_Toc295404981"/>
            <w:bookmarkStart w:id="27" w:name="_Toc173066401"/>
            <w:bookmarkStart w:id="28" w:name="_Toc254970588"/>
            <w:bookmarkStart w:id="29" w:name="_Toc301781611"/>
            <w:r>
              <w:rPr>
                <w:rFonts w:hint="eastAsia" w:ascii="宋体" w:hAnsi="宋体" w:eastAsia="宋体" w:cs="宋体"/>
                <w:color w:val="auto"/>
                <w:szCs w:val="21"/>
                <w:highlight w:val="none"/>
              </w:rPr>
              <w:t>序号</w:t>
            </w:r>
            <w:bookmarkEnd w:id="21"/>
            <w:bookmarkEnd w:id="22"/>
            <w:bookmarkEnd w:id="23"/>
            <w:bookmarkEnd w:id="24"/>
            <w:bookmarkEnd w:id="25"/>
            <w:bookmarkEnd w:id="26"/>
            <w:bookmarkEnd w:id="27"/>
            <w:bookmarkEnd w:id="28"/>
            <w:bookmarkEnd w:id="29"/>
          </w:p>
        </w:tc>
        <w:tc>
          <w:tcPr>
            <w:tcW w:w="1468" w:type="dxa"/>
            <w:tcBorders>
              <w:right w:val="single" w:color="auto" w:sz="4" w:space="0"/>
            </w:tcBorders>
            <w:vAlign w:val="center"/>
          </w:tcPr>
          <w:p w14:paraId="31F9BA62">
            <w:pPr>
              <w:spacing w:line="360" w:lineRule="auto"/>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标的名称</w:t>
            </w:r>
          </w:p>
        </w:tc>
        <w:tc>
          <w:tcPr>
            <w:tcW w:w="2490" w:type="dxa"/>
            <w:tcBorders>
              <w:left w:val="single" w:color="auto" w:sz="4" w:space="0"/>
            </w:tcBorders>
            <w:vAlign w:val="center"/>
          </w:tcPr>
          <w:p w14:paraId="2CB3AEE9">
            <w:pPr>
              <w:spacing w:line="360" w:lineRule="auto"/>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磋商文件服务要求</w:t>
            </w:r>
          </w:p>
        </w:tc>
        <w:tc>
          <w:tcPr>
            <w:tcW w:w="2621" w:type="dxa"/>
            <w:vAlign w:val="center"/>
          </w:tcPr>
          <w:p w14:paraId="7F6562E3">
            <w:pPr>
              <w:spacing w:line="360" w:lineRule="auto"/>
              <w:contextualSpacing/>
              <w:jc w:val="center"/>
              <w:rPr>
                <w:rFonts w:ascii="宋体" w:hAnsi="宋体" w:eastAsia="宋体" w:cs="宋体"/>
                <w:color w:val="auto"/>
                <w:szCs w:val="21"/>
                <w:highlight w:val="none"/>
              </w:rPr>
            </w:pPr>
            <w:bookmarkStart w:id="30" w:name="_Toc173211902"/>
            <w:bookmarkStart w:id="31" w:name="_Toc254970590"/>
            <w:bookmarkStart w:id="32" w:name="_Toc383699908"/>
            <w:bookmarkStart w:id="33" w:name="_Toc297193187"/>
            <w:bookmarkStart w:id="34" w:name="_Toc301781613"/>
            <w:bookmarkStart w:id="35" w:name="_Toc295404983"/>
            <w:bookmarkStart w:id="36" w:name="_Toc254970731"/>
            <w:bookmarkStart w:id="37" w:name="_Toc173066403"/>
            <w:bookmarkStart w:id="38" w:name="_Toc373333691"/>
            <w:r>
              <w:rPr>
                <w:rFonts w:hint="eastAsia" w:ascii="宋体" w:hAnsi="宋体" w:eastAsia="宋体" w:cs="宋体"/>
                <w:color w:val="auto"/>
                <w:szCs w:val="21"/>
                <w:highlight w:val="none"/>
              </w:rPr>
              <w:t>磋商响应</w:t>
            </w:r>
            <w:bookmarkEnd w:id="30"/>
            <w:bookmarkEnd w:id="31"/>
            <w:bookmarkEnd w:id="32"/>
            <w:bookmarkEnd w:id="33"/>
            <w:bookmarkEnd w:id="34"/>
            <w:bookmarkEnd w:id="35"/>
            <w:bookmarkEnd w:id="36"/>
            <w:bookmarkEnd w:id="37"/>
            <w:bookmarkEnd w:id="38"/>
          </w:p>
        </w:tc>
        <w:tc>
          <w:tcPr>
            <w:tcW w:w="1431" w:type="dxa"/>
            <w:vAlign w:val="center"/>
          </w:tcPr>
          <w:p w14:paraId="5E263B59">
            <w:pPr>
              <w:spacing w:line="360" w:lineRule="auto"/>
              <w:contextualSpacing/>
              <w:jc w:val="center"/>
              <w:rPr>
                <w:rFonts w:ascii="宋体" w:hAnsi="宋体" w:eastAsia="宋体" w:cs="宋体"/>
                <w:color w:val="auto"/>
                <w:szCs w:val="21"/>
                <w:highlight w:val="none"/>
              </w:rPr>
            </w:pPr>
            <w:bookmarkStart w:id="39" w:name="_Toc254970591"/>
            <w:bookmarkStart w:id="40" w:name="_Toc301781614"/>
            <w:bookmarkStart w:id="41" w:name="_Toc383699909"/>
            <w:bookmarkStart w:id="42" w:name="_Toc173066404"/>
            <w:bookmarkStart w:id="43" w:name="_Toc173211903"/>
            <w:bookmarkStart w:id="44" w:name="_Toc254970732"/>
            <w:bookmarkStart w:id="45" w:name="_Toc295404984"/>
            <w:bookmarkStart w:id="46" w:name="_Toc373333692"/>
            <w:bookmarkStart w:id="47" w:name="_Toc297193188"/>
            <w:r>
              <w:rPr>
                <w:rFonts w:hint="eastAsia" w:ascii="宋体" w:hAnsi="宋体" w:eastAsia="宋体" w:cs="宋体"/>
                <w:color w:val="auto"/>
                <w:szCs w:val="21"/>
                <w:highlight w:val="none"/>
              </w:rPr>
              <w:t>偏离</w:t>
            </w:r>
            <w:bookmarkEnd w:id="39"/>
            <w:bookmarkEnd w:id="40"/>
            <w:bookmarkEnd w:id="41"/>
            <w:bookmarkEnd w:id="42"/>
            <w:bookmarkEnd w:id="43"/>
            <w:bookmarkEnd w:id="44"/>
            <w:bookmarkEnd w:id="45"/>
            <w:bookmarkEnd w:id="46"/>
            <w:bookmarkEnd w:id="47"/>
            <w:bookmarkStart w:id="48" w:name="_Toc301781615"/>
            <w:bookmarkStart w:id="49" w:name="_Toc383699910"/>
            <w:bookmarkStart w:id="50" w:name="_Toc297193189"/>
            <w:bookmarkStart w:id="51" w:name="_Toc173066405"/>
            <w:bookmarkStart w:id="52" w:name="_Toc373333693"/>
            <w:bookmarkStart w:id="53" w:name="_Toc254970592"/>
            <w:bookmarkStart w:id="54" w:name="_Toc173211904"/>
            <w:bookmarkStart w:id="55" w:name="_Toc295404985"/>
            <w:bookmarkStart w:id="56" w:name="_Toc254970733"/>
            <w:r>
              <w:rPr>
                <w:rFonts w:hint="eastAsia" w:ascii="宋体" w:hAnsi="宋体" w:eastAsia="宋体" w:cs="宋体"/>
                <w:color w:val="auto"/>
                <w:szCs w:val="21"/>
                <w:highlight w:val="none"/>
              </w:rPr>
              <w:t>说明</w:t>
            </w:r>
            <w:bookmarkEnd w:id="48"/>
            <w:bookmarkEnd w:id="49"/>
            <w:bookmarkEnd w:id="50"/>
            <w:bookmarkEnd w:id="51"/>
            <w:bookmarkEnd w:id="52"/>
            <w:bookmarkEnd w:id="53"/>
            <w:bookmarkEnd w:id="54"/>
            <w:bookmarkEnd w:id="55"/>
            <w:bookmarkEnd w:id="56"/>
          </w:p>
        </w:tc>
      </w:tr>
      <w:tr w14:paraId="40EEE6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10" w:type="dxa"/>
            <w:vAlign w:val="center"/>
          </w:tcPr>
          <w:p w14:paraId="3DFC11C4">
            <w:pPr>
              <w:spacing w:line="360" w:lineRule="auto"/>
              <w:contextualSpacing/>
              <w:jc w:val="center"/>
              <w:rPr>
                <w:rFonts w:ascii="宋体" w:hAnsi="宋体" w:eastAsia="宋体" w:cs="宋体"/>
                <w:color w:val="auto"/>
                <w:szCs w:val="21"/>
                <w:highlight w:val="none"/>
              </w:rPr>
            </w:pPr>
            <w:bookmarkStart w:id="57" w:name="_Toc254970593"/>
            <w:bookmarkStart w:id="58" w:name="_Toc254970734"/>
            <w:bookmarkStart w:id="59" w:name="_Toc173066406"/>
            <w:bookmarkStart w:id="60" w:name="_Toc297193190"/>
            <w:bookmarkStart w:id="61" w:name="_Toc301781616"/>
            <w:bookmarkStart w:id="62" w:name="_Toc373333694"/>
            <w:bookmarkStart w:id="63" w:name="_Toc383699911"/>
            <w:bookmarkStart w:id="64" w:name="_Toc173211905"/>
            <w:bookmarkStart w:id="65" w:name="_Toc295404986"/>
            <w:r>
              <w:rPr>
                <w:rFonts w:hint="eastAsia" w:ascii="宋体" w:hAnsi="宋体" w:eastAsia="宋体" w:cs="宋体"/>
                <w:color w:val="auto"/>
                <w:szCs w:val="21"/>
                <w:highlight w:val="none"/>
              </w:rPr>
              <w:t>1</w:t>
            </w:r>
            <w:bookmarkEnd w:id="57"/>
            <w:bookmarkEnd w:id="58"/>
            <w:bookmarkEnd w:id="59"/>
            <w:bookmarkEnd w:id="60"/>
            <w:bookmarkEnd w:id="61"/>
            <w:bookmarkEnd w:id="62"/>
            <w:bookmarkEnd w:id="63"/>
            <w:bookmarkEnd w:id="64"/>
            <w:bookmarkEnd w:id="65"/>
          </w:p>
        </w:tc>
        <w:tc>
          <w:tcPr>
            <w:tcW w:w="1468" w:type="dxa"/>
            <w:tcBorders>
              <w:right w:val="single" w:color="auto" w:sz="4" w:space="0"/>
            </w:tcBorders>
            <w:vAlign w:val="center"/>
          </w:tcPr>
          <w:p w14:paraId="7D77D702">
            <w:pPr>
              <w:spacing w:line="360" w:lineRule="auto"/>
              <w:contextualSpacing/>
              <w:jc w:val="center"/>
              <w:rPr>
                <w:rFonts w:ascii="宋体" w:hAnsi="宋体" w:eastAsia="宋体" w:cs="宋体"/>
                <w:color w:val="auto"/>
                <w:szCs w:val="21"/>
                <w:highlight w:val="none"/>
              </w:rPr>
            </w:pPr>
          </w:p>
        </w:tc>
        <w:tc>
          <w:tcPr>
            <w:tcW w:w="2490" w:type="dxa"/>
            <w:tcBorders>
              <w:left w:val="single" w:color="auto" w:sz="4" w:space="0"/>
            </w:tcBorders>
            <w:vAlign w:val="center"/>
          </w:tcPr>
          <w:p w14:paraId="1E04CE23">
            <w:pPr>
              <w:spacing w:line="360" w:lineRule="auto"/>
              <w:contextualSpacing/>
              <w:jc w:val="center"/>
              <w:rPr>
                <w:rFonts w:ascii="宋体" w:hAnsi="宋体" w:eastAsia="宋体" w:cs="宋体"/>
                <w:color w:val="auto"/>
                <w:szCs w:val="21"/>
                <w:highlight w:val="none"/>
              </w:rPr>
            </w:pPr>
          </w:p>
        </w:tc>
        <w:tc>
          <w:tcPr>
            <w:tcW w:w="2621" w:type="dxa"/>
            <w:vAlign w:val="center"/>
          </w:tcPr>
          <w:p w14:paraId="6EE027C1">
            <w:pPr>
              <w:spacing w:line="360" w:lineRule="auto"/>
              <w:contextualSpacing/>
              <w:jc w:val="center"/>
              <w:rPr>
                <w:rFonts w:ascii="宋体" w:hAnsi="宋体" w:eastAsia="宋体" w:cs="宋体"/>
                <w:color w:val="auto"/>
                <w:szCs w:val="21"/>
                <w:highlight w:val="none"/>
              </w:rPr>
            </w:pPr>
          </w:p>
        </w:tc>
        <w:tc>
          <w:tcPr>
            <w:tcW w:w="1431" w:type="dxa"/>
            <w:vAlign w:val="center"/>
          </w:tcPr>
          <w:p w14:paraId="4E093EE8">
            <w:pPr>
              <w:spacing w:line="360" w:lineRule="auto"/>
              <w:contextualSpacing/>
              <w:jc w:val="center"/>
              <w:rPr>
                <w:rFonts w:ascii="宋体" w:hAnsi="宋体" w:eastAsia="宋体" w:cs="宋体"/>
                <w:color w:val="auto"/>
                <w:szCs w:val="21"/>
                <w:highlight w:val="none"/>
              </w:rPr>
            </w:pPr>
          </w:p>
        </w:tc>
      </w:tr>
      <w:tr w14:paraId="293EE2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10" w:type="dxa"/>
            <w:vAlign w:val="center"/>
          </w:tcPr>
          <w:p w14:paraId="6B61261B">
            <w:pPr>
              <w:spacing w:line="360" w:lineRule="auto"/>
              <w:contextualSpacing/>
              <w:jc w:val="center"/>
              <w:rPr>
                <w:rFonts w:ascii="宋体" w:hAnsi="宋体" w:eastAsia="宋体" w:cs="宋体"/>
                <w:color w:val="auto"/>
                <w:szCs w:val="21"/>
                <w:highlight w:val="none"/>
              </w:rPr>
            </w:pPr>
            <w:bookmarkStart w:id="66" w:name="_Toc254970735"/>
            <w:bookmarkStart w:id="67" w:name="_Toc295404987"/>
            <w:bookmarkStart w:id="68" w:name="_Toc297193191"/>
            <w:bookmarkStart w:id="69" w:name="_Toc254970594"/>
            <w:bookmarkStart w:id="70" w:name="_Toc173211906"/>
            <w:bookmarkStart w:id="71" w:name="_Toc301781617"/>
            <w:bookmarkStart w:id="72" w:name="_Toc173066407"/>
            <w:bookmarkStart w:id="73" w:name="_Toc373333695"/>
            <w:bookmarkStart w:id="74" w:name="_Toc383699912"/>
            <w:r>
              <w:rPr>
                <w:rFonts w:hint="eastAsia" w:ascii="宋体" w:hAnsi="宋体" w:eastAsia="宋体" w:cs="宋体"/>
                <w:color w:val="auto"/>
                <w:szCs w:val="21"/>
                <w:highlight w:val="none"/>
              </w:rPr>
              <w:t>2</w:t>
            </w:r>
            <w:bookmarkEnd w:id="66"/>
            <w:bookmarkEnd w:id="67"/>
            <w:bookmarkEnd w:id="68"/>
            <w:bookmarkEnd w:id="69"/>
            <w:bookmarkEnd w:id="70"/>
            <w:bookmarkEnd w:id="71"/>
            <w:bookmarkEnd w:id="72"/>
            <w:bookmarkEnd w:id="73"/>
            <w:bookmarkEnd w:id="74"/>
          </w:p>
        </w:tc>
        <w:tc>
          <w:tcPr>
            <w:tcW w:w="1468" w:type="dxa"/>
            <w:tcBorders>
              <w:right w:val="single" w:color="auto" w:sz="4" w:space="0"/>
            </w:tcBorders>
            <w:vAlign w:val="center"/>
          </w:tcPr>
          <w:p w14:paraId="15718EA3">
            <w:pPr>
              <w:spacing w:line="360" w:lineRule="auto"/>
              <w:contextualSpacing/>
              <w:jc w:val="center"/>
              <w:rPr>
                <w:rFonts w:ascii="宋体" w:hAnsi="宋体" w:eastAsia="宋体" w:cs="宋体"/>
                <w:color w:val="auto"/>
                <w:szCs w:val="21"/>
                <w:highlight w:val="none"/>
              </w:rPr>
            </w:pPr>
          </w:p>
        </w:tc>
        <w:tc>
          <w:tcPr>
            <w:tcW w:w="2490" w:type="dxa"/>
            <w:tcBorders>
              <w:left w:val="single" w:color="auto" w:sz="4" w:space="0"/>
            </w:tcBorders>
            <w:vAlign w:val="center"/>
          </w:tcPr>
          <w:p w14:paraId="2AB7CEB7">
            <w:pPr>
              <w:spacing w:line="360" w:lineRule="auto"/>
              <w:contextualSpacing/>
              <w:jc w:val="center"/>
              <w:rPr>
                <w:rFonts w:ascii="宋体" w:hAnsi="宋体" w:eastAsia="宋体" w:cs="宋体"/>
                <w:color w:val="auto"/>
                <w:szCs w:val="21"/>
                <w:highlight w:val="none"/>
              </w:rPr>
            </w:pPr>
          </w:p>
        </w:tc>
        <w:tc>
          <w:tcPr>
            <w:tcW w:w="2621" w:type="dxa"/>
            <w:vAlign w:val="center"/>
          </w:tcPr>
          <w:p w14:paraId="22CBBB1D">
            <w:pPr>
              <w:spacing w:line="360" w:lineRule="auto"/>
              <w:contextualSpacing/>
              <w:jc w:val="center"/>
              <w:rPr>
                <w:rFonts w:ascii="宋体" w:hAnsi="宋体" w:eastAsia="宋体" w:cs="宋体"/>
                <w:color w:val="auto"/>
                <w:szCs w:val="21"/>
                <w:highlight w:val="none"/>
              </w:rPr>
            </w:pPr>
          </w:p>
        </w:tc>
        <w:tc>
          <w:tcPr>
            <w:tcW w:w="1431" w:type="dxa"/>
            <w:vAlign w:val="center"/>
          </w:tcPr>
          <w:p w14:paraId="14C88F53">
            <w:pPr>
              <w:spacing w:line="360" w:lineRule="auto"/>
              <w:contextualSpacing/>
              <w:jc w:val="center"/>
              <w:rPr>
                <w:rFonts w:ascii="宋体" w:hAnsi="宋体" w:eastAsia="宋体" w:cs="宋体"/>
                <w:color w:val="auto"/>
                <w:szCs w:val="21"/>
                <w:highlight w:val="none"/>
              </w:rPr>
            </w:pPr>
          </w:p>
        </w:tc>
      </w:tr>
      <w:tr w14:paraId="1DADAA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10" w:type="dxa"/>
            <w:vAlign w:val="center"/>
          </w:tcPr>
          <w:p w14:paraId="190B86B6">
            <w:pPr>
              <w:spacing w:line="360" w:lineRule="auto"/>
              <w:contextualSpacing/>
              <w:jc w:val="center"/>
              <w:rPr>
                <w:rFonts w:ascii="宋体" w:hAnsi="宋体" w:eastAsia="宋体" w:cs="宋体"/>
                <w:color w:val="auto"/>
                <w:szCs w:val="21"/>
                <w:highlight w:val="none"/>
              </w:rPr>
            </w:pPr>
            <w:bookmarkStart w:id="75" w:name="_Toc301781618"/>
            <w:bookmarkStart w:id="76" w:name="_Toc383699913"/>
            <w:bookmarkStart w:id="77" w:name="_Toc295404988"/>
            <w:bookmarkStart w:id="78" w:name="_Toc373333696"/>
            <w:bookmarkStart w:id="79" w:name="_Toc297193192"/>
            <w:bookmarkStart w:id="80" w:name="_Toc254970595"/>
            <w:bookmarkStart w:id="81" w:name="_Toc173066408"/>
            <w:bookmarkStart w:id="82" w:name="_Toc254970736"/>
            <w:bookmarkStart w:id="83" w:name="_Toc173211907"/>
            <w:r>
              <w:rPr>
                <w:rFonts w:hint="eastAsia" w:ascii="宋体" w:hAnsi="宋体" w:eastAsia="宋体" w:cs="宋体"/>
                <w:color w:val="auto"/>
                <w:szCs w:val="21"/>
                <w:highlight w:val="none"/>
              </w:rPr>
              <w:t>3</w:t>
            </w:r>
            <w:bookmarkEnd w:id="75"/>
            <w:bookmarkEnd w:id="76"/>
            <w:bookmarkEnd w:id="77"/>
            <w:bookmarkEnd w:id="78"/>
            <w:bookmarkEnd w:id="79"/>
            <w:bookmarkEnd w:id="80"/>
            <w:bookmarkEnd w:id="81"/>
            <w:bookmarkEnd w:id="82"/>
            <w:bookmarkEnd w:id="83"/>
          </w:p>
        </w:tc>
        <w:tc>
          <w:tcPr>
            <w:tcW w:w="1468" w:type="dxa"/>
            <w:tcBorders>
              <w:right w:val="single" w:color="auto" w:sz="4" w:space="0"/>
            </w:tcBorders>
            <w:vAlign w:val="center"/>
          </w:tcPr>
          <w:p w14:paraId="7ACF4517">
            <w:pPr>
              <w:spacing w:line="360" w:lineRule="auto"/>
              <w:contextualSpacing/>
              <w:jc w:val="center"/>
              <w:rPr>
                <w:rFonts w:ascii="宋体" w:hAnsi="宋体" w:eastAsia="宋体" w:cs="宋体"/>
                <w:color w:val="auto"/>
                <w:szCs w:val="21"/>
                <w:highlight w:val="none"/>
              </w:rPr>
            </w:pPr>
          </w:p>
        </w:tc>
        <w:tc>
          <w:tcPr>
            <w:tcW w:w="2490" w:type="dxa"/>
            <w:tcBorders>
              <w:left w:val="single" w:color="auto" w:sz="4" w:space="0"/>
            </w:tcBorders>
            <w:vAlign w:val="center"/>
          </w:tcPr>
          <w:p w14:paraId="7CFC8799">
            <w:pPr>
              <w:spacing w:line="360" w:lineRule="auto"/>
              <w:contextualSpacing/>
              <w:jc w:val="center"/>
              <w:rPr>
                <w:rFonts w:ascii="宋体" w:hAnsi="宋体" w:eastAsia="宋体" w:cs="宋体"/>
                <w:color w:val="auto"/>
                <w:szCs w:val="21"/>
                <w:highlight w:val="none"/>
              </w:rPr>
            </w:pPr>
          </w:p>
        </w:tc>
        <w:tc>
          <w:tcPr>
            <w:tcW w:w="2621" w:type="dxa"/>
            <w:vAlign w:val="center"/>
          </w:tcPr>
          <w:p w14:paraId="37C16C70">
            <w:pPr>
              <w:spacing w:line="360" w:lineRule="auto"/>
              <w:contextualSpacing/>
              <w:jc w:val="center"/>
              <w:rPr>
                <w:rFonts w:ascii="宋体" w:hAnsi="宋体" w:eastAsia="宋体" w:cs="宋体"/>
                <w:color w:val="auto"/>
                <w:szCs w:val="21"/>
                <w:highlight w:val="none"/>
              </w:rPr>
            </w:pPr>
          </w:p>
        </w:tc>
        <w:tc>
          <w:tcPr>
            <w:tcW w:w="1431" w:type="dxa"/>
            <w:vAlign w:val="center"/>
          </w:tcPr>
          <w:p w14:paraId="0C77BB1F">
            <w:pPr>
              <w:spacing w:line="360" w:lineRule="auto"/>
              <w:contextualSpacing/>
              <w:jc w:val="center"/>
              <w:rPr>
                <w:rFonts w:ascii="宋体" w:hAnsi="宋体" w:eastAsia="宋体" w:cs="宋体"/>
                <w:color w:val="auto"/>
                <w:szCs w:val="21"/>
                <w:highlight w:val="none"/>
              </w:rPr>
            </w:pPr>
          </w:p>
        </w:tc>
      </w:tr>
      <w:tr w14:paraId="3ABF74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10" w:type="dxa"/>
            <w:vAlign w:val="center"/>
          </w:tcPr>
          <w:p w14:paraId="46C6590B">
            <w:pPr>
              <w:spacing w:line="360" w:lineRule="auto"/>
              <w:contextualSpacing/>
              <w:jc w:val="center"/>
              <w:rPr>
                <w:rFonts w:ascii="宋体" w:hAnsi="宋体" w:eastAsia="宋体" w:cs="宋体"/>
                <w:color w:val="auto"/>
                <w:szCs w:val="21"/>
                <w:highlight w:val="none"/>
              </w:rPr>
            </w:pPr>
            <w:bookmarkStart w:id="84" w:name="_Toc295404989"/>
            <w:bookmarkStart w:id="85" w:name="_Toc173066409"/>
            <w:bookmarkStart w:id="86" w:name="_Toc254970737"/>
            <w:bookmarkStart w:id="87" w:name="_Toc301781619"/>
            <w:bookmarkStart w:id="88" w:name="_Toc373333697"/>
            <w:bookmarkStart w:id="89" w:name="_Toc254970596"/>
            <w:bookmarkStart w:id="90" w:name="_Toc297193193"/>
            <w:bookmarkStart w:id="91" w:name="_Toc383699914"/>
            <w:bookmarkStart w:id="92" w:name="_Toc173211908"/>
            <w:r>
              <w:rPr>
                <w:rFonts w:hint="eastAsia" w:ascii="宋体" w:hAnsi="宋体" w:eastAsia="宋体" w:cs="宋体"/>
                <w:color w:val="auto"/>
                <w:szCs w:val="21"/>
                <w:highlight w:val="none"/>
              </w:rPr>
              <w:t>4</w:t>
            </w:r>
            <w:bookmarkEnd w:id="84"/>
            <w:bookmarkEnd w:id="85"/>
            <w:bookmarkEnd w:id="86"/>
            <w:bookmarkEnd w:id="87"/>
            <w:bookmarkEnd w:id="88"/>
            <w:bookmarkEnd w:id="89"/>
            <w:bookmarkEnd w:id="90"/>
            <w:bookmarkEnd w:id="91"/>
            <w:bookmarkEnd w:id="92"/>
          </w:p>
        </w:tc>
        <w:tc>
          <w:tcPr>
            <w:tcW w:w="1468" w:type="dxa"/>
            <w:tcBorders>
              <w:right w:val="single" w:color="auto" w:sz="4" w:space="0"/>
            </w:tcBorders>
            <w:vAlign w:val="center"/>
          </w:tcPr>
          <w:p w14:paraId="721495D8">
            <w:pPr>
              <w:spacing w:line="360" w:lineRule="auto"/>
              <w:contextualSpacing/>
              <w:jc w:val="center"/>
              <w:rPr>
                <w:rFonts w:ascii="宋体" w:hAnsi="宋体" w:eastAsia="宋体" w:cs="宋体"/>
                <w:color w:val="auto"/>
                <w:szCs w:val="21"/>
                <w:highlight w:val="none"/>
              </w:rPr>
            </w:pPr>
          </w:p>
        </w:tc>
        <w:tc>
          <w:tcPr>
            <w:tcW w:w="2490" w:type="dxa"/>
            <w:tcBorders>
              <w:left w:val="single" w:color="auto" w:sz="4" w:space="0"/>
            </w:tcBorders>
            <w:vAlign w:val="center"/>
          </w:tcPr>
          <w:p w14:paraId="593C1291">
            <w:pPr>
              <w:spacing w:line="360" w:lineRule="auto"/>
              <w:contextualSpacing/>
              <w:jc w:val="center"/>
              <w:rPr>
                <w:rFonts w:ascii="宋体" w:hAnsi="宋体" w:eastAsia="宋体" w:cs="宋体"/>
                <w:color w:val="auto"/>
                <w:szCs w:val="21"/>
                <w:highlight w:val="none"/>
              </w:rPr>
            </w:pPr>
          </w:p>
        </w:tc>
        <w:tc>
          <w:tcPr>
            <w:tcW w:w="2621" w:type="dxa"/>
            <w:vAlign w:val="center"/>
          </w:tcPr>
          <w:p w14:paraId="761D478B">
            <w:pPr>
              <w:spacing w:line="360" w:lineRule="auto"/>
              <w:contextualSpacing/>
              <w:jc w:val="center"/>
              <w:rPr>
                <w:rFonts w:ascii="宋体" w:hAnsi="宋体" w:eastAsia="宋体" w:cs="宋体"/>
                <w:color w:val="auto"/>
                <w:szCs w:val="21"/>
                <w:highlight w:val="none"/>
              </w:rPr>
            </w:pPr>
          </w:p>
        </w:tc>
        <w:tc>
          <w:tcPr>
            <w:tcW w:w="1431" w:type="dxa"/>
            <w:vAlign w:val="center"/>
          </w:tcPr>
          <w:p w14:paraId="20F9D19E">
            <w:pPr>
              <w:spacing w:line="360" w:lineRule="auto"/>
              <w:contextualSpacing/>
              <w:jc w:val="center"/>
              <w:rPr>
                <w:rFonts w:ascii="宋体" w:hAnsi="宋体" w:eastAsia="宋体" w:cs="宋体"/>
                <w:color w:val="auto"/>
                <w:szCs w:val="21"/>
                <w:highlight w:val="none"/>
              </w:rPr>
            </w:pPr>
          </w:p>
        </w:tc>
      </w:tr>
      <w:tr w14:paraId="12FC7E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10" w:type="dxa"/>
            <w:vAlign w:val="center"/>
          </w:tcPr>
          <w:p w14:paraId="6BC50452">
            <w:pPr>
              <w:spacing w:line="360" w:lineRule="auto"/>
              <w:contextualSpacing/>
              <w:jc w:val="center"/>
              <w:rPr>
                <w:rFonts w:ascii="宋体" w:hAnsi="宋体" w:eastAsia="宋体" w:cs="宋体"/>
                <w:color w:val="auto"/>
                <w:szCs w:val="21"/>
                <w:highlight w:val="none"/>
              </w:rPr>
            </w:pPr>
            <w:bookmarkStart w:id="93" w:name="_Toc173066410"/>
            <w:bookmarkStart w:id="94" w:name="_Toc254970738"/>
            <w:bookmarkStart w:id="95" w:name="_Toc295404990"/>
            <w:bookmarkStart w:id="96" w:name="_Toc301781620"/>
            <w:bookmarkStart w:id="97" w:name="_Toc254970597"/>
            <w:bookmarkStart w:id="98" w:name="_Toc173211909"/>
            <w:bookmarkStart w:id="99" w:name="_Toc373333698"/>
            <w:bookmarkStart w:id="100" w:name="_Toc383699915"/>
            <w:bookmarkStart w:id="101" w:name="_Toc297193194"/>
            <w:r>
              <w:rPr>
                <w:rFonts w:hint="eastAsia" w:ascii="宋体" w:hAnsi="宋体" w:eastAsia="宋体" w:cs="宋体"/>
                <w:color w:val="auto"/>
                <w:szCs w:val="21"/>
                <w:highlight w:val="none"/>
              </w:rPr>
              <w:t>5</w:t>
            </w:r>
            <w:bookmarkEnd w:id="93"/>
            <w:bookmarkEnd w:id="94"/>
            <w:bookmarkEnd w:id="95"/>
            <w:bookmarkEnd w:id="96"/>
            <w:bookmarkEnd w:id="97"/>
            <w:bookmarkEnd w:id="98"/>
            <w:bookmarkEnd w:id="99"/>
            <w:bookmarkEnd w:id="100"/>
            <w:bookmarkEnd w:id="101"/>
          </w:p>
        </w:tc>
        <w:tc>
          <w:tcPr>
            <w:tcW w:w="1468" w:type="dxa"/>
            <w:tcBorders>
              <w:right w:val="single" w:color="auto" w:sz="4" w:space="0"/>
            </w:tcBorders>
            <w:vAlign w:val="center"/>
          </w:tcPr>
          <w:p w14:paraId="427A7E01">
            <w:pPr>
              <w:spacing w:line="360" w:lineRule="auto"/>
              <w:contextualSpacing/>
              <w:jc w:val="center"/>
              <w:rPr>
                <w:rFonts w:ascii="宋体" w:hAnsi="宋体" w:eastAsia="宋体" w:cs="宋体"/>
                <w:color w:val="auto"/>
                <w:szCs w:val="21"/>
                <w:highlight w:val="none"/>
              </w:rPr>
            </w:pPr>
          </w:p>
        </w:tc>
        <w:tc>
          <w:tcPr>
            <w:tcW w:w="2490" w:type="dxa"/>
            <w:tcBorders>
              <w:left w:val="single" w:color="auto" w:sz="4" w:space="0"/>
            </w:tcBorders>
            <w:vAlign w:val="center"/>
          </w:tcPr>
          <w:p w14:paraId="3A7D5672">
            <w:pPr>
              <w:spacing w:line="360" w:lineRule="auto"/>
              <w:contextualSpacing/>
              <w:jc w:val="center"/>
              <w:rPr>
                <w:rFonts w:ascii="宋体" w:hAnsi="宋体" w:eastAsia="宋体" w:cs="宋体"/>
                <w:color w:val="auto"/>
                <w:szCs w:val="21"/>
                <w:highlight w:val="none"/>
              </w:rPr>
            </w:pPr>
          </w:p>
        </w:tc>
        <w:tc>
          <w:tcPr>
            <w:tcW w:w="2621" w:type="dxa"/>
            <w:vAlign w:val="center"/>
          </w:tcPr>
          <w:p w14:paraId="72050D93">
            <w:pPr>
              <w:spacing w:line="360" w:lineRule="auto"/>
              <w:contextualSpacing/>
              <w:jc w:val="center"/>
              <w:rPr>
                <w:rFonts w:ascii="宋体" w:hAnsi="宋体" w:eastAsia="宋体" w:cs="宋体"/>
                <w:color w:val="auto"/>
                <w:szCs w:val="21"/>
                <w:highlight w:val="none"/>
              </w:rPr>
            </w:pPr>
          </w:p>
        </w:tc>
        <w:tc>
          <w:tcPr>
            <w:tcW w:w="1431" w:type="dxa"/>
            <w:vAlign w:val="center"/>
          </w:tcPr>
          <w:p w14:paraId="52ABAA23">
            <w:pPr>
              <w:spacing w:line="360" w:lineRule="auto"/>
              <w:contextualSpacing/>
              <w:jc w:val="center"/>
              <w:rPr>
                <w:rFonts w:ascii="宋体" w:hAnsi="宋体" w:eastAsia="宋体" w:cs="宋体"/>
                <w:color w:val="auto"/>
                <w:szCs w:val="21"/>
                <w:highlight w:val="none"/>
              </w:rPr>
            </w:pPr>
          </w:p>
        </w:tc>
      </w:tr>
      <w:tr w14:paraId="21FC6D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10" w:type="dxa"/>
            <w:vAlign w:val="center"/>
          </w:tcPr>
          <w:p w14:paraId="5601E6E1">
            <w:pPr>
              <w:spacing w:line="360" w:lineRule="auto"/>
              <w:contextualSpacing/>
              <w:jc w:val="center"/>
              <w:rPr>
                <w:rFonts w:ascii="宋体" w:hAnsi="宋体" w:eastAsia="宋体" w:cs="宋体"/>
                <w:color w:val="auto"/>
                <w:szCs w:val="21"/>
                <w:highlight w:val="none"/>
              </w:rPr>
            </w:pPr>
            <w:bookmarkStart w:id="102" w:name="_Toc173211914"/>
            <w:bookmarkStart w:id="103" w:name="_Toc383699916"/>
            <w:bookmarkStart w:id="104" w:name="_Toc301781621"/>
            <w:bookmarkStart w:id="105" w:name="_Toc254970743"/>
            <w:bookmarkStart w:id="106" w:name="_Toc295404991"/>
            <w:bookmarkStart w:id="107" w:name="_Toc373333699"/>
            <w:bookmarkStart w:id="108" w:name="_Toc254970602"/>
            <w:bookmarkStart w:id="109" w:name="_Toc173066415"/>
            <w:bookmarkStart w:id="110" w:name="_Toc297193195"/>
            <w:r>
              <w:rPr>
                <w:rFonts w:hint="eastAsia" w:ascii="宋体" w:hAnsi="宋体" w:eastAsia="宋体" w:cs="宋体"/>
                <w:color w:val="auto"/>
                <w:szCs w:val="21"/>
                <w:highlight w:val="none"/>
              </w:rPr>
              <w:t>…</w:t>
            </w:r>
            <w:bookmarkEnd w:id="102"/>
            <w:bookmarkEnd w:id="103"/>
            <w:bookmarkEnd w:id="104"/>
            <w:bookmarkEnd w:id="105"/>
            <w:bookmarkEnd w:id="106"/>
            <w:bookmarkEnd w:id="107"/>
            <w:bookmarkEnd w:id="108"/>
            <w:bookmarkEnd w:id="109"/>
            <w:bookmarkEnd w:id="110"/>
          </w:p>
        </w:tc>
        <w:tc>
          <w:tcPr>
            <w:tcW w:w="1468" w:type="dxa"/>
            <w:tcBorders>
              <w:right w:val="single" w:color="auto" w:sz="4" w:space="0"/>
            </w:tcBorders>
            <w:vAlign w:val="center"/>
          </w:tcPr>
          <w:p w14:paraId="50BD9AF8">
            <w:pPr>
              <w:spacing w:line="360" w:lineRule="auto"/>
              <w:contextualSpacing/>
              <w:jc w:val="center"/>
              <w:rPr>
                <w:rFonts w:ascii="宋体" w:hAnsi="宋体" w:eastAsia="宋体" w:cs="宋体"/>
                <w:color w:val="auto"/>
                <w:szCs w:val="21"/>
                <w:highlight w:val="none"/>
              </w:rPr>
            </w:pPr>
          </w:p>
        </w:tc>
        <w:tc>
          <w:tcPr>
            <w:tcW w:w="2490" w:type="dxa"/>
            <w:tcBorders>
              <w:left w:val="single" w:color="auto" w:sz="4" w:space="0"/>
            </w:tcBorders>
            <w:vAlign w:val="center"/>
          </w:tcPr>
          <w:p w14:paraId="1669E9AF">
            <w:pPr>
              <w:spacing w:line="360" w:lineRule="auto"/>
              <w:contextualSpacing/>
              <w:jc w:val="center"/>
              <w:rPr>
                <w:rFonts w:ascii="宋体" w:hAnsi="宋体" w:eastAsia="宋体" w:cs="宋体"/>
                <w:color w:val="auto"/>
                <w:szCs w:val="21"/>
                <w:highlight w:val="none"/>
              </w:rPr>
            </w:pPr>
          </w:p>
        </w:tc>
        <w:tc>
          <w:tcPr>
            <w:tcW w:w="2621" w:type="dxa"/>
            <w:vAlign w:val="center"/>
          </w:tcPr>
          <w:p w14:paraId="492B37E6">
            <w:pPr>
              <w:spacing w:line="360" w:lineRule="auto"/>
              <w:contextualSpacing/>
              <w:jc w:val="center"/>
              <w:rPr>
                <w:rFonts w:ascii="宋体" w:hAnsi="宋体" w:eastAsia="宋体" w:cs="宋体"/>
                <w:color w:val="auto"/>
                <w:szCs w:val="21"/>
                <w:highlight w:val="none"/>
              </w:rPr>
            </w:pPr>
          </w:p>
        </w:tc>
        <w:tc>
          <w:tcPr>
            <w:tcW w:w="1431" w:type="dxa"/>
            <w:tcBorders>
              <w:right w:val="single" w:color="auto" w:sz="4" w:space="0"/>
            </w:tcBorders>
            <w:vAlign w:val="center"/>
          </w:tcPr>
          <w:p w14:paraId="4E211D55">
            <w:pPr>
              <w:spacing w:line="360" w:lineRule="auto"/>
              <w:contextualSpacing/>
              <w:jc w:val="center"/>
              <w:rPr>
                <w:rFonts w:ascii="宋体" w:hAnsi="宋体" w:eastAsia="宋体" w:cs="宋体"/>
                <w:color w:val="auto"/>
                <w:szCs w:val="21"/>
                <w:highlight w:val="none"/>
              </w:rPr>
            </w:pPr>
          </w:p>
        </w:tc>
      </w:tr>
    </w:tbl>
    <w:p w14:paraId="2A4EBE33">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注：</w:t>
      </w:r>
    </w:p>
    <w:p w14:paraId="77ABD99F">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1.说明：应对照磋商文件“第三章 采购需求”中的服务要求逐条作出明确响应，并作出偏离说明。</w:t>
      </w:r>
    </w:p>
    <w:p w14:paraId="2E34D990">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2.供应商应根据自身的承诺，对照磋商文件要求，在“偏离说明”中注明“正偏离”、“负偏离”或者“无偏离”。既不属于“正偏离”也不属于“负偏离”即为“无偏离”。</w:t>
      </w:r>
    </w:p>
    <w:p w14:paraId="254B3094">
      <w:pPr>
        <w:widowControl/>
        <w:spacing w:line="360" w:lineRule="auto"/>
        <w:jc w:val="center"/>
        <w:rPr>
          <w:rFonts w:ascii="宋体" w:hAnsi="宋体" w:eastAsia="宋体" w:cs="宋体"/>
          <w:color w:val="auto"/>
          <w:szCs w:val="21"/>
          <w:highlight w:val="none"/>
        </w:rPr>
      </w:pPr>
    </w:p>
    <w:p w14:paraId="1BD5EE12">
      <w:pPr>
        <w:widowControl/>
        <w:spacing w:line="60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lang w:val="zh-CN"/>
        </w:rPr>
        <w:t>供应商名称</w:t>
      </w:r>
      <w:r>
        <w:rPr>
          <w:rFonts w:hint="eastAsia" w:ascii="宋体" w:hAnsi="宋体" w:eastAsia="宋体" w:cs="宋体"/>
          <w:color w:val="auto"/>
          <w:spacing w:val="20"/>
          <w:szCs w:val="21"/>
          <w:highlight w:val="none"/>
        </w:rPr>
        <w:t>（盖公章）：</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pacing w:val="20"/>
          <w:szCs w:val="21"/>
          <w:highlight w:val="none"/>
        </w:rPr>
        <w:t xml:space="preserve">    日  期：</w:t>
      </w:r>
      <w:r>
        <w:rPr>
          <w:rFonts w:hint="eastAsia" w:ascii="宋体" w:hAnsi="宋体" w:eastAsia="宋体" w:cs="宋体"/>
          <w:color w:val="auto"/>
          <w:spacing w:val="20"/>
          <w:szCs w:val="21"/>
          <w:highlight w:val="none"/>
          <w:u w:val="single"/>
        </w:rPr>
        <w:t xml:space="preserve">        </w:t>
      </w:r>
    </w:p>
    <w:p w14:paraId="6A122496">
      <w:pPr>
        <w:widowControl/>
        <w:spacing w:before="260" w:after="260" w:line="415"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574D57B9">
      <w:pPr>
        <w:keepNext/>
        <w:keepLines/>
        <w:widowControl/>
        <w:spacing w:line="360" w:lineRule="auto"/>
        <w:jc w:val="left"/>
        <w:outlineLvl w:val="2"/>
        <w:rPr>
          <w:rFonts w:hint="eastAsia" w:ascii="宋体" w:hAnsi="宋体" w:eastAsia="宋体" w:cs="宋体"/>
          <w:b/>
          <w:color w:val="auto"/>
          <w:sz w:val="24"/>
          <w:szCs w:val="24"/>
          <w:highlight w:val="none"/>
        </w:rPr>
      </w:pPr>
    </w:p>
    <w:p w14:paraId="187FCD36">
      <w:pPr>
        <w:keepNext/>
        <w:keepLines/>
        <w:widowControl/>
        <w:spacing w:line="360" w:lineRule="auto"/>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7.项目实施人员一览表格式</w:t>
      </w:r>
    </w:p>
    <w:p w14:paraId="1A673291">
      <w:pPr>
        <w:widowControl/>
        <w:spacing w:line="360" w:lineRule="auto"/>
        <w:ind w:firstLine="420" w:firstLineChars="200"/>
        <w:jc w:val="left"/>
        <w:rPr>
          <w:rFonts w:ascii="宋体" w:hAnsi="宋体" w:eastAsia="宋体" w:cs="宋体"/>
          <w:color w:val="auto"/>
          <w:szCs w:val="21"/>
          <w:highlight w:val="none"/>
        </w:rPr>
      </w:pPr>
    </w:p>
    <w:p w14:paraId="14EDD3F4">
      <w:pPr>
        <w:widowControl/>
        <w:snapToGrid w:val="0"/>
        <w:spacing w:before="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32"/>
          <w:szCs w:val="32"/>
          <w:highlight w:val="none"/>
        </w:rPr>
        <w:t>项目实施人员一览表（格式）</w:t>
      </w:r>
    </w:p>
    <w:p w14:paraId="670E7F14">
      <w:pPr>
        <w:autoSpaceDE w:val="0"/>
        <w:autoSpaceDN w:val="0"/>
        <w:adjustRightInd w:val="0"/>
        <w:ind w:firstLine="240" w:firstLineChars="1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____分标</w:t>
      </w:r>
    </w:p>
    <w:tbl>
      <w:tblPr>
        <w:tblStyle w:val="2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755"/>
        <w:gridCol w:w="2590"/>
        <w:gridCol w:w="1310"/>
        <w:gridCol w:w="1455"/>
        <w:gridCol w:w="1740"/>
      </w:tblGrid>
      <w:tr w14:paraId="73F42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14:paraId="744FB936">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755" w:type="dxa"/>
            <w:vAlign w:val="center"/>
          </w:tcPr>
          <w:p w14:paraId="3557C867">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2590" w:type="dxa"/>
            <w:vAlign w:val="center"/>
          </w:tcPr>
          <w:p w14:paraId="00A56930">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专业技术资格（职称）或者职业资格或者执业资格证或者其他证书</w:t>
            </w:r>
          </w:p>
        </w:tc>
        <w:tc>
          <w:tcPr>
            <w:tcW w:w="1310" w:type="dxa"/>
            <w:vAlign w:val="center"/>
          </w:tcPr>
          <w:p w14:paraId="7E368232">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证书编号</w:t>
            </w:r>
          </w:p>
        </w:tc>
        <w:tc>
          <w:tcPr>
            <w:tcW w:w="1455" w:type="dxa"/>
            <w:vAlign w:val="center"/>
          </w:tcPr>
          <w:p w14:paraId="49C4B8A1">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参加本单位</w:t>
            </w:r>
          </w:p>
          <w:p w14:paraId="1658931E">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工作时间</w:t>
            </w:r>
          </w:p>
        </w:tc>
        <w:tc>
          <w:tcPr>
            <w:tcW w:w="1740" w:type="dxa"/>
            <w:vAlign w:val="center"/>
          </w:tcPr>
          <w:p w14:paraId="6E0AEC77">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劳动合同编号</w:t>
            </w:r>
          </w:p>
        </w:tc>
      </w:tr>
      <w:tr w14:paraId="365D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14:paraId="0161E404">
            <w:pPr>
              <w:widowControl/>
              <w:spacing w:line="360" w:lineRule="auto"/>
              <w:jc w:val="center"/>
              <w:rPr>
                <w:rFonts w:ascii="宋体" w:hAnsi="宋体" w:eastAsia="宋体" w:cs="宋体"/>
                <w:color w:val="auto"/>
                <w:szCs w:val="21"/>
                <w:highlight w:val="none"/>
              </w:rPr>
            </w:pPr>
          </w:p>
        </w:tc>
        <w:tc>
          <w:tcPr>
            <w:tcW w:w="755" w:type="dxa"/>
            <w:vAlign w:val="center"/>
          </w:tcPr>
          <w:p w14:paraId="5AA851AF">
            <w:pPr>
              <w:widowControl/>
              <w:spacing w:line="360" w:lineRule="auto"/>
              <w:jc w:val="center"/>
              <w:rPr>
                <w:rFonts w:ascii="宋体" w:hAnsi="宋体" w:eastAsia="宋体" w:cs="宋体"/>
                <w:color w:val="auto"/>
                <w:szCs w:val="21"/>
                <w:highlight w:val="none"/>
              </w:rPr>
            </w:pPr>
          </w:p>
        </w:tc>
        <w:tc>
          <w:tcPr>
            <w:tcW w:w="2590" w:type="dxa"/>
            <w:vAlign w:val="center"/>
          </w:tcPr>
          <w:p w14:paraId="41ACE541">
            <w:pPr>
              <w:widowControl/>
              <w:spacing w:line="360" w:lineRule="auto"/>
              <w:jc w:val="center"/>
              <w:rPr>
                <w:rFonts w:ascii="宋体" w:hAnsi="宋体" w:eastAsia="宋体" w:cs="宋体"/>
                <w:color w:val="auto"/>
                <w:szCs w:val="21"/>
                <w:highlight w:val="none"/>
              </w:rPr>
            </w:pPr>
          </w:p>
        </w:tc>
        <w:tc>
          <w:tcPr>
            <w:tcW w:w="1310" w:type="dxa"/>
            <w:vAlign w:val="center"/>
          </w:tcPr>
          <w:p w14:paraId="6EB11E5F">
            <w:pPr>
              <w:widowControl/>
              <w:spacing w:line="360" w:lineRule="auto"/>
              <w:jc w:val="center"/>
              <w:rPr>
                <w:rFonts w:ascii="宋体" w:hAnsi="宋体" w:eastAsia="宋体" w:cs="宋体"/>
                <w:color w:val="auto"/>
                <w:szCs w:val="21"/>
                <w:highlight w:val="none"/>
              </w:rPr>
            </w:pPr>
          </w:p>
        </w:tc>
        <w:tc>
          <w:tcPr>
            <w:tcW w:w="1455" w:type="dxa"/>
            <w:vAlign w:val="center"/>
          </w:tcPr>
          <w:p w14:paraId="0756B64E">
            <w:pPr>
              <w:widowControl/>
              <w:spacing w:line="360" w:lineRule="auto"/>
              <w:jc w:val="center"/>
              <w:rPr>
                <w:rFonts w:ascii="宋体" w:hAnsi="宋体" w:eastAsia="宋体" w:cs="宋体"/>
                <w:color w:val="auto"/>
                <w:szCs w:val="21"/>
                <w:highlight w:val="none"/>
              </w:rPr>
            </w:pPr>
          </w:p>
        </w:tc>
        <w:tc>
          <w:tcPr>
            <w:tcW w:w="1740" w:type="dxa"/>
            <w:vAlign w:val="center"/>
          </w:tcPr>
          <w:p w14:paraId="220F953D">
            <w:pPr>
              <w:widowControl/>
              <w:spacing w:line="360" w:lineRule="auto"/>
              <w:jc w:val="center"/>
              <w:rPr>
                <w:rFonts w:ascii="宋体" w:hAnsi="宋体" w:eastAsia="宋体" w:cs="宋体"/>
                <w:color w:val="auto"/>
                <w:szCs w:val="21"/>
                <w:highlight w:val="none"/>
              </w:rPr>
            </w:pPr>
          </w:p>
        </w:tc>
      </w:tr>
      <w:tr w14:paraId="0835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14:paraId="54437BE9">
            <w:pPr>
              <w:widowControl/>
              <w:spacing w:line="360" w:lineRule="auto"/>
              <w:jc w:val="center"/>
              <w:rPr>
                <w:rFonts w:ascii="宋体" w:hAnsi="宋体" w:eastAsia="宋体" w:cs="宋体"/>
                <w:color w:val="auto"/>
                <w:szCs w:val="21"/>
                <w:highlight w:val="none"/>
              </w:rPr>
            </w:pPr>
          </w:p>
        </w:tc>
        <w:tc>
          <w:tcPr>
            <w:tcW w:w="755" w:type="dxa"/>
            <w:vAlign w:val="center"/>
          </w:tcPr>
          <w:p w14:paraId="283F3FCA">
            <w:pPr>
              <w:widowControl/>
              <w:spacing w:line="360" w:lineRule="auto"/>
              <w:jc w:val="center"/>
              <w:rPr>
                <w:rFonts w:ascii="宋体" w:hAnsi="宋体" w:eastAsia="宋体" w:cs="宋体"/>
                <w:color w:val="auto"/>
                <w:szCs w:val="21"/>
                <w:highlight w:val="none"/>
              </w:rPr>
            </w:pPr>
          </w:p>
        </w:tc>
        <w:tc>
          <w:tcPr>
            <w:tcW w:w="2590" w:type="dxa"/>
            <w:vAlign w:val="center"/>
          </w:tcPr>
          <w:p w14:paraId="04504CE0">
            <w:pPr>
              <w:widowControl/>
              <w:spacing w:line="360" w:lineRule="auto"/>
              <w:jc w:val="center"/>
              <w:rPr>
                <w:rFonts w:ascii="宋体" w:hAnsi="宋体" w:eastAsia="宋体" w:cs="宋体"/>
                <w:color w:val="auto"/>
                <w:szCs w:val="21"/>
                <w:highlight w:val="none"/>
              </w:rPr>
            </w:pPr>
          </w:p>
        </w:tc>
        <w:tc>
          <w:tcPr>
            <w:tcW w:w="1310" w:type="dxa"/>
            <w:vAlign w:val="center"/>
          </w:tcPr>
          <w:p w14:paraId="07D64E78">
            <w:pPr>
              <w:widowControl/>
              <w:spacing w:line="360" w:lineRule="auto"/>
              <w:jc w:val="center"/>
              <w:rPr>
                <w:rFonts w:ascii="宋体" w:hAnsi="宋体" w:eastAsia="宋体" w:cs="宋体"/>
                <w:color w:val="auto"/>
                <w:szCs w:val="21"/>
                <w:highlight w:val="none"/>
              </w:rPr>
            </w:pPr>
          </w:p>
        </w:tc>
        <w:tc>
          <w:tcPr>
            <w:tcW w:w="1455" w:type="dxa"/>
            <w:vAlign w:val="center"/>
          </w:tcPr>
          <w:p w14:paraId="0B39FDD1">
            <w:pPr>
              <w:widowControl/>
              <w:spacing w:line="360" w:lineRule="auto"/>
              <w:jc w:val="center"/>
              <w:rPr>
                <w:rFonts w:ascii="宋体" w:hAnsi="宋体" w:eastAsia="宋体" w:cs="宋体"/>
                <w:color w:val="auto"/>
                <w:szCs w:val="21"/>
                <w:highlight w:val="none"/>
              </w:rPr>
            </w:pPr>
          </w:p>
        </w:tc>
        <w:tc>
          <w:tcPr>
            <w:tcW w:w="1740" w:type="dxa"/>
            <w:vAlign w:val="center"/>
          </w:tcPr>
          <w:p w14:paraId="24AB5543">
            <w:pPr>
              <w:widowControl/>
              <w:spacing w:line="360" w:lineRule="auto"/>
              <w:jc w:val="center"/>
              <w:rPr>
                <w:rFonts w:ascii="宋体" w:hAnsi="宋体" w:eastAsia="宋体" w:cs="宋体"/>
                <w:color w:val="auto"/>
                <w:szCs w:val="21"/>
                <w:highlight w:val="none"/>
              </w:rPr>
            </w:pPr>
          </w:p>
        </w:tc>
      </w:tr>
      <w:tr w14:paraId="37D1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14:paraId="50AD4E80">
            <w:pPr>
              <w:widowControl/>
              <w:spacing w:line="360" w:lineRule="auto"/>
              <w:jc w:val="center"/>
              <w:rPr>
                <w:rFonts w:ascii="宋体" w:hAnsi="宋体" w:eastAsia="宋体" w:cs="宋体"/>
                <w:color w:val="auto"/>
                <w:szCs w:val="21"/>
                <w:highlight w:val="none"/>
              </w:rPr>
            </w:pPr>
          </w:p>
        </w:tc>
        <w:tc>
          <w:tcPr>
            <w:tcW w:w="755" w:type="dxa"/>
            <w:vAlign w:val="center"/>
          </w:tcPr>
          <w:p w14:paraId="798AB326">
            <w:pPr>
              <w:widowControl/>
              <w:spacing w:line="360" w:lineRule="auto"/>
              <w:jc w:val="center"/>
              <w:rPr>
                <w:rFonts w:ascii="宋体" w:hAnsi="宋体" w:eastAsia="宋体" w:cs="宋体"/>
                <w:color w:val="auto"/>
                <w:szCs w:val="21"/>
                <w:highlight w:val="none"/>
              </w:rPr>
            </w:pPr>
          </w:p>
        </w:tc>
        <w:tc>
          <w:tcPr>
            <w:tcW w:w="2590" w:type="dxa"/>
            <w:vAlign w:val="center"/>
          </w:tcPr>
          <w:p w14:paraId="2132A668">
            <w:pPr>
              <w:widowControl/>
              <w:spacing w:line="360" w:lineRule="auto"/>
              <w:jc w:val="center"/>
              <w:rPr>
                <w:rFonts w:ascii="宋体" w:hAnsi="宋体" w:eastAsia="宋体" w:cs="宋体"/>
                <w:color w:val="auto"/>
                <w:szCs w:val="21"/>
                <w:highlight w:val="none"/>
              </w:rPr>
            </w:pPr>
          </w:p>
        </w:tc>
        <w:tc>
          <w:tcPr>
            <w:tcW w:w="1310" w:type="dxa"/>
            <w:vAlign w:val="center"/>
          </w:tcPr>
          <w:p w14:paraId="0BBBE2DD">
            <w:pPr>
              <w:widowControl/>
              <w:spacing w:line="360" w:lineRule="auto"/>
              <w:jc w:val="center"/>
              <w:rPr>
                <w:rFonts w:ascii="宋体" w:hAnsi="宋体" w:eastAsia="宋体" w:cs="宋体"/>
                <w:color w:val="auto"/>
                <w:szCs w:val="21"/>
                <w:highlight w:val="none"/>
              </w:rPr>
            </w:pPr>
          </w:p>
        </w:tc>
        <w:tc>
          <w:tcPr>
            <w:tcW w:w="1455" w:type="dxa"/>
            <w:vAlign w:val="center"/>
          </w:tcPr>
          <w:p w14:paraId="3DCD5211">
            <w:pPr>
              <w:widowControl/>
              <w:spacing w:line="360" w:lineRule="auto"/>
              <w:jc w:val="center"/>
              <w:rPr>
                <w:rFonts w:ascii="宋体" w:hAnsi="宋体" w:eastAsia="宋体" w:cs="宋体"/>
                <w:color w:val="auto"/>
                <w:szCs w:val="21"/>
                <w:highlight w:val="none"/>
              </w:rPr>
            </w:pPr>
          </w:p>
        </w:tc>
        <w:tc>
          <w:tcPr>
            <w:tcW w:w="1740" w:type="dxa"/>
            <w:vAlign w:val="center"/>
          </w:tcPr>
          <w:p w14:paraId="25EB7C98">
            <w:pPr>
              <w:widowControl/>
              <w:spacing w:line="360" w:lineRule="auto"/>
              <w:jc w:val="center"/>
              <w:rPr>
                <w:rFonts w:ascii="宋体" w:hAnsi="宋体" w:eastAsia="宋体" w:cs="宋体"/>
                <w:color w:val="auto"/>
                <w:szCs w:val="21"/>
                <w:highlight w:val="none"/>
              </w:rPr>
            </w:pPr>
          </w:p>
        </w:tc>
      </w:tr>
    </w:tbl>
    <w:p w14:paraId="53DB0723">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注：在填写时，如本表格不适合供应商的实际情况，可根据本表格式自行制表填写。</w:t>
      </w:r>
    </w:p>
    <w:p w14:paraId="1DCC8F94">
      <w:pPr>
        <w:widowControl/>
        <w:spacing w:line="360" w:lineRule="auto"/>
        <w:jc w:val="left"/>
        <w:rPr>
          <w:rFonts w:ascii="宋体" w:hAnsi="宋体" w:eastAsia="宋体" w:cs="宋体"/>
          <w:color w:val="auto"/>
          <w:szCs w:val="21"/>
          <w:highlight w:val="none"/>
        </w:rPr>
      </w:pPr>
    </w:p>
    <w:p w14:paraId="3CC70600">
      <w:pPr>
        <w:widowControl/>
        <w:spacing w:line="60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lang w:val="zh-CN"/>
        </w:rPr>
        <w:t>供应商名称</w:t>
      </w:r>
      <w:r>
        <w:rPr>
          <w:rFonts w:hint="eastAsia" w:ascii="宋体" w:hAnsi="宋体" w:eastAsia="宋体" w:cs="宋体"/>
          <w:color w:val="auto"/>
          <w:szCs w:val="21"/>
          <w:highlight w:val="none"/>
        </w:rPr>
        <w:t>（盖公章）</w:t>
      </w:r>
      <w:r>
        <w:rPr>
          <w:rFonts w:hint="eastAsia" w:ascii="宋体" w:hAnsi="宋体" w:eastAsia="宋体" w:cs="宋体"/>
          <w:color w:val="auto"/>
          <w:spacing w:val="20"/>
          <w:szCs w:val="21"/>
          <w:highlight w:val="none"/>
        </w:rPr>
        <w:t>：</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pacing w:val="20"/>
          <w:szCs w:val="21"/>
          <w:highlight w:val="none"/>
        </w:rPr>
        <w:t xml:space="preserve">    日  期：</w:t>
      </w:r>
      <w:r>
        <w:rPr>
          <w:rFonts w:hint="eastAsia" w:ascii="宋体" w:hAnsi="宋体" w:eastAsia="宋体" w:cs="宋体"/>
          <w:color w:val="auto"/>
          <w:spacing w:val="20"/>
          <w:szCs w:val="21"/>
          <w:highlight w:val="none"/>
          <w:u w:val="single"/>
        </w:rPr>
        <w:t xml:space="preserve">        </w:t>
      </w:r>
    </w:p>
    <w:p w14:paraId="221B1F17">
      <w:pPr>
        <w:widowControl/>
        <w:spacing w:before="260" w:after="260" w:line="415"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418CA4F9">
      <w:pPr>
        <w:keepNext/>
        <w:keepLines/>
        <w:widowControl/>
        <w:spacing w:line="480" w:lineRule="auto"/>
        <w:jc w:val="left"/>
        <w:outlineLvl w:val="1"/>
        <w:rPr>
          <w:rFonts w:ascii="宋体" w:hAnsi="宋体" w:eastAsia="宋体" w:cs="宋体"/>
          <w:b/>
          <w:bCs/>
          <w:color w:val="auto"/>
          <w:sz w:val="28"/>
          <w:szCs w:val="44"/>
          <w:highlight w:val="none"/>
        </w:rPr>
      </w:pPr>
      <w:r>
        <w:rPr>
          <w:rFonts w:hint="eastAsia" w:ascii="宋体" w:hAnsi="宋体" w:eastAsia="宋体" w:cs="宋体"/>
          <w:b/>
          <w:bCs/>
          <w:color w:val="auto"/>
          <w:sz w:val="28"/>
          <w:szCs w:val="44"/>
          <w:highlight w:val="none"/>
        </w:rPr>
        <w:t>三、其他文书、文件格式</w:t>
      </w:r>
    </w:p>
    <w:p w14:paraId="7681996A">
      <w:pPr>
        <w:keepNext/>
        <w:keepLines/>
        <w:widowControl/>
        <w:spacing w:line="360" w:lineRule="auto"/>
        <w:jc w:val="left"/>
        <w:outlineLvl w:val="2"/>
        <w:rPr>
          <w:rFonts w:hint="eastAsia" w:ascii="宋体" w:hAnsi="宋体" w:eastAsia="宋体" w:cs="宋体"/>
          <w:b/>
          <w:color w:val="auto"/>
          <w:sz w:val="24"/>
          <w:szCs w:val="24"/>
          <w:highlight w:val="none"/>
        </w:rPr>
      </w:pPr>
    </w:p>
    <w:p w14:paraId="6F1DBE64">
      <w:pPr>
        <w:keepNext/>
        <w:keepLines/>
        <w:widowControl/>
        <w:spacing w:line="360" w:lineRule="auto"/>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1.联合体磋商协议书格式</w:t>
      </w:r>
    </w:p>
    <w:p w14:paraId="789A5F00">
      <w:pPr>
        <w:widowControl/>
        <w:snapToGrid w:val="0"/>
        <w:spacing w:before="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32"/>
          <w:szCs w:val="32"/>
          <w:highlight w:val="none"/>
        </w:rPr>
        <w:t>联合体磋商协议书</w:t>
      </w:r>
    </w:p>
    <w:p w14:paraId="4AE90FDC">
      <w:pPr>
        <w:widowControl/>
        <w:spacing w:line="360" w:lineRule="auto"/>
        <w:ind w:firstLine="480" w:firstLineChars="200"/>
        <w:jc w:val="left"/>
        <w:rPr>
          <w:rFonts w:ascii="宋体" w:hAnsi="宋体" w:eastAsia="宋体" w:cs="宋体"/>
          <w:color w:val="auto"/>
          <w:szCs w:val="21"/>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Cs w:val="21"/>
          <w:highlight w:val="none"/>
          <w:u w:val="single"/>
        </w:rPr>
        <w:t xml:space="preserve">（所有成员单位名称） </w:t>
      </w:r>
      <w:r>
        <w:rPr>
          <w:rFonts w:hint="eastAsia" w:ascii="宋体" w:hAnsi="宋体" w:eastAsia="宋体" w:cs="宋体"/>
          <w:color w:val="auto"/>
          <w:szCs w:val="21"/>
          <w:highlight w:val="none"/>
        </w:rPr>
        <w:t>自愿组成</w:t>
      </w:r>
      <w:r>
        <w:rPr>
          <w:rFonts w:hint="eastAsia" w:ascii="宋体" w:hAnsi="宋体" w:eastAsia="宋体" w:cs="宋体"/>
          <w:color w:val="auto"/>
          <w:szCs w:val="21"/>
          <w:highlight w:val="none"/>
          <w:u w:val="single"/>
        </w:rPr>
        <w:t xml:space="preserve"> （联合体名称） </w:t>
      </w:r>
      <w:r>
        <w:rPr>
          <w:rFonts w:hint="eastAsia" w:ascii="宋体" w:hAnsi="宋体" w:eastAsia="宋体" w:cs="宋体"/>
          <w:color w:val="auto"/>
          <w:szCs w:val="21"/>
          <w:highlight w:val="none"/>
        </w:rPr>
        <w:t xml:space="preserve">联合体，共同参加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采购项目磋商。现就联合体投标事宜订立如下协议。</w:t>
      </w:r>
    </w:p>
    <w:p w14:paraId="69FA389C">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 xml:space="preserve"> （某成员单位名称） </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（联合体名称） </w:t>
      </w:r>
      <w:r>
        <w:rPr>
          <w:rFonts w:hint="eastAsia" w:ascii="宋体" w:hAnsi="宋体" w:eastAsia="宋体" w:cs="宋体"/>
          <w:color w:val="auto"/>
          <w:szCs w:val="21"/>
          <w:highlight w:val="none"/>
        </w:rPr>
        <w:t>牵头人。</w:t>
      </w:r>
    </w:p>
    <w:p w14:paraId="3D1DCC14">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2.联合体各成员授权牵头人代表联合体参加磋商活动，签署文件及对文件的盖章，提交和接收相关的资料、 信息及指示，进行合同磋商活动，负责合同实施阶段的组织和协调工作，以及处理与本招标项 目有关的一切事宜。</w:t>
      </w:r>
    </w:p>
    <w:p w14:paraId="3ECA129C">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3.联合体牵头人在本项目中签署和盖章的一切文件和处理的一切事宜，联合体各成员均予以承认。 联合体各成员将严格按照采购文件、响应文件和合同的要求全面履行义务，并向采购人承担连带责任。</w:t>
      </w:r>
    </w:p>
    <w:p w14:paraId="2A8D7C83">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4.联合体各成员单位内部的职责分工如下：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5ABAED5">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5.本协议书自所有成员单位法定代表人或者其委托代理人签字或者盖公章之日起生效，合同履行完毕后自动失效。</w:t>
      </w:r>
    </w:p>
    <w:p w14:paraId="5B3BDC21">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6.本协议书一式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份，联合体成员和招标人各执一份。</w:t>
      </w:r>
    </w:p>
    <w:p w14:paraId="5B2462F4">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注：本协议书由法定代表人签字的，应附法定代表人身份证明；由委托代理人签字的，应附授权委托书。</w:t>
      </w:r>
    </w:p>
    <w:p w14:paraId="05EB7217">
      <w:pPr>
        <w:widowControl/>
        <w:spacing w:line="360" w:lineRule="auto"/>
        <w:ind w:firstLine="420" w:firstLineChars="200"/>
        <w:jc w:val="left"/>
        <w:rPr>
          <w:rFonts w:ascii="宋体" w:hAnsi="宋体" w:eastAsia="宋体" w:cs="宋体"/>
          <w:color w:val="auto"/>
          <w:szCs w:val="21"/>
          <w:highlight w:val="none"/>
        </w:rPr>
      </w:pPr>
    </w:p>
    <w:p w14:paraId="31D262FA">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联合体牵头人名称（盖公章）：</w:t>
      </w:r>
    </w:p>
    <w:p w14:paraId="2BA7287F">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法定代表人或者其委托代理人：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（签字）</w:t>
      </w:r>
    </w:p>
    <w:p w14:paraId="1CE105E1">
      <w:pPr>
        <w:widowControl/>
        <w:spacing w:line="360" w:lineRule="auto"/>
        <w:ind w:firstLine="420" w:firstLineChars="200"/>
        <w:jc w:val="left"/>
        <w:rPr>
          <w:rFonts w:ascii="宋体" w:hAnsi="宋体" w:eastAsia="宋体" w:cs="宋体"/>
          <w:color w:val="auto"/>
          <w:szCs w:val="21"/>
          <w:highlight w:val="none"/>
        </w:rPr>
      </w:pPr>
    </w:p>
    <w:p w14:paraId="3229781C">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联合体成员名称（盖公章）：</w:t>
      </w:r>
    </w:p>
    <w:p w14:paraId="7C661493">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法定代表人或者其委托代理人：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（签字）</w:t>
      </w:r>
    </w:p>
    <w:p w14:paraId="2769E194">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w:t>
      </w:r>
    </w:p>
    <w:p w14:paraId="7CD9523B">
      <w:pPr>
        <w:widowControl/>
        <w:spacing w:line="360" w:lineRule="auto"/>
        <w:ind w:firstLine="420" w:firstLineChars="200"/>
        <w:jc w:val="right"/>
        <w:rPr>
          <w:rFonts w:ascii="宋体" w:hAnsi="宋体" w:eastAsia="宋体" w:cs="宋体"/>
          <w:color w:val="auto"/>
          <w:szCs w:val="21"/>
          <w:highlight w:val="none"/>
        </w:rPr>
      </w:pP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年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日</w:t>
      </w:r>
    </w:p>
    <w:p w14:paraId="0A9C94D8">
      <w:pPr>
        <w:widowControl/>
        <w:spacing w:line="360" w:lineRule="auto"/>
        <w:ind w:firstLine="480" w:firstLineChars="200"/>
        <w:jc w:val="left"/>
        <w:rPr>
          <w:rFonts w:ascii="宋体" w:hAnsi="宋体" w:eastAsia="宋体" w:cs="宋体"/>
          <w:color w:val="auto"/>
          <w:sz w:val="24"/>
          <w:szCs w:val="24"/>
          <w:highlight w:val="none"/>
        </w:rPr>
      </w:pPr>
    </w:p>
    <w:p w14:paraId="4A9701A0">
      <w:pPr>
        <w:keepNext/>
        <w:keepLines/>
        <w:widowControl/>
        <w:spacing w:line="360" w:lineRule="auto"/>
        <w:jc w:val="left"/>
        <w:outlineLvl w:val="2"/>
        <w:rPr>
          <w:rFonts w:ascii="宋体" w:hAnsi="宋体" w:eastAsia="宋体" w:cs="宋体"/>
          <w:b/>
          <w:color w:val="auto"/>
          <w:sz w:val="24"/>
          <w:szCs w:val="24"/>
          <w:highlight w:val="none"/>
        </w:rPr>
        <w:sectPr>
          <w:pgSz w:w="11906" w:h="16838"/>
          <w:pgMar w:top="1332" w:right="1434" w:bottom="1332" w:left="1434" w:header="850" w:footer="992" w:gutter="0"/>
          <w:cols w:space="0" w:num="1"/>
          <w:rtlGutter w:val="0"/>
          <w:docGrid w:type="lines" w:linePitch="315" w:charSpace="0"/>
        </w:sectPr>
      </w:pPr>
    </w:p>
    <w:p w14:paraId="5B07FA63">
      <w:pPr>
        <w:keepNext/>
        <w:keepLines/>
        <w:widowControl/>
        <w:spacing w:line="360" w:lineRule="auto"/>
        <w:jc w:val="left"/>
        <w:outlineLvl w:val="2"/>
        <w:rPr>
          <w:rFonts w:hint="eastAsia" w:ascii="宋体" w:hAnsi="宋体" w:eastAsia="宋体" w:cs="宋体"/>
          <w:b/>
          <w:color w:val="auto"/>
          <w:sz w:val="24"/>
          <w:szCs w:val="24"/>
          <w:highlight w:val="none"/>
        </w:rPr>
      </w:pPr>
    </w:p>
    <w:p w14:paraId="4D1B9601">
      <w:pPr>
        <w:keepNext/>
        <w:keepLines/>
        <w:widowControl/>
        <w:spacing w:line="360" w:lineRule="auto"/>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2.中小企业声明函格式</w:t>
      </w:r>
    </w:p>
    <w:p w14:paraId="288A5580">
      <w:pPr>
        <w:widowControl/>
        <w:spacing w:line="360" w:lineRule="auto"/>
        <w:ind w:firstLine="420" w:firstLineChars="200"/>
        <w:jc w:val="left"/>
        <w:rPr>
          <w:rFonts w:ascii="宋体" w:hAnsi="宋体" w:eastAsia="宋体" w:cs="宋体"/>
          <w:color w:val="auto"/>
          <w:szCs w:val="21"/>
          <w:highlight w:val="none"/>
        </w:rPr>
      </w:pPr>
    </w:p>
    <w:p w14:paraId="11C4A4D3">
      <w:pPr>
        <w:widowControl/>
        <w:snapToGrid w:val="0"/>
        <w:spacing w:before="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32"/>
          <w:szCs w:val="32"/>
          <w:highlight w:val="none"/>
        </w:rPr>
        <w:t>中小企业声明函（服务）</w:t>
      </w:r>
    </w:p>
    <w:p w14:paraId="17C1AF80">
      <w:pPr>
        <w:widowControl/>
        <w:spacing w:line="360" w:lineRule="auto"/>
        <w:ind w:firstLine="420" w:firstLineChars="200"/>
        <w:jc w:val="left"/>
        <w:rPr>
          <w:rFonts w:ascii="宋体" w:hAnsi="宋体" w:eastAsia="宋体" w:cs="宋体"/>
          <w:color w:val="auto"/>
          <w:szCs w:val="21"/>
          <w:highlight w:val="none"/>
        </w:rPr>
      </w:pPr>
    </w:p>
    <w:p w14:paraId="13D904DD">
      <w:pPr>
        <w:spacing w:line="360" w:lineRule="auto"/>
        <w:ind w:firstLine="420" w:firstLineChars="200"/>
        <w:contextualSpacing/>
        <w:jc w:val="left"/>
        <w:rPr>
          <w:rFonts w:ascii="宋体" w:hAnsi="宋体" w:eastAsia="宋体" w:cs="宋体"/>
          <w:color w:val="auto"/>
          <w:kern w:val="24"/>
          <w:szCs w:val="21"/>
          <w:highlight w:val="none"/>
          <w:lang w:val="zh-CN"/>
        </w:rPr>
      </w:pPr>
      <w:r>
        <w:rPr>
          <w:rFonts w:hint="eastAsia" w:ascii="宋体" w:hAnsi="宋体" w:eastAsia="宋体" w:cs="宋体"/>
          <w:color w:val="auto"/>
          <w:kern w:val="24"/>
          <w:szCs w:val="21"/>
          <w:highlight w:val="none"/>
          <w:lang w:val="zh-CN"/>
        </w:rPr>
        <w:t>本公司（联合体）郑重声明，根据《政府采购促进中小企业发展管理办法》（财库﹝2020﹞46号）的规定，本公司（联合体）参加</w:t>
      </w:r>
      <w:r>
        <w:rPr>
          <w:rFonts w:hint="eastAsia" w:ascii="宋体" w:hAnsi="宋体" w:eastAsia="宋体" w:cs="宋体"/>
          <w:color w:val="auto"/>
          <w:kern w:val="24"/>
          <w:szCs w:val="21"/>
          <w:highlight w:val="none"/>
          <w:u w:val="single"/>
          <w:lang w:val="zh-CN"/>
        </w:rPr>
        <w:t xml:space="preserve"> （单位名称） </w:t>
      </w:r>
      <w:r>
        <w:rPr>
          <w:rFonts w:hint="eastAsia" w:ascii="宋体" w:hAnsi="宋体" w:eastAsia="宋体" w:cs="宋体"/>
          <w:color w:val="auto"/>
          <w:kern w:val="24"/>
          <w:szCs w:val="21"/>
          <w:highlight w:val="none"/>
          <w:lang w:val="zh-CN"/>
        </w:rPr>
        <w:t>的</w:t>
      </w:r>
      <w:r>
        <w:rPr>
          <w:rFonts w:hint="eastAsia" w:ascii="宋体" w:hAnsi="宋体" w:eastAsia="宋体" w:cs="宋体"/>
          <w:color w:val="auto"/>
          <w:kern w:val="24"/>
          <w:szCs w:val="21"/>
          <w:highlight w:val="none"/>
          <w:u w:val="single"/>
          <w:lang w:val="zh-CN"/>
        </w:rPr>
        <w:t xml:space="preserve"> （项目名称） </w:t>
      </w:r>
      <w:r>
        <w:rPr>
          <w:rFonts w:hint="eastAsia" w:ascii="宋体" w:hAnsi="宋体" w:eastAsia="宋体" w:cs="宋体"/>
          <w:color w:val="auto"/>
          <w:kern w:val="24"/>
          <w:szCs w:val="21"/>
          <w:highlight w:val="none"/>
          <w:lang w:val="zh-CN"/>
        </w:rPr>
        <w:t>采购活动，服务全部由符合政策要求的中小企业承接。相关企业（含联合体中的中小企业、签订分包意向协议的中小企业）的具体情况如下：</w:t>
      </w:r>
    </w:p>
    <w:p w14:paraId="4E6DB606">
      <w:pPr>
        <w:widowControl/>
        <w:tabs>
          <w:tab w:val="left" w:pos="1384"/>
          <w:tab w:val="left" w:pos="4562"/>
          <w:tab w:val="left" w:pos="6803"/>
        </w:tabs>
        <w:spacing w:line="360" w:lineRule="auto"/>
        <w:ind w:firstLine="420" w:firstLineChars="200"/>
        <w:contextualSpacing/>
        <w:jc w:val="left"/>
        <w:rPr>
          <w:rFonts w:ascii="宋体" w:hAnsi="宋体" w:eastAsia="宋体" w:cs="宋体"/>
          <w:color w:val="auto"/>
          <w:kern w:val="24"/>
          <w:szCs w:val="21"/>
          <w:highlight w:val="none"/>
        </w:rPr>
      </w:pPr>
      <w:r>
        <w:rPr>
          <w:rFonts w:hint="eastAsia" w:ascii="宋体" w:hAnsi="宋体" w:eastAsia="宋体" w:cs="宋体"/>
          <w:color w:val="auto"/>
          <w:kern w:val="24"/>
          <w:szCs w:val="21"/>
          <w:highlight w:val="none"/>
        </w:rPr>
        <w:t>1.</w:t>
      </w:r>
      <w:r>
        <w:rPr>
          <w:rFonts w:hint="eastAsia" w:ascii="宋体" w:hAnsi="宋体" w:eastAsia="宋体" w:cs="宋体"/>
          <w:color w:val="auto"/>
          <w:kern w:val="24"/>
          <w:szCs w:val="21"/>
          <w:highlight w:val="none"/>
          <w:u w:val="single"/>
        </w:rPr>
        <w:t xml:space="preserve"> （标的名称） </w:t>
      </w:r>
      <w:r>
        <w:rPr>
          <w:rFonts w:hint="eastAsia" w:ascii="宋体" w:hAnsi="宋体" w:eastAsia="宋体" w:cs="宋体"/>
          <w:color w:val="auto"/>
          <w:kern w:val="24"/>
          <w:szCs w:val="21"/>
          <w:highlight w:val="none"/>
        </w:rPr>
        <w:t>，属于</w:t>
      </w:r>
      <w:r>
        <w:rPr>
          <w:rFonts w:hint="eastAsia" w:ascii="宋体" w:hAnsi="宋体" w:eastAsia="宋体" w:cs="宋体"/>
          <w:color w:val="auto"/>
          <w:kern w:val="24"/>
          <w:szCs w:val="21"/>
          <w:highlight w:val="none"/>
          <w:u w:val="single"/>
        </w:rPr>
        <w:t xml:space="preserve"> （采购文件中明确的所属行业） </w:t>
      </w:r>
      <w:r>
        <w:rPr>
          <w:rFonts w:hint="eastAsia" w:ascii="宋体" w:hAnsi="宋体" w:eastAsia="宋体" w:cs="宋体"/>
          <w:color w:val="auto"/>
          <w:kern w:val="24"/>
          <w:szCs w:val="21"/>
          <w:highlight w:val="none"/>
        </w:rPr>
        <w:t>行业；承接企业为</w:t>
      </w:r>
      <w:r>
        <w:rPr>
          <w:rFonts w:hint="eastAsia" w:ascii="宋体" w:hAnsi="宋体" w:eastAsia="宋体" w:cs="宋体"/>
          <w:color w:val="auto"/>
          <w:kern w:val="24"/>
          <w:szCs w:val="21"/>
          <w:highlight w:val="none"/>
          <w:u w:val="single"/>
        </w:rPr>
        <w:t xml:space="preserve">（企业名称） </w:t>
      </w:r>
      <w:r>
        <w:rPr>
          <w:rFonts w:hint="eastAsia" w:ascii="宋体" w:hAnsi="宋体" w:eastAsia="宋体" w:cs="宋体"/>
          <w:color w:val="auto"/>
          <w:kern w:val="24"/>
          <w:szCs w:val="21"/>
          <w:highlight w:val="none"/>
        </w:rPr>
        <w:t>，从业人员</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人，营业收入为</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万元，资产总额为</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万元，属于</w:t>
      </w:r>
      <w:r>
        <w:rPr>
          <w:rFonts w:hint="eastAsia" w:ascii="宋体" w:hAnsi="宋体" w:eastAsia="宋体" w:cs="宋体"/>
          <w:color w:val="auto"/>
          <w:kern w:val="24"/>
          <w:szCs w:val="21"/>
          <w:highlight w:val="none"/>
          <w:u w:val="single"/>
        </w:rPr>
        <w:t xml:space="preserve"> （中型企业、小型企业、微型企业） </w:t>
      </w:r>
      <w:r>
        <w:rPr>
          <w:rFonts w:hint="eastAsia" w:ascii="宋体" w:hAnsi="宋体" w:eastAsia="宋体" w:cs="宋体"/>
          <w:color w:val="auto"/>
          <w:kern w:val="24"/>
          <w:szCs w:val="21"/>
          <w:highlight w:val="none"/>
        </w:rPr>
        <w:t>；</w:t>
      </w:r>
    </w:p>
    <w:p w14:paraId="60F384E8">
      <w:pPr>
        <w:widowControl/>
        <w:tabs>
          <w:tab w:val="left" w:pos="1384"/>
          <w:tab w:val="left" w:pos="4562"/>
          <w:tab w:val="left" w:pos="6803"/>
        </w:tabs>
        <w:spacing w:line="360" w:lineRule="auto"/>
        <w:ind w:firstLine="420" w:firstLineChars="200"/>
        <w:contextualSpacing/>
        <w:jc w:val="left"/>
        <w:rPr>
          <w:rFonts w:ascii="宋体" w:hAnsi="宋体" w:eastAsia="宋体" w:cs="宋体"/>
          <w:color w:val="auto"/>
          <w:kern w:val="24"/>
          <w:szCs w:val="21"/>
          <w:highlight w:val="none"/>
        </w:rPr>
      </w:pPr>
      <w:r>
        <w:rPr>
          <w:rFonts w:hint="eastAsia" w:ascii="宋体" w:hAnsi="宋体" w:eastAsia="宋体" w:cs="宋体"/>
          <w:color w:val="auto"/>
          <w:kern w:val="24"/>
          <w:szCs w:val="21"/>
          <w:highlight w:val="none"/>
        </w:rPr>
        <w:t>2.</w:t>
      </w:r>
      <w:r>
        <w:rPr>
          <w:rFonts w:hint="eastAsia" w:ascii="宋体" w:hAnsi="宋体" w:eastAsia="宋体" w:cs="宋体"/>
          <w:color w:val="auto"/>
          <w:kern w:val="24"/>
          <w:szCs w:val="21"/>
          <w:highlight w:val="none"/>
          <w:u w:val="single"/>
        </w:rPr>
        <w:t xml:space="preserve"> （标的名称） </w:t>
      </w:r>
      <w:r>
        <w:rPr>
          <w:rFonts w:hint="eastAsia" w:ascii="宋体" w:hAnsi="宋体" w:eastAsia="宋体" w:cs="宋体"/>
          <w:color w:val="auto"/>
          <w:kern w:val="24"/>
          <w:szCs w:val="21"/>
          <w:highlight w:val="none"/>
        </w:rPr>
        <w:t>，属于</w:t>
      </w:r>
      <w:r>
        <w:rPr>
          <w:rFonts w:hint="eastAsia" w:ascii="宋体" w:hAnsi="宋体" w:eastAsia="宋体" w:cs="宋体"/>
          <w:color w:val="auto"/>
          <w:kern w:val="24"/>
          <w:szCs w:val="21"/>
          <w:highlight w:val="none"/>
          <w:u w:val="single"/>
        </w:rPr>
        <w:t xml:space="preserve"> （采购文件中明确的所属行业） </w:t>
      </w:r>
      <w:r>
        <w:rPr>
          <w:rFonts w:hint="eastAsia" w:ascii="宋体" w:hAnsi="宋体" w:eastAsia="宋体" w:cs="宋体"/>
          <w:color w:val="auto"/>
          <w:kern w:val="24"/>
          <w:szCs w:val="21"/>
          <w:highlight w:val="none"/>
        </w:rPr>
        <w:t>行业；承接企业为</w:t>
      </w:r>
      <w:r>
        <w:rPr>
          <w:rFonts w:hint="eastAsia" w:ascii="宋体" w:hAnsi="宋体" w:eastAsia="宋体" w:cs="宋体"/>
          <w:color w:val="auto"/>
          <w:kern w:val="24"/>
          <w:szCs w:val="21"/>
          <w:highlight w:val="none"/>
          <w:u w:val="single"/>
        </w:rPr>
        <w:t xml:space="preserve">（企业名称） </w:t>
      </w:r>
      <w:r>
        <w:rPr>
          <w:rFonts w:hint="eastAsia" w:ascii="宋体" w:hAnsi="宋体" w:eastAsia="宋体" w:cs="宋体"/>
          <w:color w:val="auto"/>
          <w:kern w:val="24"/>
          <w:szCs w:val="21"/>
          <w:highlight w:val="none"/>
        </w:rPr>
        <w:t>，从业人员</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人，营业收入为</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万元，资产总额为</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万元，属于</w:t>
      </w:r>
      <w:r>
        <w:rPr>
          <w:rFonts w:hint="eastAsia" w:ascii="宋体" w:hAnsi="宋体" w:eastAsia="宋体" w:cs="宋体"/>
          <w:color w:val="auto"/>
          <w:kern w:val="24"/>
          <w:szCs w:val="21"/>
          <w:highlight w:val="none"/>
          <w:u w:val="single"/>
        </w:rPr>
        <w:t xml:space="preserve"> （中型企业、小型企业、微型企业） </w:t>
      </w:r>
      <w:r>
        <w:rPr>
          <w:rFonts w:hint="eastAsia" w:ascii="宋体" w:hAnsi="宋体" w:eastAsia="宋体" w:cs="宋体"/>
          <w:color w:val="auto"/>
          <w:kern w:val="24"/>
          <w:szCs w:val="21"/>
          <w:highlight w:val="none"/>
        </w:rPr>
        <w:t>；</w:t>
      </w:r>
    </w:p>
    <w:p w14:paraId="62CE744D">
      <w:pPr>
        <w:spacing w:line="360" w:lineRule="auto"/>
        <w:ind w:firstLine="420" w:firstLineChars="200"/>
        <w:contextualSpacing/>
        <w:jc w:val="left"/>
        <w:rPr>
          <w:rFonts w:ascii="宋体" w:hAnsi="宋体" w:eastAsia="宋体" w:cs="宋体"/>
          <w:color w:val="auto"/>
          <w:kern w:val="24"/>
          <w:szCs w:val="21"/>
          <w:highlight w:val="none"/>
          <w:lang w:val="zh-CN"/>
        </w:rPr>
      </w:pPr>
      <w:r>
        <w:rPr>
          <w:rFonts w:hint="eastAsia" w:ascii="宋体" w:hAnsi="宋体" w:eastAsia="宋体" w:cs="宋体"/>
          <w:color w:val="auto"/>
          <w:kern w:val="24"/>
          <w:szCs w:val="21"/>
          <w:highlight w:val="none"/>
          <w:lang w:val="zh-CN"/>
        </w:rPr>
        <w:t xml:space="preserve">…… </w:t>
      </w:r>
    </w:p>
    <w:p w14:paraId="08341DEC">
      <w:pPr>
        <w:spacing w:line="360" w:lineRule="auto"/>
        <w:ind w:firstLine="396" w:firstLineChars="189"/>
        <w:contextualSpacing/>
        <w:jc w:val="left"/>
        <w:rPr>
          <w:rFonts w:ascii="宋体" w:hAnsi="宋体" w:eastAsia="宋体" w:cs="宋体"/>
          <w:color w:val="auto"/>
          <w:kern w:val="24"/>
          <w:szCs w:val="21"/>
          <w:highlight w:val="none"/>
          <w:lang w:val="zh-CN"/>
        </w:rPr>
      </w:pPr>
      <w:r>
        <w:rPr>
          <w:rFonts w:hint="eastAsia" w:ascii="宋体" w:hAnsi="宋体" w:eastAsia="宋体" w:cs="宋体"/>
          <w:color w:val="auto"/>
          <w:kern w:val="24"/>
          <w:szCs w:val="21"/>
          <w:highlight w:val="none"/>
          <w:lang w:val="zh-CN"/>
        </w:rPr>
        <w:t>以上企业，不属于大企业的分支机构，不存在控股股东为大企业的情形，也不存在与大企业的负责人为同一人的情形。</w:t>
      </w:r>
    </w:p>
    <w:p w14:paraId="13B7020D">
      <w:pPr>
        <w:spacing w:line="360" w:lineRule="auto"/>
        <w:ind w:firstLine="420" w:firstLineChars="200"/>
        <w:contextualSpacing/>
        <w:jc w:val="left"/>
        <w:rPr>
          <w:rFonts w:ascii="宋体" w:hAnsi="宋体" w:eastAsia="宋体" w:cs="宋体"/>
          <w:color w:val="auto"/>
          <w:kern w:val="24"/>
          <w:szCs w:val="21"/>
          <w:highlight w:val="none"/>
          <w:lang w:val="zh-CN"/>
        </w:rPr>
      </w:pPr>
      <w:r>
        <w:rPr>
          <w:rFonts w:hint="eastAsia" w:ascii="宋体" w:hAnsi="宋体" w:eastAsia="宋体" w:cs="宋体"/>
          <w:color w:val="auto"/>
          <w:kern w:val="24"/>
          <w:szCs w:val="21"/>
          <w:highlight w:val="none"/>
          <w:lang w:val="zh-CN"/>
        </w:rPr>
        <w:t>本企业对上述声明内容的真实性负责。如有虚假，将依法承担相应责任。</w:t>
      </w:r>
    </w:p>
    <w:p w14:paraId="29837418">
      <w:pPr>
        <w:spacing w:line="360" w:lineRule="auto"/>
        <w:ind w:firstLine="420" w:firstLineChars="200"/>
        <w:contextualSpacing/>
        <w:jc w:val="left"/>
        <w:rPr>
          <w:rFonts w:ascii="宋体" w:hAnsi="宋体" w:eastAsia="宋体" w:cs="宋体"/>
          <w:color w:val="auto"/>
          <w:kern w:val="24"/>
          <w:szCs w:val="21"/>
          <w:highlight w:val="none"/>
          <w:lang w:val="zh-CN"/>
        </w:rPr>
      </w:pPr>
    </w:p>
    <w:p w14:paraId="2AD1342E">
      <w:pPr>
        <w:spacing w:line="360" w:lineRule="auto"/>
        <w:contextualSpacing/>
        <w:jc w:val="center"/>
        <w:rPr>
          <w:rFonts w:ascii="宋体" w:hAnsi="宋体" w:eastAsia="宋体" w:cs="宋体"/>
          <w:color w:val="auto"/>
          <w:kern w:val="24"/>
          <w:szCs w:val="21"/>
          <w:highlight w:val="none"/>
          <w:lang w:val="zh-CN"/>
        </w:rPr>
      </w:pPr>
      <w:r>
        <w:rPr>
          <w:rFonts w:hint="eastAsia" w:ascii="宋体" w:hAnsi="宋体" w:eastAsia="宋体" w:cs="宋体"/>
          <w:color w:val="auto"/>
          <w:kern w:val="24"/>
          <w:szCs w:val="21"/>
          <w:highlight w:val="none"/>
          <w:lang w:val="zh-CN"/>
        </w:rPr>
        <w:t>企业名称（章）：</w:t>
      </w:r>
    </w:p>
    <w:p w14:paraId="6FFEEAAB">
      <w:pPr>
        <w:spacing w:line="360" w:lineRule="auto"/>
        <w:contextualSpacing/>
        <w:jc w:val="center"/>
        <w:rPr>
          <w:rFonts w:ascii="宋体" w:hAnsi="宋体" w:eastAsia="宋体" w:cs="宋体"/>
          <w:color w:val="auto"/>
          <w:kern w:val="24"/>
          <w:szCs w:val="21"/>
          <w:highlight w:val="none"/>
          <w:lang w:val="zh-CN"/>
        </w:rPr>
      </w:pPr>
      <w:r>
        <w:rPr>
          <w:rFonts w:hint="eastAsia" w:ascii="宋体" w:hAnsi="宋体" w:eastAsia="宋体" w:cs="宋体"/>
          <w:color w:val="auto"/>
          <w:kern w:val="24"/>
          <w:szCs w:val="21"/>
          <w:highlight w:val="none"/>
          <w:lang w:val="zh-CN"/>
        </w:rPr>
        <w:t>日 期：</w:t>
      </w:r>
    </w:p>
    <w:p w14:paraId="00DE4812">
      <w:pPr>
        <w:spacing w:line="360" w:lineRule="auto"/>
        <w:contextualSpacing/>
        <w:jc w:val="left"/>
        <w:rPr>
          <w:rFonts w:ascii="宋体" w:hAnsi="宋体" w:eastAsia="宋体" w:cs="宋体"/>
          <w:color w:val="auto"/>
          <w:kern w:val="24"/>
          <w:szCs w:val="21"/>
          <w:highlight w:val="none"/>
          <w:lang w:val="zh-CN"/>
        </w:rPr>
      </w:pPr>
    </w:p>
    <w:p w14:paraId="399859EA">
      <w:pPr>
        <w:spacing w:line="360" w:lineRule="auto"/>
        <w:ind w:firstLine="420" w:firstLineChars="200"/>
        <w:contextualSpacing/>
        <w:jc w:val="left"/>
        <w:rPr>
          <w:rFonts w:ascii="宋体" w:hAnsi="宋体" w:eastAsia="宋体" w:cs="宋体"/>
          <w:color w:val="auto"/>
          <w:kern w:val="24"/>
          <w:szCs w:val="21"/>
          <w:highlight w:val="none"/>
          <w:lang w:val="zh-CN"/>
        </w:rPr>
      </w:pPr>
      <w:r>
        <w:rPr>
          <w:rFonts w:hint="eastAsia" w:ascii="宋体" w:hAnsi="宋体" w:eastAsia="宋体" w:cs="宋体"/>
          <w:color w:val="auto"/>
          <w:kern w:val="24"/>
          <w:szCs w:val="21"/>
          <w:highlight w:val="none"/>
          <w:lang w:val="zh-CN"/>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2215730E">
      <w:pPr>
        <w:widowControl/>
        <w:spacing w:before="260" w:after="260" w:line="415" w:lineRule="auto"/>
        <w:jc w:val="center"/>
        <w:rPr>
          <w:rFonts w:ascii="宋体" w:hAnsi="宋体" w:eastAsia="宋体" w:cs="宋体"/>
          <w:b/>
          <w:color w:val="auto"/>
          <w:kern w:val="0"/>
          <w:sz w:val="24"/>
          <w:szCs w:val="24"/>
          <w:highlight w:val="none"/>
          <w:lang w:val="zh-CN"/>
        </w:rPr>
      </w:pPr>
      <w:r>
        <w:rPr>
          <w:rFonts w:hint="eastAsia" w:ascii="宋体" w:hAnsi="宋体" w:eastAsia="宋体" w:cs="宋体"/>
          <w:b/>
          <w:color w:val="auto"/>
          <w:szCs w:val="21"/>
          <w:highlight w:val="none"/>
        </w:rPr>
        <w:br w:type="page"/>
      </w:r>
    </w:p>
    <w:p w14:paraId="49CDF068">
      <w:pPr>
        <w:keepNext/>
        <w:keepLines/>
        <w:widowControl/>
        <w:spacing w:line="360" w:lineRule="auto"/>
        <w:jc w:val="left"/>
        <w:outlineLvl w:val="2"/>
        <w:rPr>
          <w:rFonts w:hint="eastAsia" w:ascii="宋体" w:hAnsi="宋体" w:eastAsia="宋体" w:cs="宋体"/>
          <w:b/>
          <w:color w:val="auto"/>
          <w:sz w:val="24"/>
          <w:szCs w:val="24"/>
          <w:highlight w:val="none"/>
        </w:rPr>
      </w:pPr>
    </w:p>
    <w:p w14:paraId="45D19B81">
      <w:pPr>
        <w:keepNext/>
        <w:keepLines/>
        <w:widowControl/>
        <w:spacing w:line="360" w:lineRule="auto"/>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3.残疾人福利性单位声明函格式</w:t>
      </w:r>
    </w:p>
    <w:p w14:paraId="5EBC941A">
      <w:pPr>
        <w:widowControl/>
        <w:spacing w:line="360" w:lineRule="auto"/>
        <w:ind w:firstLine="420" w:firstLineChars="200"/>
        <w:jc w:val="left"/>
        <w:rPr>
          <w:rFonts w:ascii="宋体" w:hAnsi="宋体" w:eastAsia="宋体" w:cs="宋体"/>
          <w:color w:val="auto"/>
          <w:szCs w:val="21"/>
          <w:highlight w:val="none"/>
        </w:rPr>
      </w:pPr>
    </w:p>
    <w:p w14:paraId="592629AE">
      <w:pPr>
        <w:widowControl/>
        <w:snapToGrid w:val="0"/>
        <w:spacing w:before="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32"/>
          <w:szCs w:val="32"/>
          <w:highlight w:val="none"/>
        </w:rPr>
        <w:t>残疾人福利性单位声明函</w:t>
      </w:r>
    </w:p>
    <w:p w14:paraId="19AB21B9">
      <w:pPr>
        <w:widowControl/>
        <w:spacing w:line="360" w:lineRule="auto"/>
        <w:ind w:firstLine="420" w:firstLineChars="200"/>
        <w:jc w:val="left"/>
        <w:rPr>
          <w:rFonts w:ascii="宋体" w:hAnsi="宋体" w:eastAsia="宋体" w:cs="宋体"/>
          <w:color w:val="auto"/>
          <w:szCs w:val="21"/>
          <w:highlight w:val="none"/>
        </w:rPr>
      </w:pPr>
    </w:p>
    <w:p w14:paraId="25B7CE22">
      <w:pPr>
        <w:spacing w:line="360" w:lineRule="auto"/>
        <w:ind w:firstLine="444"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宋体"/>
          <w:color w:val="auto"/>
          <w:szCs w:val="21"/>
          <w:highlight w:val="none"/>
        </w:rPr>
        <w:t>〔2017〕 141</w:t>
      </w:r>
      <w:r>
        <w:rPr>
          <w:rFonts w:hint="eastAsia" w:ascii="宋体" w:hAnsi="宋体" w:eastAsia="宋体" w:cs="宋体"/>
          <w:color w:val="auto"/>
          <w:spacing w:val="6"/>
          <w:szCs w:val="21"/>
          <w:highlight w:val="none"/>
        </w:rPr>
        <w:t>号）的规定，本单位为符合条件的残疾人福利性单位，且本单位参加</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单位的</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项目采购活动提供本单位制造的货物（由本单位承担工程/提供服务），或者提供其他残</w:t>
      </w:r>
      <w:r>
        <w:rPr>
          <w:rFonts w:hint="eastAsia" w:ascii="宋体" w:hAnsi="宋体" w:eastAsia="宋体" w:cs="宋体"/>
          <w:color w:val="auto"/>
          <w:spacing w:val="-6"/>
          <w:szCs w:val="21"/>
          <w:highlight w:val="none"/>
        </w:rPr>
        <w:t>疾人福利性单位制造的货物（不包括使用非残疾人福利性单位注册商标的货物）。</w:t>
      </w:r>
    </w:p>
    <w:p w14:paraId="5CD9A227">
      <w:pPr>
        <w:spacing w:line="360" w:lineRule="auto"/>
        <w:ind w:firstLine="444"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本单位对上述声明的真实性负责。如有虚假，将依法承担相应责任。</w:t>
      </w:r>
    </w:p>
    <w:p w14:paraId="6B4A8CFD">
      <w:pPr>
        <w:spacing w:line="360" w:lineRule="auto"/>
        <w:ind w:firstLine="444" w:firstLineChars="200"/>
        <w:contextualSpacing/>
        <w:rPr>
          <w:rFonts w:ascii="宋体" w:hAnsi="宋体" w:eastAsia="宋体" w:cs="宋体"/>
          <w:color w:val="auto"/>
          <w:spacing w:val="6"/>
          <w:szCs w:val="21"/>
          <w:highlight w:val="none"/>
        </w:rPr>
      </w:pPr>
    </w:p>
    <w:p w14:paraId="62E5F40D">
      <w:pPr>
        <w:spacing w:line="360" w:lineRule="auto"/>
        <w:ind w:firstLine="444" w:firstLineChars="200"/>
        <w:contextualSpacing/>
        <w:rPr>
          <w:rFonts w:ascii="宋体" w:hAnsi="宋体" w:eastAsia="宋体" w:cs="宋体"/>
          <w:color w:val="auto"/>
          <w:spacing w:val="6"/>
          <w:szCs w:val="21"/>
          <w:highlight w:val="none"/>
        </w:rPr>
      </w:pPr>
    </w:p>
    <w:p w14:paraId="10EE6F3B">
      <w:pPr>
        <w:tabs>
          <w:tab w:val="left" w:pos="4860"/>
        </w:tabs>
        <w:spacing w:line="360" w:lineRule="auto"/>
        <w:ind w:right="1560" w:firstLine="444" w:firstLineChars="200"/>
        <w:contextualSpacing/>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单位名称（盖公章）：</w:t>
      </w:r>
    </w:p>
    <w:p w14:paraId="0D18EEAD">
      <w:pPr>
        <w:tabs>
          <w:tab w:val="left" w:pos="4860"/>
        </w:tabs>
        <w:spacing w:line="360" w:lineRule="auto"/>
        <w:ind w:right="1560" w:firstLine="444" w:firstLineChars="200"/>
        <w:contextualSpacing/>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日  期：</w:t>
      </w:r>
    </w:p>
    <w:p w14:paraId="73FECA9E">
      <w:pPr>
        <w:spacing w:line="360" w:lineRule="auto"/>
        <w:contextualSpacing/>
        <w:rPr>
          <w:rFonts w:ascii="宋体" w:hAnsi="宋体" w:eastAsia="宋体" w:cs="宋体"/>
          <w:color w:val="auto"/>
          <w:szCs w:val="21"/>
          <w:highlight w:val="none"/>
        </w:rPr>
      </w:pPr>
    </w:p>
    <w:p w14:paraId="65FDFC3D">
      <w:pPr>
        <w:spacing w:line="360" w:lineRule="auto"/>
        <w:contextualSpacing/>
        <w:rPr>
          <w:rFonts w:ascii="宋体" w:hAnsi="宋体" w:eastAsia="宋体" w:cs="宋体"/>
          <w:color w:val="auto"/>
          <w:szCs w:val="21"/>
          <w:highlight w:val="none"/>
        </w:rPr>
      </w:pPr>
    </w:p>
    <w:p w14:paraId="6EF3C702">
      <w:pPr>
        <w:spacing w:line="360" w:lineRule="auto"/>
        <w:contextualSpacing/>
        <w:rPr>
          <w:rFonts w:ascii="宋体" w:hAnsi="宋体" w:eastAsia="宋体" w:cs="宋体"/>
          <w:color w:val="auto"/>
          <w:szCs w:val="21"/>
          <w:highlight w:val="none"/>
        </w:rPr>
      </w:pPr>
    </w:p>
    <w:p w14:paraId="1ED2BEA7">
      <w:pPr>
        <w:spacing w:line="360" w:lineRule="auto"/>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13502768">
      <w:pPr>
        <w:widowControl/>
        <w:spacing w:before="260" w:after="260" w:line="415"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37598CB">
      <w:pPr>
        <w:keepNext/>
        <w:keepLines/>
        <w:widowControl/>
        <w:spacing w:line="360" w:lineRule="auto"/>
        <w:jc w:val="left"/>
        <w:outlineLvl w:val="2"/>
        <w:rPr>
          <w:rFonts w:hint="eastAsia" w:ascii="宋体" w:hAnsi="宋体" w:eastAsia="宋体" w:cs="宋体"/>
          <w:b/>
          <w:color w:val="auto"/>
          <w:sz w:val="24"/>
          <w:szCs w:val="24"/>
          <w:highlight w:val="none"/>
        </w:rPr>
      </w:pPr>
    </w:p>
    <w:p w14:paraId="32A134AF">
      <w:pPr>
        <w:keepNext/>
        <w:keepLines/>
        <w:widowControl/>
        <w:spacing w:line="360" w:lineRule="auto"/>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4.质疑函（格式）</w:t>
      </w:r>
    </w:p>
    <w:p w14:paraId="02E5BE9F">
      <w:pPr>
        <w:widowControl/>
        <w:snapToGrid w:val="0"/>
        <w:spacing w:before="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32"/>
          <w:szCs w:val="32"/>
          <w:highlight w:val="none"/>
        </w:rPr>
        <w:t>质疑函（格式）</w:t>
      </w:r>
    </w:p>
    <w:p w14:paraId="74789D65">
      <w:pPr>
        <w:snapToGrid w:val="0"/>
        <w:spacing w:line="360" w:lineRule="exact"/>
        <w:ind w:firstLine="422" w:firstLineChars="200"/>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一、质疑供应商基本信息：</w:t>
      </w:r>
    </w:p>
    <w:p w14:paraId="4AFC3819">
      <w:pPr>
        <w:snapToGrid w:val="0"/>
        <w:spacing w:line="360" w:lineRule="exact"/>
        <w:ind w:firstLine="420" w:firstLineChars="200"/>
        <w:rPr>
          <w:rFonts w:ascii="宋体" w:hAnsi="宋体" w:eastAsia="宋体" w:cs="宋体"/>
          <w:bCs/>
          <w:color w:val="auto"/>
          <w:kern w:val="0"/>
          <w:szCs w:val="21"/>
          <w:highlight w:val="none"/>
          <w:u w:val="single"/>
          <w:lang w:val="zh-CN"/>
        </w:rPr>
      </w:pPr>
      <w:r>
        <w:rPr>
          <w:rFonts w:hint="eastAsia" w:ascii="宋体" w:hAnsi="宋体" w:eastAsia="宋体" w:cs="宋体"/>
          <w:bCs/>
          <w:color w:val="auto"/>
          <w:kern w:val="0"/>
          <w:szCs w:val="21"/>
          <w:highlight w:val="none"/>
          <w:lang w:val="zh-CN"/>
        </w:rPr>
        <w:t>质疑供应商：</w:t>
      </w:r>
      <w:r>
        <w:rPr>
          <w:rFonts w:hint="eastAsia" w:ascii="宋体" w:hAnsi="宋体" w:eastAsia="宋体" w:cs="宋体"/>
          <w:bCs/>
          <w:color w:val="auto"/>
          <w:kern w:val="0"/>
          <w:szCs w:val="21"/>
          <w:highlight w:val="none"/>
          <w:u w:val="single"/>
          <w:lang w:val="zh-CN"/>
        </w:rPr>
        <w:t xml:space="preserve">                                       </w:t>
      </w:r>
      <w:r>
        <w:rPr>
          <w:rFonts w:hint="eastAsia" w:ascii="宋体" w:hAnsi="宋体" w:eastAsia="宋体" w:cs="宋体"/>
          <w:bCs/>
          <w:color w:val="auto"/>
          <w:kern w:val="0"/>
          <w:szCs w:val="21"/>
          <w:highlight w:val="none"/>
          <w:lang w:val="zh-CN"/>
        </w:rPr>
        <w:t xml:space="preserve">                 </w:t>
      </w:r>
    </w:p>
    <w:p w14:paraId="5DB819E9">
      <w:pPr>
        <w:snapToGrid w:val="0"/>
        <w:spacing w:line="360" w:lineRule="exact"/>
        <w:ind w:firstLine="420" w:firstLineChars="200"/>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地址：</w:t>
      </w:r>
      <w:r>
        <w:rPr>
          <w:rFonts w:hint="eastAsia" w:ascii="宋体" w:hAnsi="宋体" w:eastAsia="宋体" w:cs="宋体"/>
          <w:bCs/>
          <w:color w:val="auto"/>
          <w:kern w:val="0"/>
          <w:szCs w:val="21"/>
          <w:highlight w:val="none"/>
          <w:u w:val="single"/>
          <w:lang w:val="zh-CN"/>
        </w:rPr>
        <w:t xml:space="preserve">                                          </w:t>
      </w:r>
      <w:r>
        <w:rPr>
          <w:rFonts w:hint="eastAsia" w:ascii="宋体" w:hAnsi="宋体" w:eastAsia="宋体" w:cs="宋体"/>
          <w:bCs/>
          <w:color w:val="auto"/>
          <w:kern w:val="0"/>
          <w:szCs w:val="21"/>
          <w:highlight w:val="none"/>
          <w:lang w:val="zh-CN"/>
        </w:rPr>
        <w:t>邮编：</w:t>
      </w:r>
      <w:r>
        <w:rPr>
          <w:rFonts w:hint="eastAsia" w:ascii="宋体" w:hAnsi="宋体" w:eastAsia="宋体" w:cs="宋体"/>
          <w:bCs/>
          <w:color w:val="auto"/>
          <w:kern w:val="0"/>
          <w:szCs w:val="21"/>
          <w:highlight w:val="none"/>
          <w:u w:val="single"/>
          <w:lang w:val="zh-CN"/>
        </w:rPr>
        <w:t xml:space="preserve">                  </w:t>
      </w:r>
      <w:r>
        <w:rPr>
          <w:rFonts w:hint="eastAsia" w:ascii="宋体" w:hAnsi="宋体" w:eastAsia="宋体" w:cs="宋体"/>
          <w:bCs/>
          <w:color w:val="auto"/>
          <w:kern w:val="0"/>
          <w:szCs w:val="21"/>
          <w:highlight w:val="none"/>
          <w:lang w:val="zh-CN"/>
        </w:rPr>
        <w:t xml:space="preserve">  </w:t>
      </w:r>
    </w:p>
    <w:p w14:paraId="6C869836">
      <w:pPr>
        <w:snapToGrid w:val="0"/>
        <w:spacing w:line="360" w:lineRule="exact"/>
        <w:ind w:firstLine="420" w:firstLineChars="200"/>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联系人：</w:t>
      </w:r>
      <w:r>
        <w:rPr>
          <w:rFonts w:hint="eastAsia" w:ascii="宋体" w:hAnsi="宋体" w:eastAsia="宋体" w:cs="宋体"/>
          <w:bCs/>
          <w:color w:val="auto"/>
          <w:kern w:val="0"/>
          <w:szCs w:val="21"/>
          <w:highlight w:val="none"/>
          <w:u w:val="single"/>
          <w:lang w:val="zh-CN"/>
        </w:rPr>
        <w:t xml:space="preserve">                     </w:t>
      </w:r>
      <w:r>
        <w:rPr>
          <w:rFonts w:hint="eastAsia" w:ascii="宋体" w:hAnsi="宋体" w:eastAsia="宋体" w:cs="宋体"/>
          <w:bCs/>
          <w:color w:val="auto"/>
          <w:kern w:val="0"/>
          <w:szCs w:val="21"/>
          <w:highlight w:val="none"/>
          <w:lang w:val="zh-CN"/>
        </w:rPr>
        <w:t>联系电话：</w:t>
      </w:r>
      <w:r>
        <w:rPr>
          <w:rFonts w:hint="eastAsia" w:ascii="宋体" w:hAnsi="宋体" w:eastAsia="宋体" w:cs="宋体"/>
          <w:bCs/>
          <w:color w:val="auto"/>
          <w:kern w:val="0"/>
          <w:szCs w:val="21"/>
          <w:highlight w:val="none"/>
          <w:u w:val="single"/>
          <w:lang w:val="zh-CN"/>
        </w:rPr>
        <w:t xml:space="preserve">                 </w:t>
      </w:r>
    </w:p>
    <w:p w14:paraId="17AAF78E">
      <w:pPr>
        <w:snapToGrid w:val="0"/>
        <w:spacing w:line="360" w:lineRule="exact"/>
        <w:ind w:firstLine="420" w:firstLineChars="200"/>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授权代表：</w:t>
      </w:r>
      <w:r>
        <w:rPr>
          <w:rFonts w:hint="eastAsia" w:ascii="宋体" w:hAnsi="宋体" w:eastAsia="宋体" w:cs="宋体"/>
          <w:bCs/>
          <w:color w:val="auto"/>
          <w:kern w:val="0"/>
          <w:szCs w:val="21"/>
          <w:highlight w:val="none"/>
          <w:u w:val="single"/>
          <w:lang w:val="zh-CN"/>
        </w:rPr>
        <w:t xml:space="preserve">                      </w:t>
      </w:r>
    </w:p>
    <w:p w14:paraId="21ACC50F">
      <w:pPr>
        <w:snapToGrid w:val="0"/>
        <w:spacing w:line="360" w:lineRule="exact"/>
        <w:ind w:firstLine="420" w:firstLineChars="200"/>
        <w:rPr>
          <w:rFonts w:ascii="宋体" w:hAnsi="宋体" w:eastAsia="宋体" w:cs="宋体"/>
          <w:bCs/>
          <w:color w:val="auto"/>
          <w:kern w:val="0"/>
          <w:szCs w:val="21"/>
          <w:highlight w:val="none"/>
          <w:u w:val="single"/>
          <w:lang w:val="zh-CN"/>
        </w:rPr>
      </w:pPr>
      <w:r>
        <w:rPr>
          <w:rFonts w:hint="eastAsia" w:ascii="宋体" w:hAnsi="宋体" w:eastAsia="宋体" w:cs="宋体"/>
          <w:bCs/>
          <w:color w:val="auto"/>
          <w:kern w:val="0"/>
          <w:szCs w:val="21"/>
          <w:highlight w:val="none"/>
          <w:lang w:val="zh-CN"/>
        </w:rPr>
        <w:t>联系电话：</w:t>
      </w:r>
      <w:r>
        <w:rPr>
          <w:rFonts w:hint="eastAsia" w:ascii="宋体" w:hAnsi="宋体" w:eastAsia="宋体" w:cs="宋体"/>
          <w:bCs/>
          <w:color w:val="auto"/>
          <w:kern w:val="0"/>
          <w:szCs w:val="21"/>
          <w:highlight w:val="none"/>
          <w:u w:val="single"/>
          <w:lang w:val="zh-CN"/>
        </w:rPr>
        <w:t xml:space="preserve">                      </w:t>
      </w:r>
    </w:p>
    <w:p w14:paraId="6E8F9112">
      <w:pPr>
        <w:snapToGrid w:val="0"/>
        <w:spacing w:line="360" w:lineRule="exact"/>
        <w:ind w:firstLine="420" w:firstLineChars="200"/>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地址：</w:t>
      </w:r>
      <w:r>
        <w:rPr>
          <w:rFonts w:hint="eastAsia" w:ascii="宋体" w:hAnsi="宋体" w:eastAsia="宋体" w:cs="宋体"/>
          <w:bCs/>
          <w:color w:val="auto"/>
          <w:kern w:val="0"/>
          <w:szCs w:val="21"/>
          <w:highlight w:val="none"/>
          <w:u w:val="single"/>
          <w:lang w:val="zh-CN"/>
        </w:rPr>
        <w:t xml:space="preserve">                 </w:t>
      </w:r>
      <w:r>
        <w:rPr>
          <w:rFonts w:hint="eastAsia" w:ascii="宋体" w:hAnsi="宋体" w:eastAsia="宋体" w:cs="宋体"/>
          <w:bCs/>
          <w:color w:val="auto"/>
          <w:kern w:val="0"/>
          <w:szCs w:val="21"/>
          <w:highlight w:val="none"/>
          <w:lang w:val="zh-CN"/>
        </w:rPr>
        <w:t>邮编：</w:t>
      </w:r>
      <w:r>
        <w:rPr>
          <w:rFonts w:hint="eastAsia" w:ascii="宋体" w:hAnsi="宋体" w:eastAsia="宋体" w:cs="宋体"/>
          <w:bCs/>
          <w:color w:val="auto"/>
          <w:kern w:val="0"/>
          <w:szCs w:val="21"/>
          <w:highlight w:val="none"/>
          <w:u w:val="single"/>
          <w:lang w:val="zh-CN"/>
        </w:rPr>
        <w:t xml:space="preserve">                  </w:t>
      </w:r>
      <w:r>
        <w:rPr>
          <w:rFonts w:hint="eastAsia" w:ascii="宋体" w:hAnsi="宋体" w:eastAsia="宋体" w:cs="宋体"/>
          <w:bCs/>
          <w:color w:val="auto"/>
          <w:kern w:val="0"/>
          <w:szCs w:val="21"/>
          <w:highlight w:val="none"/>
          <w:lang w:val="zh-CN"/>
        </w:rPr>
        <w:t xml:space="preserve">     </w:t>
      </w:r>
    </w:p>
    <w:p w14:paraId="0ED26C8D">
      <w:pPr>
        <w:snapToGrid w:val="0"/>
        <w:spacing w:line="360" w:lineRule="exact"/>
        <w:ind w:firstLine="422" w:firstLineChars="200"/>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二、质疑项目基本情况：</w:t>
      </w:r>
    </w:p>
    <w:p w14:paraId="4085E7B7">
      <w:pPr>
        <w:spacing w:line="360" w:lineRule="exact"/>
        <w:ind w:firstLine="413" w:firstLineChars="197"/>
        <w:rPr>
          <w:rFonts w:ascii="宋体" w:hAnsi="宋体" w:eastAsia="宋体" w:cs="宋体"/>
          <w:color w:val="auto"/>
          <w:kern w:val="0"/>
          <w:szCs w:val="21"/>
          <w:highlight w:val="none"/>
          <w:lang w:val="zh-CN"/>
        </w:rPr>
      </w:pPr>
      <w:r>
        <w:rPr>
          <w:rFonts w:hint="eastAsia" w:ascii="宋体" w:hAnsi="宋体" w:eastAsia="宋体" w:cs="宋体"/>
          <w:bCs/>
          <w:color w:val="auto"/>
          <w:kern w:val="0"/>
          <w:szCs w:val="21"/>
          <w:highlight w:val="none"/>
          <w:lang w:val="zh-CN"/>
        </w:rPr>
        <w:t>质疑</w:t>
      </w:r>
      <w:r>
        <w:rPr>
          <w:rFonts w:hint="eastAsia" w:ascii="宋体" w:hAnsi="宋体" w:eastAsia="宋体" w:cs="宋体"/>
          <w:color w:val="auto"/>
          <w:kern w:val="0"/>
          <w:szCs w:val="21"/>
          <w:highlight w:val="none"/>
          <w:lang w:val="zh-CN"/>
        </w:rPr>
        <w:t>项目的名称：</w:t>
      </w:r>
      <w:r>
        <w:rPr>
          <w:rFonts w:hint="eastAsia" w:ascii="宋体" w:hAnsi="宋体" w:eastAsia="宋体" w:cs="宋体"/>
          <w:bCs/>
          <w:color w:val="auto"/>
          <w:kern w:val="0"/>
          <w:szCs w:val="21"/>
          <w:highlight w:val="none"/>
          <w:u w:val="single"/>
          <w:lang w:val="zh-CN"/>
        </w:rPr>
        <w:t xml:space="preserve">                                     </w:t>
      </w:r>
    </w:p>
    <w:p w14:paraId="550A6F8A">
      <w:pPr>
        <w:spacing w:line="360" w:lineRule="exact"/>
        <w:ind w:firstLine="413" w:firstLineChars="197"/>
        <w:rPr>
          <w:rFonts w:ascii="宋体" w:hAnsi="宋体" w:eastAsia="宋体" w:cs="宋体"/>
          <w:color w:val="auto"/>
          <w:kern w:val="0"/>
          <w:szCs w:val="21"/>
          <w:highlight w:val="none"/>
          <w:lang w:val="zh-CN"/>
        </w:rPr>
      </w:pPr>
      <w:r>
        <w:rPr>
          <w:rFonts w:hint="eastAsia" w:ascii="宋体" w:hAnsi="宋体" w:eastAsia="宋体" w:cs="宋体"/>
          <w:bCs/>
          <w:color w:val="auto"/>
          <w:kern w:val="0"/>
          <w:szCs w:val="21"/>
          <w:highlight w:val="none"/>
          <w:lang w:val="zh-CN"/>
        </w:rPr>
        <w:t>质疑</w:t>
      </w:r>
      <w:r>
        <w:rPr>
          <w:rFonts w:hint="eastAsia" w:ascii="宋体" w:hAnsi="宋体" w:eastAsia="宋体" w:cs="宋体"/>
          <w:color w:val="auto"/>
          <w:kern w:val="0"/>
          <w:szCs w:val="21"/>
          <w:highlight w:val="none"/>
          <w:lang w:val="zh-CN"/>
        </w:rPr>
        <w:t>项目的编号：</w:t>
      </w:r>
      <w:r>
        <w:rPr>
          <w:rFonts w:hint="eastAsia" w:ascii="宋体" w:hAnsi="宋体" w:eastAsia="宋体" w:cs="宋体"/>
          <w:bCs/>
          <w:color w:val="auto"/>
          <w:kern w:val="0"/>
          <w:szCs w:val="21"/>
          <w:highlight w:val="none"/>
          <w:u w:val="single"/>
          <w:lang w:val="zh-CN"/>
        </w:rPr>
        <w:t xml:space="preserve">                                     </w:t>
      </w:r>
    </w:p>
    <w:p w14:paraId="4980492E">
      <w:pPr>
        <w:spacing w:line="360" w:lineRule="exact"/>
        <w:ind w:firstLine="413" w:firstLineChars="197"/>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采购人名称：</w:t>
      </w:r>
      <w:r>
        <w:rPr>
          <w:rFonts w:hint="eastAsia" w:ascii="宋体" w:hAnsi="宋体" w:eastAsia="宋体" w:cs="宋体"/>
          <w:bCs/>
          <w:color w:val="auto"/>
          <w:kern w:val="0"/>
          <w:szCs w:val="21"/>
          <w:highlight w:val="none"/>
          <w:u w:val="single"/>
          <w:lang w:val="zh-CN"/>
        </w:rPr>
        <w:t xml:space="preserve">                                         </w:t>
      </w:r>
    </w:p>
    <w:p w14:paraId="589AA591">
      <w:pPr>
        <w:spacing w:line="360" w:lineRule="exact"/>
        <w:ind w:firstLine="413" w:firstLineChars="197"/>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质疑事项：</w:t>
      </w:r>
    </w:p>
    <w:p w14:paraId="52026A41">
      <w:pPr>
        <w:spacing w:line="360" w:lineRule="exact"/>
        <w:ind w:firstLine="371" w:firstLineChars="177"/>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□采购文件   采购文件获取日期：</w:t>
      </w:r>
      <w:r>
        <w:rPr>
          <w:rFonts w:hint="eastAsia" w:ascii="宋体" w:hAnsi="宋体" w:eastAsia="宋体" w:cs="宋体"/>
          <w:bCs/>
          <w:color w:val="auto"/>
          <w:kern w:val="0"/>
          <w:szCs w:val="21"/>
          <w:highlight w:val="none"/>
          <w:u w:val="single"/>
          <w:lang w:val="zh-CN"/>
        </w:rPr>
        <w:t xml:space="preserve">                                   </w:t>
      </w:r>
    </w:p>
    <w:p w14:paraId="53DDEC1E">
      <w:pPr>
        <w:spacing w:line="360" w:lineRule="exact"/>
        <w:ind w:firstLine="371" w:firstLineChars="177"/>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□采购过程   </w:t>
      </w:r>
    </w:p>
    <w:p w14:paraId="61A973CF">
      <w:pPr>
        <w:spacing w:line="360" w:lineRule="exact"/>
        <w:ind w:firstLine="371" w:firstLineChars="177"/>
        <w:rPr>
          <w:rFonts w:ascii="宋体" w:hAnsi="宋体" w:eastAsia="宋体" w:cs="宋体"/>
          <w:bCs/>
          <w:color w:val="auto"/>
          <w:kern w:val="0"/>
          <w:szCs w:val="21"/>
          <w:highlight w:val="none"/>
          <w:u w:val="single"/>
          <w:lang w:val="zh-CN"/>
        </w:rPr>
      </w:pPr>
      <w:r>
        <w:rPr>
          <w:rFonts w:hint="eastAsia" w:ascii="宋体" w:hAnsi="宋体" w:eastAsia="宋体" w:cs="宋体"/>
          <w:color w:val="auto"/>
          <w:kern w:val="0"/>
          <w:szCs w:val="21"/>
          <w:highlight w:val="none"/>
          <w:lang w:val="zh-CN"/>
        </w:rPr>
        <w:t xml:space="preserve">□成交结果   </w:t>
      </w:r>
    </w:p>
    <w:p w14:paraId="0A90E4D8">
      <w:pPr>
        <w:spacing w:line="360" w:lineRule="exact"/>
        <w:ind w:firstLine="413" w:firstLineChars="196"/>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三、质疑事项具体内容</w:t>
      </w:r>
    </w:p>
    <w:p w14:paraId="391F2355">
      <w:pPr>
        <w:spacing w:line="360" w:lineRule="exact"/>
        <w:ind w:firstLine="413" w:firstLineChars="197"/>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质疑事项1：</w:t>
      </w:r>
      <w:r>
        <w:rPr>
          <w:rFonts w:hint="eastAsia" w:ascii="宋体" w:hAnsi="宋体" w:eastAsia="宋体" w:cs="宋体"/>
          <w:bCs/>
          <w:color w:val="auto"/>
          <w:kern w:val="0"/>
          <w:szCs w:val="21"/>
          <w:highlight w:val="none"/>
          <w:u w:val="single"/>
          <w:lang w:val="zh-CN"/>
        </w:rPr>
        <w:t xml:space="preserve">                                                                  </w:t>
      </w:r>
      <w:r>
        <w:rPr>
          <w:rFonts w:hint="eastAsia" w:ascii="宋体" w:hAnsi="宋体" w:eastAsia="宋体" w:cs="宋体"/>
          <w:bCs/>
          <w:color w:val="auto"/>
          <w:kern w:val="0"/>
          <w:szCs w:val="21"/>
          <w:highlight w:val="none"/>
          <w:u w:val="single"/>
          <w:lang w:val="en-US" w:eastAsia="zh-CN"/>
        </w:rPr>
        <w:t xml:space="preserve"> </w:t>
      </w:r>
      <w:r>
        <w:rPr>
          <w:rFonts w:hint="eastAsia" w:ascii="宋体" w:hAnsi="宋体" w:eastAsia="宋体" w:cs="宋体"/>
          <w:bCs/>
          <w:color w:val="auto"/>
          <w:kern w:val="0"/>
          <w:szCs w:val="21"/>
          <w:highlight w:val="none"/>
          <w:u w:val="single"/>
          <w:lang w:val="zh-CN"/>
        </w:rPr>
        <w:t xml:space="preserve"> </w:t>
      </w:r>
    </w:p>
    <w:p w14:paraId="00A7CAE1">
      <w:pPr>
        <w:spacing w:line="360" w:lineRule="exact"/>
        <w:ind w:firstLine="413" w:firstLineChars="197"/>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事实依据：</w:t>
      </w:r>
      <w:r>
        <w:rPr>
          <w:rFonts w:hint="eastAsia" w:ascii="宋体" w:hAnsi="宋体" w:eastAsia="宋体" w:cs="宋体"/>
          <w:bCs/>
          <w:color w:val="auto"/>
          <w:kern w:val="0"/>
          <w:szCs w:val="21"/>
          <w:highlight w:val="none"/>
          <w:u w:val="single"/>
          <w:lang w:val="zh-CN"/>
        </w:rPr>
        <w:t xml:space="preserve">                                                              </w:t>
      </w:r>
      <w:r>
        <w:rPr>
          <w:rFonts w:hint="eastAsia" w:ascii="宋体" w:hAnsi="宋体" w:eastAsia="宋体" w:cs="宋体"/>
          <w:bCs/>
          <w:color w:val="auto"/>
          <w:kern w:val="0"/>
          <w:szCs w:val="21"/>
          <w:highlight w:val="none"/>
          <w:u w:val="single"/>
          <w:lang w:val="en-US" w:eastAsia="zh-CN"/>
        </w:rPr>
        <w:t xml:space="preserve"> </w:t>
      </w:r>
      <w:r>
        <w:rPr>
          <w:rFonts w:hint="eastAsia" w:ascii="宋体" w:hAnsi="宋体" w:eastAsia="宋体" w:cs="宋体"/>
          <w:bCs/>
          <w:color w:val="auto"/>
          <w:kern w:val="0"/>
          <w:szCs w:val="21"/>
          <w:highlight w:val="none"/>
          <w:u w:val="single"/>
          <w:lang w:val="zh-CN"/>
        </w:rPr>
        <w:t xml:space="preserve">      </w:t>
      </w:r>
    </w:p>
    <w:p w14:paraId="5EBD8E7D">
      <w:pPr>
        <w:spacing w:line="360" w:lineRule="exact"/>
        <w:ind w:firstLine="413" w:firstLineChars="197"/>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法律依据：</w:t>
      </w:r>
      <w:r>
        <w:rPr>
          <w:rFonts w:hint="eastAsia" w:ascii="宋体" w:hAnsi="宋体" w:eastAsia="宋体" w:cs="宋体"/>
          <w:color w:val="auto"/>
          <w:kern w:val="0"/>
          <w:szCs w:val="21"/>
          <w:highlight w:val="none"/>
          <w:u w:val="single"/>
          <w:lang w:val="zh-CN"/>
        </w:rPr>
        <w:t xml:space="preserve">                                                        </w:t>
      </w:r>
      <w:r>
        <w:rPr>
          <w:rFonts w:hint="eastAsia" w:ascii="宋体" w:hAnsi="宋体" w:eastAsia="宋体" w:cs="宋体"/>
          <w:bCs/>
          <w:color w:val="auto"/>
          <w:kern w:val="0"/>
          <w:szCs w:val="21"/>
          <w:highlight w:val="none"/>
          <w:u w:val="single"/>
          <w:lang w:val="zh-CN"/>
        </w:rPr>
        <w:t xml:space="preserve">    </w:t>
      </w:r>
      <w:r>
        <w:rPr>
          <w:rFonts w:hint="eastAsia" w:ascii="宋体" w:hAnsi="宋体" w:eastAsia="宋体" w:cs="宋体"/>
          <w:bCs/>
          <w:color w:val="auto"/>
          <w:kern w:val="0"/>
          <w:szCs w:val="21"/>
          <w:highlight w:val="none"/>
          <w:u w:val="single"/>
          <w:lang w:val="en-US" w:eastAsia="zh-CN"/>
        </w:rPr>
        <w:t xml:space="preserve"> </w:t>
      </w:r>
      <w:r>
        <w:rPr>
          <w:rFonts w:hint="eastAsia" w:ascii="宋体" w:hAnsi="宋体" w:eastAsia="宋体" w:cs="宋体"/>
          <w:bCs/>
          <w:color w:val="auto"/>
          <w:kern w:val="0"/>
          <w:szCs w:val="21"/>
          <w:highlight w:val="none"/>
          <w:u w:val="single"/>
          <w:lang w:val="zh-CN"/>
        </w:rPr>
        <w:t xml:space="preserve">        </w:t>
      </w:r>
    </w:p>
    <w:p w14:paraId="750E9D83">
      <w:pPr>
        <w:spacing w:line="360" w:lineRule="exact"/>
        <w:ind w:firstLine="413" w:firstLineChars="197"/>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质疑事项2</w:t>
      </w:r>
    </w:p>
    <w:p w14:paraId="3CC5A6D5">
      <w:pPr>
        <w:spacing w:line="360" w:lineRule="exact"/>
        <w:ind w:firstLine="413" w:firstLineChars="197"/>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p>
    <w:p w14:paraId="421EC399">
      <w:pPr>
        <w:spacing w:line="360" w:lineRule="exact"/>
        <w:ind w:firstLine="413" w:firstLineChars="197"/>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四、与质疑事项相关的质疑请求：</w:t>
      </w:r>
    </w:p>
    <w:p w14:paraId="4D7657BA">
      <w:pPr>
        <w:spacing w:line="360" w:lineRule="exact"/>
        <w:ind w:firstLine="413" w:firstLineChars="197"/>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请求：</w:t>
      </w:r>
      <w:r>
        <w:rPr>
          <w:rFonts w:hint="eastAsia" w:ascii="宋体" w:hAnsi="宋体" w:eastAsia="宋体" w:cs="宋体"/>
          <w:bCs/>
          <w:color w:val="auto"/>
          <w:kern w:val="0"/>
          <w:szCs w:val="21"/>
          <w:highlight w:val="none"/>
          <w:u w:val="single"/>
          <w:lang w:val="zh-CN"/>
        </w:rPr>
        <w:t xml:space="preserve">                                                                </w:t>
      </w:r>
    </w:p>
    <w:p w14:paraId="1B1D84D7">
      <w:pPr>
        <w:spacing w:line="360" w:lineRule="exact"/>
        <w:ind w:firstLine="413" w:firstLineChars="197"/>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签字（签章）：                                       公章：</w:t>
      </w:r>
    </w:p>
    <w:p w14:paraId="1857F4EC">
      <w:pPr>
        <w:spacing w:line="360" w:lineRule="exact"/>
        <w:ind w:firstLine="413" w:firstLineChars="197"/>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日期：</w:t>
      </w:r>
    </w:p>
    <w:p w14:paraId="1D76CA92">
      <w:pPr>
        <w:snapToGrid w:val="0"/>
        <w:spacing w:line="360" w:lineRule="exact"/>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说明：</w:t>
      </w:r>
    </w:p>
    <w:p w14:paraId="61527568">
      <w:pPr>
        <w:spacing w:line="360" w:lineRule="exact"/>
        <w:ind w:firstLine="310" w:firstLineChars="147"/>
        <w:rPr>
          <w:rFonts w:ascii="宋体" w:hAnsi="宋体" w:eastAsia="宋体" w:cs="宋体"/>
          <w:b/>
          <w:bCs/>
          <w:color w:val="auto"/>
          <w:kern w:val="0"/>
          <w:szCs w:val="21"/>
          <w:highlight w:val="none"/>
          <w:lang w:val="zh-CN"/>
        </w:rPr>
      </w:pPr>
      <w:r>
        <w:rPr>
          <w:rFonts w:hint="eastAsia" w:ascii="宋体" w:hAnsi="宋体" w:eastAsia="宋体" w:cs="宋体"/>
          <w:b/>
          <w:color w:val="auto"/>
          <w:kern w:val="0"/>
          <w:szCs w:val="21"/>
          <w:highlight w:val="none"/>
          <w:lang w:val="zh-CN"/>
        </w:rPr>
        <w:t>1.供应商提出质疑时，应提交质疑函和必要的证明材料</w:t>
      </w:r>
      <w:r>
        <w:rPr>
          <w:rFonts w:hint="eastAsia" w:ascii="宋体" w:hAnsi="宋体" w:eastAsia="宋体" w:cs="宋体"/>
          <w:b/>
          <w:bCs/>
          <w:color w:val="auto"/>
          <w:kern w:val="0"/>
          <w:szCs w:val="21"/>
          <w:highlight w:val="none"/>
          <w:lang w:val="zh-CN"/>
        </w:rPr>
        <w:t>。</w:t>
      </w:r>
    </w:p>
    <w:p w14:paraId="14F5927F">
      <w:pPr>
        <w:spacing w:line="360" w:lineRule="exact"/>
        <w:ind w:firstLine="310" w:firstLineChars="147"/>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13B372C">
      <w:pPr>
        <w:spacing w:line="360" w:lineRule="exact"/>
        <w:ind w:left="25" w:leftChars="12" w:firstLine="310" w:firstLineChars="147"/>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3.质疑函的质疑事项应具体、明确，并有必要的事实依据和法律依据。</w:t>
      </w:r>
    </w:p>
    <w:p w14:paraId="64D8C0EE">
      <w:pPr>
        <w:spacing w:line="360" w:lineRule="exact"/>
        <w:ind w:left="25" w:leftChars="12" w:firstLine="310" w:firstLineChars="147"/>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4.质疑函的质疑请求应与质疑事项相关。</w:t>
      </w:r>
    </w:p>
    <w:p w14:paraId="10C165CD">
      <w:pPr>
        <w:spacing w:line="360" w:lineRule="exact"/>
        <w:ind w:left="25" w:leftChars="12" w:firstLine="310" w:firstLineChars="147"/>
        <w:rPr>
          <w:rFonts w:ascii="宋体" w:hAnsi="宋体" w:eastAsia="宋体" w:cs="宋体"/>
          <w:b/>
          <w:color w:val="auto"/>
          <w:kern w:val="0"/>
          <w:szCs w:val="21"/>
          <w:highlight w:val="none"/>
          <w:lang w:val="zh-CN"/>
        </w:rPr>
        <w:sectPr>
          <w:pgSz w:w="11906" w:h="16838"/>
          <w:pgMar w:top="1332" w:right="1434" w:bottom="1332" w:left="1434" w:header="850" w:footer="992" w:gutter="0"/>
          <w:cols w:space="0" w:num="1"/>
          <w:rtlGutter w:val="0"/>
          <w:docGrid w:type="lines" w:linePitch="315" w:charSpace="0"/>
        </w:sectPr>
      </w:pPr>
      <w:r>
        <w:rPr>
          <w:rFonts w:hint="eastAsia" w:ascii="宋体" w:hAnsi="宋体" w:eastAsia="宋体" w:cs="宋体"/>
          <w:b/>
          <w:color w:val="auto"/>
          <w:kern w:val="0"/>
          <w:szCs w:val="21"/>
          <w:highlight w:val="none"/>
          <w:lang w:val="zh-CN"/>
        </w:rPr>
        <w:t>5.质疑供应商为法人或者其他组织的，质疑函应由法定代表人、主要负责人，或者其授权代表签字或者盖章，并加盖公章。</w:t>
      </w:r>
    </w:p>
    <w:p w14:paraId="3DD130AB">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color w:val="auto"/>
          <w:kern w:val="44"/>
          <w:sz w:val="44"/>
          <w:szCs w:val="44"/>
          <w:highlight w:val="none"/>
        </w:rPr>
      </w:pPr>
      <w:bookmarkStart w:id="111" w:name="_Toc108596907"/>
    </w:p>
    <w:p w14:paraId="37FDDA0D">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color w:val="auto"/>
          <w:kern w:val="44"/>
          <w:sz w:val="44"/>
          <w:szCs w:val="44"/>
          <w:highlight w:val="none"/>
        </w:rPr>
      </w:pPr>
    </w:p>
    <w:p w14:paraId="640A66D3">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color w:val="auto"/>
          <w:kern w:val="44"/>
          <w:sz w:val="44"/>
          <w:szCs w:val="44"/>
          <w:highlight w:val="none"/>
        </w:rPr>
      </w:pPr>
    </w:p>
    <w:p w14:paraId="47D5B9FF">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color w:val="auto"/>
          <w:kern w:val="44"/>
          <w:sz w:val="44"/>
          <w:szCs w:val="44"/>
          <w:highlight w:val="none"/>
        </w:rPr>
      </w:pPr>
    </w:p>
    <w:p w14:paraId="40F16F76">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color w:val="auto"/>
          <w:kern w:val="44"/>
          <w:sz w:val="44"/>
          <w:szCs w:val="44"/>
          <w:highlight w:val="none"/>
        </w:rPr>
        <w:sectPr>
          <w:pgSz w:w="11906" w:h="16838"/>
          <w:pgMar w:top="1332" w:right="1434" w:bottom="1332" w:left="1434" w:header="850" w:footer="992" w:gutter="0"/>
          <w:cols w:space="0" w:num="1"/>
          <w:rtlGutter w:val="0"/>
          <w:docGrid w:type="lines" w:linePitch="315" w:charSpace="0"/>
        </w:sectPr>
      </w:pPr>
      <w:r>
        <w:rPr>
          <w:rFonts w:hint="eastAsia" w:ascii="宋体" w:hAnsi="宋体" w:eastAsia="宋体" w:cs="宋体"/>
          <w:b/>
          <w:bCs/>
          <w:color w:val="auto"/>
          <w:kern w:val="44"/>
          <w:sz w:val="44"/>
          <w:szCs w:val="44"/>
          <w:highlight w:val="none"/>
        </w:rPr>
        <w:t>第六章 合同文本</w:t>
      </w:r>
      <w:bookmarkEnd w:id="111"/>
    </w:p>
    <w:p w14:paraId="26E477EA">
      <w:pPr>
        <w:spacing w:line="560" w:lineRule="exact"/>
        <w:jc w:val="center"/>
        <w:outlineLvl w:val="2"/>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广西壮族自治区政府采购合同</w:t>
      </w:r>
    </w:p>
    <w:p w14:paraId="30A2B1C0">
      <w:pPr>
        <w:spacing w:line="560" w:lineRule="exact"/>
        <w:ind w:firstLine="420" w:firstLineChars="200"/>
        <w:jc w:val="left"/>
        <w:rPr>
          <w:rFonts w:hint="eastAsia" w:ascii="宋体" w:hAnsi="宋体" w:eastAsia="宋体" w:cs="宋体"/>
          <w:color w:val="auto"/>
          <w:sz w:val="21"/>
          <w:szCs w:val="21"/>
          <w:highlight w:val="none"/>
        </w:rPr>
      </w:pPr>
    </w:p>
    <w:p w14:paraId="5D0BB8B2">
      <w:pPr>
        <w:keepNext w:val="0"/>
        <w:keepLines w:val="0"/>
        <w:pageBreakBefore w:val="0"/>
        <w:kinsoku/>
        <w:wordWrap/>
        <w:overflowPunct/>
        <w:topLinePunct w:val="0"/>
        <w:autoSpaceDE/>
        <w:autoSpaceDN/>
        <w:bidi w:val="0"/>
        <w:spacing w:line="360" w:lineRule="auto"/>
        <w:ind w:right="800"/>
        <w:rPr>
          <w:rFonts w:ascii="宋体" w:hAnsi="宋体" w:cs="宋体"/>
          <w:color w:val="auto"/>
          <w:szCs w:val="21"/>
          <w:highlight w:val="none"/>
        </w:rPr>
      </w:pPr>
      <w:r>
        <w:rPr>
          <w:rFonts w:hint="eastAsia" w:ascii="宋体" w:hAnsi="宋体" w:cs="宋体"/>
          <w:color w:val="auto"/>
          <w:szCs w:val="21"/>
          <w:highlight w:val="none"/>
        </w:rPr>
        <w:t>采购计划号：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p>
    <w:p w14:paraId="3EB04275">
      <w:pPr>
        <w:keepNext w:val="0"/>
        <w:keepLines w:val="0"/>
        <w:pageBreakBefore w:val="0"/>
        <w:kinsoku/>
        <w:wordWrap/>
        <w:overflowPunct/>
        <w:topLinePunct w:val="0"/>
        <w:autoSpaceDE/>
        <w:autoSpaceDN/>
        <w:bidi w:val="0"/>
        <w:spacing w:line="360" w:lineRule="auto"/>
        <w:ind w:right="800"/>
        <w:rPr>
          <w:rFonts w:ascii="宋体" w:hAnsi="宋体" w:cs="宋体"/>
          <w:bCs/>
          <w:color w:val="auto"/>
          <w:szCs w:val="21"/>
          <w:highlight w:val="none"/>
          <w:u w:val="single"/>
        </w:rPr>
      </w:pPr>
      <w:r>
        <w:rPr>
          <w:rFonts w:hint="eastAsia" w:ascii="宋体" w:hAnsi="宋体" w:cs="宋体"/>
          <w:bCs/>
          <w:color w:val="auto"/>
          <w:szCs w:val="21"/>
          <w:highlight w:val="none"/>
        </w:rPr>
        <w:t>合同编号：</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14:paraId="785DC5EC">
      <w:pPr>
        <w:keepNext w:val="0"/>
        <w:keepLines w:val="0"/>
        <w:pageBreakBefore w:val="0"/>
        <w:kinsoku/>
        <w:wordWrap/>
        <w:overflowPunct/>
        <w:topLinePunct w:val="0"/>
        <w:autoSpaceDE/>
        <w:autoSpaceDN/>
        <w:bidi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14:paraId="03C23AC2">
      <w:pPr>
        <w:keepNext w:val="0"/>
        <w:keepLines w:val="0"/>
        <w:pageBreakBefore w:val="0"/>
        <w:kinsoku/>
        <w:wordWrap/>
        <w:overflowPunct/>
        <w:topLinePunct w:val="0"/>
        <w:autoSpaceDE/>
        <w:autoSpaceDN/>
        <w:bidi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供应商（乙方）：</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p>
    <w:p w14:paraId="2910E83B">
      <w:pPr>
        <w:keepNext w:val="0"/>
        <w:keepLines w:val="0"/>
        <w:pageBreakBefore w:val="0"/>
        <w:kinsoku/>
        <w:wordWrap/>
        <w:overflowPunct/>
        <w:topLinePunct w:val="0"/>
        <w:autoSpaceDE/>
        <w:autoSpaceDN/>
        <w:bidi w:val="0"/>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p>
    <w:p w14:paraId="05D1B2FB">
      <w:pPr>
        <w:keepNext w:val="0"/>
        <w:keepLines w:val="0"/>
        <w:pageBreakBefore w:val="0"/>
        <w:kinsoku/>
        <w:wordWrap/>
        <w:overflowPunct/>
        <w:topLinePunct w:val="0"/>
        <w:autoSpaceDE/>
        <w:autoSpaceDN/>
        <w:bidi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项目编号：</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p>
    <w:p w14:paraId="1C421062">
      <w:pPr>
        <w:keepNext w:val="0"/>
        <w:keepLines w:val="0"/>
        <w:pageBreakBefore w:val="0"/>
        <w:kinsoku/>
        <w:wordWrap/>
        <w:overflowPunct/>
        <w:topLinePunct w:val="0"/>
        <w:autoSpaceDE/>
        <w:autoSpaceDN/>
        <w:bidi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14:paraId="01A982BE">
      <w:pPr>
        <w:keepNext w:val="0"/>
        <w:keepLines w:val="0"/>
        <w:pageBreakBefore w:val="0"/>
        <w:kinsoku/>
        <w:wordWrap/>
        <w:overflowPunct/>
        <w:topLinePunct w:val="0"/>
        <w:autoSpaceDE/>
        <w:autoSpaceDN/>
        <w:bidi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签订时间：</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14:paraId="0697BC88">
      <w:pPr>
        <w:keepNext w:val="0"/>
        <w:keepLines w:val="0"/>
        <w:pageBreakBefore w:val="0"/>
        <w:kinsoku/>
        <w:wordWrap/>
        <w:overflowPunct/>
        <w:topLinePunct w:val="0"/>
        <w:autoSpaceDE/>
        <w:autoSpaceDN/>
        <w:bidi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w:t>
      </w:r>
      <w:r>
        <w:rPr>
          <w:rFonts w:hint="eastAsia" w:ascii="宋体" w:hAnsi="宋体" w:cs="宋体"/>
          <w:color w:val="auto"/>
          <w:szCs w:val="21"/>
          <w:highlight w:val="none"/>
        </w:rPr>
        <w:t>。</w:t>
      </w:r>
    </w:p>
    <w:p w14:paraId="3B9FEA8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0" w:firstLine="420" w:firstLineChars="200"/>
        <w:textAlignment w:val="auto"/>
        <w:rPr>
          <w:rFonts w:hint="eastAsia" w:ascii="宋体" w:hAnsi="Courier New" w:eastAsia="宋体" w:cs="Times New Roman"/>
          <w:kern w:val="0"/>
          <w:sz w:val="20"/>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根据《中华人民共和国政府采购法》《中华人民共和国民法典》等法律、法规规定，按照竞争性磋商采购文件（以下简称“采购文件”）及成交人的竞争性磋商响应文件（以下简称“响应文件”）规定条款和成交人承诺，甲乙双方遵循平等、自愿和诚信原则，经协商一致并完全自愿和理解本合同条款的情况下签订本合同。</w:t>
      </w:r>
    </w:p>
    <w:p w14:paraId="18DA05E8">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0" w:firstLine="0" w:firstLineChars="0"/>
        <w:textAlignment w:val="auto"/>
        <w:rPr>
          <w:rFonts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第一条 合同标的</w:t>
      </w:r>
    </w:p>
    <w:p w14:paraId="64BE746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0" w:firstLine="420" w:firstLineChars="200"/>
        <w:textAlignment w:val="auto"/>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（一）服务一览表：</w:t>
      </w:r>
    </w:p>
    <w:p w14:paraId="6892ACA3">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0" w:firstLine="420" w:firstLineChars="200"/>
        <w:textAlignment w:val="auto"/>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详见“采购需求”、磋商记录及应答文件、成交人“商务响应表”、“技术响应表”、“服务承诺”等。</w:t>
      </w:r>
    </w:p>
    <w:p w14:paraId="71E307E8">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（二）合同合计金额为：</w:t>
      </w:r>
    </w:p>
    <w:p w14:paraId="38B5BE59">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（三）合同合计金额包括完成本项目采购要求、人员要求所产生的全部费用。如采购文件及响应文件对其另有规定的，从其规定。</w:t>
      </w:r>
    </w:p>
    <w:p w14:paraId="715C2D9F">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第二条 费用标准</w:t>
      </w:r>
    </w:p>
    <w:p w14:paraId="3E2D4EC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甲乙双方根据所提供项目的工作量确定乙方的服务人数及实际费用。</w:t>
      </w:r>
    </w:p>
    <w:p w14:paraId="78D2A10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jc w:val="left"/>
        <w:textAlignment w:val="auto"/>
        <w:rPr>
          <w:rFonts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第三条 权利保证</w:t>
      </w:r>
    </w:p>
    <w:p w14:paraId="0AD9665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乙方应保证所提供的服务不会侵犯任何第三方的专利权、商标权、设计权或其他权利。</w:t>
      </w:r>
    </w:p>
    <w:p w14:paraId="793B0D5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乙方应按采购文件规定的时间完成本项目。</w:t>
      </w:r>
    </w:p>
    <w:p w14:paraId="3E1D918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甲乙双方对双方签署的所有合同的内容以及在合同履行过程中获得的对方的信息，均负有保密义务。除甲乙双方另有约定外，保密信息包括但不限于合同报价、合同文本、双方标有保密字样的往来文件以及乙方人员日常服务所接触到涉及甲方工作任务信息。除甲乙双方另有约定外，保密义务是指在未经对方书面同意前，一方不得将保密信息用于任何与履行合同无关的情况；或以任何形式向任何第三方</w:t>
      </w:r>
      <w:r>
        <w:rPr>
          <w:rFonts w:hint="eastAsia" w:ascii="宋体" w:hAnsi="宋体" w:cs="宋体"/>
          <w:kern w:val="0"/>
          <w:sz w:val="21"/>
          <w:szCs w:val="21"/>
          <w:highlight w:val="none"/>
          <w:lang w:val="en-US" w:eastAsia="zh-CN" w:bidi="ar-SA"/>
        </w:rPr>
        <w:t>泄露</w:t>
      </w:r>
      <w:r>
        <w:rPr>
          <w:rFonts w:hint="eastAsia" w:ascii="宋体" w:hAnsi="宋体" w:eastAsia="宋体" w:cs="宋体"/>
          <w:kern w:val="0"/>
          <w:sz w:val="21"/>
          <w:szCs w:val="21"/>
          <w:highlight w:val="none"/>
          <w:lang w:val="en-US" w:eastAsia="zh-CN" w:bidi="ar-SA"/>
        </w:rPr>
        <w:t>。双方均有义务尽其一切努力防止任何第三方窃取秘密信息。由于任何一方违反以上保密义务给对方造成损失，违约方对受损失方负有停止侵害、消除影响、赔偿损失的责任。</w:t>
      </w:r>
    </w:p>
    <w:p w14:paraId="15DA7AF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jc w:val="left"/>
        <w:textAlignment w:val="auto"/>
        <w:rPr>
          <w:rFonts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第四条 提交服务成果时间和验收</w:t>
      </w:r>
    </w:p>
    <w:p w14:paraId="242F85F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（一）服务期限</w:t>
      </w:r>
      <w:r>
        <w:rPr>
          <w:rFonts w:hint="eastAsia" w:ascii="宋体" w:hAnsi="宋体" w:eastAsia="宋体" w:cs="宋体"/>
          <w:kern w:val="0"/>
          <w:sz w:val="21"/>
          <w:szCs w:val="21"/>
          <w:highlight w:val="none"/>
          <w:u w:val="none"/>
          <w:lang w:val="en-US" w:eastAsia="zh-CN" w:bidi="ar-SA"/>
        </w:rPr>
        <w:t>：</w:t>
      </w:r>
      <w:r>
        <w:rPr>
          <w:rFonts w:hint="eastAsia" w:ascii="宋体" w:hAnsi="宋体" w:eastAsia="宋体" w:cs="宋体"/>
          <w:b/>
          <w:bCs/>
          <w:kern w:val="0"/>
          <w:sz w:val="21"/>
          <w:szCs w:val="21"/>
          <w:highlight w:val="none"/>
          <w:u w:val="single"/>
          <w:lang w:val="en-US" w:eastAsia="zh-CN" w:bidi="ar-SA"/>
        </w:rPr>
        <w:t xml:space="preserve">            </w:t>
      </w:r>
      <w:r>
        <w:rPr>
          <w:rFonts w:hint="eastAsia" w:ascii="宋体" w:hAnsi="宋体" w:eastAsia="宋体" w:cs="宋体"/>
          <w:kern w:val="0"/>
          <w:sz w:val="21"/>
          <w:szCs w:val="21"/>
          <w:highlight w:val="none"/>
          <w:lang w:val="en-US" w:eastAsia="zh-CN" w:bidi="ar-SA"/>
        </w:rPr>
        <w:t>，服务地点</w:t>
      </w:r>
      <w:r>
        <w:rPr>
          <w:rFonts w:hint="eastAsia" w:ascii="宋体" w:hAnsi="宋体" w:eastAsia="宋体" w:cs="宋体"/>
          <w:kern w:val="0"/>
          <w:sz w:val="21"/>
          <w:szCs w:val="21"/>
          <w:highlight w:val="none"/>
          <w:u w:val="none"/>
          <w:lang w:val="en-US" w:eastAsia="zh-CN" w:bidi="ar-SA"/>
        </w:rPr>
        <w:t>：</w:t>
      </w:r>
      <w:r>
        <w:rPr>
          <w:rFonts w:hint="eastAsia" w:ascii="宋体" w:hAnsi="宋体" w:eastAsia="宋体" w:cs="宋体"/>
          <w:b/>
          <w:bCs/>
          <w:kern w:val="0"/>
          <w:sz w:val="21"/>
          <w:szCs w:val="21"/>
          <w:highlight w:val="none"/>
          <w:u w:val="single"/>
          <w:lang w:val="en-US" w:eastAsia="zh-CN" w:bidi="ar-SA"/>
        </w:rPr>
        <w:t xml:space="preserve">                                </w:t>
      </w:r>
      <w:r>
        <w:rPr>
          <w:rFonts w:hint="eastAsia" w:ascii="宋体" w:hAnsi="宋体" w:eastAsia="宋体" w:cs="宋体"/>
          <w:kern w:val="0"/>
          <w:sz w:val="21"/>
          <w:szCs w:val="21"/>
          <w:highlight w:val="none"/>
          <w:lang w:val="en-US" w:eastAsia="zh-CN" w:bidi="ar-SA"/>
        </w:rPr>
        <w:t>。</w:t>
      </w:r>
    </w:p>
    <w:p w14:paraId="701C6D7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（二）乙方提供不符合采购文件及响应文件和本合同规定的服务，甲方有权拒绝接受。</w:t>
      </w:r>
    </w:p>
    <w:p w14:paraId="54D929D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jc w:val="left"/>
        <w:textAlignment w:val="auto"/>
        <w:rPr>
          <w:rFonts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第五条 费用支付时间及方式</w:t>
      </w:r>
    </w:p>
    <w:p w14:paraId="7AF7AB6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（一）资金性质：财政资金。</w:t>
      </w:r>
    </w:p>
    <w:p w14:paraId="4F486A7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hint="default" w:ascii="宋体" w:hAnsi="宋体" w:eastAsia="宋体" w:cs="宋体"/>
          <w:kern w:val="0"/>
          <w:sz w:val="21"/>
          <w:szCs w:val="21"/>
          <w:highlight w:val="none"/>
          <w:u w:val="single"/>
          <w:lang w:val="en-US" w:eastAsia="zh-CN" w:bidi="ar-SA"/>
        </w:rPr>
      </w:pPr>
      <w:r>
        <w:rPr>
          <w:rFonts w:hint="eastAsia" w:ascii="宋体" w:hAnsi="宋体" w:eastAsia="宋体" w:cs="宋体"/>
          <w:kern w:val="0"/>
          <w:sz w:val="21"/>
          <w:szCs w:val="21"/>
          <w:highlight w:val="none"/>
          <w:lang w:val="en-US" w:eastAsia="zh-CN" w:bidi="ar-SA"/>
        </w:rPr>
        <w:t>（二）付款方式</w:t>
      </w:r>
      <w:r>
        <w:rPr>
          <w:rFonts w:hint="eastAsia" w:ascii="宋体" w:hAnsi="宋体" w:eastAsia="宋体" w:cs="宋体"/>
          <w:kern w:val="0"/>
          <w:sz w:val="21"/>
          <w:szCs w:val="21"/>
          <w:highlight w:val="none"/>
          <w:u w:val="none"/>
          <w:lang w:val="en-US" w:eastAsia="zh-CN" w:bidi="ar-SA"/>
        </w:rPr>
        <w:t>：</w:t>
      </w:r>
      <w:r>
        <w:rPr>
          <w:rFonts w:hint="eastAsia" w:ascii="宋体" w:hAnsi="宋体" w:cs="宋体"/>
          <w:color w:val="auto"/>
          <w:szCs w:val="21"/>
          <w:highlight w:val="none"/>
          <w:lang w:val="en-US" w:eastAsia="zh-CN"/>
        </w:rPr>
        <w:t>以公历月为周期，</w:t>
      </w:r>
      <w:r>
        <w:rPr>
          <w:rFonts w:hint="default" w:ascii="宋体" w:hAnsi="宋体" w:eastAsia="宋体" w:cs="宋体"/>
          <w:color w:val="auto"/>
          <w:szCs w:val="21"/>
          <w:highlight w:val="none"/>
        </w:rPr>
        <w:t>采购人</w:t>
      </w:r>
      <w:r>
        <w:rPr>
          <w:rFonts w:hint="default" w:ascii="宋体" w:hAnsi="宋体" w:eastAsia="宋体" w:cs="宋体"/>
          <w:color w:val="auto"/>
          <w:szCs w:val="21"/>
          <w:highlight w:val="none"/>
          <w:lang w:eastAsia="zh-CN"/>
        </w:rPr>
        <w:t>按每月</w:t>
      </w:r>
      <w:r>
        <w:rPr>
          <w:rFonts w:hint="default" w:ascii="宋体" w:hAnsi="宋体" w:eastAsia="宋体" w:cs="宋体"/>
          <w:color w:val="auto"/>
          <w:szCs w:val="21"/>
          <w:highlight w:val="none"/>
        </w:rPr>
        <w:t>实际工作情况及发生金额向供应商支付</w:t>
      </w:r>
      <w:r>
        <w:rPr>
          <w:rFonts w:hint="default" w:ascii="宋体" w:hAnsi="宋体" w:eastAsia="宋体" w:cs="宋体"/>
          <w:color w:val="auto"/>
          <w:szCs w:val="21"/>
          <w:highlight w:val="none"/>
          <w:lang w:eastAsia="zh-CN"/>
        </w:rPr>
        <w:t>费用（包括</w:t>
      </w:r>
      <w:r>
        <w:rPr>
          <w:rFonts w:hint="eastAsia" w:ascii="宋体" w:hAnsi="宋体" w:eastAsia="宋体" w:cs="宋体"/>
          <w:color w:val="auto"/>
          <w:szCs w:val="21"/>
          <w:highlight w:val="none"/>
          <w:lang w:eastAsia="zh-CN"/>
        </w:rPr>
        <w:t>但不限于</w:t>
      </w:r>
      <w:r>
        <w:rPr>
          <w:rFonts w:hint="default" w:ascii="宋体" w:hAnsi="宋体" w:eastAsia="宋体" w:cs="宋体"/>
          <w:color w:val="auto"/>
          <w:szCs w:val="21"/>
          <w:highlight w:val="none"/>
          <w:lang w:eastAsia="zh-CN"/>
        </w:rPr>
        <w:t>服务人员基本工资、绩效工资、奖励金、社会保险单位部分、医疗保险单位部分、住房公积金单位部分、残疾人</w:t>
      </w:r>
      <w:r>
        <w:rPr>
          <w:rFonts w:hint="eastAsia" w:ascii="宋体" w:hAnsi="宋体" w:eastAsia="宋体" w:cs="宋体"/>
          <w:color w:val="auto"/>
          <w:szCs w:val="21"/>
          <w:highlight w:val="none"/>
          <w:lang w:eastAsia="zh-CN"/>
        </w:rPr>
        <w:t>就业</w:t>
      </w:r>
      <w:r>
        <w:rPr>
          <w:rFonts w:hint="default" w:ascii="宋体" w:hAnsi="宋体" w:eastAsia="宋体" w:cs="宋体"/>
          <w:color w:val="auto"/>
          <w:szCs w:val="21"/>
          <w:highlight w:val="none"/>
          <w:lang w:eastAsia="zh-CN"/>
        </w:rPr>
        <w:t>保障金、税金</w:t>
      </w:r>
      <w:r>
        <w:rPr>
          <w:rFonts w:hint="eastAsia" w:ascii="宋体" w:hAnsi="宋体" w:eastAsia="宋体" w:cs="宋体"/>
          <w:color w:val="auto"/>
          <w:szCs w:val="21"/>
          <w:highlight w:val="none"/>
          <w:lang w:eastAsia="zh-CN"/>
        </w:rPr>
        <w:t>、服务费</w:t>
      </w:r>
      <w:r>
        <w:rPr>
          <w:rFonts w:hint="default" w:ascii="宋体" w:hAnsi="宋体" w:eastAsia="宋体" w:cs="宋体"/>
          <w:color w:val="auto"/>
          <w:szCs w:val="21"/>
          <w:highlight w:val="none"/>
          <w:lang w:eastAsia="zh-CN"/>
        </w:rPr>
        <w:t>及其他因工作需要产生的费用等）</w:t>
      </w:r>
      <w:r>
        <w:rPr>
          <w:rFonts w:hint="eastAsia" w:ascii="宋体" w:hAnsi="宋体" w:eastAsia="宋体" w:cs="宋体"/>
          <w:color w:val="auto"/>
          <w:szCs w:val="21"/>
          <w:highlight w:val="none"/>
          <w:lang w:eastAsia="zh-CN"/>
        </w:rPr>
        <w:t>。</w:t>
      </w:r>
    </w:p>
    <w:p w14:paraId="183A270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b w:val="0"/>
          <w:bCs w:val="0"/>
          <w:kern w:val="0"/>
          <w:sz w:val="21"/>
          <w:szCs w:val="21"/>
          <w:highlight w:val="none"/>
          <w:u w:val="none"/>
          <w:lang w:val="en-US" w:eastAsia="zh-CN" w:bidi="ar-SA"/>
        </w:rPr>
      </w:pPr>
      <w:r>
        <w:rPr>
          <w:rFonts w:hint="eastAsia" w:ascii="宋体" w:hAnsi="宋体" w:eastAsia="宋体" w:cs="宋体"/>
          <w:b w:val="0"/>
          <w:bCs w:val="0"/>
          <w:kern w:val="0"/>
          <w:sz w:val="21"/>
          <w:szCs w:val="21"/>
          <w:highlight w:val="none"/>
          <w:u w:val="none"/>
          <w:lang w:val="en-US" w:eastAsia="zh-CN" w:bidi="ar-SA"/>
        </w:rPr>
        <w:t>乙方的对公银行账户如下</w:t>
      </w:r>
      <w:r>
        <w:rPr>
          <w:rFonts w:hint="eastAsia" w:ascii="宋体" w:hAnsi="宋体" w:cs="宋体"/>
          <w:b w:val="0"/>
          <w:bCs w:val="0"/>
          <w:kern w:val="0"/>
          <w:sz w:val="21"/>
          <w:szCs w:val="21"/>
          <w:highlight w:val="none"/>
          <w:u w:val="none"/>
          <w:lang w:val="en-US" w:eastAsia="zh-CN" w:bidi="ar-SA"/>
        </w:rPr>
        <w:t>：</w:t>
      </w:r>
    </w:p>
    <w:p w14:paraId="204FDEC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2" w:firstLineChars="200"/>
        <w:jc w:val="left"/>
        <w:textAlignment w:val="auto"/>
        <w:rPr>
          <w:rFonts w:ascii="宋体" w:hAnsi="宋体" w:eastAsia="宋体" w:cs="宋体"/>
          <w:b/>
          <w:bCs/>
          <w:kern w:val="0"/>
          <w:sz w:val="21"/>
          <w:szCs w:val="21"/>
          <w:highlight w:val="none"/>
          <w:u w:val="none"/>
          <w:lang w:val="en-US" w:eastAsia="zh-CN" w:bidi="ar-SA"/>
        </w:rPr>
      </w:pPr>
      <w:r>
        <w:rPr>
          <w:rFonts w:hint="eastAsia" w:ascii="宋体" w:hAnsi="宋体" w:eastAsia="宋体" w:cs="宋体"/>
          <w:b/>
          <w:bCs/>
          <w:kern w:val="0"/>
          <w:sz w:val="21"/>
          <w:szCs w:val="21"/>
          <w:highlight w:val="none"/>
          <w:u w:val="none"/>
          <w:lang w:val="en-US" w:eastAsia="zh-CN" w:bidi="ar-SA"/>
        </w:rPr>
        <w:t>户  名：</w:t>
      </w:r>
    </w:p>
    <w:p w14:paraId="6E0BB7A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2" w:firstLineChars="200"/>
        <w:jc w:val="left"/>
        <w:textAlignment w:val="auto"/>
        <w:rPr>
          <w:rFonts w:hint="default" w:ascii="宋体" w:hAnsi="宋体" w:eastAsia="宋体" w:cs="宋体"/>
          <w:b/>
          <w:bCs/>
          <w:kern w:val="0"/>
          <w:sz w:val="21"/>
          <w:szCs w:val="21"/>
          <w:highlight w:val="none"/>
          <w:u w:val="none"/>
          <w:lang w:val="en-US" w:eastAsia="zh-CN" w:bidi="ar-SA"/>
        </w:rPr>
      </w:pPr>
      <w:r>
        <w:rPr>
          <w:rFonts w:hint="eastAsia" w:ascii="宋体" w:hAnsi="宋体" w:eastAsia="宋体" w:cs="宋体"/>
          <w:b/>
          <w:bCs/>
          <w:kern w:val="0"/>
          <w:sz w:val="21"/>
          <w:szCs w:val="21"/>
          <w:highlight w:val="none"/>
          <w:u w:val="none"/>
          <w:lang w:val="en-US" w:eastAsia="zh-CN" w:bidi="ar-SA"/>
        </w:rPr>
        <w:t>帐  号：</w:t>
      </w:r>
    </w:p>
    <w:p w14:paraId="019CDA9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2" w:firstLineChars="200"/>
        <w:jc w:val="left"/>
        <w:textAlignment w:val="auto"/>
        <w:rPr>
          <w:rFonts w:ascii="宋体" w:hAnsi="宋体" w:eastAsia="宋体" w:cs="宋体"/>
          <w:b/>
          <w:bCs/>
          <w:kern w:val="0"/>
          <w:sz w:val="21"/>
          <w:szCs w:val="21"/>
          <w:highlight w:val="none"/>
          <w:u w:val="none"/>
          <w:lang w:val="en-US" w:eastAsia="zh-CN" w:bidi="ar-SA"/>
        </w:rPr>
      </w:pPr>
      <w:r>
        <w:rPr>
          <w:rFonts w:hint="eastAsia" w:ascii="宋体" w:hAnsi="宋体" w:eastAsia="宋体" w:cs="宋体"/>
          <w:b/>
          <w:bCs/>
          <w:kern w:val="0"/>
          <w:sz w:val="21"/>
          <w:szCs w:val="21"/>
          <w:highlight w:val="none"/>
          <w:u w:val="none"/>
          <w:lang w:val="en-US" w:eastAsia="zh-CN" w:bidi="ar-SA"/>
        </w:rPr>
        <w:t>开户行：</w:t>
      </w:r>
    </w:p>
    <w:p w14:paraId="4BF4A8E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both"/>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（三）履约保证金</w:t>
      </w:r>
    </w:p>
    <w:p w14:paraId="3C2B7E9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b w:val="0"/>
          <w:bCs w:val="0"/>
          <w:kern w:val="0"/>
          <w:sz w:val="21"/>
          <w:szCs w:val="21"/>
          <w:highlight w:val="none"/>
          <w:lang w:val="en-US" w:eastAsia="zh-CN" w:bidi="ar-SA"/>
        </w:rPr>
      </w:pPr>
      <w:r>
        <w:rPr>
          <w:rFonts w:ascii="宋体" w:hAnsi="宋体" w:eastAsia="宋体" w:cs="宋体"/>
          <w:b w:val="0"/>
          <w:bCs w:val="0"/>
          <w:kern w:val="0"/>
          <w:sz w:val="21"/>
          <w:szCs w:val="21"/>
          <w:highlight w:val="none"/>
          <w:lang w:val="en-US" w:eastAsia="zh-CN" w:bidi="ar-SA"/>
        </w:rPr>
        <w:t>履约保证金金额：按合同金额的</w:t>
      </w:r>
      <w:r>
        <w:rPr>
          <w:rFonts w:hint="eastAsia" w:ascii="宋体" w:hAnsi="宋体" w:eastAsia="宋体" w:cs="宋体"/>
          <w:b w:val="0"/>
          <w:bCs w:val="0"/>
          <w:kern w:val="0"/>
          <w:sz w:val="21"/>
          <w:szCs w:val="21"/>
          <w:highlight w:val="none"/>
          <w:u w:val="single"/>
          <w:lang w:val="en-US" w:eastAsia="zh-CN" w:bidi="ar-SA"/>
        </w:rPr>
        <w:t>2</w:t>
      </w:r>
      <w:r>
        <w:rPr>
          <w:rFonts w:ascii="宋体" w:hAnsi="宋体" w:eastAsia="宋体" w:cs="宋体"/>
          <w:b w:val="0"/>
          <w:bCs w:val="0"/>
          <w:kern w:val="0"/>
          <w:sz w:val="21"/>
          <w:szCs w:val="21"/>
          <w:highlight w:val="none"/>
          <w:u w:val="single"/>
          <w:lang w:val="en-US" w:eastAsia="zh-CN" w:bidi="ar-SA"/>
        </w:rPr>
        <w:t>%</w:t>
      </w:r>
      <w:r>
        <w:rPr>
          <w:rFonts w:ascii="宋体" w:hAnsi="宋体" w:eastAsia="宋体" w:cs="宋体"/>
          <w:b w:val="0"/>
          <w:bCs w:val="0"/>
          <w:kern w:val="0"/>
          <w:sz w:val="21"/>
          <w:szCs w:val="21"/>
          <w:highlight w:val="none"/>
          <w:lang w:val="en-US" w:eastAsia="zh-CN" w:bidi="ar-SA"/>
        </w:rPr>
        <w:t>。（注：履约保证金不超过政府采购合同金额的5%，对中小企业收取的履约保证金数额不得超过政府采购合同金额的2%。缴纳履约保证金时注明：“项目名称+项目编号”履约保证金。）</w:t>
      </w:r>
    </w:p>
    <w:p w14:paraId="2DF301D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b w:val="0"/>
          <w:bCs w:val="0"/>
          <w:kern w:val="0"/>
          <w:sz w:val="21"/>
          <w:szCs w:val="21"/>
          <w:highlight w:val="none"/>
          <w:lang w:val="en-US" w:eastAsia="zh-CN" w:bidi="ar-SA"/>
        </w:rPr>
      </w:pPr>
      <w:r>
        <w:rPr>
          <w:rFonts w:ascii="宋体" w:hAnsi="宋体" w:eastAsia="宋体" w:cs="宋体"/>
          <w:b w:val="0"/>
          <w:bCs w:val="0"/>
          <w:kern w:val="0"/>
          <w:sz w:val="21"/>
          <w:szCs w:val="21"/>
          <w:highlight w:val="none"/>
          <w:lang w:val="en-US" w:eastAsia="zh-CN" w:bidi="ar-SA"/>
        </w:rPr>
        <w:t>履约保证金提交方式：</w:t>
      </w:r>
      <w:r>
        <w:rPr>
          <w:rFonts w:hint="eastAsia" w:ascii="宋体" w:hAnsi="宋体" w:eastAsia="宋体" w:cs="宋体"/>
          <w:b w:val="0"/>
          <w:bCs w:val="0"/>
          <w:kern w:val="0"/>
          <w:sz w:val="21"/>
          <w:szCs w:val="21"/>
          <w:highlight w:val="none"/>
          <w:lang w:val="en-US" w:eastAsia="zh-CN" w:bidi="ar-SA"/>
        </w:rPr>
        <w:t>以转账、支票、汇票、本票、保函等非现金形式</w:t>
      </w:r>
      <w:r>
        <w:rPr>
          <w:rFonts w:ascii="宋体" w:hAnsi="宋体" w:eastAsia="宋体" w:cs="宋体"/>
          <w:b w:val="0"/>
          <w:bCs w:val="0"/>
          <w:kern w:val="0"/>
          <w:sz w:val="21"/>
          <w:szCs w:val="21"/>
          <w:highlight w:val="none"/>
          <w:lang w:val="en-US" w:eastAsia="zh-CN" w:bidi="ar-SA"/>
        </w:rPr>
        <w:t>。</w:t>
      </w:r>
    </w:p>
    <w:p w14:paraId="70A9462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b w:val="0"/>
          <w:bCs w:val="0"/>
          <w:kern w:val="0"/>
          <w:sz w:val="21"/>
          <w:szCs w:val="21"/>
          <w:highlight w:val="none"/>
          <w:lang w:val="en-US" w:eastAsia="zh-CN" w:bidi="ar-SA"/>
        </w:rPr>
      </w:pPr>
      <w:r>
        <w:rPr>
          <w:rFonts w:ascii="宋体" w:hAnsi="宋体" w:eastAsia="宋体" w:cs="宋体"/>
          <w:b w:val="0"/>
          <w:bCs w:val="0"/>
          <w:kern w:val="0"/>
          <w:sz w:val="21"/>
          <w:szCs w:val="21"/>
          <w:highlight w:val="none"/>
          <w:lang w:val="en-US" w:eastAsia="zh-CN" w:bidi="ar-SA"/>
        </w:rPr>
        <w:t>履约保证金提交时间：在收到成交通知书后，成交供应商须在15日历天内向采购人足额提交履约保证金，否则采购人可以取消其成交资格。</w:t>
      </w:r>
    </w:p>
    <w:p w14:paraId="0CEB4BA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b w:val="0"/>
          <w:bCs w:val="0"/>
          <w:kern w:val="0"/>
          <w:sz w:val="21"/>
          <w:szCs w:val="21"/>
          <w:highlight w:val="none"/>
          <w:lang w:val="en-US" w:eastAsia="zh-CN" w:bidi="ar-SA"/>
        </w:rPr>
      </w:pPr>
      <w:r>
        <w:rPr>
          <w:rFonts w:ascii="宋体" w:hAnsi="宋体" w:eastAsia="宋体" w:cs="宋体"/>
          <w:b w:val="0"/>
          <w:bCs w:val="0"/>
          <w:kern w:val="0"/>
          <w:sz w:val="21"/>
          <w:szCs w:val="21"/>
          <w:highlight w:val="none"/>
          <w:lang w:val="en-US" w:eastAsia="zh-CN" w:bidi="ar-SA"/>
        </w:rPr>
        <w:t>履约保证金退付方式、时间及条件：</w:t>
      </w:r>
      <w:r>
        <w:rPr>
          <w:rFonts w:hint="default" w:ascii="宋体" w:hAnsi="宋体" w:eastAsia="宋体" w:cs="宋体"/>
          <w:b w:val="0"/>
          <w:bCs w:val="0"/>
          <w:kern w:val="0"/>
          <w:sz w:val="21"/>
          <w:szCs w:val="21"/>
          <w:highlight w:val="none"/>
          <w:lang w:val="en-US" w:eastAsia="zh-CN" w:bidi="ar-SA"/>
        </w:rPr>
        <w:t>合同履约期满后</w:t>
      </w:r>
      <w:r>
        <w:rPr>
          <w:rFonts w:hint="eastAsia" w:ascii="宋体" w:hAnsi="宋体" w:eastAsia="宋体" w:cs="宋体"/>
          <w:b w:val="0"/>
          <w:bCs w:val="0"/>
          <w:kern w:val="0"/>
          <w:sz w:val="21"/>
          <w:szCs w:val="21"/>
          <w:highlight w:val="none"/>
          <w:lang w:val="en-US" w:eastAsia="zh-CN" w:bidi="ar-SA"/>
        </w:rPr>
        <w:t>由供应商提出书面申请</w:t>
      </w:r>
      <w:r>
        <w:rPr>
          <w:rFonts w:hint="default" w:ascii="宋体" w:hAnsi="宋体" w:eastAsia="宋体" w:cs="宋体"/>
          <w:b w:val="0"/>
          <w:bCs w:val="0"/>
          <w:kern w:val="0"/>
          <w:sz w:val="21"/>
          <w:szCs w:val="21"/>
          <w:highlight w:val="none"/>
          <w:lang w:val="en-US" w:eastAsia="zh-CN" w:bidi="ar-SA"/>
        </w:rPr>
        <w:t>，</w:t>
      </w:r>
      <w:r>
        <w:rPr>
          <w:rFonts w:hint="eastAsia" w:ascii="宋体" w:hAnsi="宋体" w:eastAsia="宋体" w:cs="宋体"/>
          <w:b w:val="0"/>
          <w:bCs w:val="0"/>
          <w:kern w:val="0"/>
          <w:sz w:val="21"/>
          <w:szCs w:val="21"/>
          <w:highlight w:val="none"/>
          <w:lang w:val="en-US" w:eastAsia="zh-CN" w:bidi="ar-SA"/>
        </w:rPr>
        <w:t>采购人</w:t>
      </w:r>
      <w:r>
        <w:rPr>
          <w:rFonts w:hint="default" w:ascii="宋体" w:hAnsi="宋体" w:eastAsia="宋体" w:cs="宋体"/>
          <w:b w:val="0"/>
          <w:bCs w:val="0"/>
          <w:kern w:val="0"/>
          <w:sz w:val="21"/>
          <w:szCs w:val="21"/>
          <w:highlight w:val="none"/>
          <w:lang w:val="en-US" w:eastAsia="zh-CN" w:bidi="ar-SA"/>
        </w:rPr>
        <w:t>在收到申请后20个工作日内</w:t>
      </w:r>
      <w:r>
        <w:rPr>
          <w:rFonts w:hint="eastAsia" w:ascii="宋体" w:hAnsi="宋体" w:eastAsia="宋体" w:cs="宋体"/>
          <w:b w:val="0"/>
          <w:bCs w:val="0"/>
          <w:kern w:val="0"/>
          <w:sz w:val="21"/>
          <w:szCs w:val="21"/>
          <w:highlight w:val="none"/>
          <w:lang w:val="en-US" w:eastAsia="zh-CN" w:bidi="ar-SA"/>
        </w:rPr>
        <w:t>对供应商进行服务质量考核，供应商对考核结果无异议的，采购人根据考核结果5个工作日内退还供应商履约保证金（不计利息）</w:t>
      </w:r>
      <w:r>
        <w:rPr>
          <w:rFonts w:ascii="宋体" w:hAnsi="宋体" w:eastAsia="宋体" w:cs="宋体"/>
          <w:b w:val="0"/>
          <w:bCs w:val="0"/>
          <w:kern w:val="0"/>
          <w:sz w:val="21"/>
          <w:szCs w:val="21"/>
          <w:highlight w:val="none"/>
          <w:lang w:val="en-US" w:eastAsia="zh-CN" w:bidi="ar-SA"/>
        </w:rPr>
        <w:t>。</w:t>
      </w:r>
    </w:p>
    <w:p w14:paraId="54CA580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b w:val="0"/>
          <w:bCs w:val="0"/>
          <w:kern w:val="0"/>
          <w:sz w:val="21"/>
          <w:szCs w:val="21"/>
          <w:highlight w:val="none"/>
          <w:lang w:val="en-US" w:eastAsia="zh-CN" w:bidi="ar-SA"/>
        </w:rPr>
      </w:pPr>
      <w:r>
        <w:rPr>
          <w:rFonts w:ascii="宋体" w:hAnsi="宋体" w:eastAsia="宋体" w:cs="宋体"/>
          <w:b w:val="0"/>
          <w:bCs w:val="0"/>
          <w:kern w:val="0"/>
          <w:sz w:val="21"/>
          <w:szCs w:val="21"/>
          <w:highlight w:val="none"/>
          <w:lang w:val="en-US" w:eastAsia="zh-CN" w:bidi="ar-SA"/>
        </w:rPr>
        <w:t>履约保证金指定账户：</w:t>
      </w:r>
    </w:p>
    <w:p w14:paraId="2E8A474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账户名称：广西壮族自治区直属单位住房保障中心</w:t>
      </w:r>
    </w:p>
    <w:p w14:paraId="5427B3B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开户银行：中国银行南宁市邕州支行</w:t>
      </w:r>
    </w:p>
    <w:p w14:paraId="02EEC4E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账号：622370490856</w:t>
      </w:r>
    </w:p>
    <w:p w14:paraId="6850585E">
      <w:pPr>
        <w:keepNext w:val="0"/>
        <w:keepLines w:val="0"/>
        <w:pageBreakBefore w:val="0"/>
        <w:widowControl w:val="0"/>
        <w:kinsoku/>
        <w:wordWrap/>
        <w:overflowPunct/>
        <w:topLinePunct w:val="0"/>
        <w:autoSpaceDE/>
        <w:autoSpaceDN/>
        <w:bidi w:val="0"/>
        <w:adjustRightInd/>
        <w:spacing w:beforeAutospacing="0" w:afterAutospacing="0" w:line="360" w:lineRule="auto"/>
        <w:ind w:right="0" w:firstLine="420" w:firstLineChars="200"/>
        <w:jc w:val="both"/>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为充分保证劳务外包人员的权益，乙方所提供的劳务外包人员可参加甲方的工会，由甲方为外包人员发放工会福利待遇。乙方收到甲方支付的费用款项后，按政府采购合同成交金额的2%向甲方指定的对公账户支付乙方外包人员工会经费，按1500元/人/年标准支付乙方外包人员行政补助工会活动经费。如本次甲乙双方签订的政府采购合同期满，双方届时不再续签合同，或本合同提前终止，剩余未使用的外包人员工会经费、行政补助工会活动经费，甲方于</w:t>
      </w:r>
      <w:r>
        <w:rPr>
          <w:rFonts w:ascii="宋体" w:hAnsi="宋体" w:eastAsia="宋体" w:cs="宋体"/>
          <w:kern w:val="0"/>
          <w:sz w:val="21"/>
          <w:szCs w:val="21"/>
          <w:highlight w:val="none"/>
          <w:lang w:val="en-US" w:eastAsia="zh-CN" w:bidi="ar-SA"/>
        </w:rPr>
        <w:t>20</w:t>
      </w:r>
      <w:r>
        <w:rPr>
          <w:rFonts w:hint="eastAsia" w:ascii="宋体" w:hAnsi="宋体" w:eastAsia="宋体" w:cs="宋体"/>
          <w:kern w:val="0"/>
          <w:sz w:val="21"/>
          <w:szCs w:val="21"/>
          <w:highlight w:val="none"/>
          <w:lang w:val="en-US" w:eastAsia="zh-CN" w:bidi="ar-SA"/>
        </w:rPr>
        <w:t>个工作日内退回乙方指定的对公银行账户。</w:t>
      </w:r>
    </w:p>
    <w:p w14:paraId="26E2A05A">
      <w:pPr>
        <w:keepNext w:val="0"/>
        <w:keepLines w:val="0"/>
        <w:pageBreakBefore w:val="0"/>
        <w:widowControl w:val="0"/>
        <w:kinsoku/>
        <w:wordWrap/>
        <w:overflowPunct/>
        <w:topLinePunct w:val="0"/>
        <w:autoSpaceDE/>
        <w:autoSpaceDN/>
        <w:bidi w:val="0"/>
        <w:adjustRightInd/>
        <w:spacing w:beforeAutospacing="0" w:afterAutospacing="0" w:line="360" w:lineRule="auto"/>
        <w:ind w:right="0" w:firstLine="420" w:firstLineChars="200"/>
        <w:jc w:val="both"/>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（五）本次签订的《广西壮族自治区政府采购合同》合同期满后，如此次外包经费尚有结余的，乙方与甲方确定结余经费后，应在15个工作日内将结余经费退回甲方的指定对公账户。</w:t>
      </w:r>
    </w:p>
    <w:p w14:paraId="1E86D684">
      <w:pPr>
        <w:keepNext w:val="0"/>
        <w:keepLines w:val="0"/>
        <w:pageBreakBefore w:val="0"/>
        <w:widowControl w:val="0"/>
        <w:kinsoku/>
        <w:wordWrap/>
        <w:overflowPunct/>
        <w:topLinePunct w:val="0"/>
        <w:autoSpaceDE/>
        <w:autoSpaceDN/>
        <w:bidi w:val="0"/>
        <w:adjustRightInd/>
        <w:spacing w:beforeAutospacing="0" w:afterAutospacing="0" w:line="360" w:lineRule="auto"/>
        <w:ind w:right="0" w:firstLine="420" w:firstLineChars="200"/>
        <w:jc w:val="both"/>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（六）在服务期限内，甲方需使用依法享受基本养老金的人员时，乙方按月（50元/人/月）购买雇主责任险。</w:t>
      </w:r>
    </w:p>
    <w:p w14:paraId="1974C288">
      <w:pPr>
        <w:keepNext w:val="0"/>
        <w:keepLines w:val="0"/>
        <w:pageBreakBefore w:val="0"/>
        <w:widowControl w:val="0"/>
        <w:kinsoku/>
        <w:wordWrap/>
        <w:overflowPunct/>
        <w:topLinePunct w:val="0"/>
        <w:autoSpaceDE/>
        <w:autoSpaceDN/>
        <w:bidi w:val="0"/>
        <w:adjustRightInd/>
        <w:spacing w:beforeAutospacing="0" w:afterAutospacing="0" w:line="360" w:lineRule="auto"/>
        <w:ind w:right="0" w:firstLine="420" w:firstLineChars="200"/>
        <w:jc w:val="both"/>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（七）在服务期限内，如遇国家有关政策变化导致项目费用标准变化的，需经双方协商确认后执行。</w:t>
      </w:r>
    </w:p>
    <w:p w14:paraId="3A2B4A3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jc w:val="left"/>
        <w:textAlignment w:val="auto"/>
        <w:rPr>
          <w:rFonts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第六条 甲方权利及义务</w:t>
      </w:r>
    </w:p>
    <w:p w14:paraId="491E9E2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（一）甲方有权要求乙方对其服务事项做出明确、清晰、合理的说明。乙方应提前向甲方提供参加项目的乙方服务人员详细材料，包括服务人员的详细简历、资历水平等，供甲方参考。</w:t>
      </w:r>
    </w:p>
    <w:p w14:paraId="33E5F61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（二）在服务期限内，甲方有权对乙方及乙方服务人员完成服务事项的情况按月进行考核，并给予乙方相应反馈。对考核反映的问题，甲方有权要求乙方限期整改、重做、降低费用标准及赔偿损失。</w:t>
      </w:r>
    </w:p>
    <w:p w14:paraId="6E88DFE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甲方应当以书面形式确认乙方需要完成的服务事项的工作要求，并有权在客观情况发生重大变化时（如：甲方分立、合并、撤销、法律、政策发生变化等情况）有权对服务项目的内容重新进行调整，但应提前 5个工作日书面通知乙方。</w:t>
      </w:r>
    </w:p>
    <w:p w14:paraId="67CA6F1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（四）在乙方能够按时、按量完成服务事项的情况下，甲方应按时足额向乙方支付服务费。</w:t>
      </w:r>
    </w:p>
    <w:p w14:paraId="3CE40B4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（五）甲方应当指定相关负责人按照甲乙双方的约定对乙方及乙方服务人员完成工作任务情况进行审核和确认。</w:t>
      </w:r>
    </w:p>
    <w:p w14:paraId="23DAE0F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（六）甲方应为乙方服务人员提供安全、符合国家劳动保护相关法律法规规定的办公场所和完成工作任务必须的办公设备等工作条件。</w:t>
      </w:r>
    </w:p>
    <w:p w14:paraId="6A192AB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（七）在合同期内，甲方如需临时增加服务类别及服务人员数量，应提前5个工作日向乙方出具需求书，将所需服务类别和服务要求等内容予以明确。</w:t>
      </w:r>
    </w:p>
    <w:p w14:paraId="3FD3D0B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（八）因以下情形导致乙方与服务人员终止或解除劳动合同，按照法律规定乙方需向服务人员支付经济补偿金或赔偿金的，相关费用从本合同金额支付，如费用不足以支付时，由甲方承担相应差额部分：</w:t>
      </w:r>
    </w:p>
    <w:p w14:paraId="4E77D19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1.因合同期满双方合作终止，导致乙方与服务人员终止或解除劳动合同的；</w:t>
      </w:r>
    </w:p>
    <w:p w14:paraId="14F274D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2.服务期限内甲方非因《劳动合同法》第三十九条规定的原因要求乙方替换服务人员，导致乙方与被替换服务人员解除劳动合同的；</w:t>
      </w:r>
    </w:p>
    <w:p w14:paraId="41BBAB2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3.服务期限内服务人员劳动合同期满，因甲方不再需要服务人员继续提供服务，导致乙方不与其续签劳动合同的；</w:t>
      </w:r>
    </w:p>
    <w:p w14:paraId="09DB9B7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4.服务期限内服务人员劳动合同期满，因甲方不按本合同约定的合作方式而继续使用服务人员，导致乙方不与其续签劳动合同的；</w:t>
      </w:r>
    </w:p>
    <w:p w14:paraId="2951196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5.因不可抗拒因素或国家法律、法规和当地政策调整导致本合同提前终止或甲方违约导致本合同解除，乙方决定与服务人员解除劳动合同的，在经济补偿金或赔偿金核算后，如有剩余未使用外包费用款项，乙方于15个工作日内将余款退回甲方指定的对公银行账户。</w:t>
      </w:r>
    </w:p>
    <w:p w14:paraId="05A47E2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（九）甲方安排乙方服务人员从事有关工作造成第三方损害的，因此导致乙方依法应向被损害人承担的全部费用由甲方承担。</w:t>
      </w:r>
    </w:p>
    <w:p w14:paraId="0D63D3C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right="0" w:firstLine="420" w:firstLineChars="200"/>
        <w:jc w:val="both"/>
        <w:textAlignment w:val="auto"/>
        <w:rPr>
          <w:rFonts w:hint="eastAsia" w:ascii="仿宋_GB2312" w:hAnsi="仿宋_GB2312" w:eastAsia="仿宋_GB2312" w:cs="仿宋_GB2312"/>
          <w:sz w:val="21"/>
          <w:szCs w:val="21"/>
          <w:highlight w:val="none"/>
          <w:lang w:val="en-US" w:eastAsia="zh-CN"/>
        </w:rPr>
      </w:pPr>
      <w:r>
        <w:rPr>
          <w:rFonts w:hint="eastAsia" w:ascii="宋体" w:hAnsi="宋体" w:eastAsia="宋体" w:cs="宋体"/>
          <w:sz w:val="21"/>
          <w:szCs w:val="21"/>
          <w:highlight w:val="none"/>
          <w:lang w:eastAsia="zh-CN"/>
        </w:rPr>
        <w:t>（十）合同履约期满后，甲方有权按照甲方相关管理规定，</w:t>
      </w:r>
      <w:r>
        <w:rPr>
          <w:rFonts w:hint="eastAsia" w:ascii="宋体" w:hAnsi="宋体" w:eastAsia="宋体" w:cs="宋体"/>
          <w:sz w:val="21"/>
          <w:szCs w:val="21"/>
          <w:highlight w:val="none"/>
        </w:rPr>
        <w:t>遵循客观公正的原则</w:t>
      </w:r>
      <w:r>
        <w:rPr>
          <w:rFonts w:hint="eastAsia" w:ascii="宋体" w:hAnsi="宋体" w:eastAsia="宋体" w:cs="宋体"/>
          <w:sz w:val="21"/>
          <w:szCs w:val="21"/>
          <w:highlight w:val="none"/>
          <w:lang w:eastAsia="zh-CN"/>
        </w:rPr>
        <w:t>在</w:t>
      </w:r>
      <w:r>
        <w:rPr>
          <w:rFonts w:hint="eastAsia" w:ascii="宋体" w:hAnsi="宋体" w:eastAsia="宋体" w:cs="宋体"/>
          <w:sz w:val="21"/>
          <w:szCs w:val="21"/>
          <w:highlight w:val="none"/>
          <w:lang w:val="en-US" w:eastAsia="zh-CN"/>
        </w:rPr>
        <w:t>20个工作日</w:t>
      </w:r>
      <w:r>
        <w:rPr>
          <w:rFonts w:hint="eastAsia" w:ascii="宋体" w:hAnsi="宋体" w:eastAsia="宋体" w:cs="宋体"/>
          <w:sz w:val="21"/>
          <w:szCs w:val="21"/>
          <w:highlight w:val="none"/>
          <w:lang w:eastAsia="zh-CN"/>
        </w:rPr>
        <w:t>内对乙方进行服务质量考核，并根据考核结果扣减相应履约保证金。</w:t>
      </w:r>
    </w:p>
    <w:tbl>
      <w:tblPr>
        <w:tblStyle w:val="26"/>
        <w:tblW w:w="9506" w:type="dxa"/>
        <w:jc w:val="center"/>
        <w:tblLayout w:type="fixed"/>
        <w:tblCellMar>
          <w:top w:w="0" w:type="dxa"/>
          <w:left w:w="0" w:type="dxa"/>
          <w:bottom w:w="0" w:type="dxa"/>
          <w:right w:w="0" w:type="dxa"/>
        </w:tblCellMar>
      </w:tblPr>
      <w:tblGrid>
        <w:gridCol w:w="810"/>
        <w:gridCol w:w="3517"/>
        <w:gridCol w:w="1487"/>
        <w:gridCol w:w="1472"/>
        <w:gridCol w:w="2220"/>
      </w:tblGrid>
      <w:tr w14:paraId="78B287ED">
        <w:tblPrEx>
          <w:tblCellMar>
            <w:top w:w="0" w:type="dxa"/>
            <w:left w:w="0" w:type="dxa"/>
            <w:bottom w:w="0" w:type="dxa"/>
            <w:right w:w="0" w:type="dxa"/>
          </w:tblCellMar>
        </w:tblPrEx>
        <w:trPr>
          <w:trHeight w:val="567" w:hRule="atLeast"/>
          <w:jc w:val="center"/>
        </w:trPr>
        <w:tc>
          <w:tcPr>
            <w:tcW w:w="9506"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53C4331">
            <w:pPr>
              <w:keepNext w:val="0"/>
              <w:keepLines w:val="0"/>
              <w:pageBreakBefore w:val="0"/>
              <w:widowControl/>
              <w:kinsoku/>
              <w:wordWrap/>
              <w:overflowPunct/>
              <w:topLinePunct w:val="0"/>
              <w:autoSpaceDE/>
              <w:autoSpaceDN/>
              <w:bidi w:val="0"/>
              <w:adjustRightInd/>
              <w:spacing w:beforeAutospacing="0" w:afterAutospacing="0" w:line="360" w:lineRule="auto"/>
              <w:ind w:right="0" w:firstLine="0" w:firstLineChars="0"/>
              <w:jc w:val="center"/>
              <w:textAlignment w:val="auto"/>
              <w:rPr>
                <w:rFonts w:hint="eastAsia" w:ascii="宋体" w:hAnsi="宋体" w:eastAsia="宋体" w:cs="宋体"/>
                <w:b/>
                <w:bCs/>
                <w:kern w:val="0"/>
                <w:sz w:val="21"/>
                <w:szCs w:val="21"/>
                <w:highlight w:val="none"/>
                <w:lang w:eastAsia="zh-CN"/>
              </w:rPr>
            </w:pPr>
            <w:r>
              <w:rPr>
                <w:rFonts w:hint="eastAsia" w:ascii="宋体" w:hAnsi="宋体" w:eastAsia="宋体" w:cs="宋体"/>
                <w:b/>
                <w:bCs/>
                <w:kern w:val="0"/>
                <w:sz w:val="21"/>
                <w:szCs w:val="21"/>
                <w:highlight w:val="none"/>
                <w:lang w:eastAsia="zh-CN"/>
              </w:rPr>
              <w:t>服</w:t>
            </w:r>
            <w:r>
              <w:rPr>
                <w:rFonts w:hint="eastAsia" w:ascii="宋体" w:hAnsi="宋体" w:eastAsia="宋体" w:cs="宋体"/>
                <w:b/>
                <w:bCs/>
                <w:kern w:val="0"/>
                <w:sz w:val="21"/>
                <w:szCs w:val="21"/>
                <w:highlight w:val="none"/>
              </w:rPr>
              <w:t>务质量</w:t>
            </w:r>
            <w:r>
              <w:rPr>
                <w:rFonts w:hint="eastAsia" w:ascii="宋体" w:hAnsi="宋体" w:eastAsia="宋体" w:cs="宋体"/>
                <w:b/>
                <w:bCs/>
                <w:kern w:val="0"/>
                <w:sz w:val="21"/>
                <w:szCs w:val="21"/>
                <w:highlight w:val="none"/>
                <w:lang w:eastAsia="zh-CN"/>
              </w:rPr>
              <w:t>考核</w:t>
            </w:r>
            <w:r>
              <w:rPr>
                <w:rFonts w:hint="eastAsia" w:ascii="宋体" w:hAnsi="宋体" w:eastAsia="宋体" w:cs="宋体"/>
                <w:b/>
                <w:bCs/>
                <w:kern w:val="0"/>
                <w:sz w:val="21"/>
                <w:szCs w:val="21"/>
                <w:highlight w:val="none"/>
              </w:rPr>
              <w:t>得分扣减</w:t>
            </w:r>
            <w:r>
              <w:rPr>
                <w:rFonts w:hint="eastAsia" w:ascii="宋体" w:hAnsi="宋体" w:eastAsia="宋体" w:cs="宋体"/>
                <w:b/>
                <w:bCs/>
                <w:kern w:val="0"/>
                <w:sz w:val="21"/>
                <w:szCs w:val="21"/>
                <w:highlight w:val="none"/>
                <w:lang w:eastAsia="zh-CN"/>
              </w:rPr>
              <w:t>履约保证金</w:t>
            </w:r>
            <w:r>
              <w:rPr>
                <w:rFonts w:hint="eastAsia" w:ascii="宋体" w:hAnsi="宋体" w:eastAsia="宋体" w:cs="宋体"/>
                <w:b/>
                <w:bCs/>
                <w:kern w:val="0"/>
                <w:sz w:val="21"/>
                <w:szCs w:val="21"/>
                <w:highlight w:val="none"/>
              </w:rPr>
              <w:t>金额折算表</w:t>
            </w:r>
          </w:p>
        </w:tc>
      </w:tr>
      <w:tr w14:paraId="63A3823F">
        <w:tblPrEx>
          <w:tblCellMar>
            <w:top w:w="0" w:type="dxa"/>
            <w:left w:w="0" w:type="dxa"/>
            <w:bottom w:w="0" w:type="dxa"/>
            <w:right w:w="0" w:type="dxa"/>
          </w:tblCellMar>
        </w:tblPrEx>
        <w:trPr>
          <w:trHeight w:val="567" w:hRule="atLeast"/>
          <w:jc w:val="center"/>
        </w:trPr>
        <w:tc>
          <w:tcPr>
            <w:tcW w:w="8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ACF4DE3">
            <w:pPr>
              <w:keepNext w:val="0"/>
              <w:keepLines w:val="0"/>
              <w:pageBreakBefore w:val="0"/>
              <w:widowControl/>
              <w:kinsoku/>
              <w:wordWrap/>
              <w:overflowPunct/>
              <w:topLinePunct w:val="0"/>
              <w:autoSpaceDE/>
              <w:autoSpaceDN/>
              <w:bidi w:val="0"/>
              <w:adjustRightInd/>
              <w:spacing w:beforeAutospacing="0" w:afterAutospacing="0" w:line="360" w:lineRule="auto"/>
              <w:ind w:right="0"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序号</w:t>
            </w:r>
          </w:p>
        </w:tc>
        <w:tc>
          <w:tcPr>
            <w:tcW w:w="351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84A67EC">
            <w:pPr>
              <w:keepNext w:val="0"/>
              <w:keepLines w:val="0"/>
              <w:pageBreakBefore w:val="0"/>
              <w:widowControl/>
              <w:kinsoku/>
              <w:wordWrap/>
              <w:overflowPunct/>
              <w:topLinePunct w:val="0"/>
              <w:autoSpaceDE/>
              <w:autoSpaceDN/>
              <w:bidi w:val="0"/>
              <w:adjustRightInd/>
              <w:spacing w:beforeAutospacing="0" w:afterAutospacing="0" w:line="360" w:lineRule="auto"/>
              <w:ind w:right="0"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服务质量</w:t>
            </w:r>
            <w:r>
              <w:rPr>
                <w:rFonts w:hint="eastAsia" w:ascii="宋体" w:hAnsi="宋体" w:eastAsia="宋体" w:cs="宋体"/>
                <w:b/>
                <w:bCs/>
                <w:kern w:val="0"/>
                <w:sz w:val="21"/>
                <w:szCs w:val="21"/>
                <w:highlight w:val="none"/>
                <w:lang w:eastAsia="zh-CN"/>
              </w:rPr>
              <w:t>考核</w:t>
            </w:r>
            <w:r>
              <w:rPr>
                <w:rFonts w:hint="eastAsia" w:ascii="宋体" w:hAnsi="宋体" w:eastAsia="宋体" w:cs="宋体"/>
                <w:b/>
                <w:bCs/>
                <w:kern w:val="0"/>
                <w:sz w:val="21"/>
                <w:szCs w:val="21"/>
                <w:highlight w:val="none"/>
              </w:rPr>
              <w:t>得分</w:t>
            </w:r>
          </w:p>
        </w:tc>
        <w:tc>
          <w:tcPr>
            <w:tcW w:w="148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B360A2A">
            <w:pPr>
              <w:keepNext w:val="0"/>
              <w:keepLines w:val="0"/>
              <w:pageBreakBefore w:val="0"/>
              <w:widowControl/>
              <w:kinsoku/>
              <w:wordWrap/>
              <w:overflowPunct/>
              <w:topLinePunct w:val="0"/>
              <w:autoSpaceDE/>
              <w:autoSpaceDN/>
              <w:bidi w:val="0"/>
              <w:adjustRightInd/>
              <w:spacing w:beforeAutospacing="0" w:afterAutospacing="0" w:line="360" w:lineRule="auto"/>
              <w:ind w:right="0" w:firstLine="0" w:firstLineChars="0"/>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b/>
                <w:bCs/>
                <w:kern w:val="0"/>
                <w:sz w:val="21"/>
                <w:szCs w:val="21"/>
                <w:highlight w:val="none"/>
                <w:lang w:eastAsia="zh-CN"/>
              </w:rPr>
              <w:t>考核结果</w:t>
            </w:r>
          </w:p>
        </w:tc>
        <w:tc>
          <w:tcPr>
            <w:tcW w:w="147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AAC9A7A">
            <w:pPr>
              <w:keepNext w:val="0"/>
              <w:keepLines w:val="0"/>
              <w:pageBreakBefore w:val="0"/>
              <w:widowControl/>
              <w:kinsoku/>
              <w:wordWrap/>
              <w:overflowPunct/>
              <w:topLinePunct w:val="0"/>
              <w:autoSpaceDE/>
              <w:autoSpaceDN/>
              <w:bidi w:val="0"/>
              <w:adjustRightInd/>
              <w:spacing w:beforeAutospacing="0" w:afterAutospacing="0" w:line="360" w:lineRule="auto"/>
              <w:ind w:right="0"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b/>
                <w:bCs/>
                <w:kern w:val="0"/>
                <w:sz w:val="21"/>
                <w:szCs w:val="21"/>
                <w:highlight w:val="none"/>
              </w:rPr>
              <w:t>扣减系数</w:t>
            </w:r>
          </w:p>
        </w:tc>
        <w:tc>
          <w:tcPr>
            <w:tcW w:w="222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CA4502B">
            <w:pPr>
              <w:keepNext w:val="0"/>
              <w:keepLines w:val="0"/>
              <w:pageBreakBefore w:val="0"/>
              <w:widowControl/>
              <w:kinsoku/>
              <w:wordWrap/>
              <w:overflowPunct/>
              <w:topLinePunct w:val="0"/>
              <w:autoSpaceDE/>
              <w:autoSpaceDN/>
              <w:bidi w:val="0"/>
              <w:adjustRightInd/>
              <w:spacing w:beforeAutospacing="0" w:afterAutospacing="0" w:line="360" w:lineRule="auto"/>
              <w:ind w:right="0"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b/>
                <w:bCs/>
                <w:kern w:val="0"/>
                <w:sz w:val="21"/>
                <w:szCs w:val="21"/>
                <w:highlight w:val="none"/>
              </w:rPr>
              <w:t>扣减金额</w:t>
            </w:r>
          </w:p>
        </w:tc>
      </w:tr>
      <w:tr w14:paraId="54AA58E1">
        <w:tblPrEx>
          <w:tblCellMar>
            <w:top w:w="0" w:type="dxa"/>
            <w:left w:w="0" w:type="dxa"/>
            <w:bottom w:w="0" w:type="dxa"/>
            <w:right w:w="0" w:type="dxa"/>
          </w:tblCellMar>
        </w:tblPrEx>
        <w:trPr>
          <w:trHeight w:val="567" w:hRule="atLeast"/>
          <w:jc w:val="center"/>
        </w:trPr>
        <w:tc>
          <w:tcPr>
            <w:tcW w:w="8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B553BD2">
            <w:pPr>
              <w:keepNext w:val="0"/>
              <w:keepLines w:val="0"/>
              <w:pageBreakBefore w:val="0"/>
              <w:widowControl/>
              <w:kinsoku/>
              <w:wordWrap/>
              <w:overflowPunct/>
              <w:topLinePunct w:val="0"/>
              <w:autoSpaceDE/>
              <w:autoSpaceDN/>
              <w:bidi w:val="0"/>
              <w:adjustRightInd/>
              <w:spacing w:beforeAutospacing="0" w:afterAutospacing="0" w:line="360" w:lineRule="auto"/>
              <w:ind w:right="0"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351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F794210">
            <w:pPr>
              <w:keepNext w:val="0"/>
              <w:keepLines w:val="0"/>
              <w:pageBreakBefore w:val="0"/>
              <w:widowControl/>
              <w:kinsoku/>
              <w:wordWrap/>
              <w:overflowPunct/>
              <w:topLinePunct w:val="0"/>
              <w:autoSpaceDE/>
              <w:autoSpaceDN/>
              <w:bidi w:val="0"/>
              <w:adjustRightInd/>
              <w:spacing w:beforeAutospacing="0" w:afterAutospacing="0" w:line="360" w:lineRule="auto"/>
              <w:ind w:right="0"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95</w:t>
            </w:r>
            <w:r>
              <w:rPr>
                <w:rFonts w:hint="eastAsia" w:ascii="宋体" w:hAnsi="宋体" w:eastAsia="宋体" w:cs="宋体"/>
                <w:kern w:val="0"/>
                <w:sz w:val="21"/>
                <w:szCs w:val="21"/>
                <w:highlight w:val="none"/>
              </w:rPr>
              <w:t>≤服务质量</w:t>
            </w:r>
            <w:r>
              <w:rPr>
                <w:rFonts w:hint="eastAsia" w:ascii="宋体" w:hAnsi="宋体" w:eastAsia="宋体" w:cs="宋体"/>
                <w:kern w:val="0"/>
                <w:sz w:val="21"/>
                <w:szCs w:val="21"/>
                <w:highlight w:val="none"/>
                <w:lang w:eastAsia="zh-CN"/>
              </w:rPr>
              <w:t>考核</w:t>
            </w:r>
            <w:r>
              <w:rPr>
                <w:rFonts w:hint="eastAsia" w:ascii="宋体" w:hAnsi="宋体" w:eastAsia="宋体" w:cs="宋体"/>
                <w:kern w:val="0"/>
                <w:sz w:val="21"/>
                <w:szCs w:val="21"/>
                <w:highlight w:val="none"/>
              </w:rPr>
              <w:t>得分≤100</w:t>
            </w:r>
          </w:p>
        </w:tc>
        <w:tc>
          <w:tcPr>
            <w:tcW w:w="148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4697D60">
            <w:pPr>
              <w:keepNext w:val="0"/>
              <w:keepLines w:val="0"/>
              <w:pageBreakBefore w:val="0"/>
              <w:widowControl/>
              <w:kinsoku/>
              <w:wordWrap/>
              <w:overflowPunct/>
              <w:topLinePunct w:val="0"/>
              <w:autoSpaceDE/>
              <w:autoSpaceDN/>
              <w:bidi w:val="0"/>
              <w:adjustRightInd/>
              <w:spacing w:beforeAutospacing="0" w:afterAutospacing="0" w:line="360" w:lineRule="auto"/>
              <w:ind w:right="0" w:firstLine="0" w:firstLineChars="0"/>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优秀</w:t>
            </w:r>
          </w:p>
        </w:tc>
        <w:tc>
          <w:tcPr>
            <w:tcW w:w="147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2E8C747">
            <w:pPr>
              <w:keepNext w:val="0"/>
              <w:keepLines w:val="0"/>
              <w:pageBreakBefore w:val="0"/>
              <w:widowControl/>
              <w:kinsoku/>
              <w:wordWrap/>
              <w:overflowPunct/>
              <w:topLinePunct w:val="0"/>
              <w:autoSpaceDE/>
              <w:autoSpaceDN/>
              <w:bidi w:val="0"/>
              <w:adjustRightInd/>
              <w:spacing w:beforeAutospacing="0" w:afterAutospacing="0" w:line="360" w:lineRule="auto"/>
              <w:ind w:right="0"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0%</w:t>
            </w:r>
          </w:p>
        </w:tc>
        <w:tc>
          <w:tcPr>
            <w:tcW w:w="222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FEACEBA">
            <w:pPr>
              <w:keepNext w:val="0"/>
              <w:keepLines w:val="0"/>
              <w:pageBreakBefore w:val="0"/>
              <w:widowControl/>
              <w:kinsoku/>
              <w:wordWrap/>
              <w:overflowPunct/>
              <w:topLinePunct w:val="0"/>
              <w:autoSpaceDE/>
              <w:autoSpaceDN/>
              <w:bidi w:val="0"/>
              <w:adjustRightInd/>
              <w:spacing w:beforeAutospacing="0" w:afterAutospacing="0" w:line="360" w:lineRule="auto"/>
              <w:ind w:right="0" w:firstLine="0" w:firstLineChars="0"/>
              <w:jc w:val="center"/>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rPr>
              <w:t>0</w:t>
            </w:r>
          </w:p>
        </w:tc>
      </w:tr>
      <w:tr w14:paraId="2EB1D4DF">
        <w:tblPrEx>
          <w:tblCellMar>
            <w:top w:w="0" w:type="dxa"/>
            <w:left w:w="0" w:type="dxa"/>
            <w:bottom w:w="0" w:type="dxa"/>
            <w:right w:w="0" w:type="dxa"/>
          </w:tblCellMar>
        </w:tblPrEx>
        <w:trPr>
          <w:trHeight w:val="534" w:hRule="atLeast"/>
          <w:jc w:val="center"/>
        </w:trPr>
        <w:tc>
          <w:tcPr>
            <w:tcW w:w="8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29E4E19">
            <w:pPr>
              <w:keepNext w:val="0"/>
              <w:keepLines w:val="0"/>
              <w:pageBreakBefore w:val="0"/>
              <w:widowControl/>
              <w:kinsoku/>
              <w:wordWrap/>
              <w:overflowPunct/>
              <w:topLinePunct w:val="0"/>
              <w:autoSpaceDE/>
              <w:autoSpaceDN/>
              <w:bidi w:val="0"/>
              <w:adjustRightInd/>
              <w:spacing w:beforeAutospacing="0" w:afterAutospacing="0" w:line="360" w:lineRule="auto"/>
              <w:ind w:right="0"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351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5F3ACD3">
            <w:pPr>
              <w:keepNext w:val="0"/>
              <w:keepLines w:val="0"/>
              <w:pageBreakBefore w:val="0"/>
              <w:widowControl/>
              <w:kinsoku/>
              <w:wordWrap/>
              <w:overflowPunct/>
              <w:topLinePunct w:val="0"/>
              <w:autoSpaceDE/>
              <w:autoSpaceDN/>
              <w:bidi w:val="0"/>
              <w:adjustRightInd/>
              <w:spacing w:beforeAutospacing="0" w:afterAutospacing="0" w:line="360" w:lineRule="auto"/>
              <w:ind w:right="0"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90≤服务质量</w:t>
            </w:r>
            <w:r>
              <w:rPr>
                <w:rFonts w:hint="eastAsia" w:ascii="宋体" w:hAnsi="宋体" w:eastAsia="宋体" w:cs="宋体"/>
                <w:kern w:val="0"/>
                <w:sz w:val="21"/>
                <w:szCs w:val="21"/>
                <w:highlight w:val="none"/>
                <w:lang w:eastAsia="zh-CN"/>
              </w:rPr>
              <w:t>考核</w:t>
            </w:r>
            <w:r>
              <w:rPr>
                <w:rFonts w:hint="eastAsia" w:ascii="宋体" w:hAnsi="宋体" w:eastAsia="宋体" w:cs="宋体"/>
                <w:kern w:val="0"/>
                <w:sz w:val="21"/>
                <w:szCs w:val="21"/>
                <w:highlight w:val="none"/>
              </w:rPr>
              <w:t>得分&lt;95</w:t>
            </w:r>
          </w:p>
        </w:tc>
        <w:tc>
          <w:tcPr>
            <w:tcW w:w="148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E14E1AF">
            <w:pPr>
              <w:keepNext w:val="0"/>
              <w:keepLines w:val="0"/>
              <w:pageBreakBefore w:val="0"/>
              <w:widowControl/>
              <w:kinsoku/>
              <w:wordWrap/>
              <w:overflowPunct/>
              <w:topLinePunct w:val="0"/>
              <w:autoSpaceDE/>
              <w:autoSpaceDN/>
              <w:bidi w:val="0"/>
              <w:adjustRightInd/>
              <w:spacing w:beforeAutospacing="0" w:afterAutospacing="0" w:line="360" w:lineRule="auto"/>
              <w:ind w:right="0" w:firstLine="0" w:firstLineChars="0"/>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良好</w:t>
            </w:r>
          </w:p>
        </w:tc>
        <w:tc>
          <w:tcPr>
            <w:tcW w:w="147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D3AD676">
            <w:pPr>
              <w:keepNext w:val="0"/>
              <w:keepLines w:val="0"/>
              <w:pageBreakBefore w:val="0"/>
              <w:widowControl/>
              <w:kinsoku/>
              <w:wordWrap/>
              <w:overflowPunct/>
              <w:topLinePunct w:val="0"/>
              <w:autoSpaceDE/>
              <w:autoSpaceDN/>
              <w:bidi w:val="0"/>
              <w:adjustRightInd/>
              <w:spacing w:beforeAutospacing="0" w:afterAutospacing="0" w:line="360" w:lineRule="auto"/>
              <w:ind w:right="0"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rPr>
              <w:t>%</w:t>
            </w:r>
          </w:p>
        </w:tc>
        <w:tc>
          <w:tcPr>
            <w:tcW w:w="222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AC5C8BE">
            <w:pPr>
              <w:keepNext w:val="0"/>
              <w:keepLines w:val="0"/>
              <w:pageBreakBefore w:val="0"/>
              <w:widowControl/>
              <w:kinsoku/>
              <w:wordWrap/>
              <w:overflowPunct/>
              <w:topLinePunct w:val="0"/>
              <w:autoSpaceDE/>
              <w:autoSpaceDN/>
              <w:bidi w:val="0"/>
              <w:adjustRightInd/>
              <w:spacing w:beforeAutospacing="0" w:afterAutospacing="0" w:line="360" w:lineRule="auto"/>
              <w:ind w:right="0" w:firstLine="0" w:firstLineChars="0"/>
              <w:jc w:val="center"/>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rPr>
              <w:t>1</w:t>
            </w:r>
            <w:r>
              <w:rPr>
                <w:rFonts w:hint="eastAsia" w:ascii="宋体" w:hAnsi="宋体" w:eastAsia="宋体" w:cs="宋体"/>
                <w:b w:val="0"/>
                <w:bCs w:val="0"/>
                <w:kern w:val="0"/>
                <w:sz w:val="21"/>
                <w:szCs w:val="21"/>
                <w:highlight w:val="none"/>
              </w:rPr>
              <w:t xml:space="preserve">% </w:t>
            </w:r>
            <w:r>
              <w:rPr>
                <w:rFonts w:hint="default" w:ascii="Arial" w:hAnsi="Arial" w:eastAsia="宋体" w:cs="Arial"/>
                <w:b w:val="0"/>
                <w:bCs w:val="0"/>
                <w:kern w:val="0"/>
                <w:sz w:val="21"/>
                <w:szCs w:val="21"/>
                <w:highlight w:val="none"/>
              </w:rPr>
              <w:t>×</w:t>
            </w:r>
            <w:r>
              <w:rPr>
                <w:rFonts w:hint="eastAsia" w:ascii="Arial" w:hAnsi="Arial" w:eastAsia="宋体" w:cs="Arial"/>
                <w:b w:val="0"/>
                <w:bCs w:val="0"/>
                <w:kern w:val="0"/>
                <w:sz w:val="21"/>
                <w:szCs w:val="21"/>
                <w:highlight w:val="none"/>
                <w:lang w:val="en-US" w:eastAsia="zh-CN"/>
              </w:rPr>
              <w:t xml:space="preserve"> </w:t>
            </w:r>
            <w:r>
              <w:rPr>
                <w:rFonts w:hint="eastAsia" w:ascii="宋体" w:hAnsi="宋体" w:eastAsia="宋体" w:cs="宋体"/>
                <w:b w:val="0"/>
                <w:bCs w:val="0"/>
                <w:kern w:val="0"/>
                <w:sz w:val="21"/>
                <w:szCs w:val="21"/>
                <w:highlight w:val="none"/>
                <w:lang w:eastAsia="zh-CN"/>
              </w:rPr>
              <w:t>履约保证金</w:t>
            </w:r>
          </w:p>
        </w:tc>
      </w:tr>
      <w:tr w14:paraId="4E8C6E93">
        <w:tblPrEx>
          <w:tblCellMar>
            <w:top w:w="0" w:type="dxa"/>
            <w:left w:w="0" w:type="dxa"/>
            <w:bottom w:w="0" w:type="dxa"/>
            <w:right w:w="0" w:type="dxa"/>
          </w:tblCellMar>
        </w:tblPrEx>
        <w:trPr>
          <w:trHeight w:val="567" w:hRule="atLeast"/>
          <w:jc w:val="center"/>
        </w:trPr>
        <w:tc>
          <w:tcPr>
            <w:tcW w:w="8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E3FFA48">
            <w:pPr>
              <w:keepNext w:val="0"/>
              <w:keepLines w:val="0"/>
              <w:pageBreakBefore w:val="0"/>
              <w:widowControl/>
              <w:kinsoku/>
              <w:wordWrap/>
              <w:overflowPunct/>
              <w:topLinePunct w:val="0"/>
              <w:autoSpaceDE/>
              <w:autoSpaceDN/>
              <w:bidi w:val="0"/>
              <w:adjustRightInd/>
              <w:spacing w:beforeAutospacing="0" w:afterAutospacing="0" w:line="360" w:lineRule="auto"/>
              <w:ind w:right="0"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351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2557004">
            <w:pPr>
              <w:keepNext w:val="0"/>
              <w:keepLines w:val="0"/>
              <w:pageBreakBefore w:val="0"/>
              <w:widowControl/>
              <w:kinsoku/>
              <w:wordWrap/>
              <w:overflowPunct/>
              <w:topLinePunct w:val="0"/>
              <w:autoSpaceDE/>
              <w:autoSpaceDN/>
              <w:bidi w:val="0"/>
              <w:adjustRightInd/>
              <w:spacing w:beforeAutospacing="0" w:afterAutospacing="0" w:line="360" w:lineRule="auto"/>
              <w:ind w:right="0"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85≤服务质量</w:t>
            </w:r>
            <w:r>
              <w:rPr>
                <w:rFonts w:hint="eastAsia" w:ascii="宋体" w:hAnsi="宋体" w:eastAsia="宋体" w:cs="宋体"/>
                <w:kern w:val="0"/>
                <w:sz w:val="21"/>
                <w:szCs w:val="21"/>
                <w:highlight w:val="none"/>
                <w:lang w:eastAsia="zh-CN"/>
              </w:rPr>
              <w:t>考核</w:t>
            </w:r>
            <w:r>
              <w:rPr>
                <w:rFonts w:hint="eastAsia" w:ascii="宋体" w:hAnsi="宋体" w:eastAsia="宋体" w:cs="宋体"/>
                <w:kern w:val="0"/>
                <w:sz w:val="21"/>
                <w:szCs w:val="21"/>
                <w:highlight w:val="none"/>
              </w:rPr>
              <w:t>得分&lt;90</w:t>
            </w:r>
          </w:p>
        </w:tc>
        <w:tc>
          <w:tcPr>
            <w:tcW w:w="148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28FD666">
            <w:pPr>
              <w:keepNext w:val="0"/>
              <w:keepLines w:val="0"/>
              <w:pageBreakBefore w:val="0"/>
              <w:widowControl/>
              <w:kinsoku/>
              <w:wordWrap/>
              <w:overflowPunct/>
              <w:topLinePunct w:val="0"/>
              <w:autoSpaceDE/>
              <w:autoSpaceDN/>
              <w:bidi w:val="0"/>
              <w:adjustRightInd/>
              <w:spacing w:beforeAutospacing="0" w:afterAutospacing="0" w:line="360" w:lineRule="auto"/>
              <w:ind w:right="0" w:firstLine="0" w:firstLineChars="0"/>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一般</w:t>
            </w:r>
          </w:p>
        </w:tc>
        <w:tc>
          <w:tcPr>
            <w:tcW w:w="147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CC8ACEE">
            <w:pPr>
              <w:keepNext w:val="0"/>
              <w:keepLines w:val="0"/>
              <w:pageBreakBefore w:val="0"/>
              <w:widowControl/>
              <w:kinsoku/>
              <w:wordWrap/>
              <w:overflowPunct/>
              <w:topLinePunct w:val="0"/>
              <w:autoSpaceDE/>
              <w:autoSpaceDN/>
              <w:bidi w:val="0"/>
              <w:adjustRightInd/>
              <w:spacing w:beforeAutospacing="0" w:afterAutospacing="0" w:line="360" w:lineRule="auto"/>
              <w:ind w:right="0"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w:t>
            </w:r>
          </w:p>
        </w:tc>
        <w:tc>
          <w:tcPr>
            <w:tcW w:w="222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0080CB6">
            <w:pPr>
              <w:keepNext w:val="0"/>
              <w:keepLines w:val="0"/>
              <w:pageBreakBefore w:val="0"/>
              <w:widowControl/>
              <w:kinsoku/>
              <w:wordWrap/>
              <w:overflowPunct/>
              <w:topLinePunct w:val="0"/>
              <w:autoSpaceDE/>
              <w:autoSpaceDN/>
              <w:bidi w:val="0"/>
              <w:adjustRightInd/>
              <w:spacing w:beforeAutospacing="0" w:afterAutospacing="0" w:line="360" w:lineRule="auto"/>
              <w:ind w:right="0" w:firstLine="0" w:firstLineChars="0"/>
              <w:jc w:val="center"/>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rPr>
              <w:t>2</w:t>
            </w:r>
            <w:r>
              <w:rPr>
                <w:rFonts w:hint="eastAsia" w:ascii="宋体" w:hAnsi="宋体" w:eastAsia="宋体" w:cs="宋体"/>
                <w:b w:val="0"/>
                <w:bCs w:val="0"/>
                <w:kern w:val="0"/>
                <w:sz w:val="21"/>
                <w:szCs w:val="21"/>
                <w:highlight w:val="none"/>
              </w:rPr>
              <w:t xml:space="preserve">% </w:t>
            </w:r>
            <w:r>
              <w:rPr>
                <w:rFonts w:hint="default" w:ascii="Arial" w:hAnsi="Arial" w:eastAsia="宋体" w:cs="Arial"/>
                <w:b w:val="0"/>
                <w:bCs w:val="0"/>
                <w:kern w:val="0"/>
                <w:sz w:val="21"/>
                <w:szCs w:val="21"/>
                <w:highlight w:val="none"/>
              </w:rPr>
              <w:t>×</w:t>
            </w:r>
            <w:r>
              <w:rPr>
                <w:rFonts w:hint="eastAsia" w:ascii="Arial" w:hAnsi="Arial" w:eastAsia="宋体" w:cs="Arial"/>
                <w:b w:val="0"/>
                <w:bCs w:val="0"/>
                <w:kern w:val="0"/>
                <w:sz w:val="21"/>
                <w:szCs w:val="21"/>
                <w:highlight w:val="none"/>
                <w:lang w:val="en-US" w:eastAsia="zh-CN"/>
              </w:rPr>
              <w:t xml:space="preserve"> </w:t>
            </w:r>
            <w:r>
              <w:rPr>
                <w:rFonts w:hint="eastAsia" w:ascii="宋体" w:hAnsi="宋体" w:eastAsia="宋体" w:cs="宋体"/>
                <w:b w:val="0"/>
                <w:bCs w:val="0"/>
                <w:kern w:val="0"/>
                <w:sz w:val="21"/>
                <w:szCs w:val="21"/>
                <w:highlight w:val="none"/>
                <w:lang w:eastAsia="zh-CN"/>
              </w:rPr>
              <w:t>履约保证金</w:t>
            </w:r>
          </w:p>
        </w:tc>
      </w:tr>
      <w:tr w14:paraId="3ABE3C55">
        <w:tblPrEx>
          <w:tblCellMar>
            <w:top w:w="0" w:type="dxa"/>
            <w:left w:w="0" w:type="dxa"/>
            <w:bottom w:w="0" w:type="dxa"/>
            <w:right w:w="0" w:type="dxa"/>
          </w:tblCellMar>
        </w:tblPrEx>
        <w:trPr>
          <w:trHeight w:val="567" w:hRule="atLeast"/>
          <w:jc w:val="center"/>
        </w:trPr>
        <w:tc>
          <w:tcPr>
            <w:tcW w:w="8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3529F0F">
            <w:pPr>
              <w:keepNext w:val="0"/>
              <w:keepLines w:val="0"/>
              <w:pageBreakBefore w:val="0"/>
              <w:widowControl/>
              <w:kinsoku/>
              <w:wordWrap/>
              <w:overflowPunct/>
              <w:topLinePunct w:val="0"/>
              <w:autoSpaceDE/>
              <w:autoSpaceDN/>
              <w:bidi w:val="0"/>
              <w:adjustRightInd/>
              <w:spacing w:beforeAutospacing="0" w:afterAutospacing="0" w:line="360" w:lineRule="auto"/>
              <w:ind w:right="0"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c>
          <w:tcPr>
            <w:tcW w:w="351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B80A23F">
            <w:pPr>
              <w:keepNext w:val="0"/>
              <w:keepLines w:val="0"/>
              <w:pageBreakBefore w:val="0"/>
              <w:widowControl/>
              <w:kinsoku/>
              <w:wordWrap/>
              <w:overflowPunct/>
              <w:topLinePunct w:val="0"/>
              <w:autoSpaceDE/>
              <w:autoSpaceDN/>
              <w:bidi w:val="0"/>
              <w:adjustRightInd/>
              <w:spacing w:beforeAutospacing="0" w:afterAutospacing="0" w:line="360" w:lineRule="auto"/>
              <w:ind w:right="0"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80≤服务质量</w:t>
            </w:r>
            <w:r>
              <w:rPr>
                <w:rFonts w:hint="eastAsia" w:ascii="宋体" w:hAnsi="宋体" w:eastAsia="宋体" w:cs="宋体"/>
                <w:kern w:val="0"/>
                <w:sz w:val="21"/>
                <w:szCs w:val="21"/>
                <w:highlight w:val="none"/>
                <w:lang w:eastAsia="zh-CN"/>
              </w:rPr>
              <w:t>考核</w:t>
            </w:r>
            <w:r>
              <w:rPr>
                <w:rFonts w:hint="eastAsia" w:ascii="宋体" w:hAnsi="宋体" w:eastAsia="宋体" w:cs="宋体"/>
                <w:kern w:val="0"/>
                <w:sz w:val="21"/>
                <w:szCs w:val="21"/>
                <w:highlight w:val="none"/>
              </w:rPr>
              <w:t>得分&lt;85</w:t>
            </w:r>
          </w:p>
        </w:tc>
        <w:tc>
          <w:tcPr>
            <w:tcW w:w="148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9DC1739">
            <w:pPr>
              <w:keepNext w:val="0"/>
              <w:keepLines w:val="0"/>
              <w:pageBreakBefore w:val="0"/>
              <w:widowControl/>
              <w:kinsoku/>
              <w:wordWrap/>
              <w:overflowPunct/>
              <w:topLinePunct w:val="0"/>
              <w:autoSpaceDE/>
              <w:autoSpaceDN/>
              <w:bidi w:val="0"/>
              <w:adjustRightInd/>
              <w:spacing w:beforeAutospacing="0" w:afterAutospacing="0" w:line="360" w:lineRule="auto"/>
              <w:ind w:right="0" w:firstLine="0" w:firstLineChars="0"/>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合格</w:t>
            </w:r>
          </w:p>
        </w:tc>
        <w:tc>
          <w:tcPr>
            <w:tcW w:w="147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6033882">
            <w:pPr>
              <w:keepNext w:val="0"/>
              <w:keepLines w:val="0"/>
              <w:pageBreakBefore w:val="0"/>
              <w:widowControl/>
              <w:kinsoku/>
              <w:wordWrap/>
              <w:overflowPunct/>
              <w:topLinePunct w:val="0"/>
              <w:autoSpaceDE/>
              <w:autoSpaceDN/>
              <w:bidi w:val="0"/>
              <w:adjustRightInd/>
              <w:spacing w:beforeAutospacing="0" w:afterAutospacing="0" w:line="360" w:lineRule="auto"/>
              <w:ind w:right="0"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w:t>
            </w:r>
          </w:p>
        </w:tc>
        <w:tc>
          <w:tcPr>
            <w:tcW w:w="222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84B7252">
            <w:pPr>
              <w:keepNext w:val="0"/>
              <w:keepLines w:val="0"/>
              <w:pageBreakBefore w:val="0"/>
              <w:widowControl/>
              <w:kinsoku/>
              <w:wordWrap/>
              <w:overflowPunct/>
              <w:topLinePunct w:val="0"/>
              <w:autoSpaceDE/>
              <w:autoSpaceDN/>
              <w:bidi w:val="0"/>
              <w:adjustRightInd/>
              <w:spacing w:beforeAutospacing="0" w:afterAutospacing="0" w:line="360" w:lineRule="auto"/>
              <w:ind w:right="0" w:firstLine="0" w:firstLineChars="0"/>
              <w:jc w:val="center"/>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rPr>
              <w:t>5</w:t>
            </w:r>
            <w:r>
              <w:rPr>
                <w:rFonts w:hint="eastAsia" w:ascii="宋体" w:hAnsi="宋体" w:eastAsia="宋体" w:cs="宋体"/>
                <w:b w:val="0"/>
                <w:bCs w:val="0"/>
                <w:kern w:val="0"/>
                <w:sz w:val="21"/>
                <w:szCs w:val="21"/>
                <w:highlight w:val="none"/>
              </w:rPr>
              <w:t xml:space="preserve">% </w:t>
            </w:r>
            <w:r>
              <w:rPr>
                <w:rFonts w:hint="default" w:ascii="Arial" w:hAnsi="Arial" w:eastAsia="宋体" w:cs="Arial"/>
                <w:b w:val="0"/>
                <w:bCs w:val="0"/>
                <w:kern w:val="0"/>
                <w:sz w:val="21"/>
                <w:szCs w:val="21"/>
                <w:highlight w:val="none"/>
              </w:rPr>
              <w:t>×</w:t>
            </w:r>
            <w:r>
              <w:rPr>
                <w:rFonts w:hint="eastAsia" w:ascii="Arial" w:hAnsi="Arial" w:eastAsia="宋体" w:cs="Arial"/>
                <w:b w:val="0"/>
                <w:bCs w:val="0"/>
                <w:kern w:val="0"/>
                <w:sz w:val="21"/>
                <w:szCs w:val="21"/>
                <w:highlight w:val="none"/>
                <w:lang w:val="en-US" w:eastAsia="zh-CN"/>
              </w:rPr>
              <w:t xml:space="preserve"> </w:t>
            </w:r>
            <w:r>
              <w:rPr>
                <w:rFonts w:hint="eastAsia" w:ascii="宋体" w:hAnsi="宋体" w:eastAsia="宋体" w:cs="宋体"/>
                <w:b w:val="0"/>
                <w:bCs w:val="0"/>
                <w:kern w:val="0"/>
                <w:sz w:val="21"/>
                <w:szCs w:val="21"/>
                <w:highlight w:val="none"/>
                <w:lang w:eastAsia="zh-CN"/>
              </w:rPr>
              <w:t>履约保证金</w:t>
            </w:r>
          </w:p>
        </w:tc>
      </w:tr>
      <w:tr w14:paraId="21FFB271">
        <w:tblPrEx>
          <w:tblCellMar>
            <w:top w:w="0" w:type="dxa"/>
            <w:left w:w="0" w:type="dxa"/>
            <w:bottom w:w="0" w:type="dxa"/>
            <w:right w:w="0" w:type="dxa"/>
          </w:tblCellMar>
        </w:tblPrEx>
        <w:trPr>
          <w:trHeight w:val="567" w:hRule="atLeast"/>
          <w:jc w:val="center"/>
        </w:trPr>
        <w:tc>
          <w:tcPr>
            <w:tcW w:w="8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F6E7C97">
            <w:pPr>
              <w:keepNext w:val="0"/>
              <w:keepLines w:val="0"/>
              <w:pageBreakBefore w:val="0"/>
              <w:widowControl/>
              <w:kinsoku/>
              <w:wordWrap/>
              <w:overflowPunct/>
              <w:topLinePunct w:val="0"/>
              <w:autoSpaceDE/>
              <w:autoSpaceDN/>
              <w:bidi w:val="0"/>
              <w:adjustRightInd/>
              <w:spacing w:beforeAutospacing="0" w:afterAutospacing="0" w:line="360" w:lineRule="auto"/>
              <w:ind w:right="0"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c>
          <w:tcPr>
            <w:tcW w:w="351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FC62677">
            <w:pPr>
              <w:keepNext w:val="0"/>
              <w:keepLines w:val="0"/>
              <w:pageBreakBefore w:val="0"/>
              <w:widowControl/>
              <w:kinsoku/>
              <w:wordWrap/>
              <w:overflowPunct/>
              <w:topLinePunct w:val="0"/>
              <w:autoSpaceDE/>
              <w:autoSpaceDN/>
              <w:bidi w:val="0"/>
              <w:adjustRightInd/>
              <w:spacing w:beforeAutospacing="0" w:afterAutospacing="0" w:line="360" w:lineRule="auto"/>
              <w:ind w:right="0"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60</w:t>
            </w:r>
            <w:r>
              <w:rPr>
                <w:rFonts w:hint="eastAsia" w:ascii="宋体" w:hAnsi="宋体" w:eastAsia="宋体" w:cs="宋体"/>
                <w:kern w:val="0"/>
                <w:sz w:val="21"/>
                <w:szCs w:val="21"/>
                <w:highlight w:val="none"/>
              </w:rPr>
              <w:t>≤服务质量</w:t>
            </w:r>
            <w:r>
              <w:rPr>
                <w:rFonts w:hint="eastAsia" w:ascii="宋体" w:hAnsi="宋体" w:eastAsia="宋体" w:cs="宋体"/>
                <w:kern w:val="0"/>
                <w:sz w:val="21"/>
                <w:szCs w:val="21"/>
                <w:highlight w:val="none"/>
                <w:lang w:eastAsia="zh-CN"/>
              </w:rPr>
              <w:t>考核</w:t>
            </w:r>
            <w:r>
              <w:rPr>
                <w:rFonts w:hint="eastAsia" w:ascii="宋体" w:hAnsi="宋体" w:eastAsia="宋体" w:cs="宋体"/>
                <w:kern w:val="0"/>
                <w:sz w:val="21"/>
                <w:szCs w:val="21"/>
                <w:highlight w:val="none"/>
              </w:rPr>
              <w:t>得分&lt;80</w:t>
            </w:r>
          </w:p>
        </w:tc>
        <w:tc>
          <w:tcPr>
            <w:tcW w:w="148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E76A2B6">
            <w:pPr>
              <w:keepNext w:val="0"/>
              <w:keepLines w:val="0"/>
              <w:pageBreakBefore w:val="0"/>
              <w:widowControl/>
              <w:kinsoku/>
              <w:wordWrap/>
              <w:overflowPunct/>
              <w:topLinePunct w:val="0"/>
              <w:autoSpaceDE/>
              <w:autoSpaceDN/>
              <w:bidi w:val="0"/>
              <w:adjustRightInd/>
              <w:spacing w:beforeAutospacing="0" w:afterAutospacing="0" w:line="360" w:lineRule="auto"/>
              <w:ind w:right="0" w:firstLine="0" w:firstLineChars="0"/>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基本合格</w:t>
            </w:r>
          </w:p>
        </w:tc>
        <w:tc>
          <w:tcPr>
            <w:tcW w:w="147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53F1D68">
            <w:pPr>
              <w:keepNext w:val="0"/>
              <w:keepLines w:val="0"/>
              <w:pageBreakBefore w:val="0"/>
              <w:widowControl/>
              <w:kinsoku/>
              <w:wordWrap/>
              <w:overflowPunct/>
              <w:topLinePunct w:val="0"/>
              <w:autoSpaceDE/>
              <w:autoSpaceDN/>
              <w:bidi w:val="0"/>
              <w:adjustRightInd/>
              <w:spacing w:beforeAutospacing="0" w:afterAutospacing="0" w:line="360" w:lineRule="auto"/>
              <w:ind w:right="0"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10</w:t>
            </w:r>
            <w:r>
              <w:rPr>
                <w:rFonts w:hint="eastAsia" w:ascii="宋体" w:hAnsi="宋体" w:eastAsia="宋体" w:cs="宋体"/>
                <w:kern w:val="0"/>
                <w:sz w:val="21"/>
                <w:szCs w:val="21"/>
                <w:highlight w:val="none"/>
              </w:rPr>
              <w:t>%</w:t>
            </w:r>
          </w:p>
        </w:tc>
        <w:tc>
          <w:tcPr>
            <w:tcW w:w="222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39A4876">
            <w:pPr>
              <w:keepNext w:val="0"/>
              <w:keepLines w:val="0"/>
              <w:pageBreakBefore w:val="0"/>
              <w:widowControl/>
              <w:kinsoku/>
              <w:wordWrap/>
              <w:overflowPunct/>
              <w:topLinePunct w:val="0"/>
              <w:autoSpaceDE/>
              <w:autoSpaceDN/>
              <w:bidi w:val="0"/>
              <w:adjustRightInd/>
              <w:spacing w:beforeAutospacing="0" w:afterAutospacing="0" w:line="360" w:lineRule="auto"/>
              <w:ind w:right="0" w:firstLine="0" w:firstLineChars="0"/>
              <w:jc w:val="center"/>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rPr>
              <w:t>10</w:t>
            </w:r>
            <w:r>
              <w:rPr>
                <w:rFonts w:hint="eastAsia" w:ascii="宋体" w:hAnsi="宋体" w:eastAsia="宋体" w:cs="宋体"/>
                <w:b w:val="0"/>
                <w:bCs w:val="0"/>
                <w:kern w:val="0"/>
                <w:sz w:val="21"/>
                <w:szCs w:val="21"/>
                <w:highlight w:val="none"/>
              </w:rPr>
              <w:t xml:space="preserve">% </w:t>
            </w:r>
            <w:r>
              <w:rPr>
                <w:rFonts w:hint="default" w:ascii="Arial" w:hAnsi="Arial" w:eastAsia="宋体" w:cs="Arial"/>
                <w:b w:val="0"/>
                <w:bCs w:val="0"/>
                <w:kern w:val="0"/>
                <w:sz w:val="21"/>
                <w:szCs w:val="21"/>
                <w:highlight w:val="none"/>
              </w:rPr>
              <w:t>×</w:t>
            </w:r>
            <w:r>
              <w:rPr>
                <w:rFonts w:hint="eastAsia" w:ascii="Arial" w:hAnsi="Arial" w:eastAsia="宋体" w:cs="Arial"/>
                <w:b w:val="0"/>
                <w:bCs w:val="0"/>
                <w:kern w:val="0"/>
                <w:sz w:val="21"/>
                <w:szCs w:val="21"/>
                <w:highlight w:val="none"/>
                <w:lang w:val="en-US" w:eastAsia="zh-CN"/>
              </w:rPr>
              <w:t xml:space="preserve"> </w:t>
            </w:r>
            <w:r>
              <w:rPr>
                <w:rFonts w:hint="eastAsia" w:ascii="宋体" w:hAnsi="宋体" w:eastAsia="宋体" w:cs="宋体"/>
                <w:b w:val="0"/>
                <w:bCs w:val="0"/>
                <w:kern w:val="0"/>
                <w:sz w:val="21"/>
                <w:szCs w:val="21"/>
                <w:highlight w:val="none"/>
                <w:lang w:eastAsia="zh-CN"/>
              </w:rPr>
              <w:t>履约保证金</w:t>
            </w:r>
          </w:p>
        </w:tc>
      </w:tr>
      <w:tr w14:paraId="479EC6B9">
        <w:tblPrEx>
          <w:tblCellMar>
            <w:top w:w="0" w:type="dxa"/>
            <w:left w:w="0" w:type="dxa"/>
            <w:bottom w:w="0" w:type="dxa"/>
            <w:right w:w="0" w:type="dxa"/>
          </w:tblCellMar>
        </w:tblPrEx>
        <w:trPr>
          <w:trHeight w:val="567" w:hRule="atLeast"/>
          <w:jc w:val="center"/>
        </w:trPr>
        <w:tc>
          <w:tcPr>
            <w:tcW w:w="8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F2621D1">
            <w:pPr>
              <w:keepNext w:val="0"/>
              <w:keepLines w:val="0"/>
              <w:pageBreakBefore w:val="0"/>
              <w:widowControl/>
              <w:kinsoku/>
              <w:wordWrap/>
              <w:overflowPunct/>
              <w:topLinePunct w:val="0"/>
              <w:autoSpaceDE/>
              <w:autoSpaceDN/>
              <w:bidi w:val="0"/>
              <w:adjustRightInd/>
              <w:spacing w:beforeAutospacing="0" w:afterAutospacing="0" w:line="360" w:lineRule="auto"/>
              <w:ind w:right="0"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w:t>
            </w:r>
          </w:p>
        </w:tc>
        <w:tc>
          <w:tcPr>
            <w:tcW w:w="351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B560412">
            <w:pPr>
              <w:keepNext w:val="0"/>
              <w:keepLines w:val="0"/>
              <w:pageBreakBefore w:val="0"/>
              <w:widowControl/>
              <w:kinsoku/>
              <w:wordWrap/>
              <w:overflowPunct/>
              <w:topLinePunct w:val="0"/>
              <w:autoSpaceDE/>
              <w:autoSpaceDN/>
              <w:bidi w:val="0"/>
              <w:adjustRightInd/>
              <w:spacing w:beforeAutospacing="0" w:afterAutospacing="0" w:line="360" w:lineRule="auto"/>
              <w:ind w:right="0"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服务质量</w:t>
            </w:r>
            <w:r>
              <w:rPr>
                <w:rFonts w:hint="eastAsia" w:ascii="宋体" w:hAnsi="宋体" w:eastAsia="宋体" w:cs="宋体"/>
                <w:kern w:val="0"/>
                <w:sz w:val="21"/>
                <w:szCs w:val="21"/>
                <w:highlight w:val="none"/>
                <w:lang w:eastAsia="zh-CN"/>
              </w:rPr>
              <w:t>考核</w:t>
            </w:r>
            <w:r>
              <w:rPr>
                <w:rFonts w:hint="eastAsia" w:ascii="宋体" w:hAnsi="宋体" w:eastAsia="宋体" w:cs="宋体"/>
                <w:kern w:val="0"/>
                <w:sz w:val="21"/>
                <w:szCs w:val="21"/>
                <w:highlight w:val="none"/>
              </w:rPr>
              <w:t>得分&lt;60</w:t>
            </w:r>
          </w:p>
        </w:tc>
        <w:tc>
          <w:tcPr>
            <w:tcW w:w="148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EB49597">
            <w:pPr>
              <w:keepNext w:val="0"/>
              <w:keepLines w:val="0"/>
              <w:pageBreakBefore w:val="0"/>
              <w:widowControl/>
              <w:kinsoku/>
              <w:wordWrap/>
              <w:overflowPunct/>
              <w:topLinePunct w:val="0"/>
              <w:autoSpaceDE/>
              <w:autoSpaceDN/>
              <w:bidi w:val="0"/>
              <w:adjustRightInd/>
              <w:spacing w:beforeAutospacing="0" w:afterAutospacing="0" w:line="360" w:lineRule="auto"/>
              <w:ind w:right="0" w:firstLine="0" w:firstLineChars="0"/>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不合格</w:t>
            </w:r>
          </w:p>
        </w:tc>
        <w:tc>
          <w:tcPr>
            <w:tcW w:w="147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EA90D91">
            <w:pPr>
              <w:keepNext w:val="0"/>
              <w:keepLines w:val="0"/>
              <w:pageBreakBefore w:val="0"/>
              <w:widowControl/>
              <w:kinsoku/>
              <w:wordWrap/>
              <w:overflowPunct/>
              <w:topLinePunct w:val="0"/>
              <w:autoSpaceDE/>
              <w:autoSpaceDN/>
              <w:bidi w:val="0"/>
              <w:adjustRightInd/>
              <w:spacing w:beforeAutospacing="0" w:afterAutospacing="0" w:line="360" w:lineRule="auto"/>
              <w:ind w:right="0"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100%</w:t>
            </w:r>
          </w:p>
        </w:tc>
        <w:tc>
          <w:tcPr>
            <w:tcW w:w="222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4791930">
            <w:pPr>
              <w:keepNext w:val="0"/>
              <w:keepLines w:val="0"/>
              <w:pageBreakBefore w:val="0"/>
              <w:widowControl/>
              <w:kinsoku/>
              <w:wordWrap/>
              <w:overflowPunct/>
              <w:topLinePunct w:val="0"/>
              <w:autoSpaceDE/>
              <w:autoSpaceDN/>
              <w:bidi w:val="0"/>
              <w:adjustRightInd/>
              <w:spacing w:beforeAutospacing="0" w:afterAutospacing="0" w:line="360" w:lineRule="auto"/>
              <w:ind w:right="0" w:firstLine="0" w:firstLineChars="0"/>
              <w:jc w:val="center"/>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rPr>
              <w:t xml:space="preserve">100% </w:t>
            </w:r>
            <w:r>
              <w:rPr>
                <w:rFonts w:hint="default" w:ascii="Arial" w:hAnsi="Arial" w:eastAsia="宋体" w:cs="Arial"/>
                <w:b w:val="0"/>
                <w:bCs w:val="0"/>
                <w:kern w:val="0"/>
                <w:sz w:val="21"/>
                <w:szCs w:val="21"/>
                <w:highlight w:val="none"/>
              </w:rPr>
              <w:t>×</w:t>
            </w:r>
            <w:r>
              <w:rPr>
                <w:rFonts w:hint="eastAsia" w:ascii="Arial" w:hAnsi="Arial" w:eastAsia="宋体" w:cs="Arial"/>
                <w:b w:val="0"/>
                <w:bCs w:val="0"/>
                <w:kern w:val="0"/>
                <w:sz w:val="21"/>
                <w:szCs w:val="21"/>
                <w:highlight w:val="none"/>
                <w:lang w:val="en-US" w:eastAsia="zh-CN"/>
              </w:rPr>
              <w:t xml:space="preserve"> </w:t>
            </w:r>
            <w:r>
              <w:rPr>
                <w:rFonts w:hint="eastAsia" w:ascii="宋体" w:hAnsi="宋体" w:eastAsia="宋体" w:cs="宋体"/>
                <w:b w:val="0"/>
                <w:bCs w:val="0"/>
                <w:kern w:val="0"/>
                <w:sz w:val="21"/>
                <w:szCs w:val="21"/>
                <w:highlight w:val="none"/>
                <w:lang w:eastAsia="zh-CN"/>
              </w:rPr>
              <w:t>履约保证金</w:t>
            </w:r>
          </w:p>
        </w:tc>
      </w:tr>
    </w:tbl>
    <w:p w14:paraId="7547AF2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jc w:val="left"/>
        <w:textAlignment w:val="auto"/>
        <w:rPr>
          <w:rFonts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第七条 乙方权利及义务</w:t>
      </w:r>
    </w:p>
    <w:p w14:paraId="676A719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（一）乙方对所提供的服务事项行使必要的管理权，但该管理权的行使不得违背甲方商业利益，且不得违反甲方对完成劳务外包服务事务的要求。</w:t>
      </w:r>
    </w:p>
    <w:p w14:paraId="6D01C46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（二）乙方可依据法律法规及合同约定，对甲方损害乙方服务人员人身、财产利益等行为提出书面意见，进行交涉。</w:t>
      </w:r>
    </w:p>
    <w:p w14:paraId="4959742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（三）乙方应当根据甲方的要求及时推荐、选聘适当的服务人员承担服务工作，乙方不能随意调换其服务人员的工作岗位，更不得随意召回其服务人员（服务人员辞职除外）。</w:t>
      </w:r>
    </w:p>
    <w:p w14:paraId="6BC0BF3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乙方应当按照甲方要求如期提供服务，确保服务人员能按时、按质、按量完成甲方交付的工作任务，并按照双方约定的时间周期定期向甲方书面汇报服务工作情况。对确需变更甲方服务要求的，应当经过甲方书面同意。</w:t>
      </w:r>
    </w:p>
    <w:p w14:paraId="7A30B99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（五）乙方有义务对派往甲方服务人员的工作成果进行监督管理；并有义务就在提供服务期间甲方需要注意的相关事项以书面形式提请甲方注意。</w:t>
      </w:r>
    </w:p>
    <w:p w14:paraId="243F256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（六）因乙方服务人员有关行为造成甲方损失的，</w:t>
      </w:r>
      <w:r>
        <w:rPr>
          <w:rFonts w:hint="eastAsia" w:ascii="宋体" w:hAnsi="宋体" w:eastAsia="宋体" w:cs="宋体"/>
          <w:kern w:val="0"/>
          <w:sz w:val="21"/>
          <w:szCs w:val="21"/>
          <w:highlight w:val="none"/>
          <w:lang w:val="en-US" w:eastAsia="zh-Hans" w:bidi="ar-SA"/>
        </w:rPr>
        <w:t>乙方有义务协助甲方向服务人员进行追偿</w:t>
      </w:r>
      <w:r>
        <w:rPr>
          <w:rFonts w:hint="eastAsia" w:ascii="宋体" w:hAnsi="宋体" w:eastAsia="宋体" w:cs="宋体"/>
          <w:kern w:val="0"/>
          <w:sz w:val="21"/>
          <w:szCs w:val="21"/>
          <w:highlight w:val="none"/>
          <w:lang w:val="en-US" w:eastAsia="zh-CN" w:bidi="ar-SA"/>
        </w:rPr>
        <w:t>。</w:t>
      </w:r>
    </w:p>
    <w:p w14:paraId="1524B83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（七）乙方应当按照甲方对乙方及乙方服务人员完成服务事项的验收情况及意见，及时做出调整，以保证服务事项的执行不受影响。</w:t>
      </w:r>
    </w:p>
    <w:p w14:paraId="395228A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乙方指定专门管理团队或专门人员负责乙方服务人员的日常管理，进行不定时的巡查，及时指导和督促乙方在甲方工作的服务人员按时、按质、按量履行服务，并在甲方需要时，并经双方协商确认后，派专人驻甲方负责乙方服务人员的管理和有关事项的处理，对甲方在管理中遇到的各项问题，及时给予答复并协助解决。</w:t>
      </w:r>
    </w:p>
    <w:p w14:paraId="3735746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乙方负责制定针对为甲方服务的乙方服务人员手册和规章制度，并督促乙方服务人员遵守甲方各项规章制度、业务流程、操作规范、监督机制和风险控制机制，确保在甲方服务的服务人员不断提高工作质量和效率，达到甲方各项工作要求。</w:t>
      </w:r>
    </w:p>
    <w:p w14:paraId="165892F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（十）乙方对服务事项和乙方服务人员具有管理权，在经甲方书面同意后，可根据服务事项的具体情况安排承担工作的人员数量、工作时间、分工、考核标准、奖惩措施及薪酬福利待遇。</w:t>
      </w:r>
    </w:p>
    <w:p w14:paraId="2B5EB00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乙方应与乙方服务人员及时签订符合法律规定的劳动合同，并依据国家及广西壮族自治区的有关规定为其服务人员缴纳各项社会保险及协助办理各项社会保险待遇，如相关社会保险待遇费用由社会保险或医疗保险经办机构转至乙方公司对公账户后，乙方与甲方协商确认并由甲方出具待遇费用处理通知函告。乙方向甲方承诺其与乙方服务人员签订的劳动合同真实有效。</w:t>
      </w:r>
    </w:p>
    <w:p w14:paraId="32E535E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（十二）乙方负责与其服务人员订立保密协议，要求乙方服务人员保守因履行合同义务而获知的甲方保密信息。</w:t>
      </w:r>
    </w:p>
    <w:p w14:paraId="54ABC4F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（十三）乙方应当保守甲方相关工作秘密，乙方及乙方的服务人员对于甲方的业务需求、技术资料、客户信息、数据、保密信息等负有保密义务。</w:t>
      </w:r>
    </w:p>
    <w:p w14:paraId="5B35010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（十四）在合同履行期间及工作成果提交后，对甲方有关服务内容的任何问题，乙方有义务提供免费咨询。</w:t>
      </w:r>
    </w:p>
    <w:p w14:paraId="527114C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（十五）乙方服务人员因服务项目的需要而出差的，乙方有权要求甲方另行支付差旅费，并有权要求甲方参照甲方制度为乙方服务人员支付相应出差补贴费用。</w:t>
      </w:r>
    </w:p>
    <w:p w14:paraId="34D068A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hint="default" w:ascii="宋体" w:hAnsi="宋体" w:eastAsia="宋体" w:cs="宋体"/>
          <w:kern w:val="0"/>
          <w:sz w:val="21"/>
          <w:szCs w:val="21"/>
          <w:highlight w:val="yellow"/>
          <w:lang w:val="en-US" w:eastAsia="zh-CN" w:bidi="ar-SA"/>
        </w:rPr>
      </w:pPr>
      <w:r>
        <w:rPr>
          <w:rFonts w:hint="eastAsia" w:ascii="宋体" w:hAnsi="宋体" w:eastAsia="宋体" w:cs="宋体"/>
          <w:kern w:val="0"/>
          <w:sz w:val="21"/>
          <w:szCs w:val="21"/>
          <w:highlight w:val="none"/>
          <w:lang w:val="en-US" w:eastAsia="zh-CN" w:bidi="ar-SA"/>
        </w:rPr>
        <w:t>（十六）乙方应无条件接受甲方对其进行服务质量考核，不得以任何理由拒绝甲方考核。乙方对考核结果有异议的，应在10个工作日内向甲方书面提出复议。</w:t>
      </w:r>
    </w:p>
    <w:p w14:paraId="4FB9E4B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0" w:firstLineChars="0"/>
        <w:jc w:val="left"/>
        <w:textAlignment w:val="auto"/>
        <w:rPr>
          <w:rFonts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第八条 违约责任</w:t>
      </w:r>
    </w:p>
    <w:p w14:paraId="67B3635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（一）甲乙双方未按合同约定履行义务而导致对方蒙受损失的，应赔偿对方损失。</w:t>
      </w:r>
    </w:p>
    <w:p w14:paraId="1551E71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（二）因国家、自治区或甲方劳务用工政策变化而导致合同不能正常履行需提前终止的，由双方通过友好协商解决。</w:t>
      </w:r>
    </w:p>
    <w:p w14:paraId="2A92AC6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（三）在合同履行过程中，如乙方不能按照合同约定提供所需服务内容及确保服务质量，造成甲方损失的，应根据当月服务费总额的30%向甲方支付违约金，违约金甲方有权从当月支付乙方的服务费用中扣除。</w:t>
      </w:r>
    </w:p>
    <w:p w14:paraId="6D0889F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（四）在合同履行过程中，如乙方不能按照合同约定提供所需服务内容及确保服务质量的，且在收到甲方考核意见后30日内仍未能采取相应措施保证服务事项顺利开展的，甲方有权立即解除合同。</w:t>
      </w:r>
    </w:p>
    <w:p w14:paraId="1BFD4E0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b/>
          <w:bCs/>
          <w:kern w:val="0"/>
          <w:sz w:val="21"/>
          <w:szCs w:val="21"/>
          <w:lang w:val="en-US" w:eastAsia="zh-CN" w:bidi="ar-SA"/>
        </w:rPr>
      </w:pPr>
      <w:r>
        <w:rPr>
          <w:rFonts w:hint="eastAsia" w:ascii="宋体" w:hAnsi="宋体" w:eastAsia="宋体" w:cs="宋体"/>
          <w:kern w:val="0"/>
          <w:sz w:val="21"/>
          <w:szCs w:val="21"/>
          <w:lang w:val="en-US" w:eastAsia="zh-CN" w:bidi="ar-SA"/>
        </w:rPr>
        <w:t>（五）甲方不履行合同义务，且在乙方书面通知后30日内仍不履行的，乙方有权立即解除合同。合同解除后，甲乙双方按合同第六条（八）5款和其他约定结算后，甲方应向乙方支付已实际产生的全部费用。</w:t>
      </w:r>
    </w:p>
    <w:p w14:paraId="036FA5B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jc w:val="left"/>
        <w:textAlignment w:val="auto"/>
        <w:rPr>
          <w:rFonts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第九条 不可抗拒力事件处理</w:t>
      </w:r>
    </w:p>
    <w:p w14:paraId="518A471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（一）在合同有效期内，任何一方因不可抗力事件导致不能履行合同，则合同履行期可双方协商延长，其延长期与不可抗力影响期相同。</w:t>
      </w:r>
    </w:p>
    <w:p w14:paraId="79E6ADA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（二）不可抗力事件发生后，应立即通知对方，并寄送有关权威机构出具的证明。</w:t>
      </w:r>
    </w:p>
    <w:p w14:paraId="1E12D3E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（三）不可抗力事件延续一百二十天以上，双方应通过友好协商，确定是否继续履行合同。</w:t>
      </w:r>
    </w:p>
    <w:p w14:paraId="68772FA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jc w:val="left"/>
        <w:textAlignment w:val="auto"/>
        <w:rPr>
          <w:rFonts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第十条 合同争议解决</w:t>
      </w:r>
    </w:p>
    <w:p w14:paraId="18D9851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因履行本合同引起的或与本合同有关的争议，甲乙双方应首先通过友好协商解决，如果协商不能解决，向南宁仲裁委员会申请仲裁。</w:t>
      </w:r>
    </w:p>
    <w:p w14:paraId="3F985B0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jc w:val="left"/>
        <w:textAlignment w:val="auto"/>
        <w:rPr>
          <w:rFonts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第十一条 合同生效及其它</w:t>
      </w:r>
    </w:p>
    <w:p w14:paraId="380E0A2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（一）合同经双方法定代表人或授权代表签字并加盖单位公章后生效。</w:t>
      </w:r>
    </w:p>
    <w:p w14:paraId="2FD51AD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（二）本合同可能涉及的由甲方承担的有关乙方服务人员的经济补偿金或赔偿金</w:t>
      </w:r>
      <w:r>
        <w:rPr>
          <w:rFonts w:hint="eastAsia" w:ascii="宋体" w:hAnsi="宋体" w:cs="宋体"/>
          <w:kern w:val="0"/>
          <w:sz w:val="21"/>
          <w:szCs w:val="21"/>
          <w:highlight w:val="none"/>
          <w:lang w:val="en-US" w:eastAsia="zh-CN" w:bidi="ar-SA"/>
        </w:rPr>
        <w:t>等费用包含在本合同金额范围内</w:t>
      </w:r>
      <w:r>
        <w:rPr>
          <w:rFonts w:hint="eastAsia" w:ascii="宋体" w:hAnsi="宋体" w:eastAsia="宋体" w:cs="宋体"/>
          <w:kern w:val="0"/>
          <w:sz w:val="21"/>
          <w:szCs w:val="21"/>
          <w:highlight w:val="none"/>
          <w:lang w:val="en-US" w:eastAsia="zh-CN" w:bidi="ar-SA"/>
        </w:rPr>
        <w:t>，在实际发生时由乙方从本合同金额</w:t>
      </w:r>
      <w:r>
        <w:rPr>
          <w:rFonts w:hint="eastAsia" w:ascii="宋体" w:hAnsi="宋体" w:cs="宋体"/>
          <w:kern w:val="0"/>
          <w:sz w:val="21"/>
          <w:szCs w:val="21"/>
          <w:highlight w:val="none"/>
          <w:lang w:val="en-US" w:eastAsia="zh-CN" w:bidi="ar-SA"/>
        </w:rPr>
        <w:t>中</w:t>
      </w:r>
      <w:r>
        <w:rPr>
          <w:rFonts w:hint="eastAsia" w:ascii="宋体" w:hAnsi="宋体" w:eastAsia="宋体" w:cs="宋体"/>
          <w:kern w:val="0"/>
          <w:sz w:val="21"/>
          <w:szCs w:val="21"/>
          <w:highlight w:val="none"/>
          <w:lang w:val="en-US" w:eastAsia="zh-CN" w:bidi="ar-SA"/>
        </w:rPr>
        <w:t>支付，如费用不足以支付时，由</w:t>
      </w:r>
      <w:r>
        <w:rPr>
          <w:rFonts w:hint="eastAsia" w:ascii="宋体" w:hAnsi="宋体" w:cs="宋体"/>
          <w:kern w:val="0"/>
          <w:sz w:val="21"/>
          <w:szCs w:val="21"/>
          <w:highlight w:val="none"/>
          <w:lang w:val="en-US" w:eastAsia="zh-CN" w:bidi="ar-SA"/>
        </w:rPr>
        <w:t>甲乙双方另行结算</w:t>
      </w:r>
      <w:r>
        <w:rPr>
          <w:rFonts w:hint="eastAsia" w:ascii="宋体" w:hAnsi="宋体" w:eastAsia="宋体" w:cs="宋体"/>
          <w:kern w:val="0"/>
          <w:sz w:val="21"/>
          <w:szCs w:val="21"/>
          <w:highlight w:val="none"/>
          <w:lang w:val="en-US" w:eastAsia="zh-CN" w:bidi="ar-SA"/>
        </w:rPr>
        <w:t>。（经济补偿金：指服务人员非因本人意愿解除劳动合同而产生的乙方依法需支付给该服务人员的货币补偿，或者服务人员的劳动合同到期后乙方决定不与该人员续签劳动合同而产生的乙方依法需支付给该服务人员的货币补偿，其工作年限按其在甲方承担服务工作的连续工龄计算。）</w:t>
      </w:r>
    </w:p>
    <w:p w14:paraId="19AE64F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b/>
          <w:bCs/>
          <w:kern w:val="0"/>
          <w:sz w:val="21"/>
          <w:szCs w:val="21"/>
          <w:lang w:val="en-US" w:eastAsia="zh-CN" w:bidi="ar-SA"/>
        </w:rPr>
      </w:pPr>
      <w:r>
        <w:rPr>
          <w:rFonts w:hint="eastAsia" w:ascii="宋体" w:hAnsi="宋体" w:eastAsia="宋体" w:cs="宋体"/>
          <w:kern w:val="0"/>
          <w:sz w:val="21"/>
          <w:szCs w:val="21"/>
          <w:lang w:val="en-US" w:eastAsia="zh-CN" w:bidi="ar-SA"/>
        </w:rPr>
        <w:t>（三）本合同未尽事宜，遵照《中华人民共和国民法典》有关条文执行。</w:t>
      </w:r>
    </w:p>
    <w:p w14:paraId="1507DFD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jc w:val="left"/>
        <w:textAlignment w:val="auto"/>
        <w:rPr>
          <w:rFonts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第十二条 合同的变更、终止与转让</w:t>
      </w:r>
    </w:p>
    <w:p w14:paraId="41169F3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（一）除《中华人民共和国政府采购法》第五十条规定的情形外，本合同一经签订，甲乙双方不得擅自变更、中止或终止。</w:t>
      </w:r>
    </w:p>
    <w:p w14:paraId="7DE801E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（二）乙方不得擅自转让其应履行的合同义务。</w:t>
      </w:r>
    </w:p>
    <w:p w14:paraId="05ABEE3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（三）合同执行中涉及采购资金和采购内容修改或补充的，须经财政部门审批，并签书面补充协议报财政部门备案，方可作为主合同不可分割的一部分。</w:t>
      </w:r>
    </w:p>
    <w:p w14:paraId="3EF0BB2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jc w:val="left"/>
        <w:textAlignment w:val="auto"/>
        <w:rPr>
          <w:rFonts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第十三条 签订本合同依据</w:t>
      </w:r>
    </w:p>
    <w:p w14:paraId="78A0505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（一）采购文件。</w:t>
      </w:r>
    </w:p>
    <w:p w14:paraId="3C01EFC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（二）乙方的响应文件。</w:t>
      </w:r>
    </w:p>
    <w:p w14:paraId="682CC21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（四）成交通知书。</w:t>
      </w:r>
    </w:p>
    <w:p w14:paraId="7A9FFDE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jc w:val="left"/>
        <w:textAlignment w:val="auto"/>
        <w:rPr>
          <w:rFonts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 xml:space="preserve">第十四条 </w:t>
      </w:r>
    </w:p>
    <w:p w14:paraId="70F04AC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本合同一式  份，具有同等法律效力，甲方四份、乙方  份、采购代理机构  份。</w:t>
      </w:r>
    </w:p>
    <w:p w14:paraId="40F5A58D">
      <w:pPr>
        <w:pStyle w:val="19"/>
        <w:rPr>
          <w:lang w:val="en-US" w:eastAsia="zh-CN"/>
        </w:rPr>
      </w:pPr>
    </w:p>
    <w:tbl>
      <w:tblPr>
        <w:tblStyle w:val="26"/>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4"/>
        <w:gridCol w:w="4515"/>
      </w:tblGrid>
      <w:tr w14:paraId="7C2EB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2" w:hRule="atLeast"/>
          <w:jc w:val="center"/>
        </w:trPr>
        <w:tc>
          <w:tcPr>
            <w:tcW w:w="5004" w:type="dxa"/>
            <w:noWrap w:val="0"/>
            <w:vAlign w:val="center"/>
          </w:tcPr>
          <w:p w14:paraId="667799D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right="0"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甲方（公章）：</w:t>
            </w:r>
          </w:p>
          <w:p w14:paraId="1968530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right="0" w:firstLine="420" w:firstLineChars="200"/>
              <w:jc w:val="both"/>
              <w:textAlignment w:val="auto"/>
              <w:rPr>
                <w:rFonts w:ascii="宋体" w:hAnsi="宋体" w:eastAsia="宋体" w:cs="宋体"/>
                <w:sz w:val="21"/>
                <w:szCs w:val="21"/>
              </w:rPr>
            </w:pPr>
          </w:p>
          <w:p w14:paraId="7B56AD9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right="0" w:firstLine="480" w:firstLineChars="0"/>
              <w:jc w:val="both"/>
              <w:textAlignment w:val="auto"/>
              <w:rPr>
                <w:rFonts w:ascii="宋体" w:hAnsi="宋体" w:eastAsia="宋体" w:cs="宋体"/>
                <w:sz w:val="21"/>
                <w:szCs w:val="21"/>
              </w:rPr>
            </w:pPr>
            <w:r>
              <w:rPr>
                <w:rFonts w:hint="eastAsia" w:ascii="宋体" w:hAnsi="宋体" w:eastAsia="宋体" w:cs="宋体"/>
                <w:sz w:val="21"/>
                <w:szCs w:val="21"/>
              </w:rPr>
              <w:t xml:space="preserve">           </w:t>
            </w:r>
          </w:p>
          <w:p w14:paraId="715C193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right="0" w:firstLine="945" w:firstLineChars="450"/>
              <w:jc w:val="right"/>
              <w:textAlignment w:val="auto"/>
              <w:rPr>
                <w:rFonts w:ascii="宋体" w:hAnsi="宋体" w:eastAsia="宋体" w:cs="宋体"/>
                <w:sz w:val="21"/>
                <w:szCs w:val="21"/>
              </w:rPr>
            </w:pP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w:t>
            </w:r>
          </w:p>
        </w:tc>
        <w:tc>
          <w:tcPr>
            <w:tcW w:w="4515" w:type="dxa"/>
            <w:noWrap w:val="0"/>
            <w:vAlign w:val="center"/>
          </w:tcPr>
          <w:p w14:paraId="4DCE4BC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righ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乙方（公章）：</w:t>
            </w:r>
          </w:p>
          <w:p w14:paraId="320B9E1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right="0" w:firstLine="420" w:firstLineChars="200"/>
              <w:jc w:val="both"/>
              <w:textAlignment w:val="auto"/>
              <w:rPr>
                <w:rFonts w:ascii="宋体" w:hAnsi="宋体" w:eastAsia="宋体" w:cs="宋体"/>
                <w:sz w:val="21"/>
                <w:szCs w:val="21"/>
              </w:rPr>
            </w:pPr>
          </w:p>
          <w:p w14:paraId="12253EA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right="0" w:firstLine="480" w:firstLineChars="0"/>
              <w:jc w:val="both"/>
              <w:textAlignment w:val="auto"/>
              <w:rPr>
                <w:rFonts w:ascii="宋体" w:hAnsi="宋体" w:eastAsia="宋体" w:cs="宋体"/>
                <w:sz w:val="21"/>
                <w:szCs w:val="21"/>
              </w:rPr>
            </w:pPr>
            <w:r>
              <w:rPr>
                <w:rFonts w:hint="eastAsia" w:ascii="宋体" w:hAnsi="宋体" w:eastAsia="宋体" w:cs="宋体"/>
                <w:sz w:val="21"/>
                <w:szCs w:val="21"/>
              </w:rPr>
              <w:t xml:space="preserve">              </w:t>
            </w:r>
          </w:p>
          <w:p w14:paraId="0E576F5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right="0" w:firstLine="480" w:firstLineChars="0"/>
              <w:jc w:val="right"/>
              <w:textAlignment w:val="auto"/>
              <w:rPr>
                <w:rFonts w:ascii="宋体" w:hAnsi="宋体" w:eastAsia="宋体" w:cs="宋体"/>
                <w:sz w:val="21"/>
                <w:szCs w:val="21"/>
              </w:rPr>
            </w:pPr>
            <w:r>
              <w:rPr>
                <w:rFonts w:hint="eastAsia" w:ascii="宋体" w:hAnsi="宋体" w:eastAsia="宋体" w:cs="宋体"/>
                <w:sz w:val="21"/>
                <w:szCs w:val="21"/>
              </w:rPr>
              <w:t xml:space="preserve"> 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w:t>
            </w:r>
          </w:p>
        </w:tc>
      </w:tr>
      <w:tr w14:paraId="2C5C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exact"/>
          <w:jc w:val="center"/>
        </w:trPr>
        <w:tc>
          <w:tcPr>
            <w:tcW w:w="5004" w:type="dxa"/>
            <w:noWrap w:val="0"/>
            <w:vAlign w:val="center"/>
          </w:tcPr>
          <w:p w14:paraId="6CE97C1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right="0" w:firstLine="0" w:firstLineChars="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rPr>
              <w:t>地址：</w:t>
            </w:r>
          </w:p>
        </w:tc>
        <w:tc>
          <w:tcPr>
            <w:tcW w:w="4515" w:type="dxa"/>
            <w:noWrap w:val="0"/>
            <w:vAlign w:val="center"/>
          </w:tcPr>
          <w:p w14:paraId="711027F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right="0" w:firstLine="0" w:firstLineChars="0"/>
              <w:jc w:val="both"/>
              <w:textAlignment w:val="auto"/>
              <w:rPr>
                <w:rFonts w:ascii="宋体" w:hAnsi="宋体" w:eastAsia="宋体" w:cs="宋体"/>
                <w:sz w:val="21"/>
                <w:szCs w:val="21"/>
              </w:rPr>
            </w:pPr>
            <w:r>
              <w:rPr>
                <w:rFonts w:hint="eastAsia" w:ascii="宋体" w:hAnsi="宋体" w:eastAsia="宋体" w:cs="宋体"/>
                <w:sz w:val="21"/>
                <w:szCs w:val="21"/>
              </w:rPr>
              <w:t>地址：</w:t>
            </w:r>
          </w:p>
        </w:tc>
      </w:tr>
      <w:tr w14:paraId="0CB6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exact"/>
          <w:jc w:val="center"/>
        </w:trPr>
        <w:tc>
          <w:tcPr>
            <w:tcW w:w="5004" w:type="dxa"/>
            <w:noWrap w:val="0"/>
            <w:vAlign w:val="center"/>
          </w:tcPr>
          <w:p w14:paraId="0174ECD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right="0" w:firstLine="0" w:firstLineChars="0"/>
              <w:jc w:val="both"/>
              <w:textAlignment w:val="auto"/>
              <w:rPr>
                <w:rFonts w:ascii="宋体" w:hAnsi="宋体" w:eastAsia="宋体" w:cs="宋体"/>
                <w:sz w:val="21"/>
                <w:szCs w:val="21"/>
              </w:rPr>
            </w:pPr>
            <w:r>
              <w:rPr>
                <w:rFonts w:hint="eastAsia" w:ascii="宋体" w:hAnsi="宋体" w:eastAsia="宋体" w:cs="宋体"/>
                <w:sz w:val="21"/>
                <w:szCs w:val="21"/>
              </w:rPr>
              <w:t>法定代表人或委托代理人：</w:t>
            </w:r>
          </w:p>
        </w:tc>
        <w:tc>
          <w:tcPr>
            <w:tcW w:w="4515" w:type="dxa"/>
            <w:noWrap w:val="0"/>
            <w:vAlign w:val="center"/>
          </w:tcPr>
          <w:p w14:paraId="76A30DA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right="0" w:firstLine="0" w:firstLineChars="0"/>
              <w:jc w:val="both"/>
              <w:textAlignment w:val="auto"/>
              <w:rPr>
                <w:rFonts w:ascii="宋体" w:hAnsi="宋体" w:eastAsia="宋体" w:cs="宋体"/>
                <w:sz w:val="21"/>
                <w:szCs w:val="21"/>
              </w:rPr>
            </w:pPr>
            <w:r>
              <w:rPr>
                <w:rFonts w:hint="eastAsia" w:ascii="宋体" w:hAnsi="宋体" w:eastAsia="宋体" w:cs="宋体"/>
                <w:sz w:val="21"/>
                <w:szCs w:val="21"/>
              </w:rPr>
              <w:t>法定代表人或委托代理人：</w:t>
            </w:r>
          </w:p>
        </w:tc>
      </w:tr>
      <w:tr w14:paraId="2AF6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exact"/>
          <w:jc w:val="center"/>
        </w:trPr>
        <w:tc>
          <w:tcPr>
            <w:tcW w:w="5004" w:type="dxa"/>
            <w:noWrap w:val="0"/>
            <w:vAlign w:val="center"/>
          </w:tcPr>
          <w:p w14:paraId="26172AD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right="0" w:firstLine="0" w:firstLineChars="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rPr>
              <w:t>电话：</w:t>
            </w:r>
          </w:p>
        </w:tc>
        <w:tc>
          <w:tcPr>
            <w:tcW w:w="4515" w:type="dxa"/>
            <w:noWrap w:val="0"/>
            <w:vAlign w:val="center"/>
          </w:tcPr>
          <w:p w14:paraId="3DAB615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right="0" w:firstLine="0" w:firstLineChars="0"/>
              <w:jc w:val="both"/>
              <w:textAlignment w:val="auto"/>
              <w:rPr>
                <w:rFonts w:ascii="宋体" w:hAnsi="宋体" w:eastAsia="宋体" w:cs="宋体"/>
                <w:sz w:val="21"/>
                <w:szCs w:val="21"/>
              </w:rPr>
            </w:pPr>
            <w:r>
              <w:rPr>
                <w:rFonts w:hint="eastAsia" w:ascii="宋体" w:hAnsi="宋体" w:eastAsia="宋体" w:cs="宋体"/>
                <w:sz w:val="21"/>
                <w:szCs w:val="21"/>
              </w:rPr>
              <w:t>电话：</w:t>
            </w:r>
          </w:p>
        </w:tc>
      </w:tr>
      <w:tr w14:paraId="0BDF2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exact"/>
          <w:jc w:val="center"/>
        </w:trPr>
        <w:tc>
          <w:tcPr>
            <w:tcW w:w="5004" w:type="dxa"/>
            <w:noWrap w:val="0"/>
            <w:vAlign w:val="center"/>
          </w:tcPr>
          <w:p w14:paraId="75B6A9D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right="0" w:firstLine="0" w:firstLineChars="0"/>
              <w:jc w:val="both"/>
              <w:textAlignment w:val="auto"/>
              <w:rPr>
                <w:rFonts w:ascii="宋体" w:hAnsi="宋体" w:eastAsia="宋体" w:cs="宋体"/>
                <w:sz w:val="21"/>
                <w:szCs w:val="21"/>
              </w:rPr>
            </w:pPr>
            <w:r>
              <w:rPr>
                <w:rFonts w:hint="eastAsia" w:ascii="宋体" w:hAnsi="宋体" w:eastAsia="宋体" w:cs="宋体"/>
                <w:sz w:val="21"/>
                <w:szCs w:val="21"/>
              </w:rPr>
              <w:t>电子邮箱：</w:t>
            </w:r>
          </w:p>
        </w:tc>
        <w:tc>
          <w:tcPr>
            <w:tcW w:w="4515" w:type="dxa"/>
            <w:noWrap w:val="0"/>
            <w:vAlign w:val="center"/>
          </w:tcPr>
          <w:p w14:paraId="44CBF39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right="0" w:firstLine="0" w:firstLineChars="0"/>
              <w:jc w:val="both"/>
              <w:textAlignment w:val="auto"/>
              <w:rPr>
                <w:rFonts w:ascii="宋体" w:hAnsi="宋体" w:eastAsia="宋体" w:cs="宋体"/>
                <w:sz w:val="21"/>
                <w:szCs w:val="21"/>
              </w:rPr>
            </w:pPr>
            <w:r>
              <w:rPr>
                <w:rFonts w:hint="eastAsia" w:ascii="宋体" w:hAnsi="宋体" w:eastAsia="宋体" w:cs="宋体"/>
                <w:sz w:val="21"/>
                <w:szCs w:val="21"/>
              </w:rPr>
              <w:t>电子邮箱：</w:t>
            </w:r>
          </w:p>
        </w:tc>
      </w:tr>
      <w:tr w14:paraId="64031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exact"/>
          <w:jc w:val="center"/>
        </w:trPr>
        <w:tc>
          <w:tcPr>
            <w:tcW w:w="5004" w:type="dxa"/>
            <w:noWrap w:val="0"/>
            <w:vAlign w:val="center"/>
          </w:tcPr>
          <w:p w14:paraId="564D614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right="0" w:firstLine="0" w:firstLineChars="0"/>
              <w:jc w:val="both"/>
              <w:textAlignment w:val="auto"/>
              <w:rPr>
                <w:rFonts w:ascii="宋体" w:hAnsi="宋体" w:eastAsia="宋体" w:cs="宋体"/>
                <w:sz w:val="21"/>
                <w:szCs w:val="21"/>
              </w:rPr>
            </w:pPr>
            <w:r>
              <w:rPr>
                <w:rFonts w:hint="eastAsia" w:ascii="宋体" w:hAnsi="宋体" w:eastAsia="宋体" w:cs="宋体"/>
                <w:sz w:val="21"/>
                <w:szCs w:val="21"/>
              </w:rPr>
              <w:t>开户银行：</w:t>
            </w:r>
          </w:p>
        </w:tc>
        <w:tc>
          <w:tcPr>
            <w:tcW w:w="4515" w:type="dxa"/>
            <w:noWrap w:val="0"/>
            <w:vAlign w:val="center"/>
          </w:tcPr>
          <w:p w14:paraId="1FD922B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right="0" w:firstLine="0" w:firstLineChars="0"/>
              <w:jc w:val="both"/>
              <w:textAlignment w:val="auto"/>
              <w:rPr>
                <w:rFonts w:ascii="宋体" w:hAnsi="宋体" w:eastAsia="宋体" w:cs="宋体"/>
                <w:sz w:val="21"/>
                <w:szCs w:val="21"/>
              </w:rPr>
            </w:pPr>
            <w:r>
              <w:rPr>
                <w:rFonts w:hint="eastAsia" w:ascii="宋体" w:hAnsi="宋体" w:eastAsia="宋体" w:cs="宋体"/>
                <w:sz w:val="21"/>
                <w:szCs w:val="21"/>
              </w:rPr>
              <w:t>开户银行：</w:t>
            </w:r>
          </w:p>
        </w:tc>
      </w:tr>
      <w:tr w14:paraId="59EC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exact"/>
          <w:jc w:val="center"/>
        </w:trPr>
        <w:tc>
          <w:tcPr>
            <w:tcW w:w="5004" w:type="dxa"/>
            <w:noWrap w:val="0"/>
            <w:vAlign w:val="center"/>
          </w:tcPr>
          <w:p w14:paraId="1BD47FB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right="0" w:firstLine="0" w:firstLineChars="0"/>
              <w:jc w:val="both"/>
              <w:textAlignment w:val="auto"/>
              <w:rPr>
                <w:rFonts w:ascii="宋体" w:hAnsi="宋体" w:eastAsia="宋体" w:cs="宋体"/>
                <w:sz w:val="21"/>
                <w:szCs w:val="21"/>
              </w:rPr>
            </w:pPr>
            <w:r>
              <w:rPr>
                <w:rFonts w:hint="eastAsia" w:ascii="宋体" w:hAnsi="宋体" w:eastAsia="宋体" w:cs="宋体"/>
                <w:sz w:val="21"/>
                <w:szCs w:val="21"/>
              </w:rPr>
              <w:t>账号：</w:t>
            </w:r>
          </w:p>
        </w:tc>
        <w:tc>
          <w:tcPr>
            <w:tcW w:w="4515" w:type="dxa"/>
            <w:noWrap w:val="0"/>
            <w:vAlign w:val="center"/>
          </w:tcPr>
          <w:p w14:paraId="51BDE62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right="0" w:firstLine="0" w:firstLineChars="0"/>
              <w:jc w:val="both"/>
              <w:textAlignment w:val="auto"/>
              <w:rPr>
                <w:rFonts w:ascii="宋体" w:hAnsi="宋体" w:eastAsia="宋体" w:cs="宋体"/>
                <w:sz w:val="21"/>
                <w:szCs w:val="21"/>
              </w:rPr>
            </w:pPr>
            <w:r>
              <w:rPr>
                <w:rFonts w:hint="eastAsia" w:ascii="宋体" w:hAnsi="宋体" w:eastAsia="宋体" w:cs="宋体"/>
                <w:sz w:val="21"/>
                <w:szCs w:val="21"/>
              </w:rPr>
              <w:t>账号：</w:t>
            </w:r>
          </w:p>
        </w:tc>
      </w:tr>
      <w:tr w14:paraId="0EFDE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exact"/>
          <w:jc w:val="center"/>
        </w:trPr>
        <w:tc>
          <w:tcPr>
            <w:tcW w:w="5004" w:type="dxa"/>
            <w:noWrap w:val="0"/>
            <w:vAlign w:val="center"/>
          </w:tcPr>
          <w:p w14:paraId="2C0D1C1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right="0" w:firstLine="0" w:firstLineChars="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rPr>
              <w:t>邮政编码：</w:t>
            </w:r>
          </w:p>
        </w:tc>
        <w:tc>
          <w:tcPr>
            <w:tcW w:w="4515" w:type="dxa"/>
            <w:noWrap w:val="0"/>
            <w:vAlign w:val="center"/>
          </w:tcPr>
          <w:p w14:paraId="59DD11B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right="0" w:firstLine="0" w:firstLineChars="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rPr>
              <w:t>邮政编码：</w:t>
            </w:r>
          </w:p>
        </w:tc>
      </w:tr>
      <w:tr w14:paraId="5253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exact"/>
          <w:jc w:val="center"/>
        </w:trPr>
        <w:tc>
          <w:tcPr>
            <w:tcW w:w="5004" w:type="dxa"/>
            <w:noWrap w:val="0"/>
            <w:vAlign w:val="center"/>
          </w:tcPr>
          <w:p w14:paraId="529ED70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right="0" w:firstLine="0" w:firstLineChars="0"/>
              <w:jc w:val="both"/>
              <w:textAlignment w:val="auto"/>
              <w:rPr>
                <w:rFonts w:ascii="宋体" w:hAnsi="宋体" w:eastAsia="宋体" w:cs="宋体"/>
                <w:sz w:val="21"/>
                <w:szCs w:val="21"/>
              </w:rPr>
            </w:pPr>
            <w:r>
              <w:rPr>
                <w:rFonts w:hint="eastAsia" w:ascii="宋体" w:hAnsi="宋体" w:eastAsia="宋体" w:cs="宋体"/>
                <w:sz w:val="21"/>
                <w:szCs w:val="21"/>
              </w:rPr>
              <w:t>统一社会信用代码：</w:t>
            </w:r>
          </w:p>
        </w:tc>
        <w:tc>
          <w:tcPr>
            <w:tcW w:w="4515" w:type="dxa"/>
            <w:noWrap w:val="0"/>
            <w:vAlign w:val="center"/>
          </w:tcPr>
          <w:p w14:paraId="3294A69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right="0" w:firstLine="0" w:firstLineChars="0"/>
              <w:jc w:val="both"/>
              <w:textAlignment w:val="auto"/>
              <w:rPr>
                <w:rFonts w:ascii="宋体" w:hAnsi="宋体" w:eastAsia="宋体" w:cs="宋体"/>
                <w:sz w:val="21"/>
                <w:szCs w:val="21"/>
              </w:rPr>
            </w:pPr>
            <w:r>
              <w:rPr>
                <w:rFonts w:hint="eastAsia" w:ascii="宋体" w:hAnsi="宋体" w:eastAsia="宋体" w:cs="宋体"/>
                <w:sz w:val="21"/>
                <w:szCs w:val="21"/>
              </w:rPr>
              <w:t>统一社会信用代码：</w:t>
            </w:r>
          </w:p>
        </w:tc>
      </w:tr>
    </w:tbl>
    <w:p w14:paraId="6B480C8E">
      <w:pPr>
        <w:keepNext w:val="0"/>
        <w:keepLines w:val="0"/>
        <w:pageBreakBefore w:val="0"/>
        <w:widowControl w:val="0"/>
        <w:kinsoku/>
        <w:wordWrap/>
        <w:overflowPunct/>
        <w:topLinePunct w:val="0"/>
        <w:autoSpaceDE/>
        <w:autoSpaceDN/>
        <w:bidi w:val="0"/>
        <w:adjustRightInd/>
        <w:spacing w:beforeAutospacing="0" w:afterAutospacing="0" w:line="300" w:lineRule="auto"/>
        <w:ind w:right="0" w:firstLine="0" w:firstLineChars="0"/>
        <w:jc w:val="both"/>
        <w:textAlignment w:val="auto"/>
        <w:rPr>
          <w:rFonts w:ascii="Times New Roman" w:hAnsi="Times New Roman" w:eastAsia="宋体" w:cs="Times New Roman"/>
          <w:szCs w:val="24"/>
        </w:rPr>
      </w:pPr>
    </w:p>
    <w:p w14:paraId="4FE88B0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right="0" w:firstLine="0" w:firstLineChars="0"/>
        <w:jc w:val="both"/>
        <w:textAlignment w:val="auto"/>
        <w:rPr>
          <w:rFonts w:hint="eastAsia" w:ascii="宋体" w:hAnsi="宋体" w:eastAsia="宋体" w:cs="宋体"/>
          <w:bCs/>
          <w:color w:val="000000"/>
          <w:sz w:val="24"/>
          <w:szCs w:val="24"/>
          <w:lang w:eastAsia="zh-CN"/>
        </w:rPr>
      </w:pPr>
    </w:p>
    <w:p w14:paraId="4068116E">
      <w:pPr>
        <w:widowControl w:val="0"/>
        <w:snapToGrid w:val="0"/>
        <w:spacing w:line="240" w:lineRule="auto"/>
        <w:ind w:firstLine="0" w:firstLineChars="0"/>
        <w:jc w:val="both"/>
        <w:rPr>
          <w:rFonts w:hint="eastAsia" w:ascii="宋体" w:hAnsi="宋体" w:eastAsia="宋体" w:cs="宋体"/>
          <w:bCs/>
          <w:color w:val="000000"/>
          <w:sz w:val="24"/>
          <w:szCs w:val="24"/>
          <w:lang w:eastAsia="zh-CN"/>
        </w:rPr>
      </w:pPr>
    </w:p>
    <w:p w14:paraId="1A59077F">
      <w:pPr>
        <w:widowControl w:val="0"/>
        <w:snapToGrid w:val="0"/>
        <w:spacing w:line="360" w:lineRule="auto"/>
        <w:ind w:firstLine="0" w:firstLineChars="0"/>
        <w:jc w:val="both"/>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eastAsia="zh-CN"/>
        </w:rPr>
        <w:t>附件：区直住房保障中心劳务外包服务质量考核评价表</w:t>
      </w:r>
    </w:p>
    <w:p w14:paraId="5E35C9B8">
      <w:pPr>
        <w:widowControl w:val="0"/>
        <w:snapToGrid w:val="0"/>
        <w:spacing w:line="360" w:lineRule="auto"/>
        <w:ind w:firstLine="0" w:firstLineChars="0"/>
        <w:jc w:val="center"/>
        <w:rPr>
          <w:rFonts w:hint="eastAsia" w:ascii="方正小标宋简体" w:hAnsi="方正小标宋简体" w:eastAsia="方正小标宋简体" w:cs="方正小标宋简体"/>
          <w:bCs/>
          <w:color w:val="000000"/>
          <w:spacing w:val="-20"/>
          <w:sz w:val="28"/>
          <w:szCs w:val="28"/>
          <w:lang w:val="en-US" w:eastAsia="zh-CN"/>
        </w:rPr>
      </w:pPr>
      <w:r>
        <w:rPr>
          <w:rFonts w:hint="eastAsia" w:ascii="方正小标宋简体" w:hAnsi="方正小标宋简体" w:eastAsia="方正小标宋简体" w:cs="方正小标宋简体"/>
          <w:bCs/>
          <w:color w:val="000000"/>
          <w:spacing w:val="-20"/>
          <w:sz w:val="28"/>
          <w:szCs w:val="28"/>
          <w:lang w:eastAsia="zh-CN"/>
        </w:rPr>
        <w:t>区直住房保障中心劳务外包服务质量考核评价表</w:t>
      </w:r>
    </w:p>
    <w:p w14:paraId="42E31D0B">
      <w:pPr>
        <w:widowControl w:val="0"/>
        <w:snapToGrid w:val="0"/>
        <w:spacing w:line="240" w:lineRule="auto"/>
        <w:ind w:firstLine="0" w:firstLineChars="0"/>
        <w:jc w:val="both"/>
        <w:rPr>
          <w:rFonts w:hint="eastAsia" w:ascii="宋体" w:hAnsi="宋体" w:eastAsia="宋体" w:cs="宋体"/>
          <w:bCs/>
          <w:color w:val="000000"/>
          <w:sz w:val="21"/>
          <w:szCs w:val="21"/>
          <w:lang w:eastAsia="zh-CN"/>
        </w:rPr>
      </w:pPr>
    </w:p>
    <w:p w14:paraId="72EE31DB">
      <w:pPr>
        <w:widowControl w:val="0"/>
        <w:snapToGrid w:val="0"/>
        <w:spacing w:line="240" w:lineRule="auto"/>
        <w:ind w:firstLine="0" w:firstLineChars="0"/>
        <w:jc w:val="both"/>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eastAsia="zh-CN"/>
        </w:rPr>
        <w:t>评价单位：</w:t>
      </w:r>
      <w:r>
        <w:rPr>
          <w:rFonts w:hint="eastAsia" w:ascii="宋体" w:hAnsi="宋体" w:eastAsia="宋体" w:cs="宋体"/>
          <w:bCs/>
          <w:color w:val="000000"/>
          <w:sz w:val="21"/>
          <w:szCs w:val="21"/>
          <w:lang w:val="en-US" w:eastAsia="zh-CN"/>
        </w:rPr>
        <w:t xml:space="preserve">                                                   日期：      年    月    日</w:t>
      </w:r>
    </w:p>
    <w:tbl>
      <w:tblPr>
        <w:tblStyle w:val="27"/>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2980"/>
        <w:gridCol w:w="1117"/>
        <w:gridCol w:w="1094"/>
        <w:gridCol w:w="1168"/>
        <w:gridCol w:w="1267"/>
      </w:tblGrid>
      <w:tr w14:paraId="493E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48" w:type="dxa"/>
            <w:noWrap w:val="0"/>
            <w:vAlign w:val="center"/>
          </w:tcPr>
          <w:p w14:paraId="731484E1">
            <w:pPr>
              <w:widowControl w:val="0"/>
              <w:snapToGrid w:val="0"/>
              <w:spacing w:line="240" w:lineRule="auto"/>
              <w:ind w:firstLine="0" w:firstLineChars="0"/>
              <w:jc w:val="center"/>
              <w:rPr>
                <w:rFonts w:hint="default" w:ascii="宋体" w:hAnsi="宋体" w:eastAsia="宋体" w:cs="宋体"/>
                <w:bCs/>
                <w:color w:val="000000"/>
                <w:sz w:val="21"/>
                <w:szCs w:val="21"/>
                <w:vertAlign w:val="baseline"/>
                <w:lang w:eastAsia="zh-CN"/>
              </w:rPr>
            </w:pPr>
            <w:r>
              <w:rPr>
                <w:rFonts w:hint="eastAsia" w:ascii="宋体" w:hAnsi="宋体" w:eastAsia="宋体" w:cs="宋体"/>
                <w:bCs/>
                <w:color w:val="000000"/>
                <w:sz w:val="21"/>
                <w:szCs w:val="21"/>
                <w:vertAlign w:val="baseline"/>
                <w:lang w:eastAsia="zh-CN"/>
              </w:rPr>
              <w:t>项目名称</w:t>
            </w:r>
          </w:p>
        </w:tc>
        <w:tc>
          <w:tcPr>
            <w:tcW w:w="7626" w:type="dxa"/>
            <w:gridSpan w:val="5"/>
            <w:noWrap w:val="0"/>
            <w:vAlign w:val="center"/>
          </w:tcPr>
          <w:p w14:paraId="0116E237">
            <w:pPr>
              <w:widowControl w:val="0"/>
              <w:snapToGrid w:val="0"/>
              <w:spacing w:line="240" w:lineRule="auto"/>
              <w:ind w:firstLine="0" w:firstLineChars="0"/>
              <w:jc w:val="center"/>
              <w:rPr>
                <w:rFonts w:hint="default" w:ascii="宋体" w:hAnsi="宋体" w:eastAsia="宋体" w:cs="宋体"/>
                <w:bCs/>
                <w:color w:val="000000"/>
                <w:sz w:val="21"/>
                <w:szCs w:val="21"/>
                <w:vertAlign w:val="baseline"/>
                <w:lang w:eastAsia="zh-CN"/>
              </w:rPr>
            </w:pPr>
          </w:p>
        </w:tc>
      </w:tr>
      <w:tr w14:paraId="3063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48" w:type="dxa"/>
            <w:noWrap w:val="0"/>
            <w:vAlign w:val="center"/>
          </w:tcPr>
          <w:p w14:paraId="04FC9B0B">
            <w:pPr>
              <w:widowControl w:val="0"/>
              <w:snapToGrid w:val="0"/>
              <w:spacing w:line="240" w:lineRule="auto"/>
              <w:ind w:firstLine="0" w:firstLineChars="0"/>
              <w:jc w:val="center"/>
              <w:rPr>
                <w:rFonts w:hint="default" w:ascii="宋体" w:hAnsi="宋体" w:eastAsia="宋体" w:cs="宋体"/>
                <w:bCs/>
                <w:color w:val="000000"/>
                <w:sz w:val="21"/>
                <w:szCs w:val="21"/>
                <w:vertAlign w:val="baseline"/>
                <w:lang w:eastAsia="zh-CN"/>
              </w:rPr>
            </w:pPr>
            <w:r>
              <w:rPr>
                <w:rFonts w:hint="eastAsia" w:ascii="宋体" w:hAnsi="宋体" w:eastAsia="宋体" w:cs="宋体"/>
                <w:bCs/>
                <w:color w:val="000000"/>
                <w:sz w:val="21"/>
                <w:szCs w:val="21"/>
                <w:vertAlign w:val="baseline"/>
                <w:lang w:eastAsia="zh-CN"/>
              </w:rPr>
              <w:t>受评单位</w:t>
            </w:r>
          </w:p>
        </w:tc>
        <w:tc>
          <w:tcPr>
            <w:tcW w:w="7626" w:type="dxa"/>
            <w:gridSpan w:val="5"/>
            <w:noWrap w:val="0"/>
            <w:vAlign w:val="center"/>
          </w:tcPr>
          <w:p w14:paraId="5023E514">
            <w:pPr>
              <w:widowControl w:val="0"/>
              <w:snapToGrid w:val="0"/>
              <w:spacing w:line="240" w:lineRule="auto"/>
              <w:ind w:firstLine="0" w:firstLineChars="0"/>
              <w:jc w:val="center"/>
              <w:rPr>
                <w:rFonts w:hint="default" w:ascii="宋体" w:hAnsi="宋体" w:eastAsia="宋体" w:cs="宋体"/>
                <w:bCs/>
                <w:color w:val="000000"/>
                <w:sz w:val="21"/>
                <w:szCs w:val="21"/>
                <w:vertAlign w:val="baseline"/>
                <w:lang w:eastAsia="zh-CN"/>
              </w:rPr>
            </w:pPr>
          </w:p>
        </w:tc>
      </w:tr>
      <w:tr w14:paraId="1D09C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648" w:type="dxa"/>
            <w:noWrap w:val="0"/>
            <w:vAlign w:val="center"/>
          </w:tcPr>
          <w:p w14:paraId="2A86A0EF">
            <w:pPr>
              <w:widowControl w:val="0"/>
              <w:snapToGrid w:val="0"/>
              <w:spacing w:line="240" w:lineRule="auto"/>
              <w:ind w:firstLine="0" w:firstLineChars="0"/>
              <w:jc w:val="center"/>
              <w:rPr>
                <w:rFonts w:hint="default" w:ascii="宋体" w:hAnsi="宋体" w:eastAsia="宋体" w:cs="宋体"/>
                <w:bCs/>
                <w:color w:val="000000"/>
                <w:sz w:val="21"/>
                <w:szCs w:val="21"/>
                <w:vertAlign w:val="baseline"/>
                <w:lang w:eastAsia="zh-CN"/>
              </w:rPr>
            </w:pPr>
            <w:r>
              <w:rPr>
                <w:rFonts w:hint="eastAsia" w:ascii="宋体" w:hAnsi="宋体" w:eastAsia="宋体" w:cs="宋体"/>
                <w:bCs/>
                <w:color w:val="000000"/>
                <w:sz w:val="21"/>
                <w:szCs w:val="21"/>
                <w:vertAlign w:val="baseline"/>
                <w:lang w:eastAsia="zh-CN"/>
              </w:rPr>
              <w:t>评价人</w:t>
            </w:r>
          </w:p>
        </w:tc>
        <w:tc>
          <w:tcPr>
            <w:tcW w:w="4097" w:type="dxa"/>
            <w:gridSpan w:val="2"/>
            <w:noWrap w:val="0"/>
            <w:vAlign w:val="center"/>
          </w:tcPr>
          <w:p w14:paraId="5C528645">
            <w:pPr>
              <w:widowControl w:val="0"/>
              <w:snapToGrid w:val="0"/>
              <w:spacing w:line="240" w:lineRule="auto"/>
              <w:ind w:firstLine="0" w:firstLineChars="0"/>
              <w:jc w:val="center"/>
              <w:rPr>
                <w:rFonts w:hint="default" w:ascii="宋体" w:hAnsi="宋体" w:eastAsia="宋体" w:cs="宋体"/>
                <w:bCs/>
                <w:color w:val="000000"/>
                <w:sz w:val="21"/>
                <w:szCs w:val="21"/>
                <w:vertAlign w:val="baseline"/>
                <w:lang w:eastAsia="zh-CN"/>
              </w:rPr>
            </w:pPr>
          </w:p>
        </w:tc>
        <w:tc>
          <w:tcPr>
            <w:tcW w:w="1094" w:type="dxa"/>
            <w:noWrap w:val="0"/>
            <w:vAlign w:val="center"/>
          </w:tcPr>
          <w:p w14:paraId="0F02611F">
            <w:pPr>
              <w:widowControl w:val="0"/>
              <w:snapToGrid w:val="0"/>
              <w:spacing w:line="240" w:lineRule="auto"/>
              <w:ind w:firstLine="0" w:firstLineChars="0"/>
              <w:jc w:val="center"/>
              <w:rPr>
                <w:rFonts w:hint="default" w:ascii="宋体" w:hAnsi="宋体" w:eastAsia="宋体" w:cs="宋体"/>
                <w:bCs/>
                <w:color w:val="000000"/>
                <w:sz w:val="21"/>
                <w:szCs w:val="21"/>
                <w:vertAlign w:val="baseline"/>
                <w:lang w:eastAsia="zh-CN"/>
              </w:rPr>
            </w:pPr>
            <w:r>
              <w:rPr>
                <w:rFonts w:hint="eastAsia" w:ascii="宋体" w:hAnsi="宋体" w:eastAsia="宋体" w:cs="宋体"/>
                <w:bCs/>
                <w:color w:val="000000"/>
                <w:sz w:val="21"/>
                <w:szCs w:val="21"/>
                <w:vertAlign w:val="baseline"/>
                <w:lang w:eastAsia="zh-CN"/>
              </w:rPr>
              <w:t>电话</w:t>
            </w:r>
          </w:p>
        </w:tc>
        <w:tc>
          <w:tcPr>
            <w:tcW w:w="2435" w:type="dxa"/>
            <w:gridSpan w:val="2"/>
            <w:noWrap w:val="0"/>
            <w:vAlign w:val="center"/>
          </w:tcPr>
          <w:p w14:paraId="0ADB3D8D">
            <w:pPr>
              <w:widowControl w:val="0"/>
              <w:snapToGrid w:val="0"/>
              <w:spacing w:line="240" w:lineRule="auto"/>
              <w:ind w:firstLine="0" w:firstLineChars="0"/>
              <w:jc w:val="center"/>
              <w:rPr>
                <w:rFonts w:hint="default" w:ascii="宋体" w:hAnsi="宋体" w:eastAsia="宋体" w:cs="宋体"/>
                <w:bCs/>
                <w:color w:val="000000"/>
                <w:sz w:val="21"/>
                <w:szCs w:val="21"/>
                <w:vertAlign w:val="baseline"/>
                <w:lang w:eastAsia="zh-CN"/>
              </w:rPr>
            </w:pPr>
          </w:p>
        </w:tc>
      </w:tr>
      <w:tr w14:paraId="75E5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628" w:type="dxa"/>
            <w:gridSpan w:val="2"/>
            <w:noWrap w:val="0"/>
            <w:vAlign w:val="center"/>
          </w:tcPr>
          <w:p w14:paraId="0A3FC19E">
            <w:pPr>
              <w:widowControl w:val="0"/>
              <w:snapToGrid w:val="0"/>
              <w:spacing w:line="240" w:lineRule="auto"/>
              <w:ind w:firstLine="0" w:firstLineChars="0"/>
              <w:jc w:val="center"/>
              <w:rPr>
                <w:rFonts w:hint="default" w:ascii="宋体" w:hAnsi="宋体" w:eastAsia="宋体" w:cs="宋体"/>
                <w:bCs/>
                <w:color w:val="000000"/>
                <w:sz w:val="21"/>
                <w:szCs w:val="21"/>
                <w:vertAlign w:val="baseline"/>
                <w:lang w:eastAsia="zh-CN"/>
              </w:rPr>
            </w:pPr>
            <w:r>
              <w:rPr>
                <w:rFonts w:hint="eastAsia" w:ascii="宋体" w:hAnsi="宋体" w:eastAsia="宋体" w:cs="宋体"/>
                <w:bCs/>
                <w:color w:val="000000"/>
                <w:sz w:val="21"/>
                <w:szCs w:val="21"/>
                <w:vertAlign w:val="baseline"/>
                <w:lang w:eastAsia="zh-CN"/>
              </w:rPr>
              <w:t>评价内容</w:t>
            </w:r>
          </w:p>
        </w:tc>
        <w:tc>
          <w:tcPr>
            <w:tcW w:w="1117" w:type="dxa"/>
            <w:noWrap w:val="0"/>
            <w:vAlign w:val="center"/>
          </w:tcPr>
          <w:p w14:paraId="032D7897">
            <w:pPr>
              <w:widowControl w:val="0"/>
              <w:snapToGrid w:val="0"/>
              <w:spacing w:line="240" w:lineRule="auto"/>
              <w:ind w:firstLine="0" w:firstLineChars="0"/>
              <w:jc w:val="center"/>
              <w:rPr>
                <w:rFonts w:hint="default" w:ascii="宋体" w:hAnsi="宋体" w:eastAsia="宋体" w:cs="宋体"/>
                <w:bCs/>
                <w:color w:val="000000"/>
                <w:sz w:val="21"/>
                <w:szCs w:val="21"/>
                <w:vertAlign w:val="baseline"/>
                <w:lang w:eastAsia="zh-CN"/>
              </w:rPr>
            </w:pPr>
            <w:r>
              <w:rPr>
                <w:rFonts w:hint="eastAsia" w:ascii="宋体" w:hAnsi="宋体" w:eastAsia="宋体" w:cs="宋体"/>
                <w:bCs/>
                <w:color w:val="000000"/>
                <w:sz w:val="21"/>
                <w:szCs w:val="21"/>
                <w:vertAlign w:val="baseline"/>
                <w:lang w:eastAsia="zh-CN"/>
              </w:rPr>
              <w:t>评价标准</w:t>
            </w:r>
          </w:p>
        </w:tc>
        <w:tc>
          <w:tcPr>
            <w:tcW w:w="1094" w:type="dxa"/>
            <w:noWrap w:val="0"/>
            <w:vAlign w:val="center"/>
          </w:tcPr>
          <w:p w14:paraId="1DA9C8C5">
            <w:pPr>
              <w:widowControl w:val="0"/>
              <w:snapToGrid w:val="0"/>
              <w:spacing w:line="240" w:lineRule="auto"/>
              <w:ind w:firstLine="0" w:firstLineChars="0"/>
              <w:jc w:val="center"/>
              <w:rPr>
                <w:rFonts w:hint="default" w:ascii="宋体" w:hAnsi="宋体" w:eastAsia="宋体" w:cs="宋体"/>
                <w:bCs/>
                <w:color w:val="000000"/>
                <w:sz w:val="21"/>
                <w:szCs w:val="21"/>
                <w:vertAlign w:val="baseline"/>
                <w:lang w:eastAsia="zh-CN"/>
              </w:rPr>
            </w:pPr>
            <w:r>
              <w:rPr>
                <w:rFonts w:hint="eastAsia" w:ascii="宋体" w:hAnsi="宋体" w:eastAsia="宋体" w:cs="宋体"/>
                <w:bCs/>
                <w:color w:val="000000"/>
                <w:sz w:val="21"/>
                <w:szCs w:val="21"/>
                <w:vertAlign w:val="baseline"/>
                <w:lang w:eastAsia="zh-CN"/>
              </w:rPr>
              <w:t>自评分</w:t>
            </w:r>
          </w:p>
        </w:tc>
        <w:tc>
          <w:tcPr>
            <w:tcW w:w="1168" w:type="dxa"/>
            <w:noWrap w:val="0"/>
            <w:vAlign w:val="center"/>
          </w:tcPr>
          <w:p w14:paraId="55058B89">
            <w:pPr>
              <w:widowControl w:val="0"/>
              <w:snapToGrid w:val="0"/>
              <w:spacing w:line="240" w:lineRule="auto"/>
              <w:ind w:firstLine="0" w:firstLineChars="0"/>
              <w:jc w:val="center"/>
              <w:rPr>
                <w:rFonts w:hint="default" w:ascii="宋体" w:hAnsi="宋体" w:eastAsia="宋体" w:cs="宋体"/>
                <w:bCs/>
                <w:color w:val="000000"/>
                <w:sz w:val="21"/>
                <w:szCs w:val="21"/>
                <w:vertAlign w:val="baseline"/>
                <w:lang w:eastAsia="zh-CN"/>
              </w:rPr>
            </w:pPr>
            <w:r>
              <w:rPr>
                <w:rFonts w:hint="eastAsia" w:ascii="宋体" w:hAnsi="宋体" w:eastAsia="宋体" w:cs="宋体"/>
                <w:bCs/>
                <w:color w:val="000000"/>
                <w:sz w:val="21"/>
                <w:szCs w:val="21"/>
                <w:vertAlign w:val="baseline"/>
                <w:lang w:eastAsia="zh-CN"/>
              </w:rPr>
              <w:t>考核评价</w:t>
            </w:r>
          </w:p>
        </w:tc>
        <w:tc>
          <w:tcPr>
            <w:tcW w:w="1267" w:type="dxa"/>
            <w:noWrap w:val="0"/>
            <w:vAlign w:val="center"/>
          </w:tcPr>
          <w:p w14:paraId="11635FFC">
            <w:pPr>
              <w:widowControl w:val="0"/>
              <w:snapToGrid w:val="0"/>
              <w:spacing w:line="240" w:lineRule="auto"/>
              <w:ind w:firstLine="0" w:firstLineChars="0"/>
              <w:jc w:val="center"/>
              <w:rPr>
                <w:rFonts w:hint="eastAsia" w:ascii="宋体" w:hAnsi="宋体" w:eastAsia="宋体" w:cs="宋体"/>
                <w:bCs/>
                <w:color w:val="000000"/>
                <w:sz w:val="21"/>
                <w:szCs w:val="21"/>
                <w:vertAlign w:val="baseline"/>
                <w:lang w:eastAsia="zh-CN"/>
              </w:rPr>
            </w:pPr>
            <w:r>
              <w:rPr>
                <w:rFonts w:hint="eastAsia" w:ascii="宋体" w:hAnsi="宋体" w:eastAsia="宋体" w:cs="宋体"/>
                <w:bCs/>
                <w:color w:val="000000"/>
                <w:sz w:val="21"/>
                <w:szCs w:val="21"/>
                <w:vertAlign w:val="baseline"/>
                <w:lang w:eastAsia="zh-CN"/>
              </w:rPr>
              <w:t>评价分数</w:t>
            </w:r>
          </w:p>
        </w:tc>
      </w:tr>
      <w:tr w14:paraId="6C885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648" w:type="dxa"/>
            <w:vMerge w:val="restart"/>
            <w:noWrap w:val="0"/>
            <w:vAlign w:val="center"/>
          </w:tcPr>
          <w:p w14:paraId="7809B3B8">
            <w:pPr>
              <w:widowControl w:val="0"/>
              <w:snapToGrid w:val="0"/>
              <w:spacing w:line="240" w:lineRule="auto"/>
              <w:ind w:firstLine="0" w:firstLineChars="0"/>
              <w:jc w:val="center"/>
              <w:rPr>
                <w:rFonts w:hint="default" w:ascii="宋体" w:hAnsi="宋体" w:eastAsia="宋体" w:cs="宋体"/>
                <w:bCs/>
                <w:color w:val="000000"/>
                <w:sz w:val="21"/>
                <w:szCs w:val="21"/>
                <w:vertAlign w:val="baseline"/>
                <w:lang w:eastAsia="zh-CN"/>
              </w:rPr>
            </w:pPr>
            <w:r>
              <w:rPr>
                <w:rFonts w:hint="default" w:ascii="宋体" w:hAnsi="宋体" w:eastAsia="宋体" w:cs="宋体"/>
                <w:bCs/>
                <w:color w:val="000000"/>
                <w:sz w:val="21"/>
                <w:szCs w:val="21"/>
                <w:vertAlign w:val="baseline"/>
                <w:lang w:eastAsia="zh-CN"/>
              </w:rPr>
              <w:t>一、服务规范</w:t>
            </w:r>
          </w:p>
        </w:tc>
        <w:tc>
          <w:tcPr>
            <w:tcW w:w="2980" w:type="dxa"/>
            <w:noWrap w:val="0"/>
            <w:vAlign w:val="center"/>
          </w:tcPr>
          <w:p w14:paraId="49127143">
            <w:pPr>
              <w:widowControl w:val="0"/>
              <w:snapToGrid w:val="0"/>
              <w:spacing w:line="240" w:lineRule="auto"/>
              <w:ind w:firstLine="0" w:firstLineChars="0"/>
              <w:jc w:val="both"/>
              <w:rPr>
                <w:rFonts w:hint="default" w:ascii="宋体" w:hAnsi="宋体" w:eastAsia="宋体" w:cs="宋体"/>
                <w:bCs/>
                <w:color w:val="000000"/>
                <w:sz w:val="21"/>
                <w:szCs w:val="21"/>
                <w:vertAlign w:val="baseline"/>
                <w:lang w:eastAsia="zh-CN"/>
              </w:rPr>
            </w:pPr>
            <w:r>
              <w:rPr>
                <w:rFonts w:hint="default" w:ascii="宋体" w:hAnsi="宋体" w:eastAsia="宋体" w:cs="宋体"/>
                <w:bCs/>
                <w:color w:val="000000"/>
                <w:sz w:val="21"/>
                <w:szCs w:val="21"/>
                <w:vertAlign w:val="baseline"/>
                <w:lang w:eastAsia="zh-CN"/>
              </w:rPr>
              <w:t>服务能完全满足服务单位需求，有完整、科学、合理、可行性强的实施计划，计划条理清晰。</w:t>
            </w:r>
          </w:p>
        </w:tc>
        <w:tc>
          <w:tcPr>
            <w:tcW w:w="1117" w:type="dxa"/>
            <w:noWrap w:val="0"/>
            <w:vAlign w:val="center"/>
          </w:tcPr>
          <w:p w14:paraId="4D0BB20B">
            <w:pPr>
              <w:widowControl w:val="0"/>
              <w:snapToGrid w:val="0"/>
              <w:spacing w:line="240" w:lineRule="auto"/>
              <w:ind w:firstLine="0" w:firstLineChars="0"/>
              <w:jc w:val="center"/>
              <w:rPr>
                <w:rFonts w:hint="default" w:ascii="宋体" w:hAnsi="宋体" w:eastAsia="宋体" w:cs="宋体"/>
                <w:bCs/>
                <w:color w:val="000000"/>
                <w:sz w:val="21"/>
                <w:szCs w:val="21"/>
                <w:vertAlign w:val="baseline"/>
                <w:lang w:eastAsia="zh-CN"/>
              </w:rPr>
            </w:pPr>
            <w:r>
              <w:rPr>
                <w:rFonts w:hint="default" w:ascii="宋体" w:hAnsi="宋体" w:eastAsia="宋体" w:cs="宋体"/>
                <w:bCs/>
                <w:color w:val="000000"/>
                <w:sz w:val="21"/>
                <w:szCs w:val="21"/>
                <w:vertAlign w:val="baseline"/>
                <w:lang w:eastAsia="zh-CN"/>
              </w:rPr>
              <w:t>15</w:t>
            </w:r>
          </w:p>
          <w:p w14:paraId="2FD53044">
            <w:pPr>
              <w:widowControl w:val="0"/>
              <w:snapToGrid w:val="0"/>
              <w:spacing w:line="240" w:lineRule="auto"/>
              <w:ind w:firstLine="0" w:firstLineChars="0"/>
              <w:jc w:val="center"/>
              <w:rPr>
                <w:rFonts w:hint="default" w:ascii="宋体" w:hAnsi="宋体" w:eastAsia="宋体" w:cs="宋体"/>
                <w:bCs/>
                <w:color w:val="000000"/>
                <w:sz w:val="21"/>
                <w:szCs w:val="21"/>
                <w:vertAlign w:val="baseline"/>
                <w:lang w:eastAsia="zh-CN"/>
              </w:rPr>
            </w:pPr>
          </w:p>
        </w:tc>
        <w:tc>
          <w:tcPr>
            <w:tcW w:w="1094" w:type="dxa"/>
            <w:noWrap w:val="0"/>
            <w:vAlign w:val="center"/>
          </w:tcPr>
          <w:p w14:paraId="5C90227A">
            <w:pPr>
              <w:widowControl w:val="0"/>
              <w:snapToGrid w:val="0"/>
              <w:spacing w:line="240" w:lineRule="auto"/>
              <w:ind w:firstLine="0" w:firstLineChars="0"/>
              <w:jc w:val="center"/>
              <w:rPr>
                <w:rFonts w:hint="default" w:ascii="宋体" w:hAnsi="宋体" w:eastAsia="宋体" w:cs="宋体"/>
                <w:bCs/>
                <w:color w:val="000000"/>
                <w:sz w:val="21"/>
                <w:szCs w:val="21"/>
                <w:vertAlign w:val="baseline"/>
                <w:lang w:eastAsia="zh-CN"/>
              </w:rPr>
            </w:pPr>
          </w:p>
        </w:tc>
        <w:tc>
          <w:tcPr>
            <w:tcW w:w="1168" w:type="dxa"/>
            <w:noWrap w:val="0"/>
            <w:vAlign w:val="center"/>
          </w:tcPr>
          <w:p w14:paraId="2056DDCD">
            <w:pPr>
              <w:widowControl w:val="0"/>
              <w:snapToGrid w:val="0"/>
              <w:spacing w:line="240" w:lineRule="auto"/>
              <w:ind w:firstLine="0" w:firstLineChars="0"/>
              <w:jc w:val="center"/>
              <w:rPr>
                <w:rFonts w:hint="default" w:ascii="宋体" w:hAnsi="宋体" w:eastAsia="宋体" w:cs="宋体"/>
                <w:bCs/>
                <w:color w:val="000000"/>
                <w:sz w:val="21"/>
                <w:szCs w:val="21"/>
                <w:vertAlign w:val="baseline"/>
                <w:lang w:eastAsia="zh-CN"/>
              </w:rPr>
            </w:pPr>
          </w:p>
        </w:tc>
        <w:tc>
          <w:tcPr>
            <w:tcW w:w="1267" w:type="dxa"/>
            <w:noWrap w:val="0"/>
            <w:vAlign w:val="center"/>
          </w:tcPr>
          <w:p w14:paraId="01F46309">
            <w:pPr>
              <w:widowControl w:val="0"/>
              <w:snapToGrid w:val="0"/>
              <w:spacing w:line="240" w:lineRule="auto"/>
              <w:ind w:firstLine="0" w:firstLineChars="0"/>
              <w:jc w:val="center"/>
              <w:rPr>
                <w:rFonts w:hint="default" w:ascii="宋体" w:hAnsi="宋体" w:eastAsia="宋体" w:cs="宋体"/>
                <w:bCs/>
                <w:color w:val="000000"/>
                <w:sz w:val="21"/>
                <w:szCs w:val="21"/>
                <w:vertAlign w:val="baseline"/>
                <w:lang w:eastAsia="zh-CN"/>
              </w:rPr>
            </w:pPr>
          </w:p>
        </w:tc>
      </w:tr>
      <w:tr w14:paraId="6EE5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648" w:type="dxa"/>
            <w:vMerge w:val="continue"/>
            <w:noWrap w:val="0"/>
            <w:vAlign w:val="center"/>
          </w:tcPr>
          <w:p w14:paraId="703F62FD">
            <w:pPr>
              <w:widowControl w:val="0"/>
              <w:snapToGrid w:val="0"/>
              <w:spacing w:line="240" w:lineRule="auto"/>
              <w:ind w:firstLine="0" w:firstLineChars="0"/>
              <w:jc w:val="center"/>
              <w:rPr>
                <w:rFonts w:hint="default" w:ascii="宋体" w:hAnsi="宋体" w:eastAsia="宋体" w:cs="宋体"/>
                <w:bCs/>
                <w:color w:val="000000"/>
                <w:sz w:val="21"/>
                <w:szCs w:val="21"/>
                <w:vertAlign w:val="baseline"/>
                <w:lang w:eastAsia="zh-CN"/>
              </w:rPr>
            </w:pPr>
          </w:p>
        </w:tc>
        <w:tc>
          <w:tcPr>
            <w:tcW w:w="2980" w:type="dxa"/>
            <w:noWrap w:val="0"/>
            <w:vAlign w:val="center"/>
          </w:tcPr>
          <w:p w14:paraId="6314CE6E">
            <w:pPr>
              <w:widowControl w:val="0"/>
              <w:snapToGrid w:val="0"/>
              <w:spacing w:line="240" w:lineRule="auto"/>
              <w:ind w:firstLine="0" w:firstLineChars="0"/>
              <w:jc w:val="both"/>
              <w:rPr>
                <w:rFonts w:hint="default" w:ascii="宋体" w:hAnsi="宋体" w:eastAsia="宋体" w:cs="宋体"/>
                <w:bCs/>
                <w:color w:val="000000"/>
                <w:sz w:val="21"/>
                <w:szCs w:val="21"/>
                <w:vertAlign w:val="baseline"/>
                <w:lang w:eastAsia="zh-CN"/>
              </w:rPr>
            </w:pPr>
            <w:r>
              <w:rPr>
                <w:rFonts w:hint="default" w:ascii="宋体" w:hAnsi="宋体" w:eastAsia="宋体" w:cs="宋体"/>
                <w:bCs/>
                <w:color w:val="000000"/>
                <w:sz w:val="21"/>
                <w:szCs w:val="21"/>
                <w:vertAlign w:val="baseline"/>
                <w:lang w:eastAsia="zh-CN"/>
              </w:rPr>
              <w:t>实施规范化、专业化服务，按计划进度开展工作，能提出合理性、建设性操作意见等，服务过程无重大错误。</w:t>
            </w:r>
          </w:p>
        </w:tc>
        <w:tc>
          <w:tcPr>
            <w:tcW w:w="1117" w:type="dxa"/>
            <w:noWrap w:val="0"/>
            <w:vAlign w:val="center"/>
          </w:tcPr>
          <w:p w14:paraId="44D32106">
            <w:pPr>
              <w:widowControl w:val="0"/>
              <w:snapToGrid w:val="0"/>
              <w:spacing w:line="240" w:lineRule="auto"/>
              <w:ind w:firstLine="0" w:firstLineChars="0"/>
              <w:jc w:val="center"/>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20</w:t>
            </w:r>
          </w:p>
        </w:tc>
        <w:tc>
          <w:tcPr>
            <w:tcW w:w="1094" w:type="dxa"/>
            <w:noWrap w:val="0"/>
            <w:vAlign w:val="center"/>
          </w:tcPr>
          <w:p w14:paraId="24C3DEAA">
            <w:pPr>
              <w:widowControl w:val="0"/>
              <w:snapToGrid w:val="0"/>
              <w:spacing w:line="240" w:lineRule="auto"/>
              <w:ind w:firstLine="0" w:firstLineChars="0"/>
              <w:jc w:val="center"/>
              <w:rPr>
                <w:rFonts w:hint="default" w:ascii="宋体" w:hAnsi="宋体" w:eastAsia="宋体" w:cs="宋体"/>
                <w:bCs/>
                <w:color w:val="000000"/>
                <w:sz w:val="21"/>
                <w:szCs w:val="21"/>
                <w:vertAlign w:val="baseline"/>
                <w:lang w:eastAsia="zh-CN"/>
              </w:rPr>
            </w:pPr>
          </w:p>
        </w:tc>
        <w:tc>
          <w:tcPr>
            <w:tcW w:w="1168" w:type="dxa"/>
            <w:noWrap w:val="0"/>
            <w:vAlign w:val="center"/>
          </w:tcPr>
          <w:p w14:paraId="1691D98E">
            <w:pPr>
              <w:widowControl w:val="0"/>
              <w:snapToGrid w:val="0"/>
              <w:spacing w:line="240" w:lineRule="auto"/>
              <w:ind w:firstLine="0" w:firstLineChars="0"/>
              <w:jc w:val="center"/>
              <w:rPr>
                <w:rFonts w:hint="default" w:ascii="宋体" w:hAnsi="宋体" w:eastAsia="宋体" w:cs="宋体"/>
                <w:bCs/>
                <w:color w:val="000000"/>
                <w:sz w:val="21"/>
                <w:szCs w:val="21"/>
                <w:vertAlign w:val="baseline"/>
                <w:lang w:eastAsia="zh-CN"/>
              </w:rPr>
            </w:pPr>
          </w:p>
        </w:tc>
        <w:tc>
          <w:tcPr>
            <w:tcW w:w="1267" w:type="dxa"/>
            <w:noWrap w:val="0"/>
            <w:vAlign w:val="center"/>
          </w:tcPr>
          <w:p w14:paraId="1D570B07">
            <w:pPr>
              <w:widowControl w:val="0"/>
              <w:snapToGrid w:val="0"/>
              <w:spacing w:line="240" w:lineRule="auto"/>
              <w:ind w:firstLine="0" w:firstLineChars="0"/>
              <w:jc w:val="center"/>
              <w:rPr>
                <w:rFonts w:hint="default" w:ascii="宋体" w:hAnsi="宋体" w:eastAsia="宋体" w:cs="宋体"/>
                <w:bCs/>
                <w:color w:val="000000"/>
                <w:sz w:val="21"/>
                <w:szCs w:val="21"/>
                <w:vertAlign w:val="baseline"/>
                <w:lang w:eastAsia="zh-CN"/>
              </w:rPr>
            </w:pPr>
          </w:p>
        </w:tc>
      </w:tr>
      <w:tr w14:paraId="166A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1648" w:type="dxa"/>
            <w:vMerge w:val="restart"/>
            <w:noWrap w:val="0"/>
            <w:vAlign w:val="center"/>
          </w:tcPr>
          <w:p w14:paraId="20D86F51">
            <w:pPr>
              <w:widowControl w:val="0"/>
              <w:snapToGrid w:val="0"/>
              <w:spacing w:line="240" w:lineRule="auto"/>
              <w:ind w:firstLine="0" w:firstLineChars="0"/>
              <w:jc w:val="center"/>
              <w:rPr>
                <w:rFonts w:hint="default" w:ascii="宋体" w:hAnsi="宋体" w:eastAsia="宋体" w:cs="宋体"/>
                <w:bCs/>
                <w:color w:val="000000"/>
                <w:sz w:val="21"/>
                <w:szCs w:val="21"/>
                <w:vertAlign w:val="baseline"/>
                <w:lang w:eastAsia="zh-CN"/>
              </w:rPr>
            </w:pPr>
            <w:r>
              <w:rPr>
                <w:rFonts w:hint="default" w:ascii="宋体" w:hAnsi="宋体" w:eastAsia="宋体" w:cs="宋体"/>
                <w:bCs/>
                <w:color w:val="000000"/>
                <w:sz w:val="21"/>
                <w:szCs w:val="21"/>
                <w:vertAlign w:val="baseline"/>
                <w:lang w:eastAsia="zh-CN"/>
              </w:rPr>
              <w:t>二、服务质量</w:t>
            </w:r>
          </w:p>
        </w:tc>
        <w:tc>
          <w:tcPr>
            <w:tcW w:w="2980" w:type="dxa"/>
            <w:noWrap w:val="0"/>
            <w:vAlign w:val="center"/>
          </w:tcPr>
          <w:p w14:paraId="2735478F">
            <w:pPr>
              <w:widowControl w:val="0"/>
              <w:snapToGrid w:val="0"/>
              <w:spacing w:line="240" w:lineRule="auto"/>
              <w:ind w:firstLine="0" w:firstLineChars="0"/>
              <w:jc w:val="both"/>
              <w:rPr>
                <w:rFonts w:hint="default" w:ascii="宋体" w:hAnsi="宋体" w:eastAsia="宋体" w:cs="宋体"/>
                <w:bCs/>
                <w:color w:val="000000"/>
                <w:sz w:val="21"/>
                <w:szCs w:val="21"/>
                <w:vertAlign w:val="baseline"/>
                <w:lang w:eastAsia="zh-CN"/>
              </w:rPr>
            </w:pPr>
            <w:r>
              <w:rPr>
                <w:rFonts w:hint="default" w:ascii="宋体" w:hAnsi="宋体" w:eastAsia="宋体" w:cs="宋体"/>
                <w:bCs/>
                <w:color w:val="000000"/>
                <w:sz w:val="21"/>
                <w:szCs w:val="21"/>
                <w:vertAlign w:val="baseline"/>
                <w:lang w:eastAsia="zh-CN"/>
              </w:rPr>
              <w:t>配备专职管理服务人员，专业技能强，责任心强，服务态度好，具有较强管理能力。</w:t>
            </w:r>
          </w:p>
        </w:tc>
        <w:tc>
          <w:tcPr>
            <w:tcW w:w="1117" w:type="dxa"/>
            <w:noWrap w:val="0"/>
            <w:vAlign w:val="center"/>
          </w:tcPr>
          <w:p w14:paraId="473B9C72">
            <w:pPr>
              <w:widowControl w:val="0"/>
              <w:snapToGrid w:val="0"/>
              <w:spacing w:line="240" w:lineRule="auto"/>
              <w:ind w:firstLine="0" w:firstLineChars="0"/>
              <w:jc w:val="center"/>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25</w:t>
            </w:r>
          </w:p>
        </w:tc>
        <w:tc>
          <w:tcPr>
            <w:tcW w:w="1094" w:type="dxa"/>
            <w:noWrap w:val="0"/>
            <w:vAlign w:val="center"/>
          </w:tcPr>
          <w:p w14:paraId="031590E6">
            <w:pPr>
              <w:widowControl w:val="0"/>
              <w:snapToGrid w:val="0"/>
              <w:spacing w:line="240" w:lineRule="auto"/>
              <w:ind w:firstLine="0" w:firstLineChars="0"/>
              <w:jc w:val="center"/>
              <w:rPr>
                <w:rFonts w:hint="default" w:ascii="宋体" w:hAnsi="宋体" w:eastAsia="宋体" w:cs="宋体"/>
                <w:bCs/>
                <w:color w:val="000000"/>
                <w:sz w:val="21"/>
                <w:szCs w:val="21"/>
                <w:vertAlign w:val="baseline"/>
                <w:lang w:eastAsia="zh-CN"/>
              </w:rPr>
            </w:pPr>
          </w:p>
        </w:tc>
        <w:tc>
          <w:tcPr>
            <w:tcW w:w="1168" w:type="dxa"/>
            <w:noWrap w:val="0"/>
            <w:vAlign w:val="center"/>
          </w:tcPr>
          <w:p w14:paraId="00B16421">
            <w:pPr>
              <w:widowControl w:val="0"/>
              <w:snapToGrid w:val="0"/>
              <w:spacing w:line="240" w:lineRule="auto"/>
              <w:ind w:firstLine="0" w:firstLineChars="0"/>
              <w:jc w:val="center"/>
              <w:rPr>
                <w:rFonts w:hint="default" w:ascii="宋体" w:hAnsi="宋体" w:eastAsia="宋体" w:cs="宋体"/>
                <w:bCs/>
                <w:color w:val="000000"/>
                <w:sz w:val="21"/>
                <w:szCs w:val="21"/>
                <w:vertAlign w:val="baseline"/>
                <w:lang w:eastAsia="zh-CN"/>
              </w:rPr>
            </w:pPr>
          </w:p>
        </w:tc>
        <w:tc>
          <w:tcPr>
            <w:tcW w:w="1267" w:type="dxa"/>
            <w:noWrap w:val="0"/>
            <w:vAlign w:val="center"/>
          </w:tcPr>
          <w:p w14:paraId="720637BB">
            <w:pPr>
              <w:widowControl w:val="0"/>
              <w:snapToGrid w:val="0"/>
              <w:spacing w:line="240" w:lineRule="auto"/>
              <w:ind w:firstLine="0" w:firstLineChars="0"/>
              <w:jc w:val="center"/>
              <w:rPr>
                <w:rFonts w:hint="default" w:ascii="宋体" w:hAnsi="宋体" w:eastAsia="宋体" w:cs="宋体"/>
                <w:bCs/>
                <w:color w:val="000000"/>
                <w:sz w:val="21"/>
                <w:szCs w:val="21"/>
                <w:vertAlign w:val="baseline"/>
                <w:lang w:eastAsia="zh-CN"/>
              </w:rPr>
            </w:pPr>
          </w:p>
        </w:tc>
      </w:tr>
      <w:tr w14:paraId="02681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1648" w:type="dxa"/>
            <w:vMerge w:val="continue"/>
            <w:noWrap w:val="0"/>
            <w:vAlign w:val="center"/>
          </w:tcPr>
          <w:p w14:paraId="7FAF9371">
            <w:pPr>
              <w:widowControl w:val="0"/>
              <w:snapToGrid w:val="0"/>
              <w:spacing w:line="240" w:lineRule="auto"/>
              <w:ind w:firstLine="0" w:firstLineChars="0"/>
              <w:jc w:val="center"/>
              <w:rPr>
                <w:rFonts w:hint="default" w:ascii="宋体" w:hAnsi="宋体" w:eastAsia="宋体" w:cs="宋体"/>
                <w:bCs/>
                <w:color w:val="000000"/>
                <w:sz w:val="21"/>
                <w:szCs w:val="21"/>
                <w:vertAlign w:val="baseline"/>
                <w:lang w:eastAsia="zh-CN"/>
              </w:rPr>
            </w:pPr>
          </w:p>
        </w:tc>
        <w:tc>
          <w:tcPr>
            <w:tcW w:w="2980" w:type="dxa"/>
            <w:noWrap w:val="0"/>
            <w:vAlign w:val="center"/>
          </w:tcPr>
          <w:p w14:paraId="0CD8F8FC">
            <w:pPr>
              <w:widowControl w:val="0"/>
              <w:snapToGrid w:val="0"/>
              <w:spacing w:line="240" w:lineRule="auto"/>
              <w:ind w:firstLine="0" w:firstLineChars="0"/>
              <w:jc w:val="both"/>
              <w:rPr>
                <w:rFonts w:hint="default" w:ascii="宋体" w:hAnsi="宋体" w:eastAsia="宋体" w:cs="宋体"/>
                <w:bCs/>
                <w:color w:val="000000"/>
                <w:sz w:val="21"/>
                <w:szCs w:val="21"/>
                <w:vertAlign w:val="baseline"/>
                <w:lang w:eastAsia="zh-CN"/>
              </w:rPr>
            </w:pPr>
            <w:r>
              <w:rPr>
                <w:rFonts w:hint="default" w:ascii="宋体" w:hAnsi="宋体" w:eastAsia="宋体" w:cs="宋体"/>
                <w:bCs/>
                <w:color w:val="000000"/>
                <w:sz w:val="21"/>
                <w:szCs w:val="21"/>
                <w:vertAlign w:val="baseline"/>
                <w:lang w:eastAsia="zh-CN"/>
              </w:rPr>
              <w:t>服务人员全程服务及时、耐心，遇到问题及时响应，沟通良好有效，自觉竭力配合服务单位工作，工作效率高，工作成效好。</w:t>
            </w:r>
          </w:p>
        </w:tc>
        <w:tc>
          <w:tcPr>
            <w:tcW w:w="1117" w:type="dxa"/>
            <w:noWrap w:val="0"/>
            <w:vAlign w:val="center"/>
          </w:tcPr>
          <w:p w14:paraId="45B3E8E1">
            <w:pPr>
              <w:widowControl w:val="0"/>
              <w:snapToGrid w:val="0"/>
              <w:spacing w:line="240" w:lineRule="auto"/>
              <w:ind w:firstLine="0" w:firstLineChars="0"/>
              <w:jc w:val="center"/>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25</w:t>
            </w:r>
          </w:p>
        </w:tc>
        <w:tc>
          <w:tcPr>
            <w:tcW w:w="1094" w:type="dxa"/>
            <w:noWrap w:val="0"/>
            <w:vAlign w:val="center"/>
          </w:tcPr>
          <w:p w14:paraId="015EA4B0">
            <w:pPr>
              <w:widowControl w:val="0"/>
              <w:snapToGrid w:val="0"/>
              <w:spacing w:line="240" w:lineRule="auto"/>
              <w:ind w:firstLine="0" w:firstLineChars="0"/>
              <w:jc w:val="center"/>
              <w:rPr>
                <w:rFonts w:hint="default" w:ascii="宋体" w:hAnsi="宋体" w:eastAsia="宋体" w:cs="宋体"/>
                <w:bCs/>
                <w:color w:val="000000"/>
                <w:sz w:val="21"/>
                <w:szCs w:val="21"/>
                <w:vertAlign w:val="baseline"/>
                <w:lang w:eastAsia="zh-CN"/>
              </w:rPr>
            </w:pPr>
          </w:p>
        </w:tc>
        <w:tc>
          <w:tcPr>
            <w:tcW w:w="1168" w:type="dxa"/>
            <w:noWrap w:val="0"/>
            <w:vAlign w:val="center"/>
          </w:tcPr>
          <w:p w14:paraId="1E87D049">
            <w:pPr>
              <w:widowControl w:val="0"/>
              <w:snapToGrid w:val="0"/>
              <w:spacing w:line="240" w:lineRule="auto"/>
              <w:ind w:firstLine="0" w:firstLineChars="0"/>
              <w:jc w:val="center"/>
              <w:rPr>
                <w:rFonts w:hint="default" w:ascii="宋体" w:hAnsi="宋体" w:eastAsia="宋体" w:cs="宋体"/>
                <w:bCs/>
                <w:color w:val="000000"/>
                <w:sz w:val="21"/>
                <w:szCs w:val="21"/>
                <w:vertAlign w:val="baseline"/>
                <w:lang w:eastAsia="zh-CN"/>
              </w:rPr>
            </w:pPr>
          </w:p>
        </w:tc>
        <w:tc>
          <w:tcPr>
            <w:tcW w:w="1267" w:type="dxa"/>
            <w:noWrap w:val="0"/>
            <w:vAlign w:val="center"/>
          </w:tcPr>
          <w:p w14:paraId="0B94B5D5">
            <w:pPr>
              <w:widowControl w:val="0"/>
              <w:snapToGrid w:val="0"/>
              <w:spacing w:line="240" w:lineRule="auto"/>
              <w:ind w:firstLine="0" w:firstLineChars="0"/>
              <w:jc w:val="center"/>
              <w:rPr>
                <w:rFonts w:hint="default" w:ascii="宋体" w:hAnsi="宋体" w:eastAsia="宋体" w:cs="宋体"/>
                <w:bCs/>
                <w:color w:val="000000"/>
                <w:sz w:val="21"/>
                <w:szCs w:val="21"/>
                <w:vertAlign w:val="baseline"/>
                <w:lang w:eastAsia="zh-CN"/>
              </w:rPr>
            </w:pPr>
          </w:p>
        </w:tc>
      </w:tr>
      <w:tr w14:paraId="63571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1648" w:type="dxa"/>
            <w:noWrap w:val="0"/>
            <w:vAlign w:val="center"/>
          </w:tcPr>
          <w:p w14:paraId="6B8C97BA">
            <w:pPr>
              <w:widowControl w:val="0"/>
              <w:snapToGrid w:val="0"/>
              <w:spacing w:line="240" w:lineRule="auto"/>
              <w:ind w:firstLine="0" w:firstLineChars="0"/>
              <w:jc w:val="center"/>
              <w:rPr>
                <w:rFonts w:hint="default" w:ascii="宋体" w:hAnsi="宋体" w:eastAsia="宋体" w:cs="宋体"/>
                <w:bCs/>
                <w:color w:val="000000"/>
                <w:sz w:val="21"/>
                <w:szCs w:val="21"/>
                <w:vertAlign w:val="baseline"/>
                <w:lang w:eastAsia="zh-CN"/>
              </w:rPr>
            </w:pPr>
            <w:r>
              <w:rPr>
                <w:rFonts w:hint="default" w:ascii="宋体" w:hAnsi="宋体" w:eastAsia="宋体" w:cs="宋体"/>
                <w:bCs/>
                <w:color w:val="000000"/>
                <w:sz w:val="21"/>
                <w:szCs w:val="21"/>
                <w:vertAlign w:val="baseline"/>
                <w:lang w:eastAsia="zh-CN"/>
              </w:rPr>
              <w:t>三、档案管理</w:t>
            </w:r>
          </w:p>
        </w:tc>
        <w:tc>
          <w:tcPr>
            <w:tcW w:w="2980" w:type="dxa"/>
            <w:noWrap w:val="0"/>
            <w:vAlign w:val="center"/>
          </w:tcPr>
          <w:p w14:paraId="6F7E0552">
            <w:pPr>
              <w:widowControl w:val="0"/>
              <w:snapToGrid w:val="0"/>
              <w:spacing w:line="240" w:lineRule="auto"/>
              <w:ind w:firstLine="0" w:firstLineChars="0"/>
              <w:jc w:val="both"/>
              <w:rPr>
                <w:rFonts w:hint="default" w:ascii="宋体" w:hAnsi="宋体" w:eastAsia="宋体" w:cs="宋体"/>
                <w:bCs/>
                <w:color w:val="000000"/>
                <w:sz w:val="21"/>
                <w:szCs w:val="21"/>
                <w:vertAlign w:val="baseline"/>
                <w:lang w:eastAsia="zh-CN"/>
              </w:rPr>
            </w:pPr>
            <w:r>
              <w:rPr>
                <w:rFonts w:hint="default" w:ascii="宋体" w:hAnsi="宋体" w:eastAsia="宋体" w:cs="宋体"/>
                <w:bCs/>
                <w:color w:val="000000"/>
                <w:sz w:val="21"/>
                <w:szCs w:val="21"/>
                <w:vertAlign w:val="baseline"/>
                <w:lang w:eastAsia="zh-CN"/>
              </w:rPr>
              <w:t>提供完整的服务资料（服务合同、保密协议、验收报告、专职人员资质、专职人员信息、评价表等），资料内容完整、详尽。</w:t>
            </w:r>
          </w:p>
        </w:tc>
        <w:tc>
          <w:tcPr>
            <w:tcW w:w="1117" w:type="dxa"/>
            <w:noWrap w:val="0"/>
            <w:vAlign w:val="center"/>
          </w:tcPr>
          <w:p w14:paraId="72FDCCC5">
            <w:pPr>
              <w:widowControl w:val="0"/>
              <w:snapToGrid w:val="0"/>
              <w:spacing w:line="240" w:lineRule="auto"/>
              <w:ind w:firstLine="0" w:firstLineChars="0"/>
              <w:jc w:val="center"/>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15</w:t>
            </w:r>
          </w:p>
        </w:tc>
        <w:tc>
          <w:tcPr>
            <w:tcW w:w="1094" w:type="dxa"/>
            <w:noWrap w:val="0"/>
            <w:vAlign w:val="center"/>
          </w:tcPr>
          <w:p w14:paraId="08B2D165">
            <w:pPr>
              <w:widowControl w:val="0"/>
              <w:snapToGrid w:val="0"/>
              <w:spacing w:line="240" w:lineRule="auto"/>
              <w:ind w:firstLine="0" w:firstLineChars="0"/>
              <w:jc w:val="center"/>
              <w:rPr>
                <w:rFonts w:hint="default" w:ascii="宋体" w:hAnsi="宋体" w:eastAsia="宋体" w:cs="宋体"/>
                <w:bCs/>
                <w:color w:val="000000"/>
                <w:sz w:val="21"/>
                <w:szCs w:val="21"/>
                <w:vertAlign w:val="baseline"/>
                <w:lang w:eastAsia="zh-CN"/>
              </w:rPr>
            </w:pPr>
          </w:p>
        </w:tc>
        <w:tc>
          <w:tcPr>
            <w:tcW w:w="1168" w:type="dxa"/>
            <w:noWrap w:val="0"/>
            <w:vAlign w:val="center"/>
          </w:tcPr>
          <w:p w14:paraId="0CF92D62">
            <w:pPr>
              <w:widowControl w:val="0"/>
              <w:snapToGrid w:val="0"/>
              <w:spacing w:line="240" w:lineRule="auto"/>
              <w:ind w:firstLine="0" w:firstLineChars="0"/>
              <w:jc w:val="center"/>
              <w:rPr>
                <w:rFonts w:hint="default" w:ascii="宋体" w:hAnsi="宋体" w:eastAsia="宋体" w:cs="宋体"/>
                <w:bCs/>
                <w:color w:val="000000"/>
                <w:sz w:val="21"/>
                <w:szCs w:val="21"/>
                <w:vertAlign w:val="baseline"/>
                <w:lang w:eastAsia="zh-CN"/>
              </w:rPr>
            </w:pPr>
          </w:p>
        </w:tc>
        <w:tc>
          <w:tcPr>
            <w:tcW w:w="1267" w:type="dxa"/>
            <w:noWrap w:val="0"/>
            <w:vAlign w:val="center"/>
          </w:tcPr>
          <w:p w14:paraId="0A12E378">
            <w:pPr>
              <w:widowControl w:val="0"/>
              <w:snapToGrid w:val="0"/>
              <w:spacing w:line="240" w:lineRule="auto"/>
              <w:ind w:firstLine="0" w:firstLineChars="0"/>
              <w:jc w:val="center"/>
              <w:rPr>
                <w:rFonts w:hint="default" w:ascii="宋体" w:hAnsi="宋体" w:eastAsia="宋体" w:cs="宋体"/>
                <w:bCs/>
                <w:color w:val="000000"/>
                <w:sz w:val="21"/>
                <w:szCs w:val="21"/>
                <w:vertAlign w:val="baseline"/>
                <w:lang w:eastAsia="zh-CN"/>
              </w:rPr>
            </w:pPr>
          </w:p>
        </w:tc>
      </w:tr>
      <w:tr w14:paraId="64B8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628" w:type="dxa"/>
            <w:gridSpan w:val="2"/>
            <w:noWrap w:val="0"/>
            <w:vAlign w:val="center"/>
          </w:tcPr>
          <w:p w14:paraId="4AC3B9A9">
            <w:pPr>
              <w:widowControl w:val="0"/>
              <w:snapToGrid w:val="0"/>
              <w:spacing w:line="240" w:lineRule="auto"/>
              <w:ind w:firstLine="0" w:firstLineChars="0"/>
              <w:jc w:val="center"/>
              <w:rPr>
                <w:rFonts w:hint="default" w:ascii="宋体" w:hAnsi="宋体" w:eastAsia="宋体" w:cs="宋体"/>
                <w:bCs/>
                <w:color w:val="000000"/>
                <w:sz w:val="21"/>
                <w:szCs w:val="21"/>
                <w:vertAlign w:val="baseline"/>
                <w:lang w:eastAsia="zh-CN"/>
              </w:rPr>
            </w:pPr>
            <w:r>
              <w:rPr>
                <w:rFonts w:hint="eastAsia" w:ascii="宋体" w:hAnsi="宋体" w:eastAsia="宋体" w:cs="宋体"/>
                <w:bCs/>
                <w:color w:val="000000"/>
                <w:sz w:val="21"/>
                <w:szCs w:val="21"/>
                <w:vertAlign w:val="baseline"/>
                <w:lang w:eastAsia="zh-CN"/>
              </w:rPr>
              <w:t>总体评价</w:t>
            </w:r>
          </w:p>
        </w:tc>
        <w:tc>
          <w:tcPr>
            <w:tcW w:w="1117" w:type="dxa"/>
            <w:noWrap w:val="0"/>
            <w:vAlign w:val="center"/>
          </w:tcPr>
          <w:p w14:paraId="53CFF2A9">
            <w:pPr>
              <w:widowControl w:val="0"/>
              <w:snapToGrid w:val="0"/>
              <w:spacing w:line="240" w:lineRule="auto"/>
              <w:ind w:firstLine="0" w:firstLineChars="0"/>
              <w:jc w:val="center"/>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100</w:t>
            </w:r>
          </w:p>
        </w:tc>
        <w:tc>
          <w:tcPr>
            <w:tcW w:w="1094" w:type="dxa"/>
            <w:noWrap w:val="0"/>
            <w:vAlign w:val="center"/>
          </w:tcPr>
          <w:p w14:paraId="331A7100">
            <w:pPr>
              <w:widowControl w:val="0"/>
              <w:snapToGrid w:val="0"/>
              <w:spacing w:line="240" w:lineRule="auto"/>
              <w:ind w:firstLine="0" w:firstLineChars="0"/>
              <w:jc w:val="center"/>
              <w:rPr>
                <w:rFonts w:hint="default" w:ascii="宋体" w:hAnsi="宋体" w:eastAsia="宋体" w:cs="宋体"/>
                <w:bCs/>
                <w:color w:val="000000"/>
                <w:sz w:val="21"/>
                <w:szCs w:val="21"/>
                <w:vertAlign w:val="baseline"/>
                <w:lang w:eastAsia="zh-CN"/>
              </w:rPr>
            </w:pPr>
          </w:p>
        </w:tc>
        <w:tc>
          <w:tcPr>
            <w:tcW w:w="1168" w:type="dxa"/>
            <w:noWrap w:val="0"/>
            <w:vAlign w:val="center"/>
          </w:tcPr>
          <w:p w14:paraId="76FB875A">
            <w:pPr>
              <w:widowControl w:val="0"/>
              <w:snapToGrid w:val="0"/>
              <w:spacing w:line="240" w:lineRule="auto"/>
              <w:ind w:firstLine="0" w:firstLineChars="0"/>
              <w:jc w:val="center"/>
              <w:rPr>
                <w:rFonts w:hint="default" w:ascii="宋体" w:hAnsi="宋体" w:eastAsia="宋体" w:cs="宋体"/>
                <w:bCs/>
                <w:color w:val="000000"/>
                <w:sz w:val="21"/>
                <w:szCs w:val="21"/>
                <w:vertAlign w:val="baseline"/>
                <w:lang w:eastAsia="zh-CN"/>
              </w:rPr>
            </w:pPr>
          </w:p>
        </w:tc>
        <w:tc>
          <w:tcPr>
            <w:tcW w:w="1267" w:type="dxa"/>
            <w:noWrap w:val="0"/>
            <w:vAlign w:val="center"/>
          </w:tcPr>
          <w:p w14:paraId="41F29BFC">
            <w:pPr>
              <w:widowControl w:val="0"/>
              <w:snapToGrid w:val="0"/>
              <w:spacing w:line="240" w:lineRule="auto"/>
              <w:ind w:firstLine="0" w:firstLineChars="0"/>
              <w:jc w:val="center"/>
              <w:rPr>
                <w:rFonts w:hint="default" w:ascii="宋体" w:hAnsi="宋体" w:eastAsia="宋体" w:cs="宋体"/>
                <w:bCs/>
                <w:color w:val="000000"/>
                <w:sz w:val="21"/>
                <w:szCs w:val="21"/>
                <w:vertAlign w:val="baseline"/>
                <w:lang w:eastAsia="zh-CN"/>
              </w:rPr>
            </w:pPr>
          </w:p>
        </w:tc>
      </w:tr>
      <w:tr w14:paraId="54B93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9274" w:type="dxa"/>
            <w:gridSpan w:val="6"/>
            <w:noWrap w:val="0"/>
            <w:vAlign w:val="top"/>
          </w:tcPr>
          <w:p w14:paraId="6608243C">
            <w:pPr>
              <w:widowControl w:val="0"/>
              <w:snapToGrid w:val="0"/>
              <w:spacing w:line="240" w:lineRule="auto"/>
              <w:ind w:firstLine="0" w:firstLineChars="0"/>
              <w:jc w:val="both"/>
              <w:rPr>
                <w:rFonts w:hint="default" w:ascii="宋体" w:hAnsi="宋体" w:eastAsia="宋体" w:cs="宋体"/>
                <w:bCs/>
                <w:color w:val="000000"/>
                <w:sz w:val="21"/>
                <w:szCs w:val="21"/>
                <w:vertAlign w:val="baseline"/>
                <w:lang w:eastAsia="zh-CN"/>
              </w:rPr>
            </w:pPr>
            <w:r>
              <w:rPr>
                <w:rFonts w:hint="eastAsia" w:ascii="宋体" w:hAnsi="宋体" w:eastAsia="宋体" w:cs="宋体"/>
                <w:bCs/>
                <w:color w:val="000000"/>
                <w:sz w:val="21"/>
                <w:szCs w:val="21"/>
                <w:vertAlign w:val="baseline"/>
                <w:lang w:eastAsia="zh-CN"/>
              </w:rPr>
              <w:t>意见及建议：</w:t>
            </w:r>
          </w:p>
        </w:tc>
      </w:tr>
    </w:tbl>
    <w:p w14:paraId="79B437B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b/>
          <w:color w:val="auto"/>
          <w:szCs w:val="21"/>
          <w:highlight w:val="none"/>
        </w:rPr>
      </w:pPr>
      <w:r>
        <w:rPr>
          <w:rFonts w:hint="eastAsia" w:ascii="宋体" w:hAnsi="宋体" w:eastAsia="宋体" w:cs="宋体"/>
          <w:bCs/>
          <w:color w:val="000000"/>
          <w:sz w:val="21"/>
          <w:szCs w:val="21"/>
        </w:rPr>
        <w:t>评价单位负责人：</w:t>
      </w:r>
      <w:r>
        <w:rPr>
          <w:rFonts w:hint="eastAsia" w:ascii="宋体" w:hAnsi="宋体" w:eastAsia="宋体" w:cs="宋体"/>
          <w:bCs/>
          <w:color w:val="000000"/>
          <w:sz w:val="21"/>
          <w:szCs w:val="21"/>
        </w:rPr>
        <w:tab/>
      </w:r>
      <w:r>
        <w:rPr>
          <w:rFonts w:hint="eastAsia" w:ascii="宋体" w:hAnsi="宋体" w:eastAsia="宋体" w:cs="宋体"/>
          <w:bCs/>
          <w:color w:val="000000"/>
          <w:sz w:val="21"/>
          <w:szCs w:val="21"/>
          <w:lang w:val="en-US" w:eastAsia="zh-CN"/>
        </w:rPr>
        <w:t xml:space="preserve">                                               </w:t>
      </w:r>
      <w:r>
        <w:rPr>
          <w:rFonts w:hint="eastAsia" w:ascii="宋体" w:hAnsi="宋体" w:eastAsia="宋体" w:cs="宋体"/>
          <w:bCs/>
          <w:color w:val="000000"/>
          <w:sz w:val="21"/>
          <w:szCs w:val="21"/>
        </w:rPr>
        <w:tab/>
      </w:r>
      <w:r>
        <w:rPr>
          <w:rFonts w:hint="eastAsia" w:ascii="宋体" w:hAnsi="宋体" w:eastAsia="宋体" w:cs="宋体"/>
          <w:bCs/>
          <w:color w:val="000000"/>
          <w:sz w:val="21"/>
          <w:szCs w:val="21"/>
        </w:rPr>
        <w:tab/>
      </w:r>
      <w:r>
        <w:rPr>
          <w:rFonts w:hint="eastAsia" w:ascii="宋体" w:hAnsi="宋体" w:eastAsia="宋体" w:cs="宋体"/>
          <w:bCs/>
          <w:color w:val="000000"/>
          <w:sz w:val="21"/>
          <w:szCs w:val="21"/>
        </w:rPr>
        <w:t>评价人：</w:t>
      </w:r>
    </w:p>
    <w:sectPr>
      <w:pgSz w:w="11906" w:h="16838"/>
      <w:pgMar w:top="1332" w:right="1434" w:bottom="1332" w:left="1434" w:header="850"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FBB0FC5-3F60-4C09-81B3-DE4E18A2352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embedRegular r:id="rId2" w:fontKey="{BD8C0F07-BEE7-438D-B600-DCE7D02B7774}"/>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E00002FF" w:usb1="400004FF" w:usb2="00000000" w:usb3="00000000" w:csb0="2000019F" w:csb1="00000000"/>
  </w:font>
  <w:font w:name="等线 Light">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EEF2E143-31EC-40A9-9603-40B2F79CFE61}"/>
  </w:font>
  <w:font w:name="SimSun,Bold">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4" w:fontKey="{5AFA87D6-2509-49AB-A40D-F83D8DF6ABCE}"/>
  </w:font>
  <w:font w:name="Wingdings 2">
    <w:panose1 w:val="05020102010507070707"/>
    <w:charset w:val="02"/>
    <w:family w:val="roman"/>
    <w:pitch w:val="default"/>
    <w:sig w:usb0="00000000" w:usb1="00000000" w:usb2="00000000" w:usb3="00000000" w:csb0="80000000" w:csb1="00000000"/>
    <w:embedRegular r:id="rId5" w:fontKey="{6FB0C02F-8D50-4B9A-BA77-FD84B7BAEC09}"/>
  </w:font>
  <w:font w:name="Tahoma">
    <w:panose1 w:val="020B0604030504040204"/>
    <w:charset w:val="00"/>
    <w:family w:val="swiss"/>
    <w:pitch w:val="default"/>
    <w:sig w:usb0="E1002EFF" w:usb1="C000605B" w:usb2="00000029" w:usb3="00000000" w:csb0="200101FF" w:csb1="20280000"/>
    <w:embedRegular r:id="rId6" w:fontKey="{8CE7943C-E53D-4378-A7F1-BB740952002C}"/>
  </w:font>
  <w:font w:name="方正小标宋简体">
    <w:altName w:val="Arial Unicode MS"/>
    <w:panose1 w:val="02000000000000000000"/>
    <w:charset w:val="86"/>
    <w:family w:val="script"/>
    <w:pitch w:val="default"/>
    <w:sig w:usb0="00000000" w:usb1="00000000" w:usb2="00000012" w:usb3="00000000" w:csb0="00040001" w:csb1="00000000"/>
    <w:embedRegular r:id="rId7" w:fontKey="{391867D6-F7C6-40BE-8DB7-47215336305D}"/>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0E032">
    <w:pPr>
      <w:pStyle w:val="19"/>
      <w:ind w:firstLine="360"/>
      <w:jc w:val="center"/>
    </w:pPr>
  </w:p>
  <w:p w14:paraId="4403F5CC">
    <w:pPr>
      <w:pStyle w:val="1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677DD">
    <w:pPr>
      <w:pStyle w:val="62"/>
      <w:ind w:firstLine="360"/>
      <w:jc w:val="center"/>
    </w:pPr>
  </w:p>
  <w:p w14:paraId="0D1CABA4">
    <w:pPr>
      <w:pStyle w:val="6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2509751"/>
    </w:sdtPr>
    <w:sdtContent>
      <w:p w14:paraId="27CDD353">
        <w:pPr>
          <w:pStyle w:val="62"/>
          <w:ind w:firstLine="360"/>
          <w:jc w:val="center"/>
        </w:pPr>
        <w:r>
          <w:fldChar w:fldCharType="begin"/>
        </w:r>
        <w:r>
          <w:instrText xml:space="preserve">PAGE   \* MERGEFORMAT</w:instrText>
        </w:r>
        <w:r>
          <w:fldChar w:fldCharType="separate"/>
        </w:r>
        <w:r>
          <w:rPr>
            <w:lang w:val="zh-CN"/>
          </w:rPr>
          <w:t>20</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486F4">
    <w:pPr>
      <w:pStyle w:val="19"/>
      <w:ind w:firstLine="360"/>
      <w:jc w:val="center"/>
    </w:pPr>
    <w:r>
      <w:fldChar w:fldCharType="begin"/>
    </w:r>
    <w:r>
      <w:instrText xml:space="preserve">PAGE   \* MERGEFORMAT</w:instrText>
    </w:r>
    <w:r>
      <w:fldChar w:fldCharType="separate"/>
    </w:r>
    <w:r>
      <w:rPr>
        <w:lang w:val="zh-CN"/>
      </w:rPr>
      <w:t>38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E6ED2"/>
    <w:multiLevelType w:val="multilevel"/>
    <w:tmpl w:val="079E6ED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6361E5E"/>
    <w:multiLevelType w:val="singleLevel"/>
    <w:tmpl w:val="16361E5E"/>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0"/>
  <w:bordersDoNotSurroundFooter w:val="0"/>
  <w:hideSpellingErrors/>
  <w:documentProtection w:edit="readOnly" w:enforcement="1" w:cryptProviderType="rsaFull" w:cryptAlgorithmClass="hash" w:cryptAlgorithmType="typeAny" w:cryptAlgorithmSid="4" w:cryptSpinCount="0" w:hash="3YAW4TSsPOxThb6latcBKWud9aY=" w:salt="Piuuw91/a7ITCpDDkWAWCA=="/>
  <w:defaultTabStop w:val="420"/>
  <w:drawingGridHorizontalSpacing w:val="21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OGU3NmU5NjZkNjMyZjlhZDkyYWZiZThjNzk1MDkifQ=="/>
  </w:docVars>
  <w:rsids>
    <w:rsidRoot w:val="00EE7EBE"/>
    <w:rsid w:val="00002BC0"/>
    <w:rsid w:val="00016730"/>
    <w:rsid w:val="0002381C"/>
    <w:rsid w:val="00024EAF"/>
    <w:rsid w:val="000312F3"/>
    <w:rsid w:val="00033AAA"/>
    <w:rsid w:val="000365D4"/>
    <w:rsid w:val="00041B12"/>
    <w:rsid w:val="000424AE"/>
    <w:rsid w:val="0004621C"/>
    <w:rsid w:val="00047C7F"/>
    <w:rsid w:val="000552D0"/>
    <w:rsid w:val="00060154"/>
    <w:rsid w:val="000611E2"/>
    <w:rsid w:val="0006203E"/>
    <w:rsid w:val="00065B32"/>
    <w:rsid w:val="00066B04"/>
    <w:rsid w:val="00072455"/>
    <w:rsid w:val="000754FF"/>
    <w:rsid w:val="00075AA6"/>
    <w:rsid w:val="00075C24"/>
    <w:rsid w:val="00080833"/>
    <w:rsid w:val="000830C7"/>
    <w:rsid w:val="0009249E"/>
    <w:rsid w:val="00095284"/>
    <w:rsid w:val="000A5F2C"/>
    <w:rsid w:val="000B0B4D"/>
    <w:rsid w:val="000B2BBA"/>
    <w:rsid w:val="000B2F68"/>
    <w:rsid w:val="000C26DD"/>
    <w:rsid w:val="000C3D04"/>
    <w:rsid w:val="000C5788"/>
    <w:rsid w:val="000C5C17"/>
    <w:rsid w:val="000C6162"/>
    <w:rsid w:val="000C6533"/>
    <w:rsid w:val="000D04B8"/>
    <w:rsid w:val="000D13CB"/>
    <w:rsid w:val="000D1E08"/>
    <w:rsid w:val="000E3F5E"/>
    <w:rsid w:val="000E42BD"/>
    <w:rsid w:val="000F1A15"/>
    <w:rsid w:val="000F1D71"/>
    <w:rsid w:val="001115E2"/>
    <w:rsid w:val="001146B8"/>
    <w:rsid w:val="001170B5"/>
    <w:rsid w:val="001236F9"/>
    <w:rsid w:val="00154847"/>
    <w:rsid w:val="00157F13"/>
    <w:rsid w:val="0016374D"/>
    <w:rsid w:val="001676AF"/>
    <w:rsid w:val="00180126"/>
    <w:rsid w:val="00180A34"/>
    <w:rsid w:val="00180B89"/>
    <w:rsid w:val="001A39B9"/>
    <w:rsid w:val="001A3C2C"/>
    <w:rsid w:val="001C0DCF"/>
    <w:rsid w:val="001C472C"/>
    <w:rsid w:val="001D6AD5"/>
    <w:rsid w:val="001F01F4"/>
    <w:rsid w:val="001F0C49"/>
    <w:rsid w:val="001F7B74"/>
    <w:rsid w:val="0020468E"/>
    <w:rsid w:val="00212FC1"/>
    <w:rsid w:val="00214B5B"/>
    <w:rsid w:val="00217707"/>
    <w:rsid w:val="00224C80"/>
    <w:rsid w:val="00232F1A"/>
    <w:rsid w:val="00234F12"/>
    <w:rsid w:val="00235A21"/>
    <w:rsid w:val="002430A4"/>
    <w:rsid w:val="00247AA2"/>
    <w:rsid w:val="0025276E"/>
    <w:rsid w:val="00257066"/>
    <w:rsid w:val="002713D8"/>
    <w:rsid w:val="00281DFF"/>
    <w:rsid w:val="0029045F"/>
    <w:rsid w:val="00291CB7"/>
    <w:rsid w:val="0029203D"/>
    <w:rsid w:val="00295894"/>
    <w:rsid w:val="00295E7A"/>
    <w:rsid w:val="00296E74"/>
    <w:rsid w:val="002A73D8"/>
    <w:rsid w:val="002A7695"/>
    <w:rsid w:val="002A783E"/>
    <w:rsid w:val="002B23B3"/>
    <w:rsid w:val="002D7959"/>
    <w:rsid w:val="002E552D"/>
    <w:rsid w:val="002E7ADD"/>
    <w:rsid w:val="00304BEE"/>
    <w:rsid w:val="003065CC"/>
    <w:rsid w:val="00320DBB"/>
    <w:rsid w:val="00321F19"/>
    <w:rsid w:val="00337F62"/>
    <w:rsid w:val="0034146E"/>
    <w:rsid w:val="00343000"/>
    <w:rsid w:val="00344F21"/>
    <w:rsid w:val="00346FFB"/>
    <w:rsid w:val="00347FA7"/>
    <w:rsid w:val="00354141"/>
    <w:rsid w:val="00367450"/>
    <w:rsid w:val="0037097F"/>
    <w:rsid w:val="00371E99"/>
    <w:rsid w:val="0037204F"/>
    <w:rsid w:val="00372C3A"/>
    <w:rsid w:val="00374BC2"/>
    <w:rsid w:val="00380972"/>
    <w:rsid w:val="0038241C"/>
    <w:rsid w:val="00383940"/>
    <w:rsid w:val="0039548E"/>
    <w:rsid w:val="003A0323"/>
    <w:rsid w:val="003A14F2"/>
    <w:rsid w:val="003A3011"/>
    <w:rsid w:val="003B4F2C"/>
    <w:rsid w:val="003C28E6"/>
    <w:rsid w:val="003D432C"/>
    <w:rsid w:val="003D7626"/>
    <w:rsid w:val="003E018A"/>
    <w:rsid w:val="003E236B"/>
    <w:rsid w:val="003E55FC"/>
    <w:rsid w:val="003F3712"/>
    <w:rsid w:val="00403DDA"/>
    <w:rsid w:val="00411900"/>
    <w:rsid w:val="00414143"/>
    <w:rsid w:val="00433804"/>
    <w:rsid w:val="00437BFD"/>
    <w:rsid w:val="0044408E"/>
    <w:rsid w:val="0045484C"/>
    <w:rsid w:val="00457174"/>
    <w:rsid w:val="00461088"/>
    <w:rsid w:val="00473816"/>
    <w:rsid w:val="00476898"/>
    <w:rsid w:val="00482864"/>
    <w:rsid w:val="00486B42"/>
    <w:rsid w:val="00486FE9"/>
    <w:rsid w:val="0048797A"/>
    <w:rsid w:val="00487FA7"/>
    <w:rsid w:val="00490DF5"/>
    <w:rsid w:val="00492511"/>
    <w:rsid w:val="004930D3"/>
    <w:rsid w:val="0049643F"/>
    <w:rsid w:val="004A58F4"/>
    <w:rsid w:val="004C3091"/>
    <w:rsid w:val="004C3C6E"/>
    <w:rsid w:val="004C423C"/>
    <w:rsid w:val="004D5D97"/>
    <w:rsid w:val="004D6151"/>
    <w:rsid w:val="004E4CA7"/>
    <w:rsid w:val="004E6FBC"/>
    <w:rsid w:val="004F31F4"/>
    <w:rsid w:val="004F4500"/>
    <w:rsid w:val="004F4791"/>
    <w:rsid w:val="005039C2"/>
    <w:rsid w:val="00504B39"/>
    <w:rsid w:val="00512D72"/>
    <w:rsid w:val="005205A7"/>
    <w:rsid w:val="005221D1"/>
    <w:rsid w:val="00527DF7"/>
    <w:rsid w:val="0053082B"/>
    <w:rsid w:val="005308C9"/>
    <w:rsid w:val="00535268"/>
    <w:rsid w:val="00537396"/>
    <w:rsid w:val="00540C4F"/>
    <w:rsid w:val="00545418"/>
    <w:rsid w:val="00550B75"/>
    <w:rsid w:val="00553618"/>
    <w:rsid w:val="0056219A"/>
    <w:rsid w:val="005621A0"/>
    <w:rsid w:val="00566D43"/>
    <w:rsid w:val="00571537"/>
    <w:rsid w:val="005735E2"/>
    <w:rsid w:val="00573FA6"/>
    <w:rsid w:val="00583274"/>
    <w:rsid w:val="00587113"/>
    <w:rsid w:val="00590847"/>
    <w:rsid w:val="0059344E"/>
    <w:rsid w:val="00593E58"/>
    <w:rsid w:val="005A6FDA"/>
    <w:rsid w:val="005B1F3F"/>
    <w:rsid w:val="005D4AAF"/>
    <w:rsid w:val="005E1B09"/>
    <w:rsid w:val="005E2567"/>
    <w:rsid w:val="005E3567"/>
    <w:rsid w:val="005E4E5E"/>
    <w:rsid w:val="005F6635"/>
    <w:rsid w:val="00607216"/>
    <w:rsid w:val="006079DE"/>
    <w:rsid w:val="006121DF"/>
    <w:rsid w:val="006245EE"/>
    <w:rsid w:val="00624BC4"/>
    <w:rsid w:val="00625B1B"/>
    <w:rsid w:val="00631983"/>
    <w:rsid w:val="00632C47"/>
    <w:rsid w:val="006358F4"/>
    <w:rsid w:val="00641614"/>
    <w:rsid w:val="00641B98"/>
    <w:rsid w:val="00641FDB"/>
    <w:rsid w:val="0065136C"/>
    <w:rsid w:val="006532C0"/>
    <w:rsid w:val="00655D56"/>
    <w:rsid w:val="00657186"/>
    <w:rsid w:val="00661AB2"/>
    <w:rsid w:val="006747CD"/>
    <w:rsid w:val="006832BA"/>
    <w:rsid w:val="00685814"/>
    <w:rsid w:val="0069004D"/>
    <w:rsid w:val="00695B01"/>
    <w:rsid w:val="006A22D5"/>
    <w:rsid w:val="006A4B8E"/>
    <w:rsid w:val="006B0CA3"/>
    <w:rsid w:val="006C76F3"/>
    <w:rsid w:val="006D02CC"/>
    <w:rsid w:val="006D079D"/>
    <w:rsid w:val="006D0E71"/>
    <w:rsid w:val="006D28C3"/>
    <w:rsid w:val="006D3BA1"/>
    <w:rsid w:val="006E1AE0"/>
    <w:rsid w:val="006F05EC"/>
    <w:rsid w:val="006F0C9E"/>
    <w:rsid w:val="006F28B0"/>
    <w:rsid w:val="00701354"/>
    <w:rsid w:val="00702792"/>
    <w:rsid w:val="007036FD"/>
    <w:rsid w:val="00706B5F"/>
    <w:rsid w:val="00711922"/>
    <w:rsid w:val="00721324"/>
    <w:rsid w:val="00723D0F"/>
    <w:rsid w:val="007245AD"/>
    <w:rsid w:val="00731A52"/>
    <w:rsid w:val="0073525C"/>
    <w:rsid w:val="00744024"/>
    <w:rsid w:val="00757135"/>
    <w:rsid w:val="00757811"/>
    <w:rsid w:val="00773558"/>
    <w:rsid w:val="007768C8"/>
    <w:rsid w:val="00782BFB"/>
    <w:rsid w:val="00785D11"/>
    <w:rsid w:val="0078746D"/>
    <w:rsid w:val="007A156F"/>
    <w:rsid w:val="007A210F"/>
    <w:rsid w:val="007B611C"/>
    <w:rsid w:val="007C66B0"/>
    <w:rsid w:val="007D5687"/>
    <w:rsid w:val="007D56BF"/>
    <w:rsid w:val="007D6F3C"/>
    <w:rsid w:val="007E0A46"/>
    <w:rsid w:val="007E3B76"/>
    <w:rsid w:val="007E4BF6"/>
    <w:rsid w:val="007F28E8"/>
    <w:rsid w:val="007F61D4"/>
    <w:rsid w:val="007F791E"/>
    <w:rsid w:val="0080457C"/>
    <w:rsid w:val="0080697F"/>
    <w:rsid w:val="008101A6"/>
    <w:rsid w:val="008136BA"/>
    <w:rsid w:val="00816052"/>
    <w:rsid w:val="00816E39"/>
    <w:rsid w:val="008177F0"/>
    <w:rsid w:val="00820356"/>
    <w:rsid w:val="00826E59"/>
    <w:rsid w:val="00840156"/>
    <w:rsid w:val="008576FD"/>
    <w:rsid w:val="008609F1"/>
    <w:rsid w:val="008621DE"/>
    <w:rsid w:val="00864A88"/>
    <w:rsid w:val="00867393"/>
    <w:rsid w:val="00871FAE"/>
    <w:rsid w:val="00882728"/>
    <w:rsid w:val="0088371B"/>
    <w:rsid w:val="008847BC"/>
    <w:rsid w:val="00891015"/>
    <w:rsid w:val="00892416"/>
    <w:rsid w:val="008954C8"/>
    <w:rsid w:val="00895509"/>
    <w:rsid w:val="008A492C"/>
    <w:rsid w:val="008B3010"/>
    <w:rsid w:val="008C7D6C"/>
    <w:rsid w:val="008D2C23"/>
    <w:rsid w:val="008D3C57"/>
    <w:rsid w:val="008D61FF"/>
    <w:rsid w:val="008E45F6"/>
    <w:rsid w:val="008F6677"/>
    <w:rsid w:val="009113F8"/>
    <w:rsid w:val="00922A0E"/>
    <w:rsid w:val="00924641"/>
    <w:rsid w:val="00924E5E"/>
    <w:rsid w:val="0093038B"/>
    <w:rsid w:val="00931E60"/>
    <w:rsid w:val="00932C8B"/>
    <w:rsid w:val="00944E8F"/>
    <w:rsid w:val="00954445"/>
    <w:rsid w:val="00954E52"/>
    <w:rsid w:val="00956A69"/>
    <w:rsid w:val="009631FD"/>
    <w:rsid w:val="00963459"/>
    <w:rsid w:val="0096434D"/>
    <w:rsid w:val="0096687C"/>
    <w:rsid w:val="0097232E"/>
    <w:rsid w:val="0097608F"/>
    <w:rsid w:val="009774B1"/>
    <w:rsid w:val="0098237A"/>
    <w:rsid w:val="00986645"/>
    <w:rsid w:val="0099006F"/>
    <w:rsid w:val="00990684"/>
    <w:rsid w:val="00992AE8"/>
    <w:rsid w:val="0099313F"/>
    <w:rsid w:val="009A31A1"/>
    <w:rsid w:val="009A48C6"/>
    <w:rsid w:val="009A7F0C"/>
    <w:rsid w:val="009C03E3"/>
    <w:rsid w:val="009D6E13"/>
    <w:rsid w:val="009E3FCF"/>
    <w:rsid w:val="00A01D2C"/>
    <w:rsid w:val="00A0273B"/>
    <w:rsid w:val="00A06741"/>
    <w:rsid w:val="00A07364"/>
    <w:rsid w:val="00A07803"/>
    <w:rsid w:val="00A10916"/>
    <w:rsid w:val="00A133B8"/>
    <w:rsid w:val="00A13ACC"/>
    <w:rsid w:val="00A215F5"/>
    <w:rsid w:val="00A3222A"/>
    <w:rsid w:val="00A37414"/>
    <w:rsid w:val="00A41D2B"/>
    <w:rsid w:val="00A43F34"/>
    <w:rsid w:val="00A542C5"/>
    <w:rsid w:val="00A574A2"/>
    <w:rsid w:val="00A6224C"/>
    <w:rsid w:val="00A661D3"/>
    <w:rsid w:val="00A71475"/>
    <w:rsid w:val="00A731B4"/>
    <w:rsid w:val="00A74E02"/>
    <w:rsid w:val="00A774A5"/>
    <w:rsid w:val="00A84EDC"/>
    <w:rsid w:val="00A871AD"/>
    <w:rsid w:val="00A90BA8"/>
    <w:rsid w:val="00A92D17"/>
    <w:rsid w:val="00A93DDD"/>
    <w:rsid w:val="00A96B00"/>
    <w:rsid w:val="00A975BF"/>
    <w:rsid w:val="00AA0B9A"/>
    <w:rsid w:val="00AA2783"/>
    <w:rsid w:val="00AA7FF1"/>
    <w:rsid w:val="00AB09AB"/>
    <w:rsid w:val="00AB207E"/>
    <w:rsid w:val="00AC3F9D"/>
    <w:rsid w:val="00AC77A4"/>
    <w:rsid w:val="00AC7F9F"/>
    <w:rsid w:val="00AD35CE"/>
    <w:rsid w:val="00AD3D37"/>
    <w:rsid w:val="00AD4497"/>
    <w:rsid w:val="00AD5023"/>
    <w:rsid w:val="00AE3B3F"/>
    <w:rsid w:val="00AE41F9"/>
    <w:rsid w:val="00AF1D3D"/>
    <w:rsid w:val="00B0023A"/>
    <w:rsid w:val="00B01D9B"/>
    <w:rsid w:val="00B07BDF"/>
    <w:rsid w:val="00B16462"/>
    <w:rsid w:val="00B17FD7"/>
    <w:rsid w:val="00B274EB"/>
    <w:rsid w:val="00B3149D"/>
    <w:rsid w:val="00B330B8"/>
    <w:rsid w:val="00B33D01"/>
    <w:rsid w:val="00B37DA9"/>
    <w:rsid w:val="00B526D5"/>
    <w:rsid w:val="00B656D4"/>
    <w:rsid w:val="00B66291"/>
    <w:rsid w:val="00B66C06"/>
    <w:rsid w:val="00B72BE5"/>
    <w:rsid w:val="00B73179"/>
    <w:rsid w:val="00B7501F"/>
    <w:rsid w:val="00B860F6"/>
    <w:rsid w:val="00B94303"/>
    <w:rsid w:val="00BA28F2"/>
    <w:rsid w:val="00BB5D36"/>
    <w:rsid w:val="00BB7F05"/>
    <w:rsid w:val="00BC036C"/>
    <w:rsid w:val="00BC07DB"/>
    <w:rsid w:val="00BC0AB1"/>
    <w:rsid w:val="00BD78FE"/>
    <w:rsid w:val="00BE091D"/>
    <w:rsid w:val="00BE1198"/>
    <w:rsid w:val="00BE1B5F"/>
    <w:rsid w:val="00BE6F87"/>
    <w:rsid w:val="00BF3FF2"/>
    <w:rsid w:val="00BF4061"/>
    <w:rsid w:val="00BF4A6A"/>
    <w:rsid w:val="00BF5850"/>
    <w:rsid w:val="00C25B7D"/>
    <w:rsid w:val="00C323DA"/>
    <w:rsid w:val="00C36199"/>
    <w:rsid w:val="00C43320"/>
    <w:rsid w:val="00C4348E"/>
    <w:rsid w:val="00C46AE3"/>
    <w:rsid w:val="00C50473"/>
    <w:rsid w:val="00C52211"/>
    <w:rsid w:val="00C54E2C"/>
    <w:rsid w:val="00C66932"/>
    <w:rsid w:val="00C73E9C"/>
    <w:rsid w:val="00C756F9"/>
    <w:rsid w:val="00C76D7B"/>
    <w:rsid w:val="00C82A72"/>
    <w:rsid w:val="00C84752"/>
    <w:rsid w:val="00C8561C"/>
    <w:rsid w:val="00C856A1"/>
    <w:rsid w:val="00C85D0A"/>
    <w:rsid w:val="00C86C19"/>
    <w:rsid w:val="00C91C17"/>
    <w:rsid w:val="00C9714F"/>
    <w:rsid w:val="00CA452A"/>
    <w:rsid w:val="00CA5C6D"/>
    <w:rsid w:val="00CB1EDA"/>
    <w:rsid w:val="00CB38AA"/>
    <w:rsid w:val="00CB6739"/>
    <w:rsid w:val="00CB7C42"/>
    <w:rsid w:val="00CC4F4A"/>
    <w:rsid w:val="00CC710F"/>
    <w:rsid w:val="00CD3B92"/>
    <w:rsid w:val="00CD5763"/>
    <w:rsid w:val="00CD7222"/>
    <w:rsid w:val="00CD7BAB"/>
    <w:rsid w:val="00CE3C7F"/>
    <w:rsid w:val="00CE6C63"/>
    <w:rsid w:val="00CF1919"/>
    <w:rsid w:val="00CF2921"/>
    <w:rsid w:val="00CF5C80"/>
    <w:rsid w:val="00CF6F41"/>
    <w:rsid w:val="00CF759A"/>
    <w:rsid w:val="00D0028B"/>
    <w:rsid w:val="00D10965"/>
    <w:rsid w:val="00D10B3B"/>
    <w:rsid w:val="00D148BA"/>
    <w:rsid w:val="00D17DCA"/>
    <w:rsid w:val="00D2175B"/>
    <w:rsid w:val="00D31DB1"/>
    <w:rsid w:val="00D40E02"/>
    <w:rsid w:val="00D5144C"/>
    <w:rsid w:val="00D6220B"/>
    <w:rsid w:val="00D67FEA"/>
    <w:rsid w:val="00D7274D"/>
    <w:rsid w:val="00D75BD4"/>
    <w:rsid w:val="00D83759"/>
    <w:rsid w:val="00DB1A6E"/>
    <w:rsid w:val="00DC263F"/>
    <w:rsid w:val="00DC52EA"/>
    <w:rsid w:val="00DC7AE8"/>
    <w:rsid w:val="00DD2199"/>
    <w:rsid w:val="00DD7103"/>
    <w:rsid w:val="00DE1B77"/>
    <w:rsid w:val="00DE2F4C"/>
    <w:rsid w:val="00DE3F73"/>
    <w:rsid w:val="00DE5CE6"/>
    <w:rsid w:val="00DF3F29"/>
    <w:rsid w:val="00DF4D7F"/>
    <w:rsid w:val="00E0197B"/>
    <w:rsid w:val="00E0468F"/>
    <w:rsid w:val="00E0555B"/>
    <w:rsid w:val="00E076C4"/>
    <w:rsid w:val="00E31D29"/>
    <w:rsid w:val="00E35CA2"/>
    <w:rsid w:val="00E44B1F"/>
    <w:rsid w:val="00E504F1"/>
    <w:rsid w:val="00E505E4"/>
    <w:rsid w:val="00E6503D"/>
    <w:rsid w:val="00E6663C"/>
    <w:rsid w:val="00E66E13"/>
    <w:rsid w:val="00E66EDC"/>
    <w:rsid w:val="00E806C3"/>
    <w:rsid w:val="00E8176D"/>
    <w:rsid w:val="00E85D71"/>
    <w:rsid w:val="00E87453"/>
    <w:rsid w:val="00E9206A"/>
    <w:rsid w:val="00EA2945"/>
    <w:rsid w:val="00EB10C9"/>
    <w:rsid w:val="00EB5CD3"/>
    <w:rsid w:val="00EC1FA4"/>
    <w:rsid w:val="00EC58E5"/>
    <w:rsid w:val="00ED007B"/>
    <w:rsid w:val="00ED27FF"/>
    <w:rsid w:val="00ED71F0"/>
    <w:rsid w:val="00EE0AE7"/>
    <w:rsid w:val="00EE7EBE"/>
    <w:rsid w:val="00EF29E7"/>
    <w:rsid w:val="00EF30E7"/>
    <w:rsid w:val="00EF5398"/>
    <w:rsid w:val="00F0370B"/>
    <w:rsid w:val="00F1003E"/>
    <w:rsid w:val="00F10DB9"/>
    <w:rsid w:val="00F11635"/>
    <w:rsid w:val="00F17478"/>
    <w:rsid w:val="00F24AB1"/>
    <w:rsid w:val="00F24C74"/>
    <w:rsid w:val="00F253DA"/>
    <w:rsid w:val="00F30E9B"/>
    <w:rsid w:val="00F3509E"/>
    <w:rsid w:val="00F35596"/>
    <w:rsid w:val="00F3720D"/>
    <w:rsid w:val="00F47C03"/>
    <w:rsid w:val="00F571FE"/>
    <w:rsid w:val="00F57791"/>
    <w:rsid w:val="00F609F7"/>
    <w:rsid w:val="00F6684E"/>
    <w:rsid w:val="00F71A77"/>
    <w:rsid w:val="00F83F57"/>
    <w:rsid w:val="00F86BA1"/>
    <w:rsid w:val="00FB0299"/>
    <w:rsid w:val="00FB4B7C"/>
    <w:rsid w:val="00FC1513"/>
    <w:rsid w:val="00FD09EE"/>
    <w:rsid w:val="00FD6CA8"/>
    <w:rsid w:val="00FD7672"/>
    <w:rsid w:val="00FE2BC9"/>
    <w:rsid w:val="00FE313A"/>
    <w:rsid w:val="00FE3164"/>
    <w:rsid w:val="00FE3E3D"/>
    <w:rsid w:val="00FF4354"/>
    <w:rsid w:val="00FF727D"/>
    <w:rsid w:val="017B429C"/>
    <w:rsid w:val="018239F6"/>
    <w:rsid w:val="01A85250"/>
    <w:rsid w:val="02530744"/>
    <w:rsid w:val="02A81568"/>
    <w:rsid w:val="03174F3D"/>
    <w:rsid w:val="05A94287"/>
    <w:rsid w:val="05B82E5D"/>
    <w:rsid w:val="05E073E1"/>
    <w:rsid w:val="061D0ABF"/>
    <w:rsid w:val="06DA487F"/>
    <w:rsid w:val="07384898"/>
    <w:rsid w:val="077B00EB"/>
    <w:rsid w:val="07811A45"/>
    <w:rsid w:val="085F70C6"/>
    <w:rsid w:val="08654D4A"/>
    <w:rsid w:val="08AB26B4"/>
    <w:rsid w:val="08C0002F"/>
    <w:rsid w:val="093B51DE"/>
    <w:rsid w:val="09A8563C"/>
    <w:rsid w:val="09E337EE"/>
    <w:rsid w:val="0A183EA3"/>
    <w:rsid w:val="0B043307"/>
    <w:rsid w:val="0B883216"/>
    <w:rsid w:val="0C344DB1"/>
    <w:rsid w:val="0C6A1392"/>
    <w:rsid w:val="0D5A7110"/>
    <w:rsid w:val="0D8A690B"/>
    <w:rsid w:val="0E1961DD"/>
    <w:rsid w:val="0E40777B"/>
    <w:rsid w:val="0E6D55FE"/>
    <w:rsid w:val="0E7436CF"/>
    <w:rsid w:val="0F997970"/>
    <w:rsid w:val="0FAF1227"/>
    <w:rsid w:val="101F6CD1"/>
    <w:rsid w:val="11651A4D"/>
    <w:rsid w:val="11783D04"/>
    <w:rsid w:val="117A6E37"/>
    <w:rsid w:val="122774AF"/>
    <w:rsid w:val="12C55893"/>
    <w:rsid w:val="12D969BB"/>
    <w:rsid w:val="134E7855"/>
    <w:rsid w:val="136A67D5"/>
    <w:rsid w:val="13C160B2"/>
    <w:rsid w:val="14406B83"/>
    <w:rsid w:val="15093177"/>
    <w:rsid w:val="15C70A44"/>
    <w:rsid w:val="169419C9"/>
    <w:rsid w:val="16FE572A"/>
    <w:rsid w:val="175372BF"/>
    <w:rsid w:val="1807554D"/>
    <w:rsid w:val="193725BE"/>
    <w:rsid w:val="1ABA4EDB"/>
    <w:rsid w:val="1AD80FFE"/>
    <w:rsid w:val="1AD81468"/>
    <w:rsid w:val="1AE3185B"/>
    <w:rsid w:val="1AEB1B96"/>
    <w:rsid w:val="1B484DC2"/>
    <w:rsid w:val="1B961296"/>
    <w:rsid w:val="1BD8246D"/>
    <w:rsid w:val="1C8A067D"/>
    <w:rsid w:val="1CC46C32"/>
    <w:rsid w:val="1D0008CD"/>
    <w:rsid w:val="1D6333DE"/>
    <w:rsid w:val="1DCF7BDC"/>
    <w:rsid w:val="1E376A8D"/>
    <w:rsid w:val="1E4135A9"/>
    <w:rsid w:val="1EF86852"/>
    <w:rsid w:val="1F5D41DF"/>
    <w:rsid w:val="20016901"/>
    <w:rsid w:val="20571047"/>
    <w:rsid w:val="20905DFB"/>
    <w:rsid w:val="20A16C34"/>
    <w:rsid w:val="20C31E08"/>
    <w:rsid w:val="20D924BC"/>
    <w:rsid w:val="20FE0493"/>
    <w:rsid w:val="215D6DEF"/>
    <w:rsid w:val="2287768F"/>
    <w:rsid w:val="23244644"/>
    <w:rsid w:val="25217740"/>
    <w:rsid w:val="2572277A"/>
    <w:rsid w:val="25F36428"/>
    <w:rsid w:val="263564F8"/>
    <w:rsid w:val="264331D2"/>
    <w:rsid w:val="267A225A"/>
    <w:rsid w:val="26897C76"/>
    <w:rsid w:val="274223D1"/>
    <w:rsid w:val="27BD0069"/>
    <w:rsid w:val="283D7AED"/>
    <w:rsid w:val="2886580A"/>
    <w:rsid w:val="28E14F3B"/>
    <w:rsid w:val="291C198E"/>
    <w:rsid w:val="297B3E2D"/>
    <w:rsid w:val="2A604E9C"/>
    <w:rsid w:val="2AF3793F"/>
    <w:rsid w:val="2AFF1E1F"/>
    <w:rsid w:val="2B195446"/>
    <w:rsid w:val="2BE04DD8"/>
    <w:rsid w:val="2C5A0AAE"/>
    <w:rsid w:val="2C5A4E93"/>
    <w:rsid w:val="2CB43C65"/>
    <w:rsid w:val="2D805F3B"/>
    <w:rsid w:val="2FED4806"/>
    <w:rsid w:val="312E4E8B"/>
    <w:rsid w:val="319716C6"/>
    <w:rsid w:val="31AC5E0B"/>
    <w:rsid w:val="31AFC44C"/>
    <w:rsid w:val="31BE6AD1"/>
    <w:rsid w:val="31E957FC"/>
    <w:rsid w:val="32165522"/>
    <w:rsid w:val="322841C1"/>
    <w:rsid w:val="328363DF"/>
    <w:rsid w:val="32F56799"/>
    <w:rsid w:val="334B64CD"/>
    <w:rsid w:val="33FE1497"/>
    <w:rsid w:val="343D03F7"/>
    <w:rsid w:val="34586B43"/>
    <w:rsid w:val="34AC6C79"/>
    <w:rsid w:val="352167AF"/>
    <w:rsid w:val="364A473C"/>
    <w:rsid w:val="36A905E8"/>
    <w:rsid w:val="3732208A"/>
    <w:rsid w:val="376D18B4"/>
    <w:rsid w:val="37AA5128"/>
    <w:rsid w:val="384B18C4"/>
    <w:rsid w:val="389425B0"/>
    <w:rsid w:val="394D27AC"/>
    <w:rsid w:val="396E0276"/>
    <w:rsid w:val="39960C00"/>
    <w:rsid w:val="39F403B2"/>
    <w:rsid w:val="39F82E6D"/>
    <w:rsid w:val="3A0952C1"/>
    <w:rsid w:val="3AC44562"/>
    <w:rsid w:val="3AF137D7"/>
    <w:rsid w:val="3BCF77BF"/>
    <w:rsid w:val="3C0E4427"/>
    <w:rsid w:val="3C456EFD"/>
    <w:rsid w:val="3CD6592A"/>
    <w:rsid w:val="3CF7DC89"/>
    <w:rsid w:val="3E4B3E90"/>
    <w:rsid w:val="3E78523E"/>
    <w:rsid w:val="3E977155"/>
    <w:rsid w:val="3EA00CC9"/>
    <w:rsid w:val="3EA59E9F"/>
    <w:rsid w:val="3F702A34"/>
    <w:rsid w:val="400F6201"/>
    <w:rsid w:val="40270A14"/>
    <w:rsid w:val="403A0B76"/>
    <w:rsid w:val="40436088"/>
    <w:rsid w:val="40864ED4"/>
    <w:rsid w:val="41D210C8"/>
    <w:rsid w:val="42781C7B"/>
    <w:rsid w:val="428803B0"/>
    <w:rsid w:val="42F21B2C"/>
    <w:rsid w:val="44480C33"/>
    <w:rsid w:val="444C7089"/>
    <w:rsid w:val="446472DA"/>
    <w:rsid w:val="44F363D1"/>
    <w:rsid w:val="45805BBE"/>
    <w:rsid w:val="45BB16F2"/>
    <w:rsid w:val="464A60A8"/>
    <w:rsid w:val="466F03E6"/>
    <w:rsid w:val="46FB7DC6"/>
    <w:rsid w:val="470C2F25"/>
    <w:rsid w:val="47955A21"/>
    <w:rsid w:val="47BFF791"/>
    <w:rsid w:val="48007381"/>
    <w:rsid w:val="49430D45"/>
    <w:rsid w:val="4A1C41B3"/>
    <w:rsid w:val="4A6B192F"/>
    <w:rsid w:val="4AEE1F54"/>
    <w:rsid w:val="4BFD8E33"/>
    <w:rsid w:val="4C043151"/>
    <w:rsid w:val="4D0E7EDC"/>
    <w:rsid w:val="4D0F5821"/>
    <w:rsid w:val="4D197AA7"/>
    <w:rsid w:val="4D215624"/>
    <w:rsid w:val="4D340478"/>
    <w:rsid w:val="4D7E19C3"/>
    <w:rsid w:val="4E171EB9"/>
    <w:rsid w:val="4E553674"/>
    <w:rsid w:val="4E805DD8"/>
    <w:rsid w:val="4F3F73FC"/>
    <w:rsid w:val="4F4E72F3"/>
    <w:rsid w:val="4FBBD6B3"/>
    <w:rsid w:val="4FC21A20"/>
    <w:rsid w:val="502873B7"/>
    <w:rsid w:val="50AC4EC8"/>
    <w:rsid w:val="50C25C9C"/>
    <w:rsid w:val="50D07E04"/>
    <w:rsid w:val="50F14B8E"/>
    <w:rsid w:val="519B03C6"/>
    <w:rsid w:val="519D6C9E"/>
    <w:rsid w:val="520569B6"/>
    <w:rsid w:val="52294988"/>
    <w:rsid w:val="523351A3"/>
    <w:rsid w:val="52D93B7C"/>
    <w:rsid w:val="52F43A37"/>
    <w:rsid w:val="530C0A07"/>
    <w:rsid w:val="533E23EF"/>
    <w:rsid w:val="53665105"/>
    <w:rsid w:val="53832CB2"/>
    <w:rsid w:val="53C44028"/>
    <w:rsid w:val="53C82FE0"/>
    <w:rsid w:val="549A16FF"/>
    <w:rsid w:val="550C44BE"/>
    <w:rsid w:val="565106F1"/>
    <w:rsid w:val="56BF886C"/>
    <w:rsid w:val="56E4595F"/>
    <w:rsid w:val="57727B09"/>
    <w:rsid w:val="57C82282"/>
    <w:rsid w:val="57FD5808"/>
    <w:rsid w:val="5826161B"/>
    <w:rsid w:val="58B57CAD"/>
    <w:rsid w:val="594B1686"/>
    <w:rsid w:val="594C6720"/>
    <w:rsid w:val="59A91B3E"/>
    <w:rsid w:val="59ED0A6D"/>
    <w:rsid w:val="5ADF25E7"/>
    <w:rsid w:val="5AF83B0A"/>
    <w:rsid w:val="5CE64918"/>
    <w:rsid w:val="5D003D89"/>
    <w:rsid w:val="5DF56FD6"/>
    <w:rsid w:val="5F3682AE"/>
    <w:rsid w:val="5F5B44C5"/>
    <w:rsid w:val="5FC93C50"/>
    <w:rsid w:val="61964FAB"/>
    <w:rsid w:val="624938A7"/>
    <w:rsid w:val="62630449"/>
    <w:rsid w:val="629366CC"/>
    <w:rsid w:val="63547496"/>
    <w:rsid w:val="63EFBFCE"/>
    <w:rsid w:val="63F0428F"/>
    <w:rsid w:val="65273F84"/>
    <w:rsid w:val="65CA38DD"/>
    <w:rsid w:val="65EA7E79"/>
    <w:rsid w:val="67222F16"/>
    <w:rsid w:val="672418A5"/>
    <w:rsid w:val="67456A8F"/>
    <w:rsid w:val="67D35FD9"/>
    <w:rsid w:val="68014589"/>
    <w:rsid w:val="681F302E"/>
    <w:rsid w:val="68583F38"/>
    <w:rsid w:val="68666B58"/>
    <w:rsid w:val="689B593E"/>
    <w:rsid w:val="691F297D"/>
    <w:rsid w:val="69D85D1F"/>
    <w:rsid w:val="69F72E97"/>
    <w:rsid w:val="6B2AFFFC"/>
    <w:rsid w:val="6B820737"/>
    <w:rsid w:val="6B997637"/>
    <w:rsid w:val="6BBB4169"/>
    <w:rsid w:val="6C902FCA"/>
    <w:rsid w:val="6CD14F27"/>
    <w:rsid w:val="6D3C76DE"/>
    <w:rsid w:val="6E503B8A"/>
    <w:rsid w:val="6E7555D4"/>
    <w:rsid w:val="6EA10A28"/>
    <w:rsid w:val="6ECA348F"/>
    <w:rsid w:val="6F1A57AF"/>
    <w:rsid w:val="707F3EF5"/>
    <w:rsid w:val="70837CBA"/>
    <w:rsid w:val="70EA5039"/>
    <w:rsid w:val="71162E71"/>
    <w:rsid w:val="734309EC"/>
    <w:rsid w:val="73BE7F06"/>
    <w:rsid w:val="73D50726"/>
    <w:rsid w:val="742E3711"/>
    <w:rsid w:val="74B153B2"/>
    <w:rsid w:val="755E260F"/>
    <w:rsid w:val="756772A9"/>
    <w:rsid w:val="76E43EFC"/>
    <w:rsid w:val="76F329AB"/>
    <w:rsid w:val="771F336A"/>
    <w:rsid w:val="772C5186"/>
    <w:rsid w:val="77316A3F"/>
    <w:rsid w:val="782A64C0"/>
    <w:rsid w:val="788C0F3B"/>
    <w:rsid w:val="793616DD"/>
    <w:rsid w:val="79680D65"/>
    <w:rsid w:val="7A023AAC"/>
    <w:rsid w:val="7A0E5B47"/>
    <w:rsid w:val="7A5C32D3"/>
    <w:rsid w:val="7ABF37BF"/>
    <w:rsid w:val="7ACF6306"/>
    <w:rsid w:val="7B1027FC"/>
    <w:rsid w:val="7B260AB7"/>
    <w:rsid w:val="7BEB9BA3"/>
    <w:rsid w:val="7BFE7F92"/>
    <w:rsid w:val="7CFE4BD1"/>
    <w:rsid w:val="7D356718"/>
    <w:rsid w:val="7DE7E809"/>
    <w:rsid w:val="7E790A66"/>
    <w:rsid w:val="7EB5B63E"/>
    <w:rsid w:val="7F6FEF0B"/>
    <w:rsid w:val="7FBF3D67"/>
    <w:rsid w:val="7FDE6071"/>
    <w:rsid w:val="7FEED98F"/>
    <w:rsid w:val="7FFF3899"/>
    <w:rsid w:val="7FFFA586"/>
    <w:rsid w:val="A60A7631"/>
    <w:rsid w:val="AF6FEE50"/>
    <w:rsid w:val="AFE3600C"/>
    <w:rsid w:val="B6FFCBB1"/>
    <w:rsid w:val="BF767323"/>
    <w:rsid w:val="BFDDC225"/>
    <w:rsid w:val="DAEB8A4C"/>
    <w:rsid w:val="DDFF2E46"/>
    <w:rsid w:val="DEF3EE8E"/>
    <w:rsid w:val="DFFA6EA3"/>
    <w:rsid w:val="DFFD57FF"/>
    <w:rsid w:val="EF9F719C"/>
    <w:rsid w:val="F26F943D"/>
    <w:rsid w:val="F3F9CD95"/>
    <w:rsid w:val="F5DEC2A7"/>
    <w:rsid w:val="F8EF5034"/>
    <w:rsid w:val="F9EE0B27"/>
    <w:rsid w:val="FA5A985B"/>
    <w:rsid w:val="FBFF8467"/>
    <w:rsid w:val="FD39C16F"/>
    <w:rsid w:val="FF7F34F9"/>
    <w:rsid w:val="FFFEC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semiHidden="0"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3"/>
    <w:qFormat/>
    <w:uiPriority w:val="9"/>
    <w:pPr>
      <w:keepNext/>
      <w:keepLines/>
      <w:spacing w:before="340" w:after="330" w:line="578" w:lineRule="auto"/>
      <w:outlineLvl w:val="0"/>
    </w:pPr>
    <w:rPr>
      <w:rFonts w:ascii="宋体" w:hAnsi="Calibri" w:eastAsia="宋体" w:cs="Times New Roman"/>
      <w:b/>
      <w:bCs/>
      <w:kern w:val="44"/>
      <w:sz w:val="44"/>
      <w:szCs w:val="44"/>
    </w:rPr>
  </w:style>
  <w:style w:type="paragraph" w:styleId="3">
    <w:name w:val="heading 2"/>
    <w:basedOn w:val="1"/>
    <w:next w:val="1"/>
    <w:link w:val="44"/>
    <w:semiHidden/>
    <w:unhideWhenUsed/>
    <w:qFormat/>
    <w:uiPriority w:val="9"/>
    <w:pPr>
      <w:keepNext/>
      <w:keepLines/>
      <w:spacing w:before="260" w:after="260" w:line="416" w:lineRule="auto"/>
      <w:outlineLvl w:val="1"/>
    </w:pPr>
    <w:rPr>
      <w:rFonts w:ascii="Cambria" w:hAnsi="Cambria" w:eastAsia="宋体" w:cs="Times New Roman"/>
      <w:b/>
      <w:bCs/>
      <w:sz w:val="44"/>
      <w:szCs w:val="32"/>
    </w:rPr>
  </w:style>
  <w:style w:type="paragraph" w:styleId="4">
    <w:name w:val="heading 3"/>
    <w:basedOn w:val="1"/>
    <w:next w:val="1"/>
    <w:link w:val="45"/>
    <w:semiHidden/>
    <w:unhideWhenUsed/>
    <w:qFormat/>
    <w:uiPriority w:val="9"/>
    <w:pPr>
      <w:keepNext/>
      <w:keepLines/>
      <w:spacing w:before="260" w:after="260" w:line="416" w:lineRule="auto"/>
      <w:outlineLvl w:val="2"/>
    </w:pPr>
    <w:rPr>
      <w:rFonts w:ascii="宋体" w:hAnsi="Calibri" w:eastAsia="宋体" w:cs="Times New Roman"/>
      <w:b/>
      <w:bCs/>
      <w:sz w:val="32"/>
      <w:szCs w:val="32"/>
    </w:rPr>
  </w:style>
  <w:style w:type="paragraph" w:styleId="5">
    <w:name w:val="heading 4"/>
    <w:basedOn w:val="1"/>
    <w:next w:val="1"/>
    <w:link w:val="39"/>
    <w:qFormat/>
    <w:uiPriority w:val="0"/>
    <w:pPr>
      <w:tabs>
        <w:tab w:val="left" w:pos="2155"/>
      </w:tabs>
      <w:spacing w:before="120" w:line="360" w:lineRule="auto"/>
      <w:ind w:left="2155" w:hanging="1078" w:firstLineChars="200"/>
      <w:textAlignment w:val="baseline"/>
      <w:outlineLvl w:val="3"/>
    </w:pPr>
    <w:rPr>
      <w:rFonts w:ascii="Arial" w:hAnsi="Times New Roman" w:eastAsia="黑体" w:cs="Times New Roman"/>
      <w:sz w:val="28"/>
      <w:szCs w:val="20"/>
    </w:rPr>
  </w:style>
  <w:style w:type="paragraph" w:styleId="6">
    <w:name w:val="heading 5"/>
    <w:basedOn w:val="1"/>
    <w:next w:val="1"/>
    <w:link w:val="46"/>
    <w:semiHidden/>
    <w:unhideWhenUsed/>
    <w:qFormat/>
    <w:uiPriority w:val="9"/>
    <w:pPr>
      <w:keepNext/>
      <w:keepLines/>
      <w:spacing w:before="280" w:after="290" w:line="376" w:lineRule="auto"/>
      <w:outlineLvl w:val="4"/>
    </w:pPr>
    <w:rPr>
      <w:rFonts w:ascii="宋体" w:hAnsi="Calibri" w:eastAsia="宋体" w:cs="Times New Roman"/>
      <w:b/>
      <w:bCs/>
      <w:sz w:val="28"/>
      <w:szCs w:val="28"/>
    </w:rPr>
  </w:style>
  <w:style w:type="paragraph" w:styleId="7">
    <w:name w:val="heading 8"/>
    <w:basedOn w:val="1"/>
    <w:next w:val="1"/>
    <w:link w:val="47"/>
    <w:semiHidden/>
    <w:unhideWhenUsed/>
    <w:qFormat/>
    <w:uiPriority w:val="9"/>
    <w:pPr>
      <w:keepNext/>
      <w:keepLines/>
      <w:spacing w:before="240" w:after="64" w:line="320" w:lineRule="auto"/>
      <w:outlineLvl w:val="7"/>
    </w:pPr>
    <w:rPr>
      <w:rFonts w:ascii="等线 Light" w:hAnsi="等线 Light" w:eastAsia="宋体" w:cs="Times New Roman"/>
      <w:b/>
      <w:sz w:val="32"/>
      <w:szCs w:val="21"/>
    </w:rPr>
  </w:style>
  <w:style w:type="paragraph" w:styleId="8">
    <w:name w:val="heading 9"/>
    <w:basedOn w:val="1"/>
    <w:next w:val="1"/>
    <w:link w:val="48"/>
    <w:semiHidden/>
    <w:unhideWhenUsed/>
    <w:qFormat/>
    <w:uiPriority w:val="9"/>
    <w:pPr>
      <w:keepNext/>
      <w:keepLines/>
      <w:spacing w:before="240" w:after="64" w:line="320" w:lineRule="auto"/>
      <w:outlineLvl w:val="8"/>
    </w:pPr>
    <w:rPr>
      <w:rFonts w:ascii="Calibri Light" w:hAnsi="Calibri Light" w:eastAsia="宋体" w:cs="Times New Roman"/>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9">
    <w:name w:val="index 8"/>
    <w:basedOn w:val="1"/>
    <w:next w:val="1"/>
    <w:qFormat/>
    <w:uiPriority w:val="0"/>
    <w:pPr>
      <w:ind w:left="2940"/>
    </w:pPr>
  </w:style>
  <w:style w:type="paragraph" w:styleId="10">
    <w:name w:val="Normal Indent"/>
    <w:basedOn w:val="1"/>
    <w:semiHidden/>
    <w:unhideWhenUsed/>
    <w:qFormat/>
    <w:uiPriority w:val="99"/>
    <w:pPr>
      <w:ind w:firstLine="420" w:firstLineChars="200"/>
    </w:pPr>
  </w:style>
  <w:style w:type="paragraph" w:styleId="11">
    <w:name w:val="annotation text"/>
    <w:basedOn w:val="1"/>
    <w:link w:val="52"/>
    <w:unhideWhenUsed/>
    <w:qFormat/>
    <w:uiPriority w:val="99"/>
    <w:pPr>
      <w:jc w:val="left"/>
    </w:pPr>
    <w:rPr>
      <w:rFonts w:ascii="Times New Roman" w:hAnsi="Times New Roman" w:eastAsia="宋体" w:cs="Times New Roman"/>
      <w:szCs w:val="24"/>
    </w:rPr>
  </w:style>
  <w:style w:type="paragraph" w:styleId="12">
    <w:name w:val="Body Text 3"/>
    <w:basedOn w:val="1"/>
    <w:link w:val="108"/>
    <w:semiHidden/>
    <w:unhideWhenUsed/>
    <w:qFormat/>
    <w:uiPriority w:val="99"/>
    <w:pPr>
      <w:spacing w:after="120"/>
    </w:pPr>
    <w:rPr>
      <w:sz w:val="16"/>
      <w:szCs w:val="16"/>
    </w:rPr>
  </w:style>
  <w:style w:type="paragraph" w:styleId="13">
    <w:name w:val="Body Text"/>
    <w:basedOn w:val="1"/>
    <w:next w:val="1"/>
    <w:link w:val="55"/>
    <w:qFormat/>
    <w:uiPriority w:val="99"/>
    <w:pPr>
      <w:spacing w:line="380" w:lineRule="exact"/>
      <w:ind w:firstLine="200" w:firstLineChars="200"/>
    </w:pPr>
    <w:rPr>
      <w:rFonts w:ascii="Times New Roman" w:hAnsi="Times New Roman" w:eastAsia="宋体" w:cs="Times New Roman"/>
      <w:kern w:val="0"/>
      <w:sz w:val="24"/>
      <w:szCs w:val="24"/>
      <w:lang w:val="zh-CN"/>
    </w:rPr>
  </w:style>
  <w:style w:type="paragraph" w:styleId="14">
    <w:name w:val="Body Text Indent"/>
    <w:basedOn w:val="1"/>
    <w:link w:val="109"/>
    <w:semiHidden/>
    <w:unhideWhenUsed/>
    <w:qFormat/>
    <w:uiPriority w:val="99"/>
    <w:pPr>
      <w:spacing w:after="120"/>
      <w:ind w:left="420" w:leftChars="200"/>
    </w:pPr>
  </w:style>
  <w:style w:type="paragraph" w:styleId="15">
    <w:name w:val="List 2"/>
    <w:basedOn w:val="1"/>
    <w:unhideWhenUsed/>
    <w:qFormat/>
    <w:uiPriority w:val="99"/>
    <w:pPr>
      <w:ind w:left="100" w:leftChars="200" w:hanging="200" w:hangingChars="200"/>
      <w:contextualSpacing/>
    </w:pPr>
    <w:rPr>
      <w:rFonts w:ascii="Times New Roman" w:hAnsi="Times New Roman" w:eastAsia="宋体" w:cs="Times New Roman"/>
      <w:szCs w:val="24"/>
    </w:rPr>
  </w:style>
  <w:style w:type="paragraph" w:styleId="16">
    <w:name w:val="Block Text"/>
    <w:basedOn w:val="1"/>
    <w:qFormat/>
    <w:uiPriority w:val="0"/>
    <w:pPr>
      <w:adjustRightInd w:val="0"/>
      <w:ind w:left="420" w:right="33"/>
      <w:jc w:val="left"/>
      <w:textAlignment w:val="baseline"/>
    </w:pPr>
    <w:rPr>
      <w:rFonts w:ascii="Times New Roman" w:hAnsi="Times New Roman"/>
      <w:kern w:val="0"/>
      <w:sz w:val="24"/>
    </w:rPr>
  </w:style>
  <w:style w:type="paragraph" w:styleId="17">
    <w:name w:val="Plain Text"/>
    <w:basedOn w:val="1"/>
    <w:next w:val="1"/>
    <w:link w:val="59"/>
    <w:qFormat/>
    <w:uiPriority w:val="0"/>
    <w:pPr>
      <w:ind w:firstLine="200" w:firstLineChars="200"/>
    </w:pPr>
    <w:rPr>
      <w:rFonts w:ascii="宋体" w:hAnsi="Courier New" w:eastAsia="宋体" w:cs="Times New Roman"/>
      <w:kern w:val="0"/>
      <w:sz w:val="20"/>
      <w:szCs w:val="21"/>
      <w:lang w:val="zh-CN"/>
    </w:rPr>
  </w:style>
  <w:style w:type="paragraph" w:styleId="18">
    <w:name w:val="Balloon Text"/>
    <w:basedOn w:val="1"/>
    <w:link w:val="110"/>
    <w:semiHidden/>
    <w:unhideWhenUsed/>
    <w:qFormat/>
    <w:uiPriority w:val="99"/>
    <w:rPr>
      <w:sz w:val="18"/>
      <w:szCs w:val="18"/>
    </w:rPr>
  </w:style>
  <w:style w:type="paragraph" w:styleId="19">
    <w:name w:val="footer"/>
    <w:basedOn w:val="1"/>
    <w:next w:val="1"/>
    <w:link w:val="111"/>
    <w:semiHidden/>
    <w:unhideWhenUsed/>
    <w:qFormat/>
    <w:uiPriority w:val="99"/>
    <w:pPr>
      <w:tabs>
        <w:tab w:val="center" w:pos="4153"/>
        <w:tab w:val="right" w:pos="8306"/>
      </w:tabs>
      <w:snapToGrid w:val="0"/>
      <w:jc w:val="left"/>
    </w:pPr>
    <w:rPr>
      <w:sz w:val="18"/>
      <w:szCs w:val="18"/>
    </w:rPr>
  </w:style>
  <w:style w:type="paragraph" w:styleId="20">
    <w:name w:val="header"/>
    <w:basedOn w:val="1"/>
    <w:link w:val="112"/>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tabs>
        <w:tab w:val="right" w:leader="dot" w:pos="8494"/>
      </w:tabs>
      <w:spacing w:line="360" w:lineRule="auto"/>
    </w:pPr>
  </w:style>
  <w:style w:type="paragraph" w:styleId="22">
    <w:name w:val="HTML Preformatted"/>
    <w:basedOn w:val="1"/>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3">
    <w:name w:val="Normal (Web)"/>
    <w:basedOn w:val="1"/>
    <w:unhideWhenUsed/>
    <w:qFormat/>
    <w:uiPriority w:val="99"/>
    <w:rPr>
      <w:rFonts w:ascii="Times New Roman" w:hAnsi="Times New Roman" w:cs="Times New Roman"/>
      <w:sz w:val="24"/>
      <w:szCs w:val="24"/>
    </w:rPr>
  </w:style>
  <w:style w:type="paragraph" w:styleId="24">
    <w:name w:val="annotation subject"/>
    <w:basedOn w:val="11"/>
    <w:next w:val="11"/>
    <w:link w:val="70"/>
    <w:semiHidden/>
    <w:unhideWhenUsed/>
    <w:qFormat/>
    <w:uiPriority w:val="99"/>
    <w:rPr>
      <w:rFonts w:ascii="宋体" w:hAnsi="Calibri"/>
      <w:b/>
      <w:bCs/>
      <w:szCs w:val="21"/>
    </w:rPr>
  </w:style>
  <w:style w:type="paragraph" w:styleId="25">
    <w:name w:val="Body Text First Indent"/>
    <w:basedOn w:val="13"/>
    <w:next w:val="1"/>
    <w:qFormat/>
    <w:uiPriority w:val="99"/>
    <w:pPr>
      <w:ind w:firstLine="420" w:firstLineChars="100"/>
    </w:pPr>
    <w:rPr>
      <w:rFonts w:ascii="微软雅黑" w:hAnsi="微软雅黑" w:eastAsia="微软雅黑" w:cs="微软雅黑"/>
      <w:szCs w:val="21"/>
    </w:rPr>
  </w:style>
  <w:style w:type="table" w:styleId="27">
    <w:name w:val="Table Grid"/>
    <w:basedOn w:val="2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FollowedHyperlink"/>
    <w:basedOn w:val="28"/>
    <w:semiHidden/>
    <w:unhideWhenUsed/>
    <w:qFormat/>
    <w:uiPriority w:val="99"/>
    <w:rPr>
      <w:color w:val="800080" w:themeColor="followedHyperlink"/>
      <w:u w:val="single"/>
      <w14:textFill>
        <w14:solidFill>
          <w14:schemeClr w14:val="folHlink"/>
        </w14:solidFill>
      </w14:textFill>
    </w:rPr>
  </w:style>
  <w:style w:type="character" w:styleId="31">
    <w:name w:val="Hyperlink"/>
    <w:basedOn w:val="28"/>
    <w:unhideWhenUsed/>
    <w:qFormat/>
    <w:uiPriority w:val="99"/>
    <w:rPr>
      <w:color w:val="0000FF" w:themeColor="hyperlink"/>
      <w:u w:val="single"/>
      <w14:textFill>
        <w14:solidFill>
          <w14:schemeClr w14:val="hlink"/>
        </w14:solidFill>
      </w14:textFill>
    </w:rPr>
  </w:style>
  <w:style w:type="character" w:styleId="32">
    <w:name w:val="annotation reference"/>
    <w:basedOn w:val="28"/>
    <w:semiHidden/>
    <w:unhideWhenUsed/>
    <w:qFormat/>
    <w:uiPriority w:val="99"/>
    <w:rPr>
      <w:sz w:val="21"/>
      <w:szCs w:val="21"/>
    </w:rPr>
  </w:style>
  <w:style w:type="paragraph" w:customStyle="1" w:styleId="33">
    <w:name w:val="表格文字"/>
    <w:basedOn w:val="1"/>
    <w:qFormat/>
    <w:uiPriority w:val="0"/>
    <w:pPr>
      <w:widowControl/>
      <w:adjustRightInd w:val="0"/>
      <w:spacing w:afterLines="50" w:line="360" w:lineRule="auto"/>
      <w:ind w:firstLine="200" w:firstLineChars="200"/>
      <w:jc w:val="left"/>
      <w:textAlignment w:val="baseline"/>
    </w:pPr>
    <w:rPr>
      <w:rFonts w:ascii="Arial" w:hAnsi="Arial"/>
      <w:kern w:val="0"/>
      <w:sz w:val="24"/>
      <w:szCs w:val="20"/>
    </w:rPr>
  </w:style>
  <w:style w:type="paragraph" w:customStyle="1" w:styleId="34">
    <w:name w:val="目录 81"/>
    <w:basedOn w:val="1"/>
    <w:next w:val="1"/>
    <w:qFormat/>
    <w:uiPriority w:val="0"/>
    <w:pPr>
      <w:ind w:left="1470" w:firstLine="200" w:firstLineChars="200"/>
      <w:jc w:val="left"/>
    </w:pPr>
    <w:rPr>
      <w:rFonts w:ascii="Times New Roman" w:eastAsia="宋体"/>
      <w:sz w:val="18"/>
      <w:szCs w:val="21"/>
    </w:rPr>
  </w:style>
  <w:style w:type="paragraph" w:customStyle="1" w:styleId="35">
    <w:name w:val="文章正文"/>
    <w:basedOn w:val="1"/>
    <w:qFormat/>
    <w:uiPriority w:val="0"/>
    <w:pPr>
      <w:spacing w:line="360" w:lineRule="auto"/>
      <w:ind w:firstLine="560" w:firstLineChars="200"/>
    </w:pPr>
    <w:rPr>
      <w:rFonts w:eastAsia="仿宋_GB2312" w:cs="Times New Roman"/>
      <w:sz w:val="28"/>
    </w:rPr>
  </w:style>
  <w:style w:type="paragraph" w:customStyle="1" w:styleId="36">
    <w:name w:val="标题 11"/>
    <w:basedOn w:val="1"/>
    <w:next w:val="1"/>
    <w:qFormat/>
    <w:uiPriority w:val="9"/>
    <w:pPr>
      <w:widowControl/>
      <w:tabs>
        <w:tab w:val="left" w:pos="0"/>
        <w:tab w:val="left" w:pos="3165"/>
        <w:tab w:val="center" w:pos="4153"/>
      </w:tabs>
      <w:autoSpaceDE w:val="0"/>
      <w:autoSpaceDN w:val="0"/>
      <w:adjustRightInd w:val="0"/>
      <w:spacing w:line="360" w:lineRule="auto"/>
      <w:jc w:val="left"/>
      <w:outlineLvl w:val="0"/>
    </w:pPr>
    <w:rPr>
      <w:rFonts w:ascii="宋体"/>
      <w:b/>
      <w:bCs/>
      <w:kern w:val="44"/>
      <w:sz w:val="44"/>
      <w:szCs w:val="44"/>
    </w:rPr>
  </w:style>
  <w:style w:type="paragraph" w:customStyle="1" w:styleId="37">
    <w:name w:val="标题 21"/>
    <w:basedOn w:val="1"/>
    <w:next w:val="1"/>
    <w:qFormat/>
    <w:uiPriority w:val="9"/>
    <w:pPr>
      <w:keepNext/>
      <w:keepLines/>
      <w:widowControl/>
      <w:spacing w:line="360" w:lineRule="auto"/>
      <w:ind w:firstLine="200" w:firstLineChars="200"/>
      <w:jc w:val="left"/>
      <w:outlineLvl w:val="1"/>
    </w:pPr>
    <w:rPr>
      <w:rFonts w:ascii="Cambria" w:hAnsi="Cambria"/>
      <w:b/>
      <w:bCs/>
      <w:sz w:val="44"/>
      <w:szCs w:val="32"/>
    </w:rPr>
  </w:style>
  <w:style w:type="paragraph" w:customStyle="1" w:styleId="38">
    <w:name w:val="标题 31"/>
    <w:basedOn w:val="1"/>
    <w:next w:val="1"/>
    <w:semiHidden/>
    <w:unhideWhenUsed/>
    <w:qFormat/>
    <w:uiPriority w:val="9"/>
    <w:pPr>
      <w:keepNext/>
      <w:keepLines/>
      <w:widowControl/>
      <w:spacing w:before="260" w:after="260" w:line="416" w:lineRule="auto"/>
      <w:ind w:firstLine="200" w:firstLineChars="200"/>
      <w:jc w:val="left"/>
      <w:outlineLvl w:val="2"/>
    </w:pPr>
    <w:rPr>
      <w:rFonts w:ascii="宋体"/>
      <w:b/>
      <w:bCs/>
      <w:sz w:val="32"/>
      <w:szCs w:val="32"/>
    </w:rPr>
  </w:style>
  <w:style w:type="character" w:customStyle="1" w:styleId="39">
    <w:name w:val="标题 4 Char"/>
    <w:basedOn w:val="28"/>
    <w:link w:val="5"/>
    <w:qFormat/>
    <w:uiPriority w:val="0"/>
    <w:rPr>
      <w:rFonts w:ascii="Arial" w:hAnsi="Times New Roman" w:eastAsia="黑体" w:cs="Times New Roman"/>
      <w:sz w:val="28"/>
      <w:szCs w:val="20"/>
    </w:rPr>
  </w:style>
  <w:style w:type="paragraph" w:customStyle="1" w:styleId="40">
    <w:name w:val="标题 51"/>
    <w:basedOn w:val="1"/>
    <w:next w:val="1"/>
    <w:semiHidden/>
    <w:unhideWhenUsed/>
    <w:qFormat/>
    <w:uiPriority w:val="9"/>
    <w:pPr>
      <w:keepNext/>
      <w:keepLines/>
      <w:widowControl/>
      <w:spacing w:before="280" w:after="290" w:line="376" w:lineRule="auto"/>
      <w:ind w:firstLine="200" w:firstLineChars="200"/>
      <w:jc w:val="left"/>
      <w:outlineLvl w:val="4"/>
    </w:pPr>
    <w:rPr>
      <w:rFonts w:ascii="宋体"/>
      <w:b/>
      <w:bCs/>
      <w:sz w:val="28"/>
      <w:szCs w:val="28"/>
    </w:rPr>
  </w:style>
  <w:style w:type="paragraph" w:customStyle="1" w:styleId="41">
    <w:name w:val="标题 81"/>
    <w:basedOn w:val="1"/>
    <w:next w:val="1"/>
    <w:qFormat/>
    <w:uiPriority w:val="9"/>
    <w:pPr>
      <w:keepNext/>
      <w:keepLines/>
      <w:widowControl/>
      <w:spacing w:line="360" w:lineRule="auto"/>
      <w:ind w:firstLine="200" w:firstLineChars="200"/>
      <w:jc w:val="left"/>
      <w:outlineLvl w:val="7"/>
    </w:pPr>
    <w:rPr>
      <w:rFonts w:ascii="等线 Light" w:hAnsi="等线 Light"/>
      <w:b/>
      <w:sz w:val="32"/>
      <w:szCs w:val="21"/>
    </w:rPr>
  </w:style>
  <w:style w:type="paragraph" w:customStyle="1" w:styleId="42">
    <w:name w:val="标题 91"/>
    <w:basedOn w:val="1"/>
    <w:next w:val="1"/>
    <w:unhideWhenUsed/>
    <w:qFormat/>
    <w:uiPriority w:val="9"/>
    <w:pPr>
      <w:keepNext/>
      <w:keepLines/>
      <w:widowControl/>
      <w:spacing w:before="240" w:after="64" w:line="320" w:lineRule="auto"/>
      <w:ind w:firstLine="200" w:firstLineChars="200"/>
      <w:jc w:val="left"/>
      <w:outlineLvl w:val="8"/>
    </w:pPr>
    <w:rPr>
      <w:rFonts w:ascii="Calibri Light" w:hAnsi="Calibri Light" w:eastAsia="宋体" w:cs="Times New Roman"/>
      <w:szCs w:val="21"/>
    </w:rPr>
  </w:style>
  <w:style w:type="character" w:customStyle="1" w:styleId="43">
    <w:name w:val="标题 1 Char"/>
    <w:basedOn w:val="28"/>
    <w:link w:val="2"/>
    <w:qFormat/>
    <w:uiPriority w:val="9"/>
    <w:rPr>
      <w:rFonts w:ascii="宋体" w:hAnsi="Calibri" w:eastAsia="宋体" w:cs="Times New Roman"/>
      <w:b/>
      <w:bCs/>
      <w:kern w:val="44"/>
      <w:sz w:val="44"/>
      <w:szCs w:val="44"/>
    </w:rPr>
  </w:style>
  <w:style w:type="character" w:customStyle="1" w:styleId="44">
    <w:name w:val="标题 2 Char"/>
    <w:basedOn w:val="28"/>
    <w:link w:val="3"/>
    <w:qFormat/>
    <w:uiPriority w:val="9"/>
    <w:rPr>
      <w:rFonts w:ascii="Cambria" w:hAnsi="Cambria" w:eastAsia="宋体" w:cs="Times New Roman"/>
      <w:b/>
      <w:bCs/>
      <w:kern w:val="2"/>
      <w:sz w:val="44"/>
      <w:szCs w:val="32"/>
    </w:rPr>
  </w:style>
  <w:style w:type="character" w:customStyle="1" w:styleId="45">
    <w:name w:val="标题 3 Char"/>
    <w:basedOn w:val="28"/>
    <w:link w:val="4"/>
    <w:semiHidden/>
    <w:qFormat/>
    <w:uiPriority w:val="9"/>
    <w:rPr>
      <w:rFonts w:ascii="宋体" w:hAnsi="Calibri" w:eastAsia="宋体" w:cs="Times New Roman"/>
      <w:b/>
      <w:bCs/>
      <w:kern w:val="2"/>
      <w:sz w:val="32"/>
      <w:szCs w:val="32"/>
    </w:rPr>
  </w:style>
  <w:style w:type="character" w:customStyle="1" w:styleId="46">
    <w:name w:val="标题 5 Char"/>
    <w:basedOn w:val="28"/>
    <w:link w:val="6"/>
    <w:semiHidden/>
    <w:qFormat/>
    <w:uiPriority w:val="9"/>
    <w:rPr>
      <w:rFonts w:ascii="宋体" w:hAnsi="Calibri" w:eastAsia="宋体" w:cs="Times New Roman"/>
      <w:b/>
      <w:bCs/>
      <w:kern w:val="2"/>
      <w:sz w:val="28"/>
      <w:szCs w:val="28"/>
    </w:rPr>
  </w:style>
  <w:style w:type="character" w:customStyle="1" w:styleId="47">
    <w:name w:val="标题 8 Char"/>
    <w:basedOn w:val="28"/>
    <w:link w:val="7"/>
    <w:qFormat/>
    <w:uiPriority w:val="9"/>
    <w:rPr>
      <w:rFonts w:ascii="等线 Light" w:hAnsi="等线 Light" w:eastAsia="宋体" w:cs="Times New Roman"/>
      <w:b/>
      <w:kern w:val="2"/>
      <w:sz w:val="32"/>
      <w:szCs w:val="21"/>
    </w:rPr>
  </w:style>
  <w:style w:type="character" w:customStyle="1" w:styleId="48">
    <w:name w:val="标题 9 Char"/>
    <w:basedOn w:val="28"/>
    <w:link w:val="8"/>
    <w:qFormat/>
    <w:uiPriority w:val="9"/>
    <w:rPr>
      <w:rFonts w:ascii="Calibri Light" w:hAnsi="Calibri Light" w:eastAsia="宋体" w:cs="Times New Roman"/>
      <w:kern w:val="2"/>
      <w:sz w:val="21"/>
      <w:szCs w:val="21"/>
    </w:rPr>
  </w:style>
  <w:style w:type="paragraph" w:customStyle="1" w:styleId="49">
    <w:name w:val="Default"/>
    <w:qFormat/>
    <w:uiPriority w:val="0"/>
    <w:pPr>
      <w:widowControl w:val="0"/>
      <w:autoSpaceDE w:val="0"/>
      <w:autoSpaceDN w:val="0"/>
      <w:adjustRightInd w:val="0"/>
    </w:pPr>
    <w:rPr>
      <w:rFonts w:ascii="Times New Roman" w:hAnsi="Times New Roman" w:eastAsia="微软雅黑" w:cs="宋体"/>
      <w:color w:val="000000"/>
      <w:sz w:val="24"/>
      <w:szCs w:val="24"/>
      <w:lang w:val="en-US" w:eastAsia="zh-CN" w:bidi="ar-SA"/>
    </w:rPr>
  </w:style>
  <w:style w:type="paragraph" w:customStyle="1" w:styleId="50">
    <w:name w:val="索引 81"/>
    <w:basedOn w:val="1"/>
    <w:next w:val="1"/>
    <w:qFormat/>
    <w:uiPriority w:val="0"/>
    <w:pPr>
      <w:widowControl/>
      <w:spacing w:line="360" w:lineRule="auto"/>
      <w:ind w:left="2940" w:firstLine="200" w:firstLineChars="200"/>
      <w:jc w:val="left"/>
    </w:pPr>
    <w:rPr>
      <w:rFonts w:ascii="宋体"/>
      <w:szCs w:val="21"/>
    </w:rPr>
  </w:style>
  <w:style w:type="paragraph" w:customStyle="1" w:styleId="51">
    <w:name w:val="正文缩进1"/>
    <w:basedOn w:val="1"/>
    <w:next w:val="10"/>
    <w:qFormat/>
    <w:uiPriority w:val="0"/>
    <w:pPr>
      <w:widowControl/>
      <w:spacing w:line="360" w:lineRule="auto"/>
      <w:ind w:firstLine="420" w:firstLineChars="200"/>
      <w:jc w:val="left"/>
    </w:pPr>
    <w:rPr>
      <w:rFonts w:ascii="宋体"/>
      <w:szCs w:val="20"/>
    </w:rPr>
  </w:style>
  <w:style w:type="character" w:customStyle="1" w:styleId="52">
    <w:name w:val="批注文字 Char"/>
    <w:basedOn w:val="28"/>
    <w:link w:val="11"/>
    <w:qFormat/>
    <w:uiPriority w:val="99"/>
    <w:rPr>
      <w:rFonts w:ascii="Times New Roman" w:hAnsi="Times New Roman" w:eastAsia="宋体" w:cs="Times New Roman"/>
      <w:szCs w:val="24"/>
    </w:rPr>
  </w:style>
  <w:style w:type="paragraph" w:customStyle="1" w:styleId="53">
    <w:name w:val="正文文本 31"/>
    <w:basedOn w:val="1"/>
    <w:next w:val="12"/>
    <w:link w:val="54"/>
    <w:semiHidden/>
    <w:unhideWhenUsed/>
    <w:qFormat/>
    <w:uiPriority w:val="99"/>
    <w:pPr>
      <w:widowControl/>
      <w:spacing w:after="120" w:line="360" w:lineRule="auto"/>
      <w:ind w:firstLine="200" w:firstLineChars="200"/>
      <w:jc w:val="left"/>
    </w:pPr>
    <w:rPr>
      <w:rFonts w:ascii="宋体" w:hAnsi="Calibri" w:eastAsia="宋体" w:cs="Times New Roman"/>
      <w:sz w:val="16"/>
      <w:szCs w:val="16"/>
    </w:rPr>
  </w:style>
  <w:style w:type="character" w:customStyle="1" w:styleId="54">
    <w:name w:val="正文文本 3 Char"/>
    <w:basedOn w:val="28"/>
    <w:link w:val="53"/>
    <w:semiHidden/>
    <w:qFormat/>
    <w:uiPriority w:val="99"/>
    <w:rPr>
      <w:rFonts w:ascii="宋体" w:hAnsi="Calibri" w:eastAsia="宋体" w:cs="Times New Roman"/>
      <w:kern w:val="2"/>
      <w:sz w:val="16"/>
      <w:szCs w:val="16"/>
    </w:rPr>
  </w:style>
  <w:style w:type="character" w:customStyle="1" w:styleId="55">
    <w:name w:val="正文文本 Char"/>
    <w:basedOn w:val="28"/>
    <w:link w:val="13"/>
    <w:qFormat/>
    <w:uiPriority w:val="99"/>
    <w:rPr>
      <w:rFonts w:ascii="Times New Roman" w:hAnsi="Times New Roman" w:eastAsia="宋体" w:cs="Times New Roman"/>
      <w:kern w:val="0"/>
      <w:sz w:val="24"/>
      <w:szCs w:val="24"/>
      <w:lang w:val="zh-CN"/>
    </w:rPr>
  </w:style>
  <w:style w:type="paragraph" w:customStyle="1" w:styleId="56">
    <w:name w:val="正文文本缩进1"/>
    <w:basedOn w:val="1"/>
    <w:next w:val="14"/>
    <w:link w:val="57"/>
    <w:semiHidden/>
    <w:unhideWhenUsed/>
    <w:qFormat/>
    <w:uiPriority w:val="99"/>
    <w:pPr>
      <w:widowControl/>
      <w:spacing w:after="120" w:line="360" w:lineRule="auto"/>
      <w:ind w:left="420" w:leftChars="200" w:firstLine="200" w:firstLineChars="200"/>
      <w:jc w:val="left"/>
    </w:pPr>
    <w:rPr>
      <w:rFonts w:ascii="宋体" w:hAnsi="Calibri" w:eastAsia="宋体" w:cs="Times New Roman"/>
      <w:szCs w:val="21"/>
    </w:rPr>
  </w:style>
  <w:style w:type="character" w:customStyle="1" w:styleId="57">
    <w:name w:val="正文文本缩进 Char"/>
    <w:basedOn w:val="28"/>
    <w:link w:val="56"/>
    <w:semiHidden/>
    <w:qFormat/>
    <w:uiPriority w:val="99"/>
    <w:rPr>
      <w:rFonts w:ascii="宋体" w:hAnsi="Calibri" w:eastAsia="宋体" w:cs="Times New Roman"/>
      <w:kern w:val="2"/>
      <w:sz w:val="21"/>
      <w:szCs w:val="21"/>
    </w:rPr>
  </w:style>
  <w:style w:type="paragraph" w:customStyle="1" w:styleId="58">
    <w:name w:val="目录 31"/>
    <w:basedOn w:val="1"/>
    <w:next w:val="1"/>
    <w:unhideWhenUsed/>
    <w:qFormat/>
    <w:uiPriority w:val="39"/>
    <w:pPr>
      <w:widowControl/>
      <w:spacing w:line="360" w:lineRule="auto"/>
      <w:ind w:left="840" w:leftChars="400" w:firstLine="200" w:firstLineChars="200"/>
      <w:jc w:val="left"/>
    </w:pPr>
    <w:rPr>
      <w:rFonts w:ascii="宋体"/>
      <w:szCs w:val="21"/>
    </w:rPr>
  </w:style>
  <w:style w:type="character" w:customStyle="1" w:styleId="59">
    <w:name w:val="纯文本 Char"/>
    <w:basedOn w:val="28"/>
    <w:link w:val="17"/>
    <w:qFormat/>
    <w:uiPriority w:val="99"/>
    <w:rPr>
      <w:rFonts w:ascii="宋体" w:hAnsi="Courier New" w:eastAsia="宋体" w:cs="Times New Roman"/>
      <w:kern w:val="0"/>
      <w:sz w:val="20"/>
      <w:szCs w:val="21"/>
      <w:lang w:val="zh-CN"/>
    </w:rPr>
  </w:style>
  <w:style w:type="paragraph" w:customStyle="1" w:styleId="60">
    <w:name w:val="批注框文本1"/>
    <w:basedOn w:val="1"/>
    <w:next w:val="18"/>
    <w:link w:val="61"/>
    <w:semiHidden/>
    <w:unhideWhenUsed/>
    <w:qFormat/>
    <w:uiPriority w:val="99"/>
    <w:pPr>
      <w:widowControl/>
      <w:ind w:firstLine="200" w:firstLineChars="200"/>
      <w:jc w:val="left"/>
    </w:pPr>
    <w:rPr>
      <w:rFonts w:ascii="宋体" w:hAnsi="Calibri" w:eastAsia="宋体" w:cs="Times New Roman"/>
      <w:sz w:val="18"/>
      <w:szCs w:val="18"/>
    </w:rPr>
  </w:style>
  <w:style w:type="character" w:customStyle="1" w:styleId="61">
    <w:name w:val="批注框文本 Char"/>
    <w:basedOn w:val="28"/>
    <w:link w:val="60"/>
    <w:semiHidden/>
    <w:qFormat/>
    <w:uiPriority w:val="99"/>
    <w:rPr>
      <w:rFonts w:ascii="宋体" w:hAnsi="Calibri" w:eastAsia="宋体" w:cs="Times New Roman"/>
      <w:kern w:val="2"/>
      <w:sz w:val="18"/>
      <w:szCs w:val="18"/>
    </w:rPr>
  </w:style>
  <w:style w:type="paragraph" w:customStyle="1" w:styleId="62">
    <w:name w:val="页脚1"/>
    <w:basedOn w:val="1"/>
    <w:next w:val="19"/>
    <w:link w:val="63"/>
    <w:unhideWhenUsed/>
    <w:qFormat/>
    <w:uiPriority w:val="99"/>
    <w:pPr>
      <w:widowControl/>
      <w:tabs>
        <w:tab w:val="center" w:pos="4153"/>
        <w:tab w:val="right" w:pos="8306"/>
      </w:tabs>
      <w:snapToGrid w:val="0"/>
      <w:ind w:firstLine="200" w:firstLineChars="200"/>
      <w:jc w:val="left"/>
    </w:pPr>
    <w:rPr>
      <w:rFonts w:ascii="宋体" w:hAnsi="Calibri" w:eastAsia="宋体" w:cs="Times New Roman"/>
      <w:sz w:val="18"/>
      <w:szCs w:val="18"/>
    </w:rPr>
  </w:style>
  <w:style w:type="character" w:customStyle="1" w:styleId="63">
    <w:name w:val="页脚 Char"/>
    <w:basedOn w:val="28"/>
    <w:link w:val="62"/>
    <w:qFormat/>
    <w:uiPriority w:val="99"/>
    <w:rPr>
      <w:rFonts w:ascii="宋体" w:hAnsi="Calibri" w:eastAsia="宋体" w:cs="Times New Roman"/>
      <w:kern w:val="2"/>
      <w:sz w:val="18"/>
      <w:szCs w:val="18"/>
    </w:rPr>
  </w:style>
  <w:style w:type="paragraph" w:customStyle="1" w:styleId="64">
    <w:name w:val="页眉1"/>
    <w:basedOn w:val="1"/>
    <w:next w:val="20"/>
    <w:link w:val="65"/>
    <w:unhideWhenUsed/>
    <w:qFormat/>
    <w:uiPriority w:val="99"/>
    <w:pPr>
      <w:widowControl/>
      <w:pBdr>
        <w:bottom w:val="single" w:color="auto" w:sz="6" w:space="1"/>
      </w:pBdr>
      <w:tabs>
        <w:tab w:val="center" w:pos="4153"/>
        <w:tab w:val="right" w:pos="8306"/>
      </w:tabs>
      <w:snapToGrid w:val="0"/>
      <w:ind w:firstLine="200" w:firstLineChars="200"/>
      <w:jc w:val="left"/>
    </w:pPr>
    <w:rPr>
      <w:rFonts w:ascii="宋体" w:hAnsi="Calibri" w:eastAsia="宋体" w:cs="Times New Roman"/>
      <w:sz w:val="18"/>
      <w:szCs w:val="18"/>
    </w:rPr>
  </w:style>
  <w:style w:type="character" w:customStyle="1" w:styleId="65">
    <w:name w:val="页眉 Char"/>
    <w:basedOn w:val="28"/>
    <w:link w:val="64"/>
    <w:qFormat/>
    <w:uiPriority w:val="99"/>
    <w:rPr>
      <w:rFonts w:ascii="宋体" w:hAnsi="Calibri" w:eastAsia="宋体" w:cs="Times New Roman"/>
      <w:kern w:val="2"/>
      <w:sz w:val="18"/>
      <w:szCs w:val="18"/>
    </w:rPr>
  </w:style>
  <w:style w:type="paragraph" w:customStyle="1" w:styleId="66">
    <w:name w:val="目录 11"/>
    <w:basedOn w:val="1"/>
    <w:next w:val="1"/>
    <w:unhideWhenUsed/>
    <w:qFormat/>
    <w:uiPriority w:val="39"/>
    <w:pPr>
      <w:widowControl/>
      <w:tabs>
        <w:tab w:val="right" w:leader="dot" w:pos="8494"/>
      </w:tabs>
      <w:spacing w:line="360" w:lineRule="auto"/>
      <w:ind w:firstLine="424" w:firstLineChars="176"/>
      <w:jc w:val="left"/>
    </w:pPr>
    <w:rPr>
      <w:rFonts w:ascii="宋体"/>
      <w:szCs w:val="21"/>
    </w:rPr>
  </w:style>
  <w:style w:type="paragraph" w:customStyle="1" w:styleId="67">
    <w:name w:val="目录 21"/>
    <w:basedOn w:val="1"/>
    <w:next w:val="1"/>
    <w:unhideWhenUsed/>
    <w:qFormat/>
    <w:uiPriority w:val="39"/>
    <w:pPr>
      <w:widowControl/>
      <w:spacing w:line="360" w:lineRule="auto"/>
      <w:ind w:left="420" w:leftChars="200" w:firstLine="200" w:firstLineChars="200"/>
      <w:jc w:val="left"/>
    </w:pPr>
    <w:rPr>
      <w:rFonts w:ascii="宋体"/>
      <w:szCs w:val="21"/>
    </w:rPr>
  </w:style>
  <w:style w:type="paragraph" w:customStyle="1" w:styleId="68">
    <w:name w:val="普通(网站)1"/>
    <w:basedOn w:val="1"/>
    <w:next w:val="23"/>
    <w:semiHidden/>
    <w:unhideWhenUsed/>
    <w:qFormat/>
    <w:uiPriority w:val="99"/>
    <w:pPr>
      <w:widowControl/>
      <w:spacing w:beforeAutospacing="1" w:afterAutospacing="1" w:line="360" w:lineRule="auto"/>
      <w:ind w:firstLine="200" w:firstLineChars="200"/>
      <w:jc w:val="left"/>
    </w:pPr>
    <w:rPr>
      <w:rFonts w:ascii="宋体" w:cs="Times New Roman"/>
      <w:kern w:val="0"/>
      <w:sz w:val="24"/>
      <w:szCs w:val="21"/>
    </w:rPr>
  </w:style>
  <w:style w:type="paragraph" w:customStyle="1" w:styleId="69">
    <w:name w:val="批注主题1"/>
    <w:basedOn w:val="11"/>
    <w:next w:val="11"/>
    <w:semiHidden/>
    <w:unhideWhenUsed/>
    <w:qFormat/>
    <w:uiPriority w:val="99"/>
    <w:pPr>
      <w:widowControl/>
      <w:spacing w:line="360" w:lineRule="auto"/>
      <w:ind w:firstLine="200" w:firstLineChars="200"/>
    </w:pPr>
    <w:rPr>
      <w:rFonts w:ascii="宋体" w:hAnsi="Calibri"/>
      <w:b/>
      <w:bCs/>
      <w:szCs w:val="21"/>
    </w:rPr>
  </w:style>
  <w:style w:type="character" w:customStyle="1" w:styleId="70">
    <w:name w:val="批注主题 Char"/>
    <w:basedOn w:val="52"/>
    <w:link w:val="24"/>
    <w:semiHidden/>
    <w:qFormat/>
    <w:uiPriority w:val="99"/>
    <w:rPr>
      <w:rFonts w:ascii="宋体" w:hAnsi="Calibri" w:eastAsia="宋体" w:cs="Times New Roman"/>
      <w:b/>
      <w:bCs/>
      <w:kern w:val="2"/>
      <w:sz w:val="21"/>
      <w:szCs w:val="21"/>
    </w:rPr>
  </w:style>
  <w:style w:type="character" w:customStyle="1" w:styleId="71">
    <w:name w:val="超链接1"/>
    <w:basedOn w:val="28"/>
    <w:unhideWhenUsed/>
    <w:qFormat/>
    <w:uiPriority w:val="99"/>
    <w:rPr>
      <w:color w:val="0563C1"/>
      <w:u w:val="single"/>
    </w:rPr>
  </w:style>
  <w:style w:type="character" w:customStyle="1" w:styleId="72">
    <w:name w:val="正文文本 字符"/>
    <w:basedOn w:val="28"/>
    <w:semiHidden/>
    <w:qFormat/>
    <w:uiPriority w:val="99"/>
  </w:style>
  <w:style w:type="character" w:customStyle="1" w:styleId="73">
    <w:name w:val="纯文本 字符"/>
    <w:basedOn w:val="28"/>
    <w:qFormat/>
    <w:uiPriority w:val="0"/>
    <w:rPr>
      <w:rFonts w:ascii="宋体" w:hAnsi="Courier New" w:cs="Courier New"/>
    </w:rPr>
  </w:style>
  <w:style w:type="paragraph" w:customStyle="1" w:styleId="74">
    <w:name w:val="标题1"/>
    <w:basedOn w:val="2"/>
    <w:next w:val="1"/>
    <w:link w:val="75"/>
    <w:qFormat/>
    <w:uiPriority w:val="0"/>
  </w:style>
  <w:style w:type="character" w:customStyle="1" w:styleId="75">
    <w:name w:val="标题1 字符"/>
    <w:basedOn w:val="28"/>
    <w:link w:val="74"/>
    <w:qFormat/>
    <w:uiPriority w:val="0"/>
    <w:rPr>
      <w:rFonts w:ascii="宋体" w:hAnsi="Calibri" w:eastAsia="宋体" w:cs="Times New Roman"/>
      <w:b/>
      <w:bCs/>
      <w:kern w:val="44"/>
      <w:sz w:val="44"/>
      <w:szCs w:val="44"/>
    </w:rPr>
  </w:style>
  <w:style w:type="paragraph" w:customStyle="1" w:styleId="76">
    <w:name w:val="标题3"/>
    <w:basedOn w:val="4"/>
    <w:next w:val="1"/>
    <w:link w:val="77"/>
    <w:qFormat/>
    <w:uiPriority w:val="0"/>
  </w:style>
  <w:style w:type="character" w:customStyle="1" w:styleId="77">
    <w:name w:val="标题3 字符"/>
    <w:basedOn w:val="28"/>
    <w:link w:val="76"/>
    <w:qFormat/>
    <w:uiPriority w:val="0"/>
    <w:rPr>
      <w:rFonts w:ascii="宋体" w:hAnsi="Calibri" w:eastAsia="宋体" w:cs="Times New Roman"/>
      <w:b/>
      <w:bCs/>
      <w:sz w:val="32"/>
      <w:szCs w:val="32"/>
    </w:rPr>
  </w:style>
  <w:style w:type="character" w:customStyle="1" w:styleId="78">
    <w:name w:val="批注文字 字符"/>
    <w:basedOn w:val="28"/>
    <w:semiHidden/>
    <w:qFormat/>
    <w:uiPriority w:val="0"/>
    <w:rPr>
      <w:rFonts w:ascii="宋体"/>
    </w:rPr>
  </w:style>
  <w:style w:type="paragraph" w:customStyle="1" w:styleId="79">
    <w:name w:val="TOC 标题1"/>
    <w:basedOn w:val="2"/>
    <w:next w:val="1"/>
    <w:unhideWhenUsed/>
    <w:qFormat/>
    <w:uiPriority w:val="39"/>
  </w:style>
  <w:style w:type="paragraph" w:customStyle="1" w:styleId="80">
    <w:name w:val="标题3（采购需求）"/>
    <w:basedOn w:val="76"/>
    <w:next w:val="1"/>
    <w:link w:val="83"/>
    <w:qFormat/>
    <w:uiPriority w:val="0"/>
    <w:pPr>
      <w:widowControl/>
      <w:spacing w:before="0" w:after="0" w:line="360" w:lineRule="auto"/>
      <w:jc w:val="left"/>
    </w:pPr>
    <w:rPr>
      <w:rFonts w:hAnsi="宋体"/>
      <w:bCs w:val="0"/>
      <w:sz w:val="24"/>
      <w:szCs w:val="24"/>
    </w:rPr>
  </w:style>
  <w:style w:type="paragraph" w:customStyle="1" w:styleId="81">
    <w:name w:val="列出段落1"/>
    <w:basedOn w:val="1"/>
    <w:next w:val="82"/>
    <w:qFormat/>
    <w:uiPriority w:val="34"/>
    <w:pPr>
      <w:widowControl/>
      <w:spacing w:line="360" w:lineRule="auto"/>
      <w:ind w:firstLine="420" w:firstLineChars="200"/>
      <w:jc w:val="left"/>
    </w:pPr>
    <w:rPr>
      <w:rFonts w:ascii="宋体"/>
      <w:szCs w:val="21"/>
    </w:rPr>
  </w:style>
  <w:style w:type="paragraph" w:styleId="82">
    <w:name w:val="List Paragraph"/>
    <w:basedOn w:val="1"/>
    <w:qFormat/>
    <w:uiPriority w:val="34"/>
    <w:pPr>
      <w:ind w:firstLine="420" w:firstLineChars="200"/>
    </w:pPr>
  </w:style>
  <w:style w:type="character" w:customStyle="1" w:styleId="83">
    <w:name w:val="标题3（采购需求） 字符"/>
    <w:basedOn w:val="28"/>
    <w:link w:val="80"/>
    <w:qFormat/>
    <w:uiPriority w:val="0"/>
    <w:rPr>
      <w:rFonts w:ascii="宋体" w:hAnsi="宋体" w:eastAsia="宋体" w:cs="Times New Roman"/>
      <w:b/>
      <w:sz w:val="24"/>
      <w:szCs w:val="24"/>
    </w:rPr>
  </w:style>
  <w:style w:type="paragraph" w:customStyle="1" w:styleId="84">
    <w:name w:val="标题2"/>
    <w:basedOn w:val="3"/>
    <w:next w:val="1"/>
    <w:link w:val="85"/>
    <w:qFormat/>
    <w:uiPriority w:val="0"/>
  </w:style>
  <w:style w:type="character" w:customStyle="1" w:styleId="85">
    <w:name w:val="标题2 字符"/>
    <w:basedOn w:val="77"/>
    <w:link w:val="84"/>
    <w:qFormat/>
    <w:uiPriority w:val="0"/>
    <w:rPr>
      <w:rFonts w:ascii="Cambria" w:hAnsi="Cambria" w:eastAsia="宋体" w:cs="Times New Roman"/>
      <w:sz w:val="44"/>
      <w:szCs w:val="32"/>
    </w:rPr>
  </w:style>
  <w:style w:type="character" w:customStyle="1" w:styleId="8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87">
    <w:name w:val="标题3（投标须知）"/>
    <w:basedOn w:val="76"/>
    <w:next w:val="88"/>
    <w:link w:val="89"/>
    <w:qFormat/>
    <w:uiPriority w:val="0"/>
    <w:pPr>
      <w:widowControl/>
      <w:spacing w:before="200" w:after="200" w:line="240" w:lineRule="auto"/>
      <w:jc w:val="center"/>
    </w:pPr>
    <w:rPr>
      <w:rFonts w:ascii="黑体" w:hAnsi="黑体" w:eastAsia="黑体"/>
      <w:sz w:val="30"/>
      <w:szCs w:val="24"/>
    </w:rPr>
  </w:style>
  <w:style w:type="paragraph" w:customStyle="1" w:styleId="88">
    <w:name w:val="标题4"/>
    <w:basedOn w:val="1"/>
    <w:next w:val="1"/>
    <w:link w:val="90"/>
    <w:qFormat/>
    <w:uiPriority w:val="0"/>
    <w:pPr>
      <w:widowControl/>
      <w:spacing w:line="360" w:lineRule="auto"/>
      <w:ind w:firstLine="176" w:firstLineChars="176"/>
      <w:jc w:val="left"/>
      <w:outlineLvl w:val="3"/>
    </w:pPr>
    <w:rPr>
      <w:rFonts w:ascii="黑体" w:hAnsi="黑体" w:eastAsia="黑体"/>
      <w:b/>
      <w:bCs/>
      <w:sz w:val="24"/>
      <w:szCs w:val="24"/>
    </w:rPr>
  </w:style>
  <w:style w:type="character" w:customStyle="1" w:styleId="89">
    <w:name w:val="标题3（投标须知） 字符"/>
    <w:basedOn w:val="28"/>
    <w:link w:val="87"/>
    <w:qFormat/>
    <w:uiPriority w:val="0"/>
    <w:rPr>
      <w:rFonts w:ascii="黑体" w:hAnsi="黑体" w:eastAsia="黑体" w:cs="Times New Roman"/>
      <w:b/>
      <w:bCs/>
      <w:sz w:val="30"/>
      <w:szCs w:val="24"/>
    </w:rPr>
  </w:style>
  <w:style w:type="character" w:customStyle="1" w:styleId="90">
    <w:name w:val="标题4 字符"/>
    <w:basedOn w:val="28"/>
    <w:link w:val="88"/>
    <w:qFormat/>
    <w:uiPriority w:val="0"/>
    <w:rPr>
      <w:rFonts w:ascii="黑体" w:hAnsi="黑体" w:eastAsia="黑体"/>
      <w:b/>
      <w:bCs/>
      <w:sz w:val="24"/>
      <w:szCs w:val="24"/>
    </w:rPr>
  </w:style>
  <w:style w:type="paragraph" w:customStyle="1" w:styleId="91">
    <w:name w:val="标题2（文件格式）"/>
    <w:basedOn w:val="84"/>
    <w:next w:val="1"/>
    <w:link w:val="93"/>
    <w:qFormat/>
    <w:uiPriority w:val="0"/>
  </w:style>
  <w:style w:type="character" w:customStyle="1" w:styleId="92">
    <w:name w:val="纯文本 Char1"/>
    <w:qFormat/>
    <w:uiPriority w:val="0"/>
    <w:rPr>
      <w:rFonts w:ascii="宋体" w:hAnsi="Courier New" w:eastAsia="宋体" w:cs="Courier New"/>
      <w:szCs w:val="21"/>
    </w:rPr>
  </w:style>
  <w:style w:type="character" w:customStyle="1" w:styleId="93">
    <w:name w:val="标题2（文件格式） 字符"/>
    <w:basedOn w:val="28"/>
    <w:link w:val="91"/>
    <w:qFormat/>
    <w:uiPriority w:val="0"/>
    <w:rPr>
      <w:rFonts w:ascii="Cambria" w:hAnsi="Cambria" w:eastAsia="宋体" w:cs="Times New Roman"/>
      <w:b/>
      <w:bCs/>
      <w:sz w:val="44"/>
      <w:szCs w:val="32"/>
    </w:rPr>
  </w:style>
  <w:style w:type="character" w:customStyle="1" w:styleId="94">
    <w:name w:val="纯文本 Char4"/>
    <w:qFormat/>
    <w:uiPriority w:val="99"/>
    <w:rPr>
      <w:rFonts w:ascii="宋体" w:eastAsia="宋体"/>
      <w:szCs w:val="21"/>
    </w:rPr>
  </w:style>
  <w:style w:type="paragraph" w:customStyle="1" w:styleId="95">
    <w:name w:val="p15"/>
    <w:basedOn w:val="1"/>
    <w:qFormat/>
    <w:uiPriority w:val="0"/>
    <w:pPr>
      <w:widowControl/>
      <w:spacing w:line="360" w:lineRule="auto"/>
      <w:ind w:firstLine="200" w:firstLineChars="200"/>
      <w:jc w:val="left"/>
    </w:pPr>
    <w:rPr>
      <w:rFonts w:ascii="宋体" w:hAnsi="宋体" w:eastAsia="宋体" w:cs="宋体"/>
      <w:kern w:val="0"/>
      <w:szCs w:val="21"/>
    </w:rPr>
  </w:style>
  <w:style w:type="paragraph" w:customStyle="1" w:styleId="96">
    <w:name w:val="正文首行缩进 21"/>
    <w:basedOn w:val="97"/>
    <w:qFormat/>
    <w:uiPriority w:val="0"/>
    <w:pPr>
      <w:ind w:firstLine="420"/>
    </w:pPr>
    <w:rPr>
      <w:rFonts w:ascii="Calibri" w:hAnsi="Calibri"/>
      <w:szCs w:val="22"/>
    </w:rPr>
  </w:style>
  <w:style w:type="paragraph" w:customStyle="1" w:styleId="97">
    <w:name w:val="Body Text Indent1"/>
    <w:basedOn w:val="1"/>
    <w:qFormat/>
    <w:uiPriority w:val="0"/>
    <w:pPr>
      <w:widowControl/>
      <w:spacing w:after="120" w:line="360" w:lineRule="auto"/>
      <w:ind w:left="420" w:leftChars="200" w:firstLine="200" w:firstLineChars="200"/>
      <w:jc w:val="left"/>
    </w:pPr>
    <w:rPr>
      <w:rFonts w:ascii="宋体"/>
      <w:szCs w:val="21"/>
    </w:rPr>
  </w:style>
  <w:style w:type="character" w:customStyle="1" w:styleId="98">
    <w:name w:val="NormalCharacter"/>
    <w:semiHidden/>
    <w:qFormat/>
    <w:uiPriority w:val="0"/>
  </w:style>
  <w:style w:type="paragraph" w:customStyle="1" w:styleId="99">
    <w:name w:val="样式 (符号) 宋体 四号"/>
    <w:basedOn w:val="1"/>
    <w:qFormat/>
    <w:uiPriority w:val="0"/>
    <w:pPr>
      <w:widowControl/>
      <w:spacing w:line="360" w:lineRule="auto"/>
      <w:ind w:firstLine="200" w:firstLineChars="200"/>
      <w:jc w:val="left"/>
    </w:pPr>
    <w:rPr>
      <w:rFonts w:ascii="宋体" w:cs="宋体"/>
      <w:szCs w:val="20"/>
    </w:rPr>
  </w:style>
  <w:style w:type="paragraph" w:customStyle="1" w:styleId="100">
    <w:name w:val="表格文字115"/>
    <w:basedOn w:val="1"/>
    <w:qFormat/>
    <w:uiPriority w:val="0"/>
    <w:pPr>
      <w:widowControl/>
      <w:spacing w:before="25" w:after="25" w:line="360" w:lineRule="auto"/>
      <w:ind w:firstLine="200" w:firstLineChars="200"/>
      <w:jc w:val="left"/>
    </w:pPr>
    <w:rPr>
      <w:rFonts w:ascii="宋体"/>
      <w:bCs/>
      <w:spacing w:val="10"/>
      <w:kern w:val="0"/>
      <w:sz w:val="24"/>
      <w:szCs w:val="21"/>
    </w:rPr>
  </w:style>
  <w:style w:type="character" w:customStyle="1" w:styleId="101">
    <w:name w:val="已访问的超链接1"/>
    <w:basedOn w:val="28"/>
    <w:semiHidden/>
    <w:unhideWhenUsed/>
    <w:qFormat/>
    <w:uiPriority w:val="99"/>
    <w:rPr>
      <w:color w:val="954F72"/>
      <w:u w:val="single"/>
    </w:rPr>
  </w:style>
  <w:style w:type="character" w:customStyle="1" w:styleId="102">
    <w:name w:val="标题 1 Char1"/>
    <w:basedOn w:val="28"/>
    <w:qFormat/>
    <w:uiPriority w:val="9"/>
    <w:rPr>
      <w:b/>
      <w:bCs/>
      <w:kern w:val="44"/>
      <w:sz w:val="44"/>
      <w:szCs w:val="44"/>
    </w:rPr>
  </w:style>
  <w:style w:type="character" w:customStyle="1" w:styleId="103">
    <w:name w:val="标题 2 Char1"/>
    <w:basedOn w:val="28"/>
    <w:semiHidden/>
    <w:qFormat/>
    <w:uiPriority w:val="9"/>
    <w:rPr>
      <w:rFonts w:asciiTheme="majorHAnsi" w:hAnsiTheme="majorHAnsi" w:eastAsiaTheme="majorEastAsia" w:cstheme="majorBidi"/>
      <w:b/>
      <w:bCs/>
      <w:sz w:val="32"/>
      <w:szCs w:val="32"/>
    </w:rPr>
  </w:style>
  <w:style w:type="character" w:customStyle="1" w:styleId="104">
    <w:name w:val="标题 3 Char1"/>
    <w:basedOn w:val="28"/>
    <w:semiHidden/>
    <w:qFormat/>
    <w:uiPriority w:val="9"/>
    <w:rPr>
      <w:b/>
      <w:bCs/>
      <w:sz w:val="32"/>
      <w:szCs w:val="32"/>
    </w:rPr>
  </w:style>
  <w:style w:type="character" w:customStyle="1" w:styleId="105">
    <w:name w:val="标题 5 Char1"/>
    <w:basedOn w:val="28"/>
    <w:semiHidden/>
    <w:qFormat/>
    <w:uiPriority w:val="9"/>
    <w:rPr>
      <w:b/>
      <w:bCs/>
      <w:sz w:val="28"/>
      <w:szCs w:val="28"/>
    </w:rPr>
  </w:style>
  <w:style w:type="character" w:customStyle="1" w:styleId="106">
    <w:name w:val="标题 8 Char1"/>
    <w:basedOn w:val="28"/>
    <w:semiHidden/>
    <w:qFormat/>
    <w:uiPriority w:val="9"/>
    <w:rPr>
      <w:rFonts w:asciiTheme="majorHAnsi" w:hAnsiTheme="majorHAnsi" w:eastAsiaTheme="majorEastAsia" w:cstheme="majorBidi"/>
      <w:sz w:val="24"/>
      <w:szCs w:val="24"/>
    </w:rPr>
  </w:style>
  <w:style w:type="character" w:customStyle="1" w:styleId="107">
    <w:name w:val="标题 9 Char1"/>
    <w:basedOn w:val="28"/>
    <w:semiHidden/>
    <w:qFormat/>
    <w:uiPriority w:val="9"/>
    <w:rPr>
      <w:rFonts w:asciiTheme="majorHAnsi" w:hAnsiTheme="majorHAnsi" w:eastAsiaTheme="majorEastAsia" w:cstheme="majorBidi"/>
      <w:szCs w:val="21"/>
    </w:rPr>
  </w:style>
  <w:style w:type="character" w:customStyle="1" w:styleId="108">
    <w:name w:val="正文文本 3 Char1"/>
    <w:basedOn w:val="28"/>
    <w:link w:val="12"/>
    <w:semiHidden/>
    <w:qFormat/>
    <w:uiPriority w:val="99"/>
    <w:rPr>
      <w:sz w:val="16"/>
      <w:szCs w:val="16"/>
    </w:rPr>
  </w:style>
  <w:style w:type="character" w:customStyle="1" w:styleId="109">
    <w:name w:val="正文文本缩进 Char1"/>
    <w:basedOn w:val="28"/>
    <w:link w:val="14"/>
    <w:semiHidden/>
    <w:qFormat/>
    <w:uiPriority w:val="99"/>
  </w:style>
  <w:style w:type="character" w:customStyle="1" w:styleId="110">
    <w:name w:val="批注框文本 Char1"/>
    <w:basedOn w:val="28"/>
    <w:link w:val="18"/>
    <w:semiHidden/>
    <w:qFormat/>
    <w:uiPriority w:val="99"/>
    <w:rPr>
      <w:sz w:val="18"/>
      <w:szCs w:val="18"/>
    </w:rPr>
  </w:style>
  <w:style w:type="character" w:customStyle="1" w:styleId="111">
    <w:name w:val="页脚 Char1"/>
    <w:basedOn w:val="28"/>
    <w:link w:val="19"/>
    <w:semiHidden/>
    <w:qFormat/>
    <w:uiPriority w:val="99"/>
    <w:rPr>
      <w:sz w:val="18"/>
      <w:szCs w:val="18"/>
    </w:rPr>
  </w:style>
  <w:style w:type="character" w:customStyle="1" w:styleId="112">
    <w:name w:val="页眉 Char1"/>
    <w:basedOn w:val="28"/>
    <w:link w:val="20"/>
    <w:qFormat/>
    <w:uiPriority w:val="99"/>
    <w:rPr>
      <w:sz w:val="18"/>
      <w:szCs w:val="18"/>
    </w:rPr>
  </w:style>
  <w:style w:type="character" w:customStyle="1" w:styleId="113">
    <w:name w:val="批注主题 Char1"/>
    <w:basedOn w:val="52"/>
    <w:semiHidden/>
    <w:qFormat/>
    <w:uiPriority w:val="99"/>
    <w:rPr>
      <w:rFonts w:ascii="Times New Roman" w:hAnsi="Times New Roman" w:eastAsia="宋体" w:cs="Times New Roman"/>
      <w:b/>
      <w:bCs/>
      <w:szCs w:val="24"/>
    </w:rPr>
  </w:style>
  <w:style w:type="paragraph" w:customStyle="1" w:styleId="11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15">
    <w:name w:val="列出段落2"/>
    <w:basedOn w:val="1"/>
    <w:qFormat/>
    <w:uiPriority w:val="99"/>
    <w:pPr>
      <w:ind w:firstLine="420" w:firstLineChars="200"/>
    </w:pPr>
    <w:rPr>
      <w:rFonts w:ascii="Calibri" w:hAnsi="Calibri" w:eastAsia="宋体" w:cs="Times New Roman"/>
    </w:rPr>
  </w:style>
  <w:style w:type="paragraph" w:customStyle="1" w:styleId="116">
    <w:name w:val="样式2"/>
    <w:basedOn w:val="1"/>
    <w:qFormat/>
    <w:uiPriority w:val="0"/>
    <w:pPr>
      <w:spacing w:before="100" w:beforeAutospacing="1" w:after="100" w:afterAutospacing="1" w:line="360" w:lineRule="auto"/>
      <w:ind w:firstLine="480"/>
    </w:pPr>
    <w:rPr>
      <w:rFonts w:ascii="宋体" w:hAnsi="宋体" w:cs="Times New Roman"/>
      <w:kern w:val="0"/>
      <w:sz w:val="24"/>
      <w:szCs w:val="20"/>
    </w:rPr>
  </w:style>
  <w:style w:type="paragraph" w:customStyle="1" w:styleId="117">
    <w:name w:val="投标文件格式"/>
    <w:basedOn w:val="1"/>
    <w:qFormat/>
    <w:uiPriority w:val="0"/>
    <w:pPr>
      <w:autoSpaceDE w:val="0"/>
      <w:autoSpaceDN w:val="0"/>
      <w:adjustRightInd w:val="0"/>
      <w:snapToGrid w:val="0"/>
      <w:spacing w:line="360" w:lineRule="auto"/>
      <w:ind w:firstLine="200" w:firstLineChars="200"/>
      <w:jc w:val="left"/>
    </w:pPr>
    <w:rPr>
      <w:rFonts w:ascii="仿宋_GB2312" w:eastAsia="仿宋_GB2312" w:cs="SimSun,Bold"/>
      <w:kern w:val="0"/>
      <w:sz w:val="28"/>
      <w:szCs w:val="28"/>
    </w:rPr>
  </w:style>
  <w:style w:type="paragraph" w:customStyle="1" w:styleId="118">
    <w:name w:val="佛山投标文件格式"/>
    <w:basedOn w:val="1"/>
    <w:qFormat/>
    <w:uiPriority w:val="0"/>
    <w:pPr>
      <w:autoSpaceDE w:val="0"/>
      <w:autoSpaceDN w:val="0"/>
      <w:adjustRightInd w:val="0"/>
      <w:snapToGrid w:val="0"/>
      <w:spacing w:line="360" w:lineRule="auto"/>
      <w:ind w:firstLine="480" w:firstLineChars="200"/>
      <w:jc w:val="left"/>
    </w:pPr>
    <w:rPr>
      <w:rFonts w:ascii="宋体" w:hAnsi="宋体" w:cs="SimSun,Bold"/>
      <w:bCs/>
      <w:kern w:val="0"/>
      <w:sz w:val="24"/>
      <w:szCs w:val="24"/>
    </w:rPr>
  </w:style>
  <w:style w:type="paragraph" w:customStyle="1" w:styleId="119">
    <w:name w:val="01 正文-首行缩进2字符"/>
    <w:basedOn w:val="1"/>
    <w:qFormat/>
    <w:uiPriority w:val="0"/>
    <w:pPr>
      <w:spacing w:before="50" w:beforeLines="50" w:after="50" w:afterLines="50"/>
      <w:ind w:firstLine="200" w:firstLineChars="200"/>
    </w:pPr>
    <w:rPr>
      <w:rFonts w:ascii="Arial" w:hAnsi="Arial"/>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68</Pages>
  <Words>12007</Words>
  <Characters>12959</Characters>
  <Lines>307</Lines>
  <Paragraphs>86</Paragraphs>
  <TotalTime>39</TotalTime>
  <ScaleCrop>false</ScaleCrop>
  <LinksUpToDate>false</LinksUpToDate>
  <CharactersWithSpaces>13100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2023-04-15T08:56:00Z</dcterms:created>
  <dc:creator>Administrator</dc:creator>
  <cp:lastModifiedBy>NTKO</cp:lastModifiedBy>
  <dcterms:modified xsi:type="dcterms:W3CDTF">2025-05-30T03:28:05Z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578ED12E973E45BB8A3661563C498D9E_13</vt:lpwstr>
  </property>
  <property fmtid="{D5CDD505-2E9C-101B-9397-08002B2CF9AE}" pid="4" name="KSOTemplateDocerSaveRecord">
    <vt:lpwstr>eyJoZGlkIjoiZDQzNmVhNGE2YzEyNzE4YzY0Y2I1OGQ4NTBmYzE4MzUifQ==</vt:lpwstr>
  </property>
</Properties>
</file>