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31AC8">
      <w:pPr>
        <w:spacing w:line="480" w:lineRule="auto"/>
        <w:jc w:val="center"/>
        <w:rPr>
          <w:rFonts w:ascii="宋体" w:hAnsi="宋体" w:eastAsia="宋体"/>
          <w:b/>
          <w:color w:val="auto"/>
          <w:sz w:val="52"/>
          <w:szCs w:val="52"/>
          <w:highlight w:val="none"/>
        </w:rPr>
      </w:pPr>
      <w:bookmarkStart w:id="162" w:name="_GoBack"/>
    </w:p>
    <w:p w14:paraId="12D72062">
      <w:pPr>
        <w:spacing w:line="480" w:lineRule="auto"/>
        <w:jc w:val="center"/>
        <w:rPr>
          <w:rFonts w:ascii="宋体" w:hAnsi="宋体" w:eastAsia="宋体"/>
          <w:b/>
          <w:color w:val="auto"/>
          <w:sz w:val="52"/>
          <w:szCs w:val="52"/>
          <w:highlight w:val="none"/>
        </w:rPr>
      </w:pPr>
      <w:r>
        <w:rPr>
          <w:rFonts w:hint="eastAsia" w:ascii="宋体" w:hAnsi="宋体" w:eastAsia="宋体"/>
          <w:b/>
          <w:color w:val="auto"/>
          <w:sz w:val="52"/>
          <w:szCs w:val="52"/>
          <w:highlight w:val="none"/>
        </w:rPr>
        <w:t>广西壮族自治区政府采购</w:t>
      </w:r>
    </w:p>
    <w:p w14:paraId="62020C24">
      <w:pPr>
        <w:spacing w:line="480" w:lineRule="auto"/>
        <w:jc w:val="center"/>
        <w:rPr>
          <w:rFonts w:ascii="宋体" w:hAnsi="宋体" w:eastAsia="宋体"/>
          <w:b/>
          <w:color w:val="auto"/>
          <w:sz w:val="84"/>
          <w:szCs w:val="84"/>
          <w:highlight w:val="none"/>
        </w:rPr>
      </w:pPr>
    </w:p>
    <w:p w14:paraId="0398B84B">
      <w:pPr>
        <w:spacing w:line="48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竞争性磋商文件</w:t>
      </w:r>
    </w:p>
    <w:p w14:paraId="14E2C85A">
      <w:pPr>
        <w:spacing w:line="480" w:lineRule="auto"/>
        <w:jc w:val="center"/>
        <w:rPr>
          <w:rFonts w:ascii="宋体" w:hAnsi="宋体" w:eastAsia="宋体"/>
          <w:b/>
          <w:color w:val="auto"/>
          <w:sz w:val="52"/>
          <w:szCs w:val="52"/>
          <w:highlight w:val="none"/>
        </w:rPr>
      </w:pPr>
      <w:r>
        <w:rPr>
          <w:rFonts w:hint="eastAsia" w:ascii="宋体" w:hAnsi="宋体" w:eastAsia="宋体"/>
          <w:b/>
          <w:color w:val="auto"/>
          <w:sz w:val="52"/>
          <w:szCs w:val="52"/>
          <w:highlight w:val="none"/>
        </w:rPr>
        <w:t>（工程类）</w:t>
      </w:r>
    </w:p>
    <w:p w14:paraId="5B2CD386">
      <w:pPr>
        <w:bidi w:val="0"/>
        <w:rPr>
          <w:color w:val="auto"/>
          <w:highlight w:val="none"/>
        </w:rPr>
      </w:pPr>
    </w:p>
    <w:p w14:paraId="61BBA9AC">
      <w:pPr>
        <w:spacing w:line="480" w:lineRule="auto"/>
        <w:jc w:val="center"/>
        <w:rPr>
          <w:rFonts w:ascii="宋体" w:hAnsi="宋体" w:eastAsia="宋体"/>
          <w:color w:val="auto"/>
          <w:szCs w:val="21"/>
          <w:highlight w:val="none"/>
        </w:rPr>
      </w:pPr>
      <w:r>
        <w:rPr>
          <w:rFonts w:hint="eastAsia" w:ascii="宋体" w:hAnsi="宋体" w:eastAsia="宋体"/>
          <w:color w:val="auto"/>
          <w:szCs w:val="21"/>
          <w:highlight w:val="none"/>
        </w:rPr>
        <w:t>（全流程电子化评标）</w:t>
      </w:r>
    </w:p>
    <w:p w14:paraId="77691E32">
      <w:pPr>
        <w:spacing w:line="480" w:lineRule="auto"/>
        <w:jc w:val="center"/>
        <w:rPr>
          <w:rFonts w:ascii="宋体" w:hAnsi="宋体" w:eastAsia="宋体"/>
          <w:b/>
          <w:color w:val="auto"/>
          <w:szCs w:val="21"/>
          <w:highlight w:val="none"/>
        </w:rPr>
      </w:pPr>
    </w:p>
    <w:p w14:paraId="16B867E4">
      <w:pPr>
        <w:spacing w:line="480" w:lineRule="auto"/>
        <w:jc w:val="center"/>
        <w:rPr>
          <w:rFonts w:ascii="宋体" w:hAnsi="宋体" w:eastAsia="宋体"/>
          <w:b/>
          <w:color w:val="auto"/>
          <w:szCs w:val="21"/>
          <w:highlight w:val="none"/>
        </w:rPr>
      </w:pPr>
    </w:p>
    <w:p w14:paraId="3B7655E4">
      <w:pPr>
        <w:spacing w:line="480" w:lineRule="auto"/>
        <w:ind w:firstLine="1205" w:firstLineChars="400"/>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项目名称：</w:t>
      </w:r>
      <w:r>
        <w:rPr>
          <w:rFonts w:hint="eastAsia" w:ascii="仿宋" w:hAnsi="仿宋" w:eastAsia="仿宋"/>
          <w:b/>
          <w:color w:val="auto"/>
          <w:sz w:val="30"/>
          <w:szCs w:val="30"/>
          <w:highlight w:val="none"/>
          <w:lang w:eastAsia="zh-CN"/>
        </w:rPr>
        <w:t>2025年毕业生腾空房修缮项目</w:t>
      </w:r>
    </w:p>
    <w:p w14:paraId="45C9F148">
      <w:pPr>
        <w:spacing w:line="480" w:lineRule="auto"/>
        <w:ind w:firstLine="1205" w:firstLineChars="400"/>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项目编号：</w:t>
      </w:r>
      <w:r>
        <w:rPr>
          <w:rFonts w:hint="eastAsia" w:ascii="仿宋" w:hAnsi="仿宋" w:eastAsia="仿宋"/>
          <w:b/>
          <w:color w:val="auto"/>
          <w:sz w:val="30"/>
          <w:szCs w:val="30"/>
          <w:highlight w:val="none"/>
          <w:lang w:eastAsia="zh-CN"/>
        </w:rPr>
        <w:t>GXZC2025-C2-001265-ZHZB</w:t>
      </w:r>
    </w:p>
    <w:p w14:paraId="6F3A2EBF">
      <w:pPr>
        <w:spacing w:line="480" w:lineRule="auto"/>
        <w:ind w:firstLine="1205" w:firstLineChars="400"/>
        <w:rPr>
          <w:rFonts w:ascii="仿宋" w:hAnsi="仿宋" w:eastAsia="仿宋"/>
          <w:b/>
          <w:color w:val="auto"/>
          <w:sz w:val="30"/>
          <w:szCs w:val="30"/>
          <w:highlight w:val="none"/>
        </w:rPr>
      </w:pPr>
      <w:r>
        <w:rPr>
          <w:rFonts w:hint="eastAsia" w:ascii="仿宋" w:hAnsi="仿宋" w:eastAsia="仿宋"/>
          <w:b/>
          <w:color w:val="auto"/>
          <w:sz w:val="30"/>
          <w:szCs w:val="30"/>
          <w:highlight w:val="none"/>
        </w:rPr>
        <w:t>采购人：广西大学</w:t>
      </w:r>
    </w:p>
    <w:p w14:paraId="26203C31">
      <w:pPr>
        <w:spacing w:line="480" w:lineRule="auto"/>
        <w:ind w:firstLine="1205" w:firstLineChars="400"/>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采购代理机构：</w:t>
      </w:r>
      <w:r>
        <w:rPr>
          <w:rFonts w:hint="eastAsia" w:ascii="仿宋" w:hAnsi="仿宋" w:eastAsia="仿宋"/>
          <w:b/>
          <w:color w:val="auto"/>
          <w:sz w:val="30"/>
          <w:szCs w:val="30"/>
          <w:highlight w:val="none"/>
          <w:lang w:eastAsia="zh-CN"/>
        </w:rPr>
        <w:t>广西正海招标有限公司</w:t>
      </w:r>
    </w:p>
    <w:p w14:paraId="3DB1DF5F">
      <w:pPr>
        <w:spacing w:line="480" w:lineRule="auto"/>
        <w:jc w:val="center"/>
        <w:rPr>
          <w:rFonts w:ascii="宋体" w:hAnsi="宋体" w:eastAsia="宋体"/>
          <w:b/>
          <w:color w:val="auto"/>
          <w:szCs w:val="21"/>
          <w:highlight w:val="none"/>
        </w:rPr>
      </w:pPr>
    </w:p>
    <w:p w14:paraId="6BD3027F">
      <w:pPr>
        <w:spacing w:line="48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202</w:t>
      </w:r>
      <w:r>
        <w:rPr>
          <w:rFonts w:ascii="仿宋" w:hAnsi="仿宋" w:eastAsia="仿宋"/>
          <w:b/>
          <w:color w:val="auto"/>
          <w:sz w:val="30"/>
          <w:szCs w:val="30"/>
          <w:highlight w:val="none"/>
        </w:rPr>
        <w:t>5</w:t>
      </w:r>
      <w:r>
        <w:rPr>
          <w:rFonts w:hint="eastAsia" w:ascii="仿宋" w:hAnsi="仿宋" w:eastAsia="仿宋"/>
          <w:b/>
          <w:color w:val="auto"/>
          <w:sz w:val="30"/>
          <w:szCs w:val="30"/>
          <w:highlight w:val="none"/>
        </w:rPr>
        <w:t>年</w:t>
      </w:r>
      <w:r>
        <w:rPr>
          <w:rFonts w:ascii="仿宋" w:hAnsi="仿宋" w:eastAsia="仿宋"/>
          <w:b/>
          <w:color w:val="auto"/>
          <w:sz w:val="30"/>
          <w:szCs w:val="30"/>
          <w:highlight w:val="none"/>
          <w:u w:val="single"/>
        </w:rPr>
        <w:t xml:space="preserve"> </w:t>
      </w:r>
      <w:r>
        <w:rPr>
          <w:rFonts w:hint="eastAsia" w:ascii="仿宋" w:hAnsi="仿宋" w:eastAsia="仿宋"/>
          <w:b/>
          <w:color w:val="auto"/>
          <w:sz w:val="30"/>
          <w:szCs w:val="30"/>
          <w:highlight w:val="none"/>
          <w:u w:val="single"/>
          <w:lang w:val="en-US" w:eastAsia="zh-CN"/>
        </w:rPr>
        <w:t>5</w:t>
      </w:r>
      <w:r>
        <w:rPr>
          <w:rFonts w:ascii="仿宋" w:hAnsi="仿宋" w:eastAsia="仿宋"/>
          <w:b/>
          <w:color w:val="auto"/>
          <w:sz w:val="30"/>
          <w:szCs w:val="30"/>
          <w:highlight w:val="none"/>
          <w:u w:val="single"/>
        </w:rPr>
        <w:t xml:space="preserve"> </w:t>
      </w:r>
      <w:r>
        <w:rPr>
          <w:rFonts w:hint="eastAsia" w:ascii="仿宋" w:hAnsi="仿宋" w:eastAsia="仿宋"/>
          <w:b/>
          <w:color w:val="auto"/>
          <w:sz w:val="30"/>
          <w:szCs w:val="30"/>
          <w:highlight w:val="none"/>
        </w:rPr>
        <w:t>月</w:t>
      </w:r>
      <w:r>
        <w:rPr>
          <w:rFonts w:ascii="仿宋" w:hAnsi="仿宋" w:eastAsia="仿宋"/>
          <w:b/>
          <w:color w:val="auto"/>
          <w:sz w:val="30"/>
          <w:szCs w:val="30"/>
          <w:highlight w:val="none"/>
          <w:u w:val="single"/>
        </w:rPr>
        <w:t xml:space="preserve"> </w:t>
      </w:r>
      <w:r>
        <w:rPr>
          <w:rFonts w:hint="eastAsia" w:ascii="仿宋" w:hAnsi="仿宋" w:eastAsia="仿宋"/>
          <w:b/>
          <w:color w:val="auto"/>
          <w:sz w:val="30"/>
          <w:szCs w:val="30"/>
          <w:highlight w:val="none"/>
          <w:u w:val="single"/>
          <w:lang w:val="en-US" w:eastAsia="zh-CN"/>
        </w:rPr>
        <w:t>22</w:t>
      </w:r>
      <w:r>
        <w:rPr>
          <w:rFonts w:ascii="仿宋" w:hAnsi="仿宋" w:eastAsia="仿宋"/>
          <w:b/>
          <w:color w:val="auto"/>
          <w:sz w:val="30"/>
          <w:szCs w:val="30"/>
          <w:highlight w:val="none"/>
          <w:u w:val="single"/>
        </w:rPr>
        <w:t xml:space="preserve"> </w:t>
      </w:r>
      <w:r>
        <w:rPr>
          <w:rFonts w:hint="eastAsia" w:ascii="仿宋" w:hAnsi="仿宋" w:eastAsia="仿宋"/>
          <w:b/>
          <w:color w:val="auto"/>
          <w:sz w:val="30"/>
          <w:szCs w:val="30"/>
          <w:highlight w:val="none"/>
        </w:rPr>
        <w:t>日</w:t>
      </w:r>
    </w:p>
    <w:p w14:paraId="1913AAD0">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228CBDF6">
      <w:pPr>
        <w:spacing w:line="30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目录</w:t>
      </w:r>
    </w:p>
    <w:p w14:paraId="0C605C63">
      <w:pPr>
        <w:spacing w:line="360" w:lineRule="auto"/>
        <w:rPr>
          <w:rFonts w:ascii="宋体" w:hAnsi="宋体" w:eastAsia="宋体"/>
          <w:color w:val="auto"/>
          <w:szCs w:val="21"/>
          <w:highlight w:val="none"/>
        </w:rPr>
      </w:pPr>
    </w:p>
    <w:p w14:paraId="67C50985">
      <w:pPr>
        <w:pStyle w:val="28"/>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TOC \o "1-3" \u </w:instrText>
      </w:r>
      <w:r>
        <w:rPr>
          <w:rFonts w:ascii="宋体" w:hAnsi="宋体" w:eastAsia="宋体"/>
          <w:color w:val="auto"/>
          <w:szCs w:val="21"/>
          <w:highlight w:val="none"/>
        </w:rPr>
        <w:fldChar w:fldCharType="separate"/>
      </w:r>
      <w:r>
        <w:rPr>
          <w:rFonts w:hint="eastAsia" w:ascii="宋体" w:hAnsi="宋体" w:eastAsia="宋体"/>
          <w:b/>
          <w:color w:val="auto"/>
          <w:szCs w:val="21"/>
          <w:highlight w:val="none"/>
        </w:rPr>
        <w:t>第一</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竞争性磋商公告</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_Toc197530103 \h </w:instrText>
      </w:r>
      <w:r>
        <w:rPr>
          <w:rFonts w:ascii="宋体" w:hAnsi="宋体" w:eastAsia="宋体"/>
          <w:color w:val="auto"/>
          <w:szCs w:val="21"/>
          <w:highlight w:val="none"/>
        </w:rPr>
        <w:fldChar w:fldCharType="separate"/>
      </w:r>
      <w:r>
        <w:rPr>
          <w:rFonts w:ascii="宋体" w:hAnsi="宋体" w:eastAsia="宋体"/>
          <w:color w:val="auto"/>
          <w:szCs w:val="21"/>
          <w:highlight w:val="none"/>
        </w:rPr>
        <w:t>1</w:t>
      </w:r>
      <w:r>
        <w:rPr>
          <w:rFonts w:ascii="宋体" w:hAnsi="宋体" w:eastAsia="宋体"/>
          <w:color w:val="auto"/>
          <w:szCs w:val="21"/>
          <w:highlight w:val="none"/>
        </w:rPr>
        <w:fldChar w:fldCharType="end"/>
      </w:r>
    </w:p>
    <w:p w14:paraId="0D0B1F11">
      <w:pPr>
        <w:pStyle w:val="28"/>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第二</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供应商须知</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_Toc197530104 \h </w:instrText>
      </w:r>
      <w:r>
        <w:rPr>
          <w:rFonts w:ascii="宋体" w:hAnsi="宋体" w:eastAsia="宋体"/>
          <w:color w:val="auto"/>
          <w:szCs w:val="21"/>
          <w:highlight w:val="none"/>
        </w:rPr>
        <w:fldChar w:fldCharType="separate"/>
      </w:r>
      <w:r>
        <w:rPr>
          <w:rFonts w:ascii="宋体" w:hAnsi="宋体" w:eastAsia="宋体"/>
          <w:color w:val="auto"/>
          <w:szCs w:val="21"/>
          <w:highlight w:val="none"/>
        </w:rPr>
        <w:t>5</w:t>
      </w:r>
      <w:r>
        <w:rPr>
          <w:rFonts w:ascii="宋体" w:hAnsi="宋体" w:eastAsia="宋体"/>
          <w:color w:val="auto"/>
          <w:szCs w:val="21"/>
          <w:highlight w:val="none"/>
        </w:rPr>
        <w:fldChar w:fldCharType="end"/>
      </w:r>
    </w:p>
    <w:p w14:paraId="7EB38A4A">
      <w:pPr>
        <w:pStyle w:val="33"/>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一、供应商须知前附表</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_Toc197530105 \h </w:instrText>
      </w:r>
      <w:r>
        <w:rPr>
          <w:rFonts w:ascii="宋体" w:hAnsi="宋体" w:eastAsia="宋体"/>
          <w:color w:val="auto"/>
          <w:szCs w:val="21"/>
          <w:highlight w:val="none"/>
        </w:rPr>
        <w:fldChar w:fldCharType="separate"/>
      </w:r>
      <w:r>
        <w:rPr>
          <w:rFonts w:ascii="宋体" w:hAnsi="宋体" w:eastAsia="宋体"/>
          <w:color w:val="auto"/>
          <w:szCs w:val="21"/>
          <w:highlight w:val="none"/>
        </w:rPr>
        <w:t>5</w:t>
      </w:r>
      <w:r>
        <w:rPr>
          <w:rFonts w:ascii="宋体" w:hAnsi="宋体" w:eastAsia="宋体"/>
          <w:color w:val="auto"/>
          <w:szCs w:val="21"/>
          <w:highlight w:val="none"/>
        </w:rPr>
        <w:fldChar w:fldCharType="end"/>
      </w:r>
    </w:p>
    <w:p w14:paraId="48CD4526">
      <w:pPr>
        <w:pStyle w:val="33"/>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二、供应商须知正文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_Toc197530106 \h </w:instrText>
      </w:r>
      <w:r>
        <w:rPr>
          <w:rFonts w:ascii="宋体" w:hAnsi="宋体" w:eastAsia="宋体"/>
          <w:color w:val="auto"/>
          <w:szCs w:val="21"/>
          <w:highlight w:val="none"/>
        </w:rPr>
        <w:fldChar w:fldCharType="separate"/>
      </w:r>
      <w:r>
        <w:rPr>
          <w:rFonts w:ascii="宋体" w:hAnsi="宋体" w:eastAsia="宋体"/>
          <w:color w:val="auto"/>
          <w:szCs w:val="21"/>
          <w:highlight w:val="none"/>
        </w:rPr>
        <w:t>13</w:t>
      </w:r>
      <w:r>
        <w:rPr>
          <w:rFonts w:ascii="宋体" w:hAnsi="宋体" w:eastAsia="宋体"/>
          <w:color w:val="auto"/>
          <w:szCs w:val="21"/>
          <w:highlight w:val="none"/>
        </w:rPr>
        <w:fldChar w:fldCharType="end"/>
      </w:r>
    </w:p>
    <w:p w14:paraId="05E29DD9">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（一）总则</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_Toc197530107 \h </w:instrText>
      </w:r>
      <w:r>
        <w:rPr>
          <w:rFonts w:ascii="宋体" w:hAnsi="宋体" w:eastAsia="宋体"/>
          <w:color w:val="auto"/>
          <w:szCs w:val="21"/>
          <w:highlight w:val="none"/>
        </w:rPr>
        <w:fldChar w:fldCharType="separate"/>
      </w:r>
      <w:r>
        <w:rPr>
          <w:rFonts w:ascii="宋体" w:hAnsi="宋体" w:eastAsia="宋体"/>
          <w:color w:val="auto"/>
          <w:szCs w:val="21"/>
          <w:highlight w:val="none"/>
        </w:rPr>
        <w:t>13</w:t>
      </w:r>
      <w:r>
        <w:rPr>
          <w:rFonts w:ascii="宋体" w:hAnsi="宋体" w:eastAsia="宋体"/>
          <w:color w:val="auto"/>
          <w:szCs w:val="21"/>
          <w:highlight w:val="none"/>
        </w:rPr>
        <w:fldChar w:fldCharType="end"/>
      </w:r>
    </w:p>
    <w:p w14:paraId="61CE358B">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（二）磋商文件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_Toc197530108 \h </w:instrText>
      </w:r>
      <w:r>
        <w:rPr>
          <w:rFonts w:ascii="宋体" w:hAnsi="宋体" w:eastAsia="宋体"/>
          <w:color w:val="auto"/>
          <w:szCs w:val="21"/>
          <w:highlight w:val="none"/>
        </w:rPr>
        <w:fldChar w:fldCharType="separate"/>
      </w:r>
      <w:r>
        <w:rPr>
          <w:rFonts w:ascii="宋体" w:hAnsi="宋体" w:eastAsia="宋体"/>
          <w:color w:val="auto"/>
          <w:szCs w:val="21"/>
          <w:highlight w:val="none"/>
        </w:rPr>
        <w:t>16</w:t>
      </w:r>
      <w:r>
        <w:rPr>
          <w:rFonts w:ascii="宋体" w:hAnsi="宋体" w:eastAsia="宋体"/>
          <w:color w:val="auto"/>
          <w:szCs w:val="21"/>
          <w:highlight w:val="none"/>
        </w:rPr>
        <w:fldChar w:fldCharType="end"/>
      </w:r>
    </w:p>
    <w:p w14:paraId="3EE8F9AD">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（三）响应文件的编制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_Toc197530109 \h </w:instrText>
      </w:r>
      <w:r>
        <w:rPr>
          <w:rFonts w:ascii="宋体" w:hAnsi="宋体" w:eastAsia="宋体"/>
          <w:color w:val="auto"/>
          <w:szCs w:val="21"/>
          <w:highlight w:val="none"/>
        </w:rPr>
        <w:fldChar w:fldCharType="separate"/>
      </w:r>
      <w:r>
        <w:rPr>
          <w:rFonts w:ascii="宋体" w:hAnsi="宋体" w:eastAsia="宋体"/>
          <w:color w:val="auto"/>
          <w:szCs w:val="21"/>
          <w:highlight w:val="none"/>
        </w:rPr>
        <w:t>17</w:t>
      </w:r>
      <w:r>
        <w:rPr>
          <w:rFonts w:ascii="宋体" w:hAnsi="宋体" w:eastAsia="宋体"/>
          <w:color w:val="auto"/>
          <w:szCs w:val="21"/>
          <w:highlight w:val="none"/>
        </w:rPr>
        <w:fldChar w:fldCharType="end"/>
      </w:r>
    </w:p>
    <w:p w14:paraId="0ABF3612">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（四）评审及磋商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_Toc197530110 \h </w:instrText>
      </w:r>
      <w:r>
        <w:rPr>
          <w:rFonts w:ascii="宋体" w:hAnsi="宋体" w:eastAsia="宋体"/>
          <w:color w:val="auto"/>
          <w:szCs w:val="21"/>
          <w:highlight w:val="none"/>
        </w:rPr>
        <w:fldChar w:fldCharType="separate"/>
      </w:r>
      <w:r>
        <w:rPr>
          <w:rFonts w:ascii="宋体" w:hAnsi="宋体" w:eastAsia="宋体"/>
          <w:color w:val="auto"/>
          <w:szCs w:val="21"/>
          <w:highlight w:val="none"/>
        </w:rPr>
        <w:t>20</w:t>
      </w:r>
      <w:r>
        <w:rPr>
          <w:rFonts w:ascii="宋体" w:hAnsi="宋体" w:eastAsia="宋体"/>
          <w:color w:val="auto"/>
          <w:szCs w:val="21"/>
          <w:highlight w:val="none"/>
        </w:rPr>
        <w:fldChar w:fldCharType="end"/>
      </w:r>
    </w:p>
    <w:p w14:paraId="648A0A4F">
      <w:pPr>
        <w:pStyle w:val="28"/>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第三</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采购需求</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_Toc197530111 \h </w:instrText>
      </w:r>
      <w:r>
        <w:rPr>
          <w:rFonts w:ascii="宋体" w:hAnsi="宋体" w:eastAsia="宋体"/>
          <w:color w:val="auto"/>
          <w:szCs w:val="21"/>
          <w:highlight w:val="none"/>
        </w:rPr>
        <w:fldChar w:fldCharType="separate"/>
      </w:r>
      <w:r>
        <w:rPr>
          <w:rFonts w:ascii="宋体" w:hAnsi="宋体" w:eastAsia="宋体"/>
          <w:color w:val="auto"/>
          <w:szCs w:val="21"/>
          <w:highlight w:val="none"/>
        </w:rPr>
        <w:t>26</w:t>
      </w:r>
      <w:r>
        <w:rPr>
          <w:rFonts w:ascii="宋体" w:hAnsi="宋体" w:eastAsia="宋体"/>
          <w:color w:val="auto"/>
          <w:szCs w:val="21"/>
          <w:highlight w:val="none"/>
        </w:rPr>
        <w:fldChar w:fldCharType="end"/>
      </w:r>
    </w:p>
    <w:p w14:paraId="1EBA5444">
      <w:pPr>
        <w:pStyle w:val="28"/>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第四</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评审程序、评审方法和评审标准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_Toc197530112 \h </w:instrText>
      </w:r>
      <w:r>
        <w:rPr>
          <w:rFonts w:ascii="宋体" w:hAnsi="宋体" w:eastAsia="宋体"/>
          <w:color w:val="auto"/>
          <w:szCs w:val="21"/>
          <w:highlight w:val="none"/>
        </w:rPr>
        <w:fldChar w:fldCharType="separate"/>
      </w:r>
      <w:r>
        <w:rPr>
          <w:rFonts w:ascii="宋体" w:hAnsi="宋体" w:eastAsia="宋体"/>
          <w:color w:val="auto"/>
          <w:szCs w:val="21"/>
          <w:highlight w:val="none"/>
        </w:rPr>
        <w:t>36</w:t>
      </w:r>
      <w:r>
        <w:rPr>
          <w:rFonts w:ascii="宋体" w:hAnsi="宋体" w:eastAsia="宋体"/>
          <w:color w:val="auto"/>
          <w:szCs w:val="21"/>
          <w:highlight w:val="none"/>
        </w:rPr>
        <w:fldChar w:fldCharType="end"/>
      </w:r>
    </w:p>
    <w:p w14:paraId="6D3F66D4">
      <w:pPr>
        <w:pStyle w:val="33"/>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一、评审程序和评审方法</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_Toc197530113 \h </w:instrText>
      </w:r>
      <w:r>
        <w:rPr>
          <w:rFonts w:ascii="宋体" w:hAnsi="宋体" w:eastAsia="宋体"/>
          <w:color w:val="auto"/>
          <w:szCs w:val="21"/>
          <w:highlight w:val="none"/>
        </w:rPr>
        <w:fldChar w:fldCharType="separate"/>
      </w:r>
      <w:r>
        <w:rPr>
          <w:rFonts w:ascii="宋体" w:hAnsi="宋体" w:eastAsia="宋体"/>
          <w:color w:val="auto"/>
          <w:szCs w:val="21"/>
          <w:highlight w:val="none"/>
        </w:rPr>
        <w:t>36</w:t>
      </w:r>
      <w:r>
        <w:rPr>
          <w:rFonts w:ascii="宋体" w:hAnsi="宋体" w:eastAsia="宋体"/>
          <w:color w:val="auto"/>
          <w:szCs w:val="21"/>
          <w:highlight w:val="none"/>
        </w:rPr>
        <w:fldChar w:fldCharType="end"/>
      </w:r>
    </w:p>
    <w:p w14:paraId="3458C0B6">
      <w:pPr>
        <w:pStyle w:val="33"/>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二、评审标准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_Toc197530114 \h </w:instrText>
      </w:r>
      <w:r>
        <w:rPr>
          <w:rFonts w:ascii="宋体" w:hAnsi="宋体" w:eastAsia="宋体"/>
          <w:color w:val="auto"/>
          <w:szCs w:val="21"/>
          <w:highlight w:val="none"/>
        </w:rPr>
        <w:fldChar w:fldCharType="separate"/>
      </w:r>
      <w:r>
        <w:rPr>
          <w:rFonts w:ascii="宋体" w:hAnsi="宋体" w:eastAsia="宋体"/>
          <w:color w:val="auto"/>
          <w:szCs w:val="21"/>
          <w:highlight w:val="none"/>
        </w:rPr>
        <w:t>41</w:t>
      </w:r>
      <w:r>
        <w:rPr>
          <w:rFonts w:ascii="宋体" w:hAnsi="宋体" w:eastAsia="宋体"/>
          <w:color w:val="auto"/>
          <w:szCs w:val="21"/>
          <w:highlight w:val="none"/>
        </w:rPr>
        <w:fldChar w:fldCharType="end"/>
      </w:r>
    </w:p>
    <w:p w14:paraId="4BE5DCF5">
      <w:pPr>
        <w:pStyle w:val="28"/>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第五</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工程量清单、招标控制价及图纸</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_Toc197530115 \h </w:instrText>
      </w:r>
      <w:r>
        <w:rPr>
          <w:rFonts w:ascii="宋体" w:hAnsi="宋体" w:eastAsia="宋体"/>
          <w:color w:val="auto"/>
          <w:szCs w:val="21"/>
          <w:highlight w:val="none"/>
        </w:rPr>
        <w:fldChar w:fldCharType="separate"/>
      </w:r>
      <w:r>
        <w:rPr>
          <w:rFonts w:ascii="宋体" w:hAnsi="宋体" w:eastAsia="宋体"/>
          <w:color w:val="auto"/>
          <w:szCs w:val="21"/>
          <w:highlight w:val="none"/>
        </w:rPr>
        <w:t>47</w:t>
      </w:r>
      <w:r>
        <w:rPr>
          <w:rFonts w:ascii="宋体" w:hAnsi="宋体" w:eastAsia="宋体"/>
          <w:color w:val="auto"/>
          <w:szCs w:val="21"/>
          <w:highlight w:val="none"/>
        </w:rPr>
        <w:fldChar w:fldCharType="end"/>
      </w:r>
    </w:p>
    <w:p w14:paraId="4C5A90D9">
      <w:pPr>
        <w:pStyle w:val="28"/>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第六</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响应文件格式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_Toc197530116 \h </w:instrText>
      </w:r>
      <w:r>
        <w:rPr>
          <w:rFonts w:ascii="宋体" w:hAnsi="宋体" w:eastAsia="宋体"/>
          <w:color w:val="auto"/>
          <w:szCs w:val="21"/>
          <w:highlight w:val="none"/>
        </w:rPr>
        <w:fldChar w:fldCharType="separate"/>
      </w:r>
      <w:r>
        <w:rPr>
          <w:rFonts w:ascii="宋体" w:hAnsi="宋体" w:eastAsia="宋体"/>
          <w:color w:val="auto"/>
          <w:szCs w:val="21"/>
          <w:highlight w:val="none"/>
        </w:rPr>
        <w:t>51</w:t>
      </w:r>
      <w:r>
        <w:rPr>
          <w:rFonts w:ascii="宋体" w:hAnsi="宋体" w:eastAsia="宋体"/>
          <w:color w:val="auto"/>
          <w:szCs w:val="21"/>
          <w:highlight w:val="none"/>
        </w:rPr>
        <w:fldChar w:fldCharType="end"/>
      </w:r>
    </w:p>
    <w:p w14:paraId="4973B99C">
      <w:pPr>
        <w:pStyle w:val="33"/>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一、资格证明文件格式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_Toc197530117 \h </w:instrText>
      </w:r>
      <w:r>
        <w:rPr>
          <w:rFonts w:ascii="宋体" w:hAnsi="宋体" w:eastAsia="宋体"/>
          <w:color w:val="auto"/>
          <w:szCs w:val="21"/>
          <w:highlight w:val="none"/>
        </w:rPr>
        <w:fldChar w:fldCharType="separate"/>
      </w:r>
      <w:r>
        <w:rPr>
          <w:rFonts w:ascii="宋体" w:hAnsi="宋体" w:eastAsia="宋体"/>
          <w:color w:val="auto"/>
          <w:szCs w:val="21"/>
          <w:highlight w:val="none"/>
        </w:rPr>
        <w:t>51</w:t>
      </w:r>
      <w:r>
        <w:rPr>
          <w:rFonts w:ascii="宋体" w:hAnsi="宋体" w:eastAsia="宋体"/>
          <w:color w:val="auto"/>
          <w:szCs w:val="21"/>
          <w:highlight w:val="none"/>
        </w:rPr>
        <w:fldChar w:fldCharType="end"/>
      </w:r>
    </w:p>
    <w:p w14:paraId="77A47B46">
      <w:pPr>
        <w:pStyle w:val="33"/>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二、报价文件格式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_Toc197530118 \h </w:instrText>
      </w:r>
      <w:r>
        <w:rPr>
          <w:rFonts w:ascii="宋体" w:hAnsi="宋体" w:eastAsia="宋体"/>
          <w:color w:val="auto"/>
          <w:szCs w:val="21"/>
          <w:highlight w:val="none"/>
        </w:rPr>
        <w:fldChar w:fldCharType="separate"/>
      </w:r>
      <w:r>
        <w:rPr>
          <w:rFonts w:ascii="宋体" w:hAnsi="宋体" w:eastAsia="宋体"/>
          <w:color w:val="auto"/>
          <w:szCs w:val="21"/>
          <w:highlight w:val="none"/>
        </w:rPr>
        <w:t>60</w:t>
      </w:r>
      <w:r>
        <w:rPr>
          <w:rFonts w:ascii="宋体" w:hAnsi="宋体" w:eastAsia="宋体"/>
          <w:color w:val="auto"/>
          <w:szCs w:val="21"/>
          <w:highlight w:val="none"/>
        </w:rPr>
        <w:fldChar w:fldCharType="end"/>
      </w:r>
    </w:p>
    <w:p w14:paraId="7C1A11F4">
      <w:pPr>
        <w:pStyle w:val="33"/>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三、商务技术文件格式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_Toc197530119 \h </w:instrText>
      </w:r>
      <w:r>
        <w:rPr>
          <w:rFonts w:ascii="宋体" w:hAnsi="宋体" w:eastAsia="宋体"/>
          <w:color w:val="auto"/>
          <w:szCs w:val="21"/>
          <w:highlight w:val="none"/>
        </w:rPr>
        <w:fldChar w:fldCharType="separate"/>
      </w:r>
      <w:r>
        <w:rPr>
          <w:rFonts w:ascii="宋体" w:hAnsi="宋体" w:eastAsia="宋体"/>
          <w:color w:val="auto"/>
          <w:szCs w:val="21"/>
          <w:highlight w:val="none"/>
        </w:rPr>
        <w:t>67</w:t>
      </w:r>
      <w:r>
        <w:rPr>
          <w:rFonts w:ascii="宋体" w:hAnsi="宋体" w:eastAsia="宋体"/>
          <w:color w:val="auto"/>
          <w:szCs w:val="21"/>
          <w:highlight w:val="none"/>
        </w:rPr>
        <w:fldChar w:fldCharType="end"/>
      </w:r>
    </w:p>
    <w:p w14:paraId="0F2FC2A4">
      <w:pPr>
        <w:pStyle w:val="28"/>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第七</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合同文本</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_Toc197530120 \h </w:instrText>
      </w:r>
      <w:r>
        <w:rPr>
          <w:rFonts w:ascii="宋体" w:hAnsi="宋体" w:eastAsia="宋体"/>
          <w:color w:val="auto"/>
          <w:szCs w:val="21"/>
          <w:highlight w:val="none"/>
        </w:rPr>
        <w:fldChar w:fldCharType="separate"/>
      </w:r>
      <w:r>
        <w:rPr>
          <w:rFonts w:ascii="宋体" w:hAnsi="宋体" w:eastAsia="宋体"/>
          <w:color w:val="auto"/>
          <w:szCs w:val="21"/>
          <w:highlight w:val="none"/>
        </w:rPr>
        <w:t>78</w:t>
      </w:r>
      <w:r>
        <w:rPr>
          <w:rFonts w:ascii="宋体" w:hAnsi="宋体" w:eastAsia="宋体"/>
          <w:color w:val="auto"/>
          <w:szCs w:val="21"/>
          <w:highlight w:val="none"/>
        </w:rPr>
        <w:fldChar w:fldCharType="end"/>
      </w:r>
    </w:p>
    <w:p w14:paraId="364AD0F1">
      <w:pPr>
        <w:pStyle w:val="33"/>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第一部分合同书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_Toc197530121 \h </w:instrText>
      </w:r>
      <w:r>
        <w:rPr>
          <w:rFonts w:ascii="宋体" w:hAnsi="宋体" w:eastAsia="宋体"/>
          <w:color w:val="auto"/>
          <w:szCs w:val="21"/>
          <w:highlight w:val="none"/>
        </w:rPr>
        <w:fldChar w:fldCharType="separate"/>
      </w:r>
      <w:r>
        <w:rPr>
          <w:rFonts w:ascii="宋体" w:hAnsi="宋体" w:eastAsia="宋体"/>
          <w:color w:val="auto"/>
          <w:szCs w:val="21"/>
          <w:highlight w:val="none"/>
        </w:rPr>
        <w:t>79</w:t>
      </w:r>
      <w:r>
        <w:rPr>
          <w:rFonts w:ascii="宋体" w:hAnsi="宋体" w:eastAsia="宋体"/>
          <w:color w:val="auto"/>
          <w:szCs w:val="21"/>
          <w:highlight w:val="none"/>
        </w:rPr>
        <w:fldChar w:fldCharType="end"/>
      </w:r>
    </w:p>
    <w:p w14:paraId="6F3E6C57">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一、工程概况</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_Toc197530122 \h </w:instrText>
      </w:r>
      <w:r>
        <w:rPr>
          <w:rFonts w:ascii="宋体" w:hAnsi="宋体" w:eastAsia="宋体"/>
          <w:color w:val="auto"/>
          <w:szCs w:val="21"/>
          <w:highlight w:val="none"/>
        </w:rPr>
        <w:fldChar w:fldCharType="separate"/>
      </w:r>
      <w:r>
        <w:rPr>
          <w:rFonts w:ascii="宋体" w:hAnsi="宋体" w:eastAsia="宋体"/>
          <w:color w:val="auto"/>
          <w:szCs w:val="21"/>
          <w:highlight w:val="none"/>
        </w:rPr>
        <w:t>79</w:t>
      </w:r>
      <w:r>
        <w:rPr>
          <w:rFonts w:ascii="宋体" w:hAnsi="宋体" w:eastAsia="宋体"/>
          <w:color w:val="auto"/>
          <w:szCs w:val="21"/>
          <w:highlight w:val="none"/>
        </w:rPr>
        <w:fldChar w:fldCharType="end"/>
      </w:r>
    </w:p>
    <w:p w14:paraId="48CF27B0">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二、工程承包范围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_Toc197530123 \h </w:instrText>
      </w:r>
      <w:r>
        <w:rPr>
          <w:rFonts w:ascii="宋体" w:hAnsi="宋体" w:eastAsia="宋体"/>
          <w:color w:val="auto"/>
          <w:szCs w:val="21"/>
          <w:highlight w:val="none"/>
        </w:rPr>
        <w:fldChar w:fldCharType="separate"/>
      </w:r>
      <w:r>
        <w:rPr>
          <w:rFonts w:ascii="宋体" w:hAnsi="宋体" w:eastAsia="宋体"/>
          <w:color w:val="auto"/>
          <w:szCs w:val="21"/>
          <w:highlight w:val="none"/>
        </w:rPr>
        <w:t>79</w:t>
      </w:r>
      <w:r>
        <w:rPr>
          <w:rFonts w:ascii="宋体" w:hAnsi="宋体" w:eastAsia="宋体"/>
          <w:color w:val="auto"/>
          <w:szCs w:val="21"/>
          <w:highlight w:val="none"/>
        </w:rPr>
        <w:fldChar w:fldCharType="end"/>
      </w:r>
    </w:p>
    <w:p w14:paraId="4E325BEF">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三、合同工期</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_Toc197530124 \h </w:instrText>
      </w:r>
      <w:r>
        <w:rPr>
          <w:rFonts w:ascii="宋体" w:hAnsi="宋体" w:eastAsia="宋体"/>
          <w:color w:val="auto"/>
          <w:szCs w:val="21"/>
          <w:highlight w:val="none"/>
        </w:rPr>
        <w:fldChar w:fldCharType="separate"/>
      </w:r>
      <w:r>
        <w:rPr>
          <w:rFonts w:ascii="宋体" w:hAnsi="宋体" w:eastAsia="宋体"/>
          <w:color w:val="auto"/>
          <w:szCs w:val="21"/>
          <w:highlight w:val="none"/>
        </w:rPr>
        <w:t>79</w:t>
      </w:r>
      <w:r>
        <w:rPr>
          <w:rFonts w:ascii="宋体" w:hAnsi="宋体" w:eastAsia="宋体"/>
          <w:color w:val="auto"/>
          <w:szCs w:val="21"/>
          <w:highlight w:val="none"/>
        </w:rPr>
        <w:fldChar w:fldCharType="end"/>
      </w:r>
    </w:p>
    <w:p w14:paraId="7CFDC739">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四、质量标准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_Toc197530125 \h </w:instrText>
      </w:r>
      <w:r>
        <w:rPr>
          <w:rFonts w:ascii="宋体" w:hAnsi="宋体" w:eastAsia="宋体"/>
          <w:color w:val="auto"/>
          <w:szCs w:val="21"/>
          <w:highlight w:val="none"/>
        </w:rPr>
        <w:fldChar w:fldCharType="separate"/>
      </w:r>
      <w:r>
        <w:rPr>
          <w:rFonts w:ascii="宋体" w:hAnsi="宋体" w:eastAsia="宋体"/>
          <w:color w:val="auto"/>
          <w:szCs w:val="21"/>
          <w:highlight w:val="none"/>
        </w:rPr>
        <w:t>79</w:t>
      </w:r>
      <w:r>
        <w:rPr>
          <w:rFonts w:ascii="宋体" w:hAnsi="宋体" w:eastAsia="宋体"/>
          <w:color w:val="auto"/>
          <w:szCs w:val="21"/>
          <w:highlight w:val="none"/>
        </w:rPr>
        <w:fldChar w:fldCharType="end"/>
      </w:r>
    </w:p>
    <w:p w14:paraId="2ED0C906">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五、签约合同价与合同价格形式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_Toc197530126 \h </w:instrText>
      </w:r>
      <w:r>
        <w:rPr>
          <w:rFonts w:ascii="宋体" w:hAnsi="宋体" w:eastAsia="宋体"/>
          <w:color w:val="auto"/>
          <w:szCs w:val="21"/>
          <w:highlight w:val="none"/>
        </w:rPr>
        <w:fldChar w:fldCharType="separate"/>
      </w:r>
      <w:r>
        <w:rPr>
          <w:rFonts w:ascii="宋体" w:hAnsi="宋体" w:eastAsia="宋体"/>
          <w:color w:val="auto"/>
          <w:szCs w:val="21"/>
          <w:highlight w:val="none"/>
        </w:rPr>
        <w:t>79</w:t>
      </w:r>
      <w:r>
        <w:rPr>
          <w:rFonts w:ascii="宋体" w:hAnsi="宋体" w:eastAsia="宋体"/>
          <w:color w:val="auto"/>
          <w:szCs w:val="21"/>
          <w:highlight w:val="none"/>
        </w:rPr>
        <w:fldChar w:fldCharType="end"/>
      </w:r>
    </w:p>
    <w:p w14:paraId="1ABCB3A3">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六、工程项目经理及其他人员</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_Toc197530127 \h </w:instrText>
      </w:r>
      <w:r>
        <w:rPr>
          <w:rFonts w:ascii="宋体" w:hAnsi="宋体" w:eastAsia="宋体"/>
          <w:color w:val="auto"/>
          <w:szCs w:val="21"/>
          <w:highlight w:val="none"/>
        </w:rPr>
        <w:fldChar w:fldCharType="separate"/>
      </w:r>
      <w:r>
        <w:rPr>
          <w:rFonts w:ascii="宋体" w:hAnsi="宋体" w:eastAsia="宋体"/>
          <w:color w:val="auto"/>
          <w:szCs w:val="21"/>
          <w:highlight w:val="none"/>
        </w:rPr>
        <w:t>80</w:t>
      </w:r>
      <w:r>
        <w:rPr>
          <w:rFonts w:ascii="宋体" w:hAnsi="宋体" w:eastAsia="宋体"/>
          <w:color w:val="auto"/>
          <w:szCs w:val="21"/>
          <w:highlight w:val="none"/>
        </w:rPr>
        <w:fldChar w:fldCharType="end"/>
      </w:r>
    </w:p>
    <w:p w14:paraId="5444407E">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七、合同文件构成</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_Toc197530128 \h </w:instrText>
      </w:r>
      <w:r>
        <w:rPr>
          <w:rFonts w:ascii="宋体" w:hAnsi="宋体" w:eastAsia="宋体"/>
          <w:color w:val="auto"/>
          <w:szCs w:val="21"/>
          <w:highlight w:val="none"/>
        </w:rPr>
        <w:fldChar w:fldCharType="separate"/>
      </w:r>
      <w:r>
        <w:rPr>
          <w:rFonts w:ascii="宋体" w:hAnsi="宋体" w:eastAsia="宋体"/>
          <w:color w:val="auto"/>
          <w:szCs w:val="21"/>
          <w:highlight w:val="none"/>
        </w:rPr>
        <w:t>80</w:t>
      </w:r>
      <w:r>
        <w:rPr>
          <w:rFonts w:ascii="宋体" w:hAnsi="宋体" w:eastAsia="宋体"/>
          <w:color w:val="auto"/>
          <w:szCs w:val="21"/>
          <w:highlight w:val="none"/>
        </w:rPr>
        <w:fldChar w:fldCharType="end"/>
      </w:r>
    </w:p>
    <w:p w14:paraId="596AF82A">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八、承诺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_Toc197530129 \h </w:instrText>
      </w:r>
      <w:r>
        <w:rPr>
          <w:rFonts w:ascii="宋体" w:hAnsi="宋体" w:eastAsia="宋体"/>
          <w:color w:val="auto"/>
          <w:szCs w:val="21"/>
          <w:highlight w:val="none"/>
        </w:rPr>
        <w:fldChar w:fldCharType="separate"/>
      </w:r>
      <w:r>
        <w:rPr>
          <w:rFonts w:ascii="宋体" w:hAnsi="宋体" w:eastAsia="宋体"/>
          <w:color w:val="auto"/>
          <w:szCs w:val="21"/>
          <w:highlight w:val="none"/>
        </w:rPr>
        <w:t>80</w:t>
      </w:r>
      <w:r>
        <w:rPr>
          <w:rFonts w:ascii="宋体" w:hAnsi="宋体" w:eastAsia="宋体"/>
          <w:color w:val="auto"/>
          <w:szCs w:val="21"/>
          <w:highlight w:val="none"/>
        </w:rPr>
        <w:fldChar w:fldCharType="end"/>
      </w:r>
    </w:p>
    <w:p w14:paraId="77BF4DA7">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九、词语含义</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_Toc197530130 \h </w:instrText>
      </w:r>
      <w:r>
        <w:rPr>
          <w:rFonts w:ascii="宋体" w:hAnsi="宋体" w:eastAsia="宋体"/>
          <w:color w:val="auto"/>
          <w:szCs w:val="21"/>
          <w:highlight w:val="none"/>
        </w:rPr>
        <w:fldChar w:fldCharType="separate"/>
      </w:r>
      <w:r>
        <w:rPr>
          <w:rFonts w:ascii="宋体" w:hAnsi="宋体" w:eastAsia="宋体"/>
          <w:color w:val="auto"/>
          <w:szCs w:val="21"/>
          <w:highlight w:val="none"/>
        </w:rPr>
        <w:t>81</w:t>
      </w:r>
      <w:r>
        <w:rPr>
          <w:rFonts w:ascii="宋体" w:hAnsi="宋体" w:eastAsia="宋体"/>
          <w:color w:val="auto"/>
          <w:szCs w:val="21"/>
          <w:highlight w:val="none"/>
        </w:rPr>
        <w:fldChar w:fldCharType="end"/>
      </w:r>
    </w:p>
    <w:p w14:paraId="0112FD2D">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十、订立时间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_Toc197530131 \h </w:instrText>
      </w:r>
      <w:r>
        <w:rPr>
          <w:rFonts w:ascii="宋体" w:hAnsi="宋体" w:eastAsia="宋体"/>
          <w:color w:val="auto"/>
          <w:szCs w:val="21"/>
          <w:highlight w:val="none"/>
        </w:rPr>
        <w:fldChar w:fldCharType="separate"/>
      </w:r>
      <w:r>
        <w:rPr>
          <w:rFonts w:ascii="宋体" w:hAnsi="宋体" w:eastAsia="宋体"/>
          <w:color w:val="auto"/>
          <w:szCs w:val="21"/>
          <w:highlight w:val="none"/>
        </w:rPr>
        <w:t>81</w:t>
      </w:r>
      <w:r>
        <w:rPr>
          <w:rFonts w:ascii="宋体" w:hAnsi="宋体" w:eastAsia="宋体"/>
          <w:color w:val="auto"/>
          <w:szCs w:val="21"/>
          <w:highlight w:val="none"/>
        </w:rPr>
        <w:fldChar w:fldCharType="end"/>
      </w:r>
    </w:p>
    <w:p w14:paraId="5087646A">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十一、订立地点</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_Toc197530132 \h </w:instrText>
      </w:r>
      <w:r>
        <w:rPr>
          <w:rFonts w:ascii="宋体" w:hAnsi="宋体" w:eastAsia="宋体"/>
          <w:color w:val="auto"/>
          <w:szCs w:val="21"/>
          <w:highlight w:val="none"/>
        </w:rPr>
        <w:fldChar w:fldCharType="separate"/>
      </w:r>
      <w:r>
        <w:rPr>
          <w:rFonts w:ascii="宋体" w:hAnsi="宋体" w:eastAsia="宋体"/>
          <w:color w:val="auto"/>
          <w:szCs w:val="21"/>
          <w:highlight w:val="none"/>
        </w:rPr>
        <w:t>81</w:t>
      </w:r>
      <w:r>
        <w:rPr>
          <w:rFonts w:ascii="宋体" w:hAnsi="宋体" w:eastAsia="宋体"/>
          <w:color w:val="auto"/>
          <w:szCs w:val="21"/>
          <w:highlight w:val="none"/>
        </w:rPr>
        <w:fldChar w:fldCharType="end"/>
      </w:r>
    </w:p>
    <w:p w14:paraId="752411C5">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十二、补充协议</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_Toc197530133 \h </w:instrText>
      </w:r>
      <w:r>
        <w:rPr>
          <w:rFonts w:ascii="宋体" w:hAnsi="宋体" w:eastAsia="宋体"/>
          <w:color w:val="auto"/>
          <w:szCs w:val="21"/>
          <w:highlight w:val="none"/>
        </w:rPr>
        <w:fldChar w:fldCharType="separate"/>
      </w:r>
      <w:r>
        <w:rPr>
          <w:rFonts w:ascii="宋体" w:hAnsi="宋体" w:eastAsia="宋体"/>
          <w:color w:val="auto"/>
          <w:szCs w:val="21"/>
          <w:highlight w:val="none"/>
        </w:rPr>
        <w:t>81</w:t>
      </w:r>
      <w:r>
        <w:rPr>
          <w:rFonts w:ascii="宋体" w:hAnsi="宋体" w:eastAsia="宋体"/>
          <w:color w:val="auto"/>
          <w:szCs w:val="21"/>
          <w:highlight w:val="none"/>
        </w:rPr>
        <w:fldChar w:fldCharType="end"/>
      </w:r>
    </w:p>
    <w:p w14:paraId="03CAA104">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十三、合同生效</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_Toc197530134 \h </w:instrText>
      </w:r>
      <w:r>
        <w:rPr>
          <w:rFonts w:ascii="宋体" w:hAnsi="宋体" w:eastAsia="宋体"/>
          <w:color w:val="auto"/>
          <w:szCs w:val="21"/>
          <w:highlight w:val="none"/>
        </w:rPr>
        <w:fldChar w:fldCharType="separate"/>
      </w:r>
      <w:r>
        <w:rPr>
          <w:rFonts w:ascii="宋体" w:hAnsi="宋体" w:eastAsia="宋体"/>
          <w:color w:val="auto"/>
          <w:szCs w:val="21"/>
          <w:highlight w:val="none"/>
        </w:rPr>
        <w:t>81</w:t>
      </w:r>
      <w:r>
        <w:rPr>
          <w:rFonts w:ascii="宋体" w:hAnsi="宋体" w:eastAsia="宋体"/>
          <w:color w:val="auto"/>
          <w:szCs w:val="21"/>
          <w:highlight w:val="none"/>
        </w:rPr>
        <w:fldChar w:fldCharType="end"/>
      </w:r>
    </w:p>
    <w:p w14:paraId="0F8FC00B">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十四、合同份数</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_Toc197530135 \h </w:instrText>
      </w:r>
      <w:r>
        <w:rPr>
          <w:rFonts w:ascii="宋体" w:hAnsi="宋体" w:eastAsia="宋体"/>
          <w:color w:val="auto"/>
          <w:szCs w:val="21"/>
          <w:highlight w:val="none"/>
        </w:rPr>
        <w:fldChar w:fldCharType="separate"/>
      </w:r>
      <w:r>
        <w:rPr>
          <w:rFonts w:ascii="宋体" w:hAnsi="宋体" w:eastAsia="宋体"/>
          <w:color w:val="auto"/>
          <w:szCs w:val="21"/>
          <w:highlight w:val="none"/>
        </w:rPr>
        <w:t>81</w:t>
      </w:r>
      <w:r>
        <w:rPr>
          <w:rFonts w:ascii="宋体" w:hAnsi="宋体" w:eastAsia="宋体"/>
          <w:color w:val="auto"/>
          <w:szCs w:val="21"/>
          <w:highlight w:val="none"/>
        </w:rPr>
        <w:fldChar w:fldCharType="end"/>
      </w:r>
    </w:p>
    <w:p w14:paraId="18C71235">
      <w:pPr>
        <w:pStyle w:val="33"/>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第二部分通用合同条款</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_Toc197530136 \h </w:instrText>
      </w:r>
      <w:r>
        <w:rPr>
          <w:rFonts w:ascii="宋体" w:hAnsi="宋体" w:eastAsia="宋体"/>
          <w:color w:val="auto"/>
          <w:szCs w:val="21"/>
          <w:highlight w:val="none"/>
        </w:rPr>
        <w:fldChar w:fldCharType="separate"/>
      </w:r>
      <w:r>
        <w:rPr>
          <w:rFonts w:ascii="宋体" w:hAnsi="宋体" w:eastAsia="宋体"/>
          <w:color w:val="auto"/>
          <w:szCs w:val="21"/>
          <w:highlight w:val="none"/>
        </w:rPr>
        <w:t>83</w:t>
      </w:r>
      <w:r>
        <w:rPr>
          <w:rFonts w:ascii="宋体" w:hAnsi="宋体" w:eastAsia="宋体"/>
          <w:color w:val="auto"/>
          <w:szCs w:val="21"/>
          <w:highlight w:val="none"/>
        </w:rPr>
        <w:fldChar w:fldCharType="end"/>
      </w:r>
    </w:p>
    <w:p w14:paraId="2812352D">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一般约定</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_Toc197530137 \h </w:instrText>
      </w:r>
      <w:r>
        <w:rPr>
          <w:rFonts w:ascii="宋体" w:hAnsi="宋体" w:eastAsia="宋体"/>
          <w:color w:val="auto"/>
          <w:szCs w:val="21"/>
          <w:highlight w:val="none"/>
        </w:rPr>
        <w:fldChar w:fldCharType="separate"/>
      </w:r>
      <w:r>
        <w:rPr>
          <w:rFonts w:ascii="宋体" w:hAnsi="宋体" w:eastAsia="宋体"/>
          <w:color w:val="auto"/>
          <w:szCs w:val="21"/>
          <w:highlight w:val="none"/>
        </w:rPr>
        <w:t>83</w:t>
      </w:r>
      <w:r>
        <w:rPr>
          <w:rFonts w:ascii="宋体" w:hAnsi="宋体" w:eastAsia="宋体"/>
          <w:color w:val="auto"/>
          <w:szCs w:val="21"/>
          <w:highlight w:val="none"/>
        </w:rPr>
        <w:fldChar w:fldCharType="end"/>
      </w:r>
    </w:p>
    <w:p w14:paraId="5D8EC27B">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发包人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_Toc197530138 \h </w:instrText>
      </w:r>
      <w:r>
        <w:rPr>
          <w:rFonts w:ascii="宋体" w:hAnsi="宋体" w:eastAsia="宋体"/>
          <w:color w:val="auto"/>
          <w:szCs w:val="21"/>
          <w:highlight w:val="none"/>
        </w:rPr>
        <w:fldChar w:fldCharType="separate"/>
      </w:r>
      <w:r>
        <w:rPr>
          <w:rFonts w:ascii="宋体" w:hAnsi="宋体" w:eastAsia="宋体"/>
          <w:color w:val="auto"/>
          <w:szCs w:val="21"/>
          <w:highlight w:val="none"/>
        </w:rPr>
        <w:t>90</w:t>
      </w:r>
      <w:r>
        <w:rPr>
          <w:rFonts w:ascii="宋体" w:hAnsi="宋体" w:eastAsia="宋体"/>
          <w:color w:val="auto"/>
          <w:szCs w:val="21"/>
          <w:highlight w:val="none"/>
        </w:rPr>
        <w:fldChar w:fldCharType="end"/>
      </w:r>
    </w:p>
    <w:p w14:paraId="48C7DF4B">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承包人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_Toc197530139 \h </w:instrText>
      </w:r>
      <w:r>
        <w:rPr>
          <w:rFonts w:ascii="宋体" w:hAnsi="宋体" w:eastAsia="宋体"/>
          <w:color w:val="auto"/>
          <w:szCs w:val="21"/>
          <w:highlight w:val="none"/>
        </w:rPr>
        <w:fldChar w:fldCharType="separate"/>
      </w:r>
      <w:r>
        <w:rPr>
          <w:rFonts w:ascii="宋体" w:hAnsi="宋体" w:eastAsia="宋体"/>
          <w:color w:val="auto"/>
          <w:szCs w:val="21"/>
          <w:highlight w:val="none"/>
        </w:rPr>
        <w:t>92</w:t>
      </w:r>
      <w:r>
        <w:rPr>
          <w:rFonts w:ascii="宋体" w:hAnsi="宋体" w:eastAsia="宋体"/>
          <w:color w:val="auto"/>
          <w:szCs w:val="21"/>
          <w:highlight w:val="none"/>
        </w:rPr>
        <w:fldChar w:fldCharType="end"/>
      </w:r>
    </w:p>
    <w:p w14:paraId="36CE2EB1">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监理人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_Toc197530140 \h </w:instrText>
      </w:r>
      <w:r>
        <w:rPr>
          <w:rFonts w:ascii="宋体" w:hAnsi="宋体" w:eastAsia="宋体"/>
          <w:color w:val="auto"/>
          <w:szCs w:val="21"/>
          <w:highlight w:val="none"/>
        </w:rPr>
        <w:fldChar w:fldCharType="separate"/>
      </w:r>
      <w:r>
        <w:rPr>
          <w:rFonts w:ascii="宋体" w:hAnsi="宋体" w:eastAsia="宋体"/>
          <w:color w:val="auto"/>
          <w:szCs w:val="21"/>
          <w:highlight w:val="none"/>
        </w:rPr>
        <w:t>96</w:t>
      </w:r>
      <w:r>
        <w:rPr>
          <w:rFonts w:ascii="宋体" w:hAnsi="宋体" w:eastAsia="宋体"/>
          <w:color w:val="auto"/>
          <w:szCs w:val="21"/>
          <w:highlight w:val="none"/>
        </w:rPr>
        <w:fldChar w:fldCharType="end"/>
      </w:r>
    </w:p>
    <w:p w14:paraId="1EE20C1A">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工程质量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_Toc197530141 \h </w:instrText>
      </w:r>
      <w:r>
        <w:rPr>
          <w:rFonts w:ascii="宋体" w:hAnsi="宋体" w:eastAsia="宋体"/>
          <w:color w:val="auto"/>
          <w:szCs w:val="21"/>
          <w:highlight w:val="none"/>
        </w:rPr>
        <w:fldChar w:fldCharType="separate"/>
      </w:r>
      <w:r>
        <w:rPr>
          <w:rFonts w:ascii="宋体" w:hAnsi="宋体" w:eastAsia="宋体"/>
          <w:color w:val="auto"/>
          <w:szCs w:val="21"/>
          <w:highlight w:val="none"/>
        </w:rPr>
        <w:t>97</w:t>
      </w:r>
      <w:r>
        <w:rPr>
          <w:rFonts w:ascii="宋体" w:hAnsi="宋体" w:eastAsia="宋体"/>
          <w:color w:val="auto"/>
          <w:szCs w:val="21"/>
          <w:highlight w:val="none"/>
        </w:rPr>
        <w:fldChar w:fldCharType="end"/>
      </w:r>
    </w:p>
    <w:p w14:paraId="60F70614">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6.</w:t>
      </w:r>
      <w:r>
        <w:rPr>
          <w:rFonts w:hint="eastAsia" w:ascii="宋体" w:hAnsi="宋体" w:eastAsia="宋体"/>
          <w:color w:val="auto"/>
          <w:szCs w:val="21"/>
          <w:highlight w:val="none"/>
        </w:rPr>
        <w:t>安全文明施工与环境保护</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_Toc197530142 \h </w:instrText>
      </w:r>
      <w:r>
        <w:rPr>
          <w:rFonts w:ascii="宋体" w:hAnsi="宋体" w:eastAsia="宋体"/>
          <w:color w:val="auto"/>
          <w:szCs w:val="21"/>
          <w:highlight w:val="none"/>
        </w:rPr>
        <w:fldChar w:fldCharType="separate"/>
      </w:r>
      <w:r>
        <w:rPr>
          <w:rFonts w:ascii="宋体" w:hAnsi="宋体" w:eastAsia="宋体"/>
          <w:color w:val="auto"/>
          <w:szCs w:val="21"/>
          <w:highlight w:val="none"/>
        </w:rPr>
        <w:t>99</w:t>
      </w:r>
      <w:r>
        <w:rPr>
          <w:rFonts w:ascii="宋体" w:hAnsi="宋体" w:eastAsia="宋体"/>
          <w:color w:val="auto"/>
          <w:szCs w:val="21"/>
          <w:highlight w:val="none"/>
        </w:rPr>
        <w:fldChar w:fldCharType="end"/>
      </w:r>
    </w:p>
    <w:p w14:paraId="7FB115C9">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7.</w:t>
      </w:r>
      <w:r>
        <w:rPr>
          <w:rFonts w:hint="eastAsia" w:ascii="宋体" w:hAnsi="宋体" w:eastAsia="宋体"/>
          <w:color w:val="auto"/>
          <w:szCs w:val="21"/>
          <w:highlight w:val="none"/>
        </w:rPr>
        <w:t>工期和进度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_Toc197530143 \h </w:instrText>
      </w:r>
      <w:r>
        <w:rPr>
          <w:rFonts w:ascii="宋体" w:hAnsi="宋体" w:eastAsia="宋体"/>
          <w:color w:val="auto"/>
          <w:szCs w:val="21"/>
          <w:highlight w:val="none"/>
        </w:rPr>
        <w:fldChar w:fldCharType="separate"/>
      </w:r>
      <w:r>
        <w:rPr>
          <w:rFonts w:ascii="宋体" w:hAnsi="宋体" w:eastAsia="宋体"/>
          <w:color w:val="auto"/>
          <w:szCs w:val="21"/>
          <w:highlight w:val="none"/>
        </w:rPr>
        <w:t>102</w:t>
      </w:r>
      <w:r>
        <w:rPr>
          <w:rFonts w:ascii="宋体" w:hAnsi="宋体" w:eastAsia="宋体"/>
          <w:color w:val="auto"/>
          <w:szCs w:val="21"/>
          <w:highlight w:val="none"/>
        </w:rPr>
        <w:fldChar w:fldCharType="end"/>
      </w:r>
    </w:p>
    <w:p w14:paraId="479DCF22">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材料与设备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_Toc197530144 \h </w:instrText>
      </w:r>
      <w:r>
        <w:rPr>
          <w:rFonts w:ascii="宋体" w:hAnsi="宋体" w:eastAsia="宋体"/>
          <w:color w:val="auto"/>
          <w:szCs w:val="21"/>
          <w:highlight w:val="none"/>
        </w:rPr>
        <w:fldChar w:fldCharType="separate"/>
      </w:r>
      <w:r>
        <w:rPr>
          <w:rFonts w:ascii="宋体" w:hAnsi="宋体" w:eastAsia="宋体"/>
          <w:color w:val="auto"/>
          <w:szCs w:val="21"/>
          <w:highlight w:val="none"/>
        </w:rPr>
        <w:t>107</w:t>
      </w:r>
      <w:r>
        <w:rPr>
          <w:rFonts w:ascii="宋体" w:hAnsi="宋体" w:eastAsia="宋体"/>
          <w:color w:val="auto"/>
          <w:szCs w:val="21"/>
          <w:highlight w:val="none"/>
        </w:rPr>
        <w:fldChar w:fldCharType="end"/>
      </w:r>
    </w:p>
    <w:p w14:paraId="0C2022CC">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eastAsia="宋体"/>
          <w:color w:val="auto"/>
          <w:szCs w:val="21"/>
          <w:highlight w:val="none"/>
        </w:rPr>
        <w:t>试验与检验</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_Toc197530145 \h </w:instrText>
      </w:r>
      <w:r>
        <w:rPr>
          <w:rFonts w:ascii="宋体" w:hAnsi="宋体" w:eastAsia="宋体"/>
          <w:color w:val="auto"/>
          <w:szCs w:val="21"/>
          <w:highlight w:val="none"/>
        </w:rPr>
        <w:fldChar w:fldCharType="separate"/>
      </w:r>
      <w:r>
        <w:rPr>
          <w:rFonts w:ascii="宋体" w:hAnsi="宋体" w:eastAsia="宋体"/>
          <w:color w:val="auto"/>
          <w:szCs w:val="21"/>
          <w:highlight w:val="none"/>
        </w:rPr>
        <w:t>110</w:t>
      </w:r>
      <w:r>
        <w:rPr>
          <w:rFonts w:ascii="宋体" w:hAnsi="宋体" w:eastAsia="宋体"/>
          <w:color w:val="auto"/>
          <w:szCs w:val="21"/>
          <w:highlight w:val="none"/>
        </w:rPr>
        <w:fldChar w:fldCharType="end"/>
      </w:r>
    </w:p>
    <w:p w14:paraId="47E39E9C">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eastAsia="宋体"/>
          <w:color w:val="auto"/>
          <w:szCs w:val="21"/>
          <w:highlight w:val="none"/>
        </w:rPr>
        <w:t>变更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_Toc197530146 \h </w:instrText>
      </w:r>
      <w:r>
        <w:rPr>
          <w:rFonts w:ascii="宋体" w:hAnsi="宋体" w:eastAsia="宋体"/>
          <w:color w:val="auto"/>
          <w:szCs w:val="21"/>
          <w:highlight w:val="none"/>
        </w:rPr>
        <w:fldChar w:fldCharType="separate"/>
      </w:r>
      <w:r>
        <w:rPr>
          <w:rFonts w:ascii="宋体" w:hAnsi="宋体" w:eastAsia="宋体"/>
          <w:color w:val="auto"/>
          <w:szCs w:val="21"/>
          <w:highlight w:val="none"/>
        </w:rPr>
        <w:t>111</w:t>
      </w:r>
      <w:r>
        <w:rPr>
          <w:rFonts w:ascii="宋体" w:hAnsi="宋体" w:eastAsia="宋体"/>
          <w:color w:val="auto"/>
          <w:szCs w:val="21"/>
          <w:highlight w:val="none"/>
        </w:rPr>
        <w:fldChar w:fldCharType="end"/>
      </w:r>
    </w:p>
    <w:p w14:paraId="0248B0D9">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11.</w:t>
      </w:r>
      <w:r>
        <w:rPr>
          <w:rFonts w:hint="eastAsia" w:ascii="宋体" w:hAnsi="宋体" w:eastAsia="宋体"/>
          <w:color w:val="auto"/>
          <w:szCs w:val="21"/>
          <w:highlight w:val="none"/>
        </w:rPr>
        <w:t>价格调整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_Toc197530147 \h </w:instrText>
      </w:r>
      <w:r>
        <w:rPr>
          <w:rFonts w:ascii="宋体" w:hAnsi="宋体" w:eastAsia="宋体"/>
          <w:color w:val="auto"/>
          <w:szCs w:val="21"/>
          <w:highlight w:val="none"/>
        </w:rPr>
        <w:fldChar w:fldCharType="separate"/>
      </w:r>
      <w:r>
        <w:rPr>
          <w:rFonts w:ascii="宋体" w:hAnsi="宋体" w:eastAsia="宋体"/>
          <w:color w:val="auto"/>
          <w:szCs w:val="21"/>
          <w:highlight w:val="none"/>
        </w:rPr>
        <w:t>115</w:t>
      </w:r>
      <w:r>
        <w:rPr>
          <w:rFonts w:ascii="宋体" w:hAnsi="宋体" w:eastAsia="宋体"/>
          <w:color w:val="auto"/>
          <w:szCs w:val="21"/>
          <w:highlight w:val="none"/>
        </w:rPr>
        <w:fldChar w:fldCharType="end"/>
      </w:r>
    </w:p>
    <w:p w14:paraId="39B53712">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12.</w:t>
      </w:r>
      <w:r>
        <w:rPr>
          <w:rFonts w:hint="eastAsia" w:ascii="宋体" w:hAnsi="宋体" w:eastAsia="宋体"/>
          <w:color w:val="auto"/>
          <w:szCs w:val="21"/>
          <w:highlight w:val="none"/>
        </w:rPr>
        <w:t>合同价格、计量与支付</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_Toc197530148 \h </w:instrText>
      </w:r>
      <w:r>
        <w:rPr>
          <w:rFonts w:ascii="宋体" w:hAnsi="宋体" w:eastAsia="宋体"/>
          <w:color w:val="auto"/>
          <w:szCs w:val="21"/>
          <w:highlight w:val="none"/>
        </w:rPr>
        <w:fldChar w:fldCharType="separate"/>
      </w:r>
      <w:r>
        <w:rPr>
          <w:rFonts w:ascii="宋体" w:hAnsi="宋体" w:eastAsia="宋体"/>
          <w:color w:val="auto"/>
          <w:szCs w:val="21"/>
          <w:highlight w:val="none"/>
        </w:rPr>
        <w:t>117</w:t>
      </w:r>
      <w:r>
        <w:rPr>
          <w:rFonts w:ascii="宋体" w:hAnsi="宋体" w:eastAsia="宋体"/>
          <w:color w:val="auto"/>
          <w:szCs w:val="21"/>
          <w:highlight w:val="none"/>
        </w:rPr>
        <w:fldChar w:fldCharType="end"/>
      </w:r>
    </w:p>
    <w:p w14:paraId="780E76E5">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13.</w:t>
      </w:r>
      <w:r>
        <w:rPr>
          <w:rFonts w:hint="eastAsia" w:ascii="宋体" w:hAnsi="宋体" w:eastAsia="宋体"/>
          <w:color w:val="auto"/>
          <w:szCs w:val="21"/>
          <w:highlight w:val="none"/>
        </w:rPr>
        <w:t>验收和工程试车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_Toc197530149 \h </w:instrText>
      </w:r>
      <w:r>
        <w:rPr>
          <w:rFonts w:ascii="宋体" w:hAnsi="宋体" w:eastAsia="宋体"/>
          <w:color w:val="auto"/>
          <w:szCs w:val="21"/>
          <w:highlight w:val="none"/>
        </w:rPr>
        <w:fldChar w:fldCharType="separate"/>
      </w:r>
      <w:r>
        <w:rPr>
          <w:rFonts w:ascii="宋体" w:hAnsi="宋体" w:eastAsia="宋体"/>
          <w:color w:val="auto"/>
          <w:szCs w:val="21"/>
          <w:highlight w:val="none"/>
        </w:rPr>
        <w:t>121</w:t>
      </w:r>
      <w:r>
        <w:rPr>
          <w:rFonts w:ascii="宋体" w:hAnsi="宋体" w:eastAsia="宋体"/>
          <w:color w:val="auto"/>
          <w:szCs w:val="21"/>
          <w:highlight w:val="none"/>
        </w:rPr>
        <w:fldChar w:fldCharType="end"/>
      </w:r>
    </w:p>
    <w:p w14:paraId="5DF4195D">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14.</w:t>
      </w:r>
      <w:r>
        <w:rPr>
          <w:rFonts w:hint="eastAsia" w:ascii="宋体" w:hAnsi="宋体" w:eastAsia="宋体"/>
          <w:color w:val="auto"/>
          <w:szCs w:val="21"/>
          <w:highlight w:val="none"/>
        </w:rPr>
        <w:t>竣工结算</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_Toc197530150 \h </w:instrText>
      </w:r>
      <w:r>
        <w:rPr>
          <w:rFonts w:ascii="宋体" w:hAnsi="宋体" w:eastAsia="宋体"/>
          <w:color w:val="auto"/>
          <w:szCs w:val="21"/>
          <w:highlight w:val="none"/>
        </w:rPr>
        <w:fldChar w:fldCharType="separate"/>
      </w:r>
      <w:r>
        <w:rPr>
          <w:rFonts w:ascii="宋体" w:hAnsi="宋体" w:eastAsia="宋体"/>
          <w:color w:val="auto"/>
          <w:szCs w:val="21"/>
          <w:highlight w:val="none"/>
        </w:rPr>
        <w:t>124</w:t>
      </w:r>
      <w:r>
        <w:rPr>
          <w:rFonts w:ascii="宋体" w:hAnsi="宋体" w:eastAsia="宋体"/>
          <w:color w:val="auto"/>
          <w:szCs w:val="21"/>
          <w:highlight w:val="none"/>
        </w:rPr>
        <w:fldChar w:fldCharType="end"/>
      </w:r>
    </w:p>
    <w:p w14:paraId="787DED75">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15.</w:t>
      </w:r>
      <w:r>
        <w:rPr>
          <w:rFonts w:hint="eastAsia" w:ascii="宋体" w:hAnsi="宋体" w:eastAsia="宋体"/>
          <w:color w:val="auto"/>
          <w:szCs w:val="21"/>
          <w:highlight w:val="none"/>
        </w:rPr>
        <w:t>缺陷责任与保修</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_Toc197530151 \h </w:instrText>
      </w:r>
      <w:r>
        <w:rPr>
          <w:rFonts w:ascii="宋体" w:hAnsi="宋体" w:eastAsia="宋体"/>
          <w:color w:val="auto"/>
          <w:szCs w:val="21"/>
          <w:highlight w:val="none"/>
        </w:rPr>
        <w:fldChar w:fldCharType="separate"/>
      </w:r>
      <w:r>
        <w:rPr>
          <w:rFonts w:ascii="宋体" w:hAnsi="宋体" w:eastAsia="宋体"/>
          <w:color w:val="auto"/>
          <w:szCs w:val="21"/>
          <w:highlight w:val="none"/>
        </w:rPr>
        <w:t>126</w:t>
      </w:r>
      <w:r>
        <w:rPr>
          <w:rFonts w:ascii="宋体" w:hAnsi="宋体" w:eastAsia="宋体"/>
          <w:color w:val="auto"/>
          <w:szCs w:val="21"/>
          <w:highlight w:val="none"/>
        </w:rPr>
        <w:fldChar w:fldCharType="end"/>
      </w:r>
    </w:p>
    <w:p w14:paraId="120B9832">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16.</w:t>
      </w:r>
      <w:r>
        <w:rPr>
          <w:rFonts w:hint="eastAsia" w:ascii="宋体" w:hAnsi="宋体" w:eastAsia="宋体"/>
          <w:color w:val="auto"/>
          <w:szCs w:val="21"/>
          <w:highlight w:val="none"/>
        </w:rPr>
        <w:t>违约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_Toc197530152 \h </w:instrText>
      </w:r>
      <w:r>
        <w:rPr>
          <w:rFonts w:ascii="宋体" w:hAnsi="宋体" w:eastAsia="宋体"/>
          <w:color w:val="auto"/>
          <w:szCs w:val="21"/>
          <w:highlight w:val="none"/>
        </w:rPr>
        <w:fldChar w:fldCharType="separate"/>
      </w:r>
      <w:r>
        <w:rPr>
          <w:rFonts w:ascii="宋体" w:hAnsi="宋体" w:eastAsia="宋体"/>
          <w:color w:val="auto"/>
          <w:szCs w:val="21"/>
          <w:highlight w:val="none"/>
        </w:rPr>
        <w:t>129</w:t>
      </w:r>
      <w:r>
        <w:rPr>
          <w:rFonts w:ascii="宋体" w:hAnsi="宋体" w:eastAsia="宋体"/>
          <w:color w:val="auto"/>
          <w:szCs w:val="21"/>
          <w:highlight w:val="none"/>
        </w:rPr>
        <w:fldChar w:fldCharType="end"/>
      </w:r>
    </w:p>
    <w:p w14:paraId="61DA5ED9">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17.</w:t>
      </w:r>
      <w:r>
        <w:rPr>
          <w:rFonts w:hint="eastAsia" w:ascii="宋体" w:hAnsi="宋体" w:eastAsia="宋体"/>
          <w:color w:val="auto"/>
          <w:szCs w:val="21"/>
          <w:highlight w:val="none"/>
        </w:rPr>
        <w:t>不可抗力</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_Toc197530153 \h </w:instrText>
      </w:r>
      <w:r>
        <w:rPr>
          <w:rFonts w:ascii="宋体" w:hAnsi="宋体" w:eastAsia="宋体"/>
          <w:color w:val="auto"/>
          <w:szCs w:val="21"/>
          <w:highlight w:val="none"/>
        </w:rPr>
        <w:fldChar w:fldCharType="separate"/>
      </w:r>
      <w:r>
        <w:rPr>
          <w:rFonts w:ascii="宋体" w:hAnsi="宋体" w:eastAsia="宋体"/>
          <w:color w:val="auto"/>
          <w:szCs w:val="21"/>
          <w:highlight w:val="none"/>
        </w:rPr>
        <w:t>132</w:t>
      </w:r>
      <w:r>
        <w:rPr>
          <w:rFonts w:ascii="宋体" w:hAnsi="宋体" w:eastAsia="宋体"/>
          <w:color w:val="auto"/>
          <w:szCs w:val="21"/>
          <w:highlight w:val="none"/>
        </w:rPr>
        <w:fldChar w:fldCharType="end"/>
      </w:r>
    </w:p>
    <w:p w14:paraId="11759CE0">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18.</w:t>
      </w:r>
      <w:r>
        <w:rPr>
          <w:rFonts w:hint="eastAsia" w:ascii="宋体" w:hAnsi="宋体" w:eastAsia="宋体"/>
          <w:color w:val="auto"/>
          <w:szCs w:val="21"/>
          <w:highlight w:val="none"/>
        </w:rPr>
        <w:t>保险</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_Toc197530154 \h </w:instrText>
      </w:r>
      <w:r>
        <w:rPr>
          <w:rFonts w:ascii="宋体" w:hAnsi="宋体" w:eastAsia="宋体"/>
          <w:color w:val="auto"/>
          <w:szCs w:val="21"/>
          <w:highlight w:val="none"/>
        </w:rPr>
        <w:fldChar w:fldCharType="separate"/>
      </w:r>
      <w:r>
        <w:rPr>
          <w:rFonts w:ascii="宋体" w:hAnsi="宋体" w:eastAsia="宋体"/>
          <w:color w:val="auto"/>
          <w:szCs w:val="21"/>
          <w:highlight w:val="none"/>
        </w:rPr>
        <w:t>133</w:t>
      </w:r>
      <w:r>
        <w:rPr>
          <w:rFonts w:ascii="宋体" w:hAnsi="宋体" w:eastAsia="宋体"/>
          <w:color w:val="auto"/>
          <w:szCs w:val="21"/>
          <w:highlight w:val="none"/>
        </w:rPr>
        <w:fldChar w:fldCharType="end"/>
      </w:r>
    </w:p>
    <w:p w14:paraId="68100262">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19.</w:t>
      </w:r>
      <w:r>
        <w:rPr>
          <w:rFonts w:hint="eastAsia" w:ascii="宋体" w:hAnsi="宋体" w:eastAsia="宋体"/>
          <w:color w:val="auto"/>
          <w:szCs w:val="21"/>
          <w:highlight w:val="none"/>
        </w:rPr>
        <w:t>索赔</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_Toc197530155 \h </w:instrText>
      </w:r>
      <w:r>
        <w:rPr>
          <w:rFonts w:ascii="宋体" w:hAnsi="宋体" w:eastAsia="宋体"/>
          <w:color w:val="auto"/>
          <w:szCs w:val="21"/>
          <w:highlight w:val="none"/>
        </w:rPr>
        <w:fldChar w:fldCharType="separate"/>
      </w:r>
      <w:r>
        <w:rPr>
          <w:rFonts w:ascii="宋体" w:hAnsi="宋体" w:eastAsia="宋体"/>
          <w:color w:val="auto"/>
          <w:szCs w:val="21"/>
          <w:highlight w:val="none"/>
        </w:rPr>
        <w:t>134</w:t>
      </w:r>
      <w:r>
        <w:rPr>
          <w:rFonts w:ascii="宋体" w:hAnsi="宋体" w:eastAsia="宋体"/>
          <w:color w:val="auto"/>
          <w:szCs w:val="21"/>
          <w:highlight w:val="none"/>
        </w:rPr>
        <w:fldChar w:fldCharType="end"/>
      </w:r>
    </w:p>
    <w:p w14:paraId="49384E9B">
      <w:pPr>
        <w:pStyle w:val="20"/>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20.</w:t>
      </w:r>
      <w:r>
        <w:rPr>
          <w:rFonts w:hint="eastAsia" w:ascii="宋体" w:hAnsi="宋体" w:eastAsia="宋体"/>
          <w:color w:val="auto"/>
          <w:szCs w:val="21"/>
          <w:highlight w:val="none"/>
        </w:rPr>
        <w:t>争议解决</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_Toc197530156 \h </w:instrText>
      </w:r>
      <w:r>
        <w:rPr>
          <w:rFonts w:ascii="宋体" w:hAnsi="宋体" w:eastAsia="宋体"/>
          <w:color w:val="auto"/>
          <w:szCs w:val="21"/>
          <w:highlight w:val="none"/>
        </w:rPr>
        <w:fldChar w:fldCharType="separate"/>
      </w:r>
      <w:r>
        <w:rPr>
          <w:rFonts w:ascii="宋体" w:hAnsi="宋体" w:eastAsia="宋体"/>
          <w:color w:val="auto"/>
          <w:szCs w:val="21"/>
          <w:highlight w:val="none"/>
        </w:rPr>
        <w:t>136</w:t>
      </w:r>
      <w:r>
        <w:rPr>
          <w:rFonts w:ascii="宋体" w:hAnsi="宋体" w:eastAsia="宋体"/>
          <w:color w:val="auto"/>
          <w:szCs w:val="21"/>
          <w:highlight w:val="none"/>
        </w:rPr>
        <w:fldChar w:fldCharType="end"/>
      </w:r>
    </w:p>
    <w:p w14:paraId="102C6475">
      <w:pPr>
        <w:pStyle w:val="33"/>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第三部分专用合同条款</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_Toc197530157 \h </w:instrText>
      </w:r>
      <w:r>
        <w:rPr>
          <w:rFonts w:ascii="宋体" w:hAnsi="宋体" w:eastAsia="宋体"/>
          <w:color w:val="auto"/>
          <w:szCs w:val="21"/>
          <w:highlight w:val="none"/>
        </w:rPr>
        <w:fldChar w:fldCharType="separate"/>
      </w:r>
      <w:r>
        <w:rPr>
          <w:rFonts w:ascii="宋体" w:hAnsi="宋体" w:eastAsia="宋体"/>
          <w:color w:val="auto"/>
          <w:szCs w:val="21"/>
          <w:highlight w:val="none"/>
        </w:rPr>
        <w:t>138</w:t>
      </w:r>
      <w:r>
        <w:rPr>
          <w:rFonts w:ascii="宋体" w:hAnsi="宋体" w:eastAsia="宋体"/>
          <w:color w:val="auto"/>
          <w:szCs w:val="21"/>
          <w:highlight w:val="none"/>
        </w:rPr>
        <w:fldChar w:fldCharType="end"/>
      </w:r>
    </w:p>
    <w:p w14:paraId="12168F4F">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一、词语定义及合同文件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_Toc197530158 \h </w:instrText>
      </w:r>
      <w:r>
        <w:rPr>
          <w:rFonts w:ascii="宋体" w:hAnsi="宋体" w:eastAsia="宋体"/>
          <w:color w:val="auto"/>
          <w:szCs w:val="21"/>
          <w:highlight w:val="none"/>
        </w:rPr>
        <w:fldChar w:fldCharType="separate"/>
      </w:r>
      <w:r>
        <w:rPr>
          <w:rFonts w:ascii="宋体" w:hAnsi="宋体" w:eastAsia="宋体"/>
          <w:color w:val="auto"/>
          <w:szCs w:val="21"/>
          <w:highlight w:val="none"/>
        </w:rPr>
        <w:t>138</w:t>
      </w:r>
      <w:r>
        <w:rPr>
          <w:rFonts w:ascii="宋体" w:hAnsi="宋体" w:eastAsia="宋体"/>
          <w:color w:val="auto"/>
          <w:szCs w:val="21"/>
          <w:highlight w:val="none"/>
        </w:rPr>
        <w:fldChar w:fldCharType="end"/>
      </w:r>
    </w:p>
    <w:p w14:paraId="06848306">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二、双方一般权利和义务</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_Toc197530159 \h </w:instrText>
      </w:r>
      <w:r>
        <w:rPr>
          <w:rFonts w:ascii="宋体" w:hAnsi="宋体" w:eastAsia="宋体"/>
          <w:color w:val="auto"/>
          <w:szCs w:val="21"/>
          <w:highlight w:val="none"/>
        </w:rPr>
        <w:fldChar w:fldCharType="separate"/>
      </w:r>
      <w:r>
        <w:rPr>
          <w:rFonts w:ascii="宋体" w:hAnsi="宋体" w:eastAsia="宋体"/>
          <w:color w:val="auto"/>
          <w:szCs w:val="21"/>
          <w:highlight w:val="none"/>
        </w:rPr>
        <w:t>139</w:t>
      </w:r>
      <w:r>
        <w:rPr>
          <w:rFonts w:ascii="宋体" w:hAnsi="宋体" w:eastAsia="宋体"/>
          <w:color w:val="auto"/>
          <w:szCs w:val="21"/>
          <w:highlight w:val="none"/>
        </w:rPr>
        <w:fldChar w:fldCharType="end"/>
      </w:r>
    </w:p>
    <w:p w14:paraId="24A32EEF">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三、施工组织设计和工期</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_Toc197530160 \h </w:instrText>
      </w:r>
      <w:r>
        <w:rPr>
          <w:rFonts w:ascii="宋体" w:hAnsi="宋体" w:eastAsia="宋体"/>
          <w:color w:val="auto"/>
          <w:szCs w:val="21"/>
          <w:highlight w:val="none"/>
        </w:rPr>
        <w:fldChar w:fldCharType="separate"/>
      </w:r>
      <w:r>
        <w:rPr>
          <w:rFonts w:ascii="宋体" w:hAnsi="宋体" w:eastAsia="宋体"/>
          <w:color w:val="auto"/>
          <w:szCs w:val="21"/>
          <w:highlight w:val="none"/>
        </w:rPr>
        <w:t>142</w:t>
      </w:r>
      <w:r>
        <w:rPr>
          <w:rFonts w:ascii="宋体" w:hAnsi="宋体" w:eastAsia="宋体"/>
          <w:color w:val="auto"/>
          <w:szCs w:val="21"/>
          <w:highlight w:val="none"/>
        </w:rPr>
        <w:fldChar w:fldCharType="end"/>
      </w:r>
    </w:p>
    <w:p w14:paraId="234C51AE">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四、质量与验收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_Toc197530161 \h </w:instrText>
      </w:r>
      <w:r>
        <w:rPr>
          <w:rFonts w:ascii="宋体" w:hAnsi="宋体" w:eastAsia="宋体"/>
          <w:color w:val="auto"/>
          <w:szCs w:val="21"/>
          <w:highlight w:val="none"/>
        </w:rPr>
        <w:fldChar w:fldCharType="separate"/>
      </w:r>
      <w:r>
        <w:rPr>
          <w:rFonts w:ascii="宋体" w:hAnsi="宋体" w:eastAsia="宋体"/>
          <w:color w:val="auto"/>
          <w:szCs w:val="21"/>
          <w:highlight w:val="none"/>
        </w:rPr>
        <w:t>143</w:t>
      </w:r>
      <w:r>
        <w:rPr>
          <w:rFonts w:ascii="宋体" w:hAnsi="宋体" w:eastAsia="宋体"/>
          <w:color w:val="auto"/>
          <w:szCs w:val="21"/>
          <w:highlight w:val="none"/>
        </w:rPr>
        <w:fldChar w:fldCharType="end"/>
      </w:r>
    </w:p>
    <w:p w14:paraId="41E6454C">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五、合同价款与支付</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_Toc197530162 \h </w:instrText>
      </w:r>
      <w:r>
        <w:rPr>
          <w:rFonts w:ascii="宋体" w:hAnsi="宋体" w:eastAsia="宋体"/>
          <w:color w:val="auto"/>
          <w:szCs w:val="21"/>
          <w:highlight w:val="none"/>
        </w:rPr>
        <w:fldChar w:fldCharType="separate"/>
      </w:r>
      <w:r>
        <w:rPr>
          <w:rFonts w:ascii="宋体" w:hAnsi="宋体" w:eastAsia="宋体"/>
          <w:color w:val="auto"/>
          <w:szCs w:val="21"/>
          <w:highlight w:val="none"/>
        </w:rPr>
        <w:t>143</w:t>
      </w:r>
      <w:r>
        <w:rPr>
          <w:rFonts w:ascii="宋体" w:hAnsi="宋体" w:eastAsia="宋体"/>
          <w:color w:val="auto"/>
          <w:szCs w:val="21"/>
          <w:highlight w:val="none"/>
        </w:rPr>
        <w:fldChar w:fldCharType="end"/>
      </w:r>
    </w:p>
    <w:p w14:paraId="39FD3A38">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六、材料设备供应</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_Toc197530163 \h </w:instrText>
      </w:r>
      <w:r>
        <w:rPr>
          <w:rFonts w:ascii="宋体" w:hAnsi="宋体" w:eastAsia="宋体"/>
          <w:color w:val="auto"/>
          <w:szCs w:val="21"/>
          <w:highlight w:val="none"/>
        </w:rPr>
        <w:fldChar w:fldCharType="separate"/>
      </w:r>
      <w:r>
        <w:rPr>
          <w:rFonts w:ascii="宋体" w:hAnsi="宋体" w:eastAsia="宋体"/>
          <w:color w:val="auto"/>
          <w:szCs w:val="21"/>
          <w:highlight w:val="none"/>
        </w:rPr>
        <w:t>147</w:t>
      </w:r>
      <w:r>
        <w:rPr>
          <w:rFonts w:ascii="宋体" w:hAnsi="宋体" w:eastAsia="宋体"/>
          <w:color w:val="auto"/>
          <w:szCs w:val="21"/>
          <w:highlight w:val="none"/>
        </w:rPr>
        <w:fldChar w:fldCharType="end"/>
      </w:r>
    </w:p>
    <w:p w14:paraId="42AF465E">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七、竣工验收与结算</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_Toc197530164 \h </w:instrText>
      </w:r>
      <w:r>
        <w:rPr>
          <w:rFonts w:ascii="宋体" w:hAnsi="宋体" w:eastAsia="宋体"/>
          <w:color w:val="auto"/>
          <w:szCs w:val="21"/>
          <w:highlight w:val="none"/>
        </w:rPr>
        <w:fldChar w:fldCharType="separate"/>
      </w:r>
      <w:r>
        <w:rPr>
          <w:rFonts w:ascii="宋体" w:hAnsi="宋体" w:eastAsia="宋体"/>
          <w:color w:val="auto"/>
          <w:szCs w:val="21"/>
          <w:highlight w:val="none"/>
        </w:rPr>
        <w:t>147</w:t>
      </w:r>
      <w:r>
        <w:rPr>
          <w:rFonts w:ascii="宋体" w:hAnsi="宋体" w:eastAsia="宋体"/>
          <w:color w:val="auto"/>
          <w:szCs w:val="21"/>
          <w:highlight w:val="none"/>
        </w:rPr>
        <w:fldChar w:fldCharType="end"/>
      </w:r>
    </w:p>
    <w:p w14:paraId="592B5DB0">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八、违约、索赔和争议</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_Toc197530165 \h </w:instrText>
      </w:r>
      <w:r>
        <w:rPr>
          <w:rFonts w:ascii="宋体" w:hAnsi="宋体" w:eastAsia="宋体"/>
          <w:color w:val="auto"/>
          <w:szCs w:val="21"/>
          <w:highlight w:val="none"/>
        </w:rPr>
        <w:fldChar w:fldCharType="separate"/>
      </w:r>
      <w:r>
        <w:rPr>
          <w:rFonts w:ascii="宋体" w:hAnsi="宋体" w:eastAsia="宋体"/>
          <w:color w:val="auto"/>
          <w:szCs w:val="21"/>
          <w:highlight w:val="none"/>
        </w:rPr>
        <w:t>149</w:t>
      </w:r>
      <w:r>
        <w:rPr>
          <w:rFonts w:ascii="宋体" w:hAnsi="宋体" w:eastAsia="宋体"/>
          <w:color w:val="auto"/>
          <w:szCs w:val="21"/>
          <w:highlight w:val="none"/>
        </w:rPr>
        <w:fldChar w:fldCharType="end"/>
      </w:r>
    </w:p>
    <w:p w14:paraId="6FB60519">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九、其他</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_Toc197530166 \h </w:instrText>
      </w:r>
      <w:r>
        <w:rPr>
          <w:rFonts w:ascii="宋体" w:hAnsi="宋体" w:eastAsia="宋体"/>
          <w:color w:val="auto"/>
          <w:szCs w:val="21"/>
          <w:highlight w:val="none"/>
        </w:rPr>
        <w:fldChar w:fldCharType="separate"/>
      </w:r>
      <w:r>
        <w:rPr>
          <w:rFonts w:ascii="宋体" w:hAnsi="宋体" w:eastAsia="宋体"/>
          <w:color w:val="auto"/>
          <w:szCs w:val="21"/>
          <w:highlight w:val="none"/>
        </w:rPr>
        <w:t>150</w:t>
      </w:r>
      <w:r>
        <w:rPr>
          <w:rFonts w:ascii="宋体" w:hAnsi="宋体" w:eastAsia="宋体"/>
          <w:color w:val="auto"/>
          <w:szCs w:val="21"/>
          <w:highlight w:val="none"/>
        </w:rPr>
        <w:fldChar w:fldCharType="end"/>
      </w:r>
    </w:p>
    <w:p w14:paraId="34EE79F5">
      <w:pPr>
        <w:pStyle w:val="33"/>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第四部分专用合同条款附件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_Toc197530167 \h </w:instrText>
      </w:r>
      <w:r>
        <w:rPr>
          <w:rFonts w:ascii="宋体" w:hAnsi="宋体" w:eastAsia="宋体"/>
          <w:color w:val="auto"/>
          <w:szCs w:val="21"/>
          <w:highlight w:val="none"/>
        </w:rPr>
        <w:fldChar w:fldCharType="separate"/>
      </w:r>
      <w:r>
        <w:rPr>
          <w:rFonts w:ascii="宋体" w:hAnsi="宋体" w:eastAsia="宋体"/>
          <w:color w:val="auto"/>
          <w:szCs w:val="21"/>
          <w:highlight w:val="none"/>
        </w:rPr>
        <w:t>152</w:t>
      </w:r>
      <w:r>
        <w:rPr>
          <w:rFonts w:ascii="宋体" w:hAnsi="宋体" w:eastAsia="宋体"/>
          <w:color w:val="auto"/>
          <w:szCs w:val="21"/>
          <w:highlight w:val="none"/>
        </w:rPr>
        <w:fldChar w:fldCharType="end"/>
      </w:r>
    </w:p>
    <w:p w14:paraId="3BC978CE">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1</w:t>
      </w:r>
      <w:r>
        <w:rPr>
          <w:rFonts w:hint="eastAsia" w:ascii="宋体" w:hAnsi="宋体" w:eastAsia="宋体"/>
          <w:color w:val="auto"/>
          <w:szCs w:val="21"/>
          <w:highlight w:val="none"/>
        </w:rPr>
        <w:t>：工程质量保修书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_Toc197530168 \h </w:instrText>
      </w:r>
      <w:r>
        <w:rPr>
          <w:rFonts w:ascii="宋体" w:hAnsi="宋体" w:eastAsia="宋体"/>
          <w:color w:val="auto"/>
          <w:szCs w:val="21"/>
          <w:highlight w:val="none"/>
        </w:rPr>
        <w:fldChar w:fldCharType="separate"/>
      </w:r>
      <w:r>
        <w:rPr>
          <w:rFonts w:ascii="宋体" w:hAnsi="宋体" w:eastAsia="宋体"/>
          <w:color w:val="auto"/>
          <w:szCs w:val="21"/>
          <w:highlight w:val="none"/>
        </w:rPr>
        <w:t>152</w:t>
      </w:r>
      <w:r>
        <w:rPr>
          <w:rFonts w:ascii="宋体" w:hAnsi="宋体" w:eastAsia="宋体"/>
          <w:color w:val="auto"/>
          <w:szCs w:val="21"/>
          <w:highlight w:val="none"/>
        </w:rPr>
        <w:fldChar w:fldCharType="end"/>
      </w:r>
    </w:p>
    <w:p w14:paraId="3B2C57A5">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2</w:t>
      </w:r>
      <w:r>
        <w:rPr>
          <w:rFonts w:hint="eastAsia" w:ascii="宋体" w:hAnsi="宋体" w:eastAsia="宋体"/>
          <w:color w:val="auto"/>
          <w:szCs w:val="21"/>
          <w:highlight w:val="none"/>
        </w:rPr>
        <w:t>：安全生产合同</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_Toc197530169 \h </w:instrText>
      </w:r>
      <w:r>
        <w:rPr>
          <w:rFonts w:ascii="宋体" w:hAnsi="宋体" w:eastAsia="宋体"/>
          <w:color w:val="auto"/>
          <w:szCs w:val="21"/>
          <w:highlight w:val="none"/>
        </w:rPr>
        <w:fldChar w:fldCharType="separate"/>
      </w:r>
      <w:r>
        <w:rPr>
          <w:rFonts w:ascii="宋体" w:hAnsi="宋体" w:eastAsia="宋体"/>
          <w:color w:val="auto"/>
          <w:szCs w:val="21"/>
          <w:highlight w:val="none"/>
        </w:rPr>
        <w:t>154</w:t>
      </w:r>
      <w:r>
        <w:rPr>
          <w:rFonts w:ascii="宋体" w:hAnsi="宋体" w:eastAsia="宋体"/>
          <w:color w:val="auto"/>
          <w:szCs w:val="21"/>
          <w:highlight w:val="none"/>
        </w:rPr>
        <w:fldChar w:fldCharType="end"/>
      </w:r>
    </w:p>
    <w:p w14:paraId="2F2B227E">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3</w:t>
      </w:r>
      <w:r>
        <w:rPr>
          <w:rFonts w:hint="eastAsia" w:ascii="宋体" w:hAnsi="宋体" w:eastAsia="宋体"/>
          <w:color w:val="auto"/>
          <w:szCs w:val="21"/>
          <w:highlight w:val="none"/>
        </w:rPr>
        <w:t>：发包人施工管理要求</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_Toc197530170 \h </w:instrText>
      </w:r>
      <w:r>
        <w:rPr>
          <w:rFonts w:ascii="宋体" w:hAnsi="宋体" w:eastAsia="宋体"/>
          <w:color w:val="auto"/>
          <w:szCs w:val="21"/>
          <w:highlight w:val="none"/>
        </w:rPr>
        <w:fldChar w:fldCharType="separate"/>
      </w:r>
      <w:r>
        <w:rPr>
          <w:rFonts w:ascii="宋体" w:hAnsi="宋体" w:eastAsia="宋体"/>
          <w:color w:val="auto"/>
          <w:szCs w:val="21"/>
          <w:highlight w:val="none"/>
        </w:rPr>
        <w:t>156</w:t>
      </w:r>
      <w:r>
        <w:rPr>
          <w:rFonts w:ascii="宋体" w:hAnsi="宋体" w:eastAsia="宋体"/>
          <w:color w:val="auto"/>
          <w:szCs w:val="21"/>
          <w:highlight w:val="none"/>
        </w:rPr>
        <w:fldChar w:fldCharType="end"/>
      </w:r>
    </w:p>
    <w:p w14:paraId="24D7158A">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4</w:t>
      </w:r>
      <w:r>
        <w:rPr>
          <w:rFonts w:hint="eastAsia" w:ascii="宋体" w:hAnsi="宋体" w:eastAsia="宋体"/>
          <w:color w:val="auto"/>
          <w:szCs w:val="21"/>
          <w:highlight w:val="none"/>
        </w:rPr>
        <w:t>：施工单位项目考核表</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_Toc197530171 \h </w:instrText>
      </w:r>
      <w:r>
        <w:rPr>
          <w:rFonts w:ascii="宋体" w:hAnsi="宋体" w:eastAsia="宋体"/>
          <w:color w:val="auto"/>
          <w:szCs w:val="21"/>
          <w:highlight w:val="none"/>
        </w:rPr>
        <w:fldChar w:fldCharType="separate"/>
      </w:r>
      <w:r>
        <w:rPr>
          <w:rFonts w:ascii="宋体" w:hAnsi="宋体" w:eastAsia="宋体"/>
          <w:color w:val="auto"/>
          <w:szCs w:val="21"/>
          <w:highlight w:val="none"/>
        </w:rPr>
        <w:t>159</w:t>
      </w:r>
      <w:r>
        <w:rPr>
          <w:rFonts w:ascii="宋体" w:hAnsi="宋体" w:eastAsia="宋体"/>
          <w:color w:val="auto"/>
          <w:szCs w:val="21"/>
          <w:highlight w:val="none"/>
        </w:rPr>
        <w:fldChar w:fldCharType="end"/>
      </w:r>
    </w:p>
    <w:p w14:paraId="6A6219D6">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5</w:t>
      </w:r>
      <w:r>
        <w:rPr>
          <w:rFonts w:hint="eastAsia" w:ascii="宋体" w:hAnsi="宋体" w:eastAsia="宋体"/>
          <w:color w:val="auto"/>
          <w:szCs w:val="21"/>
          <w:highlight w:val="none"/>
        </w:rPr>
        <w:t>：履约保函示范文本</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_Toc197530172 \h </w:instrText>
      </w:r>
      <w:r>
        <w:rPr>
          <w:rFonts w:ascii="宋体" w:hAnsi="宋体" w:eastAsia="宋体"/>
          <w:color w:val="auto"/>
          <w:szCs w:val="21"/>
          <w:highlight w:val="none"/>
        </w:rPr>
        <w:fldChar w:fldCharType="separate"/>
      </w:r>
      <w:r>
        <w:rPr>
          <w:rFonts w:ascii="宋体" w:hAnsi="宋体" w:eastAsia="宋体"/>
          <w:color w:val="auto"/>
          <w:szCs w:val="21"/>
          <w:highlight w:val="none"/>
        </w:rPr>
        <w:t>161</w:t>
      </w:r>
      <w:r>
        <w:rPr>
          <w:rFonts w:ascii="宋体" w:hAnsi="宋体" w:eastAsia="宋体"/>
          <w:color w:val="auto"/>
          <w:szCs w:val="21"/>
          <w:highlight w:val="none"/>
        </w:rPr>
        <w:fldChar w:fldCharType="end"/>
      </w:r>
    </w:p>
    <w:p w14:paraId="50860441">
      <w:pPr>
        <w:pStyle w:val="20"/>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6</w:t>
      </w:r>
      <w:r>
        <w:rPr>
          <w:rFonts w:hint="eastAsia" w:ascii="宋体" w:hAnsi="宋体" w:eastAsia="宋体"/>
          <w:color w:val="auto"/>
          <w:szCs w:val="21"/>
          <w:highlight w:val="none"/>
        </w:rPr>
        <w:t>：广西壮族自治区工程建设领域农民工工资专用账户资金管理三方协议</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_Toc197530173 \h </w:instrText>
      </w:r>
      <w:r>
        <w:rPr>
          <w:rFonts w:ascii="宋体" w:hAnsi="宋体" w:eastAsia="宋体"/>
          <w:color w:val="auto"/>
          <w:szCs w:val="21"/>
          <w:highlight w:val="none"/>
        </w:rPr>
        <w:fldChar w:fldCharType="separate"/>
      </w:r>
      <w:r>
        <w:rPr>
          <w:rFonts w:ascii="宋体" w:hAnsi="宋体" w:eastAsia="宋体"/>
          <w:color w:val="auto"/>
          <w:szCs w:val="21"/>
          <w:highlight w:val="none"/>
        </w:rPr>
        <w:t>163</w:t>
      </w:r>
      <w:r>
        <w:rPr>
          <w:rFonts w:ascii="宋体" w:hAnsi="宋体" w:eastAsia="宋体"/>
          <w:color w:val="auto"/>
          <w:szCs w:val="21"/>
          <w:highlight w:val="none"/>
        </w:rPr>
        <w:fldChar w:fldCharType="end"/>
      </w:r>
    </w:p>
    <w:p w14:paraId="405DFF77">
      <w:pPr>
        <w:pStyle w:val="28"/>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第八</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质疑、投诉材料格式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_Toc197530174 \h </w:instrText>
      </w:r>
      <w:r>
        <w:rPr>
          <w:rFonts w:ascii="宋体" w:hAnsi="宋体" w:eastAsia="宋体"/>
          <w:color w:val="auto"/>
          <w:szCs w:val="21"/>
          <w:highlight w:val="none"/>
        </w:rPr>
        <w:fldChar w:fldCharType="separate"/>
      </w:r>
      <w:r>
        <w:rPr>
          <w:rFonts w:ascii="宋体" w:hAnsi="宋体" w:eastAsia="宋体"/>
          <w:color w:val="auto"/>
          <w:szCs w:val="21"/>
          <w:highlight w:val="none"/>
        </w:rPr>
        <w:t>166</w:t>
      </w:r>
      <w:r>
        <w:rPr>
          <w:rFonts w:ascii="宋体" w:hAnsi="宋体" w:eastAsia="宋体"/>
          <w:color w:val="auto"/>
          <w:szCs w:val="21"/>
          <w:highlight w:val="none"/>
        </w:rPr>
        <w:fldChar w:fldCharType="end"/>
      </w:r>
    </w:p>
    <w:p w14:paraId="711E4780">
      <w:pPr>
        <w:pStyle w:val="28"/>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fldChar w:fldCharType="end"/>
      </w:r>
    </w:p>
    <w:p w14:paraId="31AA0072">
      <w:pPr>
        <w:spacing w:line="360" w:lineRule="auto"/>
        <w:rPr>
          <w:rFonts w:ascii="宋体" w:hAnsi="宋体" w:eastAsia="宋体"/>
          <w:color w:val="auto"/>
          <w:szCs w:val="21"/>
          <w:highlight w:val="none"/>
        </w:rPr>
        <w:sectPr>
          <w:footerReference r:id="rId3" w:type="default"/>
          <w:pgSz w:w="11906" w:h="16838"/>
          <w:pgMar w:top="1440" w:right="1134" w:bottom="1440" w:left="1418" w:header="851" w:footer="992" w:gutter="0"/>
          <w:pgNumType w:start="1"/>
          <w:cols w:space="425" w:num="1"/>
          <w:docGrid w:type="lines" w:linePitch="312" w:charSpace="0"/>
        </w:sectPr>
      </w:pPr>
    </w:p>
    <w:p w14:paraId="61DFF47F">
      <w:pPr>
        <w:pStyle w:val="2"/>
        <w:jc w:val="center"/>
        <w:rPr>
          <w:rFonts w:ascii="宋体" w:hAnsi="宋体" w:eastAsia="宋体"/>
          <w:color w:val="auto"/>
          <w:highlight w:val="none"/>
        </w:rPr>
      </w:pPr>
      <w:bookmarkStart w:id="0" w:name="_Toc197530103"/>
      <w:r>
        <w:rPr>
          <w:rFonts w:hint="eastAsia" w:ascii="宋体" w:hAnsi="宋体" w:eastAsia="宋体"/>
          <w:color w:val="auto"/>
          <w:highlight w:val="none"/>
        </w:rPr>
        <w:t>第一</w:t>
      </w:r>
      <w:r>
        <w:rPr>
          <w:rFonts w:hint="eastAsia" w:ascii="宋体" w:hAnsi="宋体" w:eastAsia="宋体"/>
          <w:color w:val="auto"/>
          <w:spacing w:val="100"/>
          <w:highlight w:val="none"/>
        </w:rPr>
        <w:t>章</w:t>
      </w:r>
      <w:r>
        <w:rPr>
          <w:rFonts w:hint="eastAsia" w:ascii="宋体" w:hAnsi="宋体" w:eastAsia="宋体"/>
          <w:color w:val="auto"/>
          <w:highlight w:val="none"/>
        </w:rPr>
        <w:t>竞争性磋商公告</w:t>
      </w:r>
      <w:bookmarkEnd w:id="0"/>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57E8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14:paraId="67B3993B">
            <w:pPr>
              <w:spacing w:line="360" w:lineRule="auto"/>
              <w:jc w:val="left"/>
              <w:rPr>
                <w:rFonts w:ascii="宋体" w:hAnsi="宋体"/>
                <w:b/>
                <w:color w:val="auto"/>
                <w:szCs w:val="21"/>
                <w:highlight w:val="none"/>
              </w:rPr>
            </w:pPr>
            <w:r>
              <w:rPr>
                <w:rFonts w:hint="eastAsia" w:ascii="宋体" w:hAnsi="宋体"/>
                <w:b/>
                <w:color w:val="auto"/>
                <w:szCs w:val="21"/>
                <w:highlight w:val="none"/>
              </w:rPr>
              <w:t>项目概况：</w:t>
            </w:r>
          </w:p>
          <w:p w14:paraId="700A58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2025年毕业生腾空房修缮项目</w:t>
            </w:r>
            <w:r>
              <w:rPr>
                <w:rFonts w:hint="eastAsia" w:ascii="宋体" w:hAnsi="宋体"/>
                <w:color w:val="auto"/>
                <w:szCs w:val="21"/>
                <w:highlight w:val="none"/>
              </w:rPr>
              <w:t>采购项目的潜在供应商应在广西政府采购云平台（https：//www.gcy.zfcg.gxzf.gov.cn/）获取采购文件，并于</w:t>
            </w:r>
            <w:bookmarkStart w:id="1" w:name="OLE_LINK7"/>
            <w:bookmarkStart w:id="2" w:name="OLE_LINK8"/>
            <w:r>
              <w:rPr>
                <w:rFonts w:hint="eastAsia" w:ascii="宋体" w:hAnsi="宋体"/>
                <w:color w:val="auto"/>
                <w:szCs w:val="21"/>
                <w:highlight w:val="none"/>
              </w:rPr>
              <w:t>202</w:t>
            </w:r>
            <w:r>
              <w:rPr>
                <w:rFonts w:ascii="宋体" w:hAnsi="宋体"/>
                <w:color w:val="auto"/>
                <w:szCs w:val="21"/>
                <w:highlight w:val="none"/>
              </w:rPr>
              <w:t>5</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6</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ascii="宋体" w:hAnsi="宋体"/>
                <w:color w:val="auto"/>
                <w:szCs w:val="21"/>
                <w:highlight w:val="none"/>
                <w:u w:val="single"/>
              </w:rPr>
              <w:t xml:space="preserve"> </w:t>
            </w:r>
            <w:r>
              <w:rPr>
                <w:rFonts w:hint="eastAsia" w:ascii="宋体" w:hAnsi="宋体"/>
                <w:color w:val="auto"/>
                <w:szCs w:val="21"/>
                <w:highlight w:val="none"/>
              </w:rPr>
              <w:t>日</w:t>
            </w:r>
            <w:bookmarkEnd w:id="1"/>
            <w:bookmarkEnd w:id="2"/>
            <w:r>
              <w:rPr>
                <w:rFonts w:hint="eastAsia" w:ascii="宋体" w:hAnsi="宋体"/>
                <w:color w:val="auto"/>
                <w:szCs w:val="21"/>
                <w:highlight w:val="none"/>
                <w:lang w:val="en-US" w:eastAsia="zh-CN"/>
              </w:rPr>
              <w:t>15</w:t>
            </w:r>
            <w:r>
              <w:rPr>
                <w:rFonts w:ascii="宋体" w:hAnsi="宋体"/>
                <w:color w:val="auto"/>
                <w:szCs w:val="21"/>
                <w:highlight w:val="none"/>
              </w:rPr>
              <w:t>：00</w:t>
            </w:r>
            <w:r>
              <w:rPr>
                <w:rFonts w:hint="eastAsia" w:ascii="宋体" w:hAnsi="宋体"/>
                <w:color w:val="auto"/>
                <w:szCs w:val="21"/>
                <w:highlight w:val="none"/>
              </w:rPr>
              <w:t>（北京时间）前提交响应文件。</w:t>
            </w:r>
          </w:p>
        </w:tc>
      </w:tr>
    </w:tbl>
    <w:p w14:paraId="1204ADB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一、项目基本情况</w:t>
      </w:r>
    </w:p>
    <w:p w14:paraId="588A3B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项目编号：</w:t>
      </w:r>
      <w:r>
        <w:rPr>
          <w:rFonts w:hint="eastAsia" w:ascii="宋体" w:hAnsi="宋体" w:eastAsia="宋体"/>
          <w:color w:val="auto"/>
          <w:szCs w:val="21"/>
          <w:highlight w:val="none"/>
          <w:lang w:eastAsia="zh-CN"/>
        </w:rPr>
        <w:t>GXZC2025-C2-001265-ZHZB</w:t>
      </w:r>
    </w:p>
    <w:p w14:paraId="4A14943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项目名称：</w:t>
      </w:r>
      <w:r>
        <w:rPr>
          <w:rFonts w:hint="eastAsia" w:ascii="宋体" w:hAnsi="宋体" w:eastAsia="宋体"/>
          <w:color w:val="auto"/>
          <w:szCs w:val="21"/>
          <w:highlight w:val="none"/>
          <w:lang w:eastAsia="zh-CN"/>
        </w:rPr>
        <w:t>2025年毕业生腾空房修缮项目</w:t>
      </w:r>
    </w:p>
    <w:p w14:paraId="1285C5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采购方式：竞争性磋商</w:t>
      </w:r>
    </w:p>
    <w:p w14:paraId="310098E4">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预算总金额（元）：</w:t>
      </w:r>
      <w:r>
        <w:rPr>
          <w:rFonts w:hint="eastAsia" w:ascii="宋体" w:hAnsi="宋体" w:eastAsia="宋体"/>
          <w:color w:val="auto"/>
          <w:szCs w:val="21"/>
          <w:highlight w:val="none"/>
          <w:lang w:val="en-US" w:eastAsia="zh-CN"/>
        </w:rPr>
        <w:t>3901195.02</w:t>
      </w:r>
    </w:p>
    <w:p w14:paraId="36190372">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采购需求</w:t>
      </w:r>
      <w:r>
        <w:rPr>
          <w:rFonts w:hint="eastAsia" w:ascii="宋体" w:hAnsi="宋体" w:eastAsia="宋体"/>
          <w:color w:val="auto"/>
          <w:szCs w:val="21"/>
          <w:highlight w:val="none"/>
        </w:rPr>
        <w:t>：</w:t>
      </w:r>
    </w:p>
    <w:p w14:paraId="40299EBE">
      <w:pP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标项一</w:t>
      </w:r>
    </w:p>
    <w:p w14:paraId="6242B50D">
      <w:pPr>
        <w:spacing w:line="400" w:lineRule="exact"/>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标项名称：</w:t>
      </w:r>
      <w:r>
        <w:rPr>
          <w:rFonts w:hint="eastAsia" w:ascii="宋体" w:hAnsi="宋体"/>
          <w:color w:val="auto"/>
          <w:szCs w:val="21"/>
          <w:highlight w:val="none"/>
          <w:lang w:eastAsia="zh-CN"/>
        </w:rPr>
        <w:t>2025年毕业生腾空房修缮项目(西校园片区子项目)</w:t>
      </w:r>
    </w:p>
    <w:p w14:paraId="2953906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eastAsia="zh-CN"/>
        </w:rPr>
        <w:t>（</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val="en-US" w:eastAsia="zh-CN"/>
        </w:rPr>
        <w:t>2143950.58</w:t>
      </w:r>
    </w:p>
    <w:p w14:paraId="7F098FE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2143950.58</w:t>
      </w:r>
      <w:r>
        <w:rPr>
          <w:rFonts w:hint="eastAsia" w:ascii="宋体" w:hAnsi="宋体"/>
          <w:color w:val="auto"/>
          <w:szCs w:val="21"/>
          <w:highlight w:val="none"/>
        </w:rPr>
        <w:t>元，报价范围：0≤下浮系数≤100%。</w:t>
      </w:r>
    </w:p>
    <w:p w14:paraId="2391D5B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r>
        <w:rPr>
          <w:rFonts w:hint="eastAsia" w:ascii="宋体" w:hAnsi="宋体"/>
          <w:color w:val="auto"/>
          <w:szCs w:val="21"/>
          <w:highlight w:val="none"/>
          <w:lang w:eastAsia="zh-CN"/>
        </w:rPr>
        <w:t>2025年毕业生腾空房修缮项目(西校园片区子项目)</w:t>
      </w:r>
      <w:r>
        <w:rPr>
          <w:rFonts w:hint="eastAsia" w:ascii="宋体" w:hAnsi="宋体"/>
          <w:color w:val="auto"/>
          <w:szCs w:val="21"/>
          <w:highlight w:val="none"/>
        </w:rPr>
        <w:t>共修缮学生公寓约553间，包含楼栋为：学生公寓西1、2、4、5、6B、7、8、9、10、11、12、15、16、17、18、19、20、22、23、27栋</w:t>
      </w:r>
      <w:r>
        <w:rPr>
          <w:rFonts w:hint="eastAsia" w:ascii="宋体" w:hAnsi="宋体"/>
          <w:color w:val="auto"/>
          <w:szCs w:val="21"/>
          <w:highlight w:val="none"/>
          <w:lang w:eastAsia="zh-CN"/>
        </w:rPr>
        <w:t>、专A栋、专B栋等</w:t>
      </w:r>
      <w:r>
        <w:rPr>
          <w:rFonts w:hint="eastAsia" w:ascii="宋体" w:hAnsi="宋体"/>
          <w:color w:val="auto"/>
          <w:szCs w:val="21"/>
          <w:highlight w:val="none"/>
        </w:rPr>
        <w:t>。主要建设内容为：拆除宿舍内天地墙原有饰面、灯具、卫生洁具；卫生间重新铺地砖、局部破损地面修补、墙面刮腻子刷无机涂料（局部贴瓷砖）、天棚面刮腻子刷无机涂料、更换门窗、栏杆、晾衣杆、卫生洁具等。具体详见采购人发布的施工设计图纸、工程量清单及采购预算价（招标控制价）。</w:t>
      </w:r>
    </w:p>
    <w:p w14:paraId="2C53E08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lang w:val="en-US" w:eastAsia="zh-CN"/>
        </w:rPr>
        <w:t>施工</w:t>
      </w:r>
      <w:r>
        <w:rPr>
          <w:rFonts w:hint="eastAsia" w:ascii="宋体" w:hAnsi="宋体"/>
          <w:color w:val="auto"/>
          <w:szCs w:val="21"/>
          <w:highlight w:val="none"/>
        </w:rPr>
        <w:t>工期55日历天。</w:t>
      </w:r>
    </w:p>
    <w:p w14:paraId="51078AB2">
      <w:pPr>
        <w:spacing w:line="400" w:lineRule="exact"/>
        <w:ind w:firstLine="420" w:firstLineChars="200"/>
        <w:rPr>
          <w:rFonts w:hint="eastAsia" w:ascii="宋体" w:hAnsi="宋体"/>
          <w:color w:val="auto"/>
          <w:szCs w:val="21"/>
          <w:highlight w:val="none"/>
        </w:rPr>
      </w:pPr>
      <w:r>
        <w:rPr>
          <w:rFonts w:hint="eastAsia" w:ascii="宋体" w:hAnsi="宋体" w:eastAsia="宋体"/>
          <w:color w:val="auto"/>
          <w:szCs w:val="21"/>
          <w:highlight w:val="none"/>
        </w:rPr>
        <w:t>本标项（否）接受联合体投标</w:t>
      </w:r>
      <w:r>
        <w:rPr>
          <w:rFonts w:hint="eastAsia" w:ascii="宋体" w:hAnsi="宋体"/>
          <w:color w:val="auto"/>
          <w:szCs w:val="21"/>
          <w:highlight w:val="none"/>
        </w:rPr>
        <w:t>。</w:t>
      </w:r>
    </w:p>
    <w:p w14:paraId="55E95D16">
      <w:pP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标项二</w:t>
      </w:r>
    </w:p>
    <w:p w14:paraId="598F7773">
      <w:pPr>
        <w:spacing w:line="400" w:lineRule="exact"/>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标项名称：</w:t>
      </w:r>
      <w:r>
        <w:rPr>
          <w:rFonts w:hint="eastAsia" w:ascii="宋体" w:hAnsi="宋体"/>
          <w:color w:val="auto"/>
          <w:szCs w:val="21"/>
          <w:highlight w:val="none"/>
          <w:lang w:eastAsia="zh-CN"/>
        </w:rPr>
        <w:t>2025年毕业生腾空房修缮项目(东校园片区子项目)</w:t>
      </w:r>
    </w:p>
    <w:p w14:paraId="008B593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eastAsia="zh-CN"/>
        </w:rPr>
        <w:t>（元）</w:t>
      </w:r>
      <w:r>
        <w:rPr>
          <w:rFonts w:hint="eastAsia" w:ascii="宋体" w:hAnsi="宋体"/>
          <w:color w:val="auto"/>
          <w:szCs w:val="21"/>
          <w:highlight w:val="none"/>
        </w:rPr>
        <w:t>：1757244</w:t>
      </w:r>
      <w:r>
        <w:rPr>
          <w:rFonts w:hint="eastAsia" w:ascii="宋体" w:hAnsi="宋体"/>
          <w:color w:val="auto"/>
          <w:szCs w:val="21"/>
          <w:highlight w:val="none"/>
          <w:lang w:val="en-US" w:eastAsia="zh-CN"/>
        </w:rPr>
        <w:t>.</w:t>
      </w:r>
      <w:r>
        <w:rPr>
          <w:rFonts w:hint="eastAsia" w:ascii="宋体" w:hAnsi="宋体"/>
          <w:color w:val="auto"/>
          <w:szCs w:val="21"/>
          <w:highlight w:val="none"/>
        </w:rPr>
        <w:t>44</w:t>
      </w:r>
    </w:p>
    <w:p w14:paraId="1C60928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最高限价（如有）：1757244</w:t>
      </w:r>
      <w:r>
        <w:rPr>
          <w:rFonts w:hint="eastAsia" w:ascii="宋体" w:hAnsi="宋体"/>
          <w:color w:val="auto"/>
          <w:szCs w:val="21"/>
          <w:highlight w:val="none"/>
          <w:lang w:val="en-US" w:eastAsia="zh-CN"/>
        </w:rPr>
        <w:t>.</w:t>
      </w:r>
      <w:r>
        <w:rPr>
          <w:rFonts w:hint="eastAsia" w:ascii="宋体" w:hAnsi="宋体"/>
          <w:color w:val="auto"/>
          <w:szCs w:val="21"/>
          <w:highlight w:val="none"/>
        </w:rPr>
        <w:t>44元，报价范围：0≤下浮系数≤100%。</w:t>
      </w:r>
    </w:p>
    <w:p w14:paraId="1931F5A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r>
        <w:rPr>
          <w:rFonts w:hint="eastAsia" w:ascii="宋体" w:hAnsi="宋体"/>
          <w:color w:val="auto"/>
          <w:szCs w:val="21"/>
          <w:highlight w:val="none"/>
          <w:lang w:eastAsia="zh-CN"/>
        </w:rPr>
        <w:t>2025年毕业生腾空房修缮项目(东校园片区子项目)</w:t>
      </w:r>
      <w:r>
        <w:rPr>
          <w:rFonts w:hint="eastAsia" w:ascii="宋体" w:hAnsi="宋体"/>
          <w:color w:val="auto"/>
          <w:szCs w:val="21"/>
          <w:highlight w:val="none"/>
        </w:rPr>
        <w:t>共维修学生公寓约728间，包含楼栋为：学生公寓东1、1B、2A、3、7、13、17、18、27等。主要建设内容为：拆除宿舍内天地墙原有饰面、灯具、卫生洁具；卫生间重新铺地砖、局部破损地面修补、墙面刮腻子刷无机涂料（局部贴瓷砖）、天棚面刮腻子刷无机涂料、更换门窗、栏杆、晾衣杆、卫生洁具等。具体详见采购人发布的施工设计图纸、工程量清单及采购预算价（招标控制价）。</w:t>
      </w:r>
    </w:p>
    <w:p w14:paraId="45ADBD9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lang w:val="en-US" w:eastAsia="zh-CN"/>
        </w:rPr>
        <w:t>施工</w:t>
      </w:r>
      <w:r>
        <w:rPr>
          <w:rFonts w:hint="eastAsia" w:ascii="宋体" w:hAnsi="宋体"/>
          <w:color w:val="auto"/>
          <w:szCs w:val="21"/>
          <w:highlight w:val="none"/>
        </w:rPr>
        <w:t>工期55日历天。</w:t>
      </w:r>
    </w:p>
    <w:p w14:paraId="45FEAC7D">
      <w:pPr>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本标项（否）接受联合体投标</w:t>
      </w:r>
      <w:r>
        <w:rPr>
          <w:rFonts w:hint="eastAsia" w:ascii="宋体" w:hAnsi="宋体"/>
          <w:color w:val="auto"/>
          <w:szCs w:val="21"/>
          <w:highlight w:val="none"/>
        </w:rPr>
        <w:t>。</w:t>
      </w:r>
    </w:p>
    <w:p w14:paraId="562C0C7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二、申请人的资格要求</w:t>
      </w:r>
    </w:p>
    <w:p w14:paraId="72E6A9A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1.满足《中华人民共和国政府采购法》第二十二条规定；</w:t>
      </w:r>
    </w:p>
    <w:p w14:paraId="1607AB56">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2.落实政府采购政策需满足的资格要求：无</w:t>
      </w:r>
      <w:r>
        <w:rPr>
          <w:rFonts w:hint="eastAsia" w:ascii="宋体" w:hAnsi="宋体" w:eastAsia="宋体"/>
          <w:color w:val="auto"/>
          <w:szCs w:val="21"/>
          <w:highlight w:val="none"/>
          <w:lang w:val="en-US" w:eastAsia="zh-CN"/>
        </w:rPr>
        <w:t>；</w:t>
      </w:r>
    </w:p>
    <w:p w14:paraId="3F44CE4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3.本项目的特定资格要求：</w:t>
      </w:r>
      <w:r>
        <w:rPr>
          <w:rFonts w:hint="eastAsia" w:ascii="宋体" w:hAnsi="宋体"/>
          <w:color w:val="auto"/>
          <w:szCs w:val="21"/>
          <w:highlight w:val="none"/>
        </w:rPr>
        <w:t>【1分标、2分标】</w:t>
      </w:r>
    </w:p>
    <w:p w14:paraId="4DAAFB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（1）供应商具有有效的建筑工程施工总承包三级（含）以上资质，同时具备有效的省级及以上建设行政主管部门颁发的安全生产许可证，并在人员、设备、资金等方面具备相应的施工能力。</w:t>
      </w:r>
    </w:p>
    <w:p w14:paraId="7279B82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拟投入本项目的项目经理须具备建筑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336FBE7B">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3</w:t>
      </w:r>
      <w:r>
        <w:rPr>
          <w:rFonts w:ascii="宋体" w:hAnsi="宋体" w:eastAsia="宋体"/>
          <w:color w:val="auto"/>
          <w:szCs w:val="21"/>
          <w:highlight w:val="none"/>
        </w:rPr>
        <w:t>）</w:t>
      </w:r>
      <w:r>
        <w:rPr>
          <w:rFonts w:hint="eastAsia" w:ascii="宋体" w:hAnsi="宋体" w:eastAsia="宋体"/>
          <w:color w:val="auto"/>
          <w:szCs w:val="21"/>
          <w:highlight w:val="none"/>
        </w:rPr>
        <w:t>拟投入本项目的专职安全生产管理人员须具备有效的安全生产考核合格证书（C类）。</w:t>
      </w:r>
    </w:p>
    <w:p w14:paraId="60EB4AB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三、获取采购文件</w:t>
      </w:r>
    </w:p>
    <w:p w14:paraId="3D9DA2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时间：202</w:t>
      </w:r>
      <w:r>
        <w:rPr>
          <w:rFonts w:ascii="宋体" w:hAnsi="宋体" w:eastAsia="宋体"/>
          <w:color w:val="auto"/>
          <w:szCs w:val="21"/>
          <w:highlight w:val="none"/>
        </w:rPr>
        <w:t>5</w:t>
      </w:r>
      <w:r>
        <w:rPr>
          <w:rFonts w:hint="eastAsia" w:ascii="宋体" w:hAnsi="宋体" w:eastAsia="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5</w:t>
      </w:r>
      <w:r>
        <w:rPr>
          <w:rFonts w:ascii="宋体" w:hAnsi="宋体"/>
          <w:color w:val="auto"/>
          <w:szCs w:val="21"/>
          <w:highlight w:val="none"/>
          <w:u w:val="single"/>
        </w:rPr>
        <w:t xml:space="preserve"> </w:t>
      </w:r>
      <w:r>
        <w:rPr>
          <w:rFonts w:hint="eastAsia" w:ascii="宋体" w:hAnsi="宋体" w:eastAsia="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22</w:t>
      </w:r>
      <w:r>
        <w:rPr>
          <w:rFonts w:ascii="宋体" w:hAnsi="宋体"/>
          <w:color w:val="auto"/>
          <w:szCs w:val="21"/>
          <w:highlight w:val="none"/>
          <w:u w:val="single"/>
        </w:rPr>
        <w:t xml:space="preserve"> </w:t>
      </w:r>
      <w:r>
        <w:rPr>
          <w:rFonts w:hint="eastAsia" w:ascii="宋体" w:hAnsi="宋体" w:eastAsia="宋体"/>
          <w:color w:val="auto"/>
          <w:szCs w:val="21"/>
          <w:highlight w:val="none"/>
        </w:rPr>
        <w:t>日至202</w:t>
      </w:r>
      <w:r>
        <w:rPr>
          <w:rFonts w:ascii="宋体" w:hAnsi="宋体" w:eastAsia="宋体"/>
          <w:color w:val="auto"/>
          <w:szCs w:val="21"/>
          <w:highlight w:val="none"/>
        </w:rPr>
        <w:t>5</w:t>
      </w:r>
      <w:r>
        <w:rPr>
          <w:rFonts w:hint="eastAsia" w:ascii="宋体" w:hAnsi="宋体" w:eastAsia="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5</w:t>
      </w:r>
      <w:r>
        <w:rPr>
          <w:rFonts w:ascii="宋体" w:hAnsi="宋体"/>
          <w:color w:val="auto"/>
          <w:szCs w:val="21"/>
          <w:highlight w:val="none"/>
          <w:u w:val="single"/>
        </w:rPr>
        <w:t xml:space="preserve"> </w:t>
      </w:r>
      <w:r>
        <w:rPr>
          <w:rFonts w:hint="eastAsia" w:ascii="宋体" w:hAnsi="宋体" w:eastAsia="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29</w:t>
      </w:r>
      <w:r>
        <w:rPr>
          <w:rFonts w:ascii="宋体" w:hAnsi="宋体"/>
          <w:color w:val="auto"/>
          <w:szCs w:val="21"/>
          <w:highlight w:val="none"/>
          <w:u w:val="single"/>
        </w:rPr>
        <w:t xml:space="preserve"> </w:t>
      </w:r>
      <w:r>
        <w:rPr>
          <w:rFonts w:hint="eastAsia" w:ascii="宋体" w:hAnsi="宋体" w:eastAsia="宋体"/>
          <w:color w:val="auto"/>
          <w:szCs w:val="21"/>
          <w:highlight w:val="none"/>
        </w:rPr>
        <w:t>日，每天上午00：00至11：59，下午12：00至23：59（北京时间，法定节假日除外）</w:t>
      </w:r>
    </w:p>
    <w:p w14:paraId="638109A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地点（网址）：广西政府采购云平台（https：//www.gcy.zfcg.gxzf.gov.cn/）</w:t>
      </w:r>
    </w:p>
    <w:p w14:paraId="685C79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方式：网上下载。本项目不提供纸质文件，潜在供应商可自行在广西政府采购云平台（https：//www.gcy.zfcg.gxzf.gov.cn/）下载采购文件及附件（操作路径：登录广西政府采购云平台-项目采购-获取采购文件-找到本项目-点击“申请获取采购文件”），电子响应文件制作需要基于广西政府采购云平台获取的采购文件编制，通过其他方式获取采购文件的，将有可能导致供应商无法在广西政府采购云平台编制及上传响应文件。</w:t>
      </w:r>
    </w:p>
    <w:p w14:paraId="3EBC6C4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售价（元）：0</w:t>
      </w:r>
    </w:p>
    <w:p w14:paraId="5D92BAD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四、响应文件提交</w:t>
      </w:r>
    </w:p>
    <w:p w14:paraId="61164B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截止时间：202</w:t>
      </w:r>
      <w:r>
        <w:rPr>
          <w:rFonts w:ascii="宋体" w:hAnsi="宋体" w:eastAsia="宋体"/>
          <w:color w:val="auto"/>
          <w:szCs w:val="21"/>
          <w:highlight w:val="none"/>
        </w:rPr>
        <w:t>5</w:t>
      </w:r>
      <w:r>
        <w:rPr>
          <w:rFonts w:hint="eastAsia" w:ascii="宋体" w:hAnsi="宋体" w:eastAsia="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6</w:t>
      </w:r>
      <w:r>
        <w:rPr>
          <w:rFonts w:ascii="宋体" w:hAnsi="宋体"/>
          <w:color w:val="auto"/>
          <w:szCs w:val="21"/>
          <w:highlight w:val="none"/>
          <w:u w:val="single"/>
        </w:rPr>
        <w:t xml:space="preserve"> </w:t>
      </w:r>
      <w:r>
        <w:rPr>
          <w:rFonts w:hint="eastAsia" w:ascii="宋体" w:hAnsi="宋体" w:eastAsia="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ascii="宋体" w:hAnsi="宋体"/>
          <w:color w:val="auto"/>
          <w:szCs w:val="21"/>
          <w:highlight w:val="none"/>
          <w:u w:val="single"/>
        </w:rPr>
        <w:t xml:space="preserve"> </w:t>
      </w:r>
      <w:r>
        <w:rPr>
          <w:rFonts w:hint="eastAsia" w:ascii="宋体" w:hAnsi="宋体" w:eastAsia="宋体"/>
          <w:color w:val="auto"/>
          <w:szCs w:val="21"/>
          <w:highlight w:val="none"/>
        </w:rPr>
        <w:t>日</w:t>
      </w:r>
      <w:r>
        <w:rPr>
          <w:rFonts w:hint="eastAsia" w:ascii="宋体" w:hAnsi="宋体" w:eastAsia="宋体"/>
          <w:color w:val="auto"/>
          <w:szCs w:val="21"/>
          <w:highlight w:val="none"/>
          <w:lang w:val="en-US" w:eastAsia="zh-CN"/>
        </w:rPr>
        <w:t>15</w:t>
      </w:r>
      <w:r>
        <w:rPr>
          <w:rFonts w:hint="eastAsia" w:ascii="宋体" w:hAnsi="宋体" w:eastAsia="宋体"/>
          <w:color w:val="auto"/>
          <w:szCs w:val="21"/>
          <w:highlight w:val="none"/>
        </w:rPr>
        <w:t>：</w:t>
      </w:r>
      <w:r>
        <w:rPr>
          <w:rFonts w:ascii="宋体" w:hAnsi="宋体" w:eastAsia="宋体"/>
          <w:color w:val="auto"/>
          <w:szCs w:val="21"/>
          <w:highlight w:val="none"/>
        </w:rPr>
        <w:t>0</w:t>
      </w:r>
      <w:r>
        <w:rPr>
          <w:rFonts w:hint="eastAsia" w:ascii="宋体" w:hAnsi="宋体" w:eastAsia="宋体"/>
          <w:color w:val="auto"/>
          <w:szCs w:val="21"/>
          <w:highlight w:val="none"/>
        </w:rPr>
        <w:t>0（北京时间）</w:t>
      </w:r>
    </w:p>
    <w:p w14:paraId="2F5985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地点（网址）：广西政府采购云平台（https：//www.gcy.zfcg.gxzf.gov.cn/）</w:t>
      </w:r>
    </w:p>
    <w:p w14:paraId="185C6F0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五、开启</w:t>
      </w:r>
    </w:p>
    <w:p w14:paraId="2D1B7F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开启时间：202</w:t>
      </w:r>
      <w:r>
        <w:rPr>
          <w:rFonts w:ascii="宋体" w:hAnsi="宋体" w:eastAsia="宋体"/>
          <w:color w:val="auto"/>
          <w:szCs w:val="21"/>
          <w:highlight w:val="none"/>
        </w:rPr>
        <w:t>5</w:t>
      </w:r>
      <w:r>
        <w:rPr>
          <w:rFonts w:hint="eastAsia" w:ascii="宋体" w:hAnsi="宋体" w:eastAsia="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6</w:t>
      </w:r>
      <w:r>
        <w:rPr>
          <w:rFonts w:ascii="宋体" w:hAnsi="宋体"/>
          <w:color w:val="auto"/>
          <w:szCs w:val="21"/>
          <w:highlight w:val="none"/>
          <w:u w:val="single"/>
        </w:rPr>
        <w:t xml:space="preserve"> </w:t>
      </w:r>
      <w:r>
        <w:rPr>
          <w:rFonts w:hint="eastAsia" w:ascii="宋体" w:hAnsi="宋体" w:eastAsia="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ascii="宋体" w:hAnsi="宋体"/>
          <w:color w:val="auto"/>
          <w:szCs w:val="21"/>
          <w:highlight w:val="none"/>
          <w:u w:val="single"/>
        </w:rPr>
        <w:t xml:space="preserve"> </w:t>
      </w:r>
      <w:r>
        <w:rPr>
          <w:rFonts w:hint="eastAsia" w:ascii="宋体" w:hAnsi="宋体" w:eastAsia="宋体"/>
          <w:color w:val="auto"/>
          <w:szCs w:val="21"/>
          <w:highlight w:val="none"/>
        </w:rPr>
        <w:t>日</w:t>
      </w:r>
      <w:r>
        <w:rPr>
          <w:rFonts w:hint="eastAsia" w:ascii="宋体" w:hAnsi="宋体" w:eastAsia="宋体"/>
          <w:color w:val="auto"/>
          <w:szCs w:val="21"/>
          <w:highlight w:val="none"/>
          <w:lang w:val="en-US" w:eastAsia="zh-CN"/>
        </w:rPr>
        <w:t>15</w:t>
      </w:r>
      <w:r>
        <w:rPr>
          <w:rFonts w:hint="eastAsia" w:ascii="宋体" w:hAnsi="宋体" w:eastAsia="宋体"/>
          <w:color w:val="auto"/>
          <w:szCs w:val="21"/>
          <w:highlight w:val="none"/>
        </w:rPr>
        <w:t>：</w:t>
      </w:r>
      <w:r>
        <w:rPr>
          <w:rFonts w:ascii="宋体" w:hAnsi="宋体" w:eastAsia="宋体"/>
          <w:color w:val="auto"/>
          <w:szCs w:val="21"/>
          <w:highlight w:val="none"/>
        </w:rPr>
        <w:t>0</w:t>
      </w:r>
      <w:r>
        <w:rPr>
          <w:rFonts w:hint="eastAsia" w:ascii="宋体" w:hAnsi="宋体" w:eastAsia="宋体"/>
          <w:color w:val="auto"/>
          <w:szCs w:val="21"/>
          <w:highlight w:val="none"/>
        </w:rPr>
        <w:t>0（北京时间）</w:t>
      </w:r>
    </w:p>
    <w:p w14:paraId="1304F67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地点（网址）：广西政府采购云平台（https：//www.gcy.zfcg.gxzf.gov.cn/）</w:t>
      </w:r>
    </w:p>
    <w:p w14:paraId="4070CB8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六、公告期限</w:t>
      </w:r>
    </w:p>
    <w:p w14:paraId="423D34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自本公告发布之日起</w:t>
      </w:r>
      <w:r>
        <w:rPr>
          <w:rFonts w:ascii="宋体" w:hAnsi="宋体" w:eastAsia="宋体"/>
          <w:color w:val="auto"/>
          <w:szCs w:val="21"/>
          <w:highlight w:val="none"/>
        </w:rPr>
        <w:t>5</w:t>
      </w:r>
      <w:r>
        <w:rPr>
          <w:rFonts w:hint="eastAsia" w:ascii="宋体" w:hAnsi="宋体" w:eastAsia="宋体"/>
          <w:color w:val="auto"/>
          <w:szCs w:val="21"/>
          <w:highlight w:val="none"/>
        </w:rPr>
        <w:t>个工作日。</w:t>
      </w:r>
    </w:p>
    <w:p w14:paraId="4112901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七、其他补充事宜</w:t>
      </w:r>
    </w:p>
    <w:p w14:paraId="002DF063">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网上查询地址：中国政府采购网（www.ccgp.gov.cn）、广西政府采购网（http：//zfcg.gxzf.gov.cn）。</w:t>
      </w:r>
    </w:p>
    <w:p w14:paraId="5D571E8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2.磋商保证金：</w:t>
      </w:r>
      <w:r>
        <w:rPr>
          <w:rFonts w:hint="eastAsia" w:ascii="宋体" w:hAnsi="宋体" w:cs="宋体"/>
          <w:color w:val="auto"/>
          <w:kern w:val="0"/>
          <w:szCs w:val="21"/>
          <w:highlight w:val="none"/>
        </w:rPr>
        <w:t>1分标人民币2</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000.00元；2分标人民币</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000.00元</w:t>
      </w:r>
      <w:r>
        <w:rPr>
          <w:rFonts w:hint="eastAsia" w:ascii="宋体" w:hAnsi="宋体" w:eastAsia="宋体"/>
          <w:color w:val="auto"/>
          <w:szCs w:val="21"/>
          <w:highlight w:val="none"/>
        </w:rPr>
        <w:t>。</w:t>
      </w:r>
    </w:p>
    <w:p w14:paraId="7D6BC4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3.本项目需要落实的政府采购政策：</w:t>
      </w:r>
    </w:p>
    <w:p w14:paraId="2A59A2D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（1）政府采购促进中小企业发展；</w:t>
      </w:r>
    </w:p>
    <w:p w14:paraId="4BC9060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（2）政府采购支持采用本国产品的政策；</w:t>
      </w:r>
    </w:p>
    <w:p w14:paraId="79F8C7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）强制采购节能产品；优先采购节能产品、环境标志产品；</w:t>
      </w:r>
    </w:p>
    <w:p w14:paraId="580D69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）政府采购促进残疾人就业政策；</w:t>
      </w:r>
    </w:p>
    <w:p w14:paraId="15A1EDF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5</w:t>
      </w:r>
      <w:r>
        <w:rPr>
          <w:rFonts w:hint="eastAsia" w:ascii="宋体" w:hAnsi="宋体" w:eastAsia="宋体"/>
          <w:color w:val="auto"/>
          <w:szCs w:val="21"/>
          <w:highlight w:val="none"/>
        </w:rPr>
        <w:t>）政府采购支持监狱企业发展。</w:t>
      </w:r>
    </w:p>
    <w:p w14:paraId="44D5B1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供应商其他资格要求：</w:t>
      </w:r>
    </w:p>
    <w:p w14:paraId="0032F1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D6979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26238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5.供应商竞标注意事项</w:t>
      </w:r>
    </w:p>
    <w:p w14:paraId="5D2B2D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本项目为全流程电子化采购项目，通过广西政府采购云平台（https：//www.gcy.zfcg.gxzf.gov.cn/）实行在线电子竞争性磋商，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5C73E3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14:paraId="64E55A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CA证书在线解密：首次响应文件开启时，需要供应商携带制作响应文件时用来加密的有效数字证书（CA认证）登录广西政府采购云平台电子开标大厅现场按规定时间对加密的响应文件进行解密，未能按要求进行解密的，由此产生的后果由供应商自行承担。</w:t>
      </w:r>
    </w:p>
    <w:p w14:paraId="4DCB991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注：1）为确保网上操作合法、有效和安全，请供应商确保在电子竞争性磋商过程中能够对相关数据电文进行加密和使用电子签章，妥善保管CA数字证书并使用有效的CA数字证书参与整个采购活动。</w:t>
      </w:r>
    </w:p>
    <w:p w14:paraId="16BCBA62">
      <w:pPr>
        <w:spacing w:line="360" w:lineRule="auto"/>
        <w:ind w:firstLine="840" w:firstLineChars="400"/>
        <w:rPr>
          <w:rFonts w:ascii="宋体" w:hAnsi="宋体" w:eastAsia="宋体"/>
          <w:color w:val="auto"/>
          <w:szCs w:val="21"/>
          <w:highlight w:val="none"/>
        </w:rPr>
      </w:pPr>
      <w:r>
        <w:rPr>
          <w:rFonts w:hint="eastAsia" w:ascii="宋体" w:hAnsi="宋体" w:eastAsia="宋体"/>
          <w:color w:val="auto"/>
          <w:szCs w:val="21"/>
          <w:highlight w:val="none"/>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1470FD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（4）供应商需要在具备有摄像头及语音功能且互联网网络状况良好的电脑登录广西政府采购云平台远程开标大厅参与本次磋商，否则后果自负。</w:t>
      </w:r>
    </w:p>
    <w:p w14:paraId="7E3703C4">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7A0E41F0">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lang w:val="zh-TW"/>
        </w:rPr>
        <w:t>为保证项目完成的时间和质量，供应商可以参与一个或多个分标的竞标，但只允许成交一个分标，如在</w:t>
      </w:r>
      <w:r>
        <w:rPr>
          <w:rFonts w:hint="eastAsia" w:ascii="宋体" w:hAnsi="宋体" w:eastAsia="宋体"/>
          <w:color w:val="auto"/>
          <w:szCs w:val="21"/>
          <w:highlight w:val="none"/>
        </w:rPr>
        <w:t>1</w:t>
      </w:r>
      <w:r>
        <w:rPr>
          <w:rFonts w:hint="eastAsia" w:ascii="宋体" w:hAnsi="宋体" w:eastAsia="宋体"/>
          <w:color w:val="auto"/>
          <w:szCs w:val="21"/>
          <w:highlight w:val="none"/>
          <w:lang w:val="zh-TW"/>
        </w:rPr>
        <w:t>分标评审中为第一成交候选人，则不成为</w:t>
      </w:r>
      <w:r>
        <w:rPr>
          <w:rFonts w:hint="eastAsia" w:ascii="宋体" w:hAnsi="宋体" w:eastAsia="宋体"/>
          <w:color w:val="auto"/>
          <w:szCs w:val="21"/>
          <w:highlight w:val="none"/>
        </w:rPr>
        <w:t>2</w:t>
      </w:r>
      <w:r>
        <w:rPr>
          <w:rFonts w:hint="eastAsia" w:ascii="宋体" w:hAnsi="宋体" w:eastAsia="宋体"/>
          <w:color w:val="auto"/>
          <w:szCs w:val="21"/>
          <w:highlight w:val="none"/>
          <w:lang w:val="zh-TW"/>
        </w:rPr>
        <w:t>分标的成交候选人。</w:t>
      </w:r>
    </w:p>
    <w:p w14:paraId="1F98688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八、凡对本次采购提出询问，请按以下方式联系</w:t>
      </w:r>
    </w:p>
    <w:p w14:paraId="34EF7D8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1.采购人信息</w:t>
      </w:r>
    </w:p>
    <w:p w14:paraId="62AF86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名称：广西大学</w:t>
      </w:r>
    </w:p>
    <w:p w14:paraId="02C7A9E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地址：广西</w:t>
      </w:r>
      <w:bookmarkStart w:id="3" w:name="OLE_LINK9"/>
      <w:bookmarkStart w:id="4" w:name="OLE_LINK10"/>
      <w:r>
        <w:rPr>
          <w:rFonts w:hint="eastAsia" w:ascii="宋体" w:hAnsi="宋体" w:eastAsia="宋体"/>
          <w:color w:val="auto"/>
          <w:szCs w:val="21"/>
          <w:highlight w:val="none"/>
        </w:rPr>
        <w:t>壮族自治区</w:t>
      </w:r>
      <w:bookmarkEnd w:id="3"/>
      <w:bookmarkEnd w:id="4"/>
      <w:r>
        <w:rPr>
          <w:rFonts w:hint="eastAsia" w:ascii="宋体" w:hAnsi="宋体" w:eastAsia="宋体"/>
          <w:color w:val="auto"/>
          <w:szCs w:val="21"/>
          <w:highlight w:val="none"/>
        </w:rPr>
        <w:t>南宁市西乡塘区大学东路100号</w:t>
      </w:r>
    </w:p>
    <w:p w14:paraId="40CDCE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项目联系人：唐琼玲</w:t>
      </w:r>
    </w:p>
    <w:p w14:paraId="328148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项目联系方式：0771-3233183</w:t>
      </w:r>
    </w:p>
    <w:p w14:paraId="24C0D8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2.采购代理机构信息</w:t>
      </w:r>
    </w:p>
    <w:p w14:paraId="1543FDC6">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名称：</w:t>
      </w:r>
      <w:r>
        <w:rPr>
          <w:rFonts w:hint="eastAsia" w:ascii="宋体" w:hAnsi="宋体" w:eastAsia="宋体"/>
          <w:color w:val="auto"/>
          <w:szCs w:val="21"/>
          <w:highlight w:val="none"/>
          <w:lang w:eastAsia="zh-CN"/>
        </w:rPr>
        <w:t>广西正海招标有限公司</w:t>
      </w:r>
    </w:p>
    <w:p w14:paraId="6C6B41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hint="eastAsia" w:ascii="宋体" w:hAnsi="宋体" w:cs="宋体"/>
          <w:color w:val="auto"/>
          <w:kern w:val="0"/>
          <w:szCs w:val="21"/>
          <w:highlight w:val="none"/>
        </w:rPr>
        <w:t>南宁市青秀区茅桥路2号习艺基地A栋1号电梯3楼</w:t>
      </w:r>
    </w:p>
    <w:p w14:paraId="69BD1B5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项目联系人：</w:t>
      </w:r>
      <w:r>
        <w:rPr>
          <w:rFonts w:hint="eastAsia" w:ascii="宋体" w:hAnsi="宋体" w:cs="宋体"/>
          <w:color w:val="auto"/>
          <w:kern w:val="0"/>
          <w:szCs w:val="21"/>
          <w:highlight w:val="none"/>
        </w:rPr>
        <w:t>覃相健</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覃旭理</w:t>
      </w:r>
    </w:p>
    <w:p w14:paraId="2662F24D">
      <w:pPr>
        <w:spacing w:line="360" w:lineRule="auto"/>
        <w:ind w:firstLine="420" w:firstLineChars="200"/>
        <w:rPr>
          <w:rFonts w:ascii="宋体" w:hAnsi="宋体" w:eastAsia="宋体"/>
          <w:color w:val="auto"/>
          <w:szCs w:val="21"/>
          <w:highlight w:val="none"/>
        </w:rPr>
        <w:sectPr>
          <w:footerReference r:id="rId4" w:type="default"/>
          <w:pgSz w:w="11906" w:h="16838"/>
          <w:pgMar w:top="1440" w:right="1134" w:bottom="1440" w:left="1418" w:header="851" w:footer="992" w:gutter="0"/>
          <w:pgNumType w:start="1"/>
          <w:cols w:space="425" w:num="1"/>
          <w:docGrid w:type="lines" w:linePitch="312" w:charSpace="0"/>
        </w:sectPr>
      </w:pPr>
      <w:r>
        <w:rPr>
          <w:rFonts w:hint="eastAsia" w:ascii="宋体" w:hAnsi="宋体" w:eastAsia="宋体"/>
          <w:color w:val="auto"/>
          <w:szCs w:val="21"/>
          <w:highlight w:val="none"/>
        </w:rPr>
        <w:t>项目联系方式：</w:t>
      </w:r>
      <w:r>
        <w:rPr>
          <w:rFonts w:hint="eastAsia" w:ascii="宋体" w:hAnsi="宋体" w:cs="宋体"/>
          <w:color w:val="auto"/>
          <w:kern w:val="0"/>
          <w:szCs w:val="21"/>
          <w:highlight w:val="none"/>
        </w:rPr>
        <w:t xml:space="preserve">0771-2865989 </w:t>
      </w:r>
    </w:p>
    <w:p w14:paraId="3CF63AEE">
      <w:pPr>
        <w:pStyle w:val="2"/>
        <w:jc w:val="center"/>
        <w:rPr>
          <w:rFonts w:ascii="宋体" w:hAnsi="宋体" w:eastAsia="宋体"/>
          <w:color w:val="auto"/>
          <w:highlight w:val="none"/>
        </w:rPr>
      </w:pPr>
      <w:bookmarkStart w:id="5" w:name="_Toc197530104"/>
      <w:r>
        <w:rPr>
          <w:rFonts w:hint="eastAsia" w:ascii="宋体" w:hAnsi="宋体" w:eastAsia="宋体"/>
          <w:color w:val="auto"/>
          <w:highlight w:val="none"/>
        </w:rPr>
        <w:t>第二</w:t>
      </w:r>
      <w:r>
        <w:rPr>
          <w:rFonts w:hint="eastAsia" w:ascii="宋体" w:hAnsi="宋体" w:eastAsia="宋体"/>
          <w:color w:val="auto"/>
          <w:spacing w:val="100"/>
          <w:highlight w:val="none"/>
        </w:rPr>
        <w:t>章</w:t>
      </w:r>
      <w:r>
        <w:rPr>
          <w:rFonts w:hint="eastAsia" w:ascii="宋体" w:hAnsi="宋体" w:eastAsia="宋体"/>
          <w:color w:val="auto"/>
          <w:highlight w:val="none"/>
        </w:rPr>
        <w:t>供应商须知</w:t>
      </w:r>
      <w:bookmarkEnd w:id="5"/>
    </w:p>
    <w:p w14:paraId="4D3F96D3">
      <w:pPr>
        <w:pStyle w:val="3"/>
        <w:jc w:val="center"/>
        <w:rPr>
          <w:color w:val="auto"/>
          <w:highlight w:val="none"/>
        </w:rPr>
      </w:pPr>
      <w:bookmarkStart w:id="6" w:name="_Toc197530105"/>
      <w:r>
        <w:rPr>
          <w:rFonts w:hint="eastAsia"/>
          <w:color w:val="auto"/>
          <w:highlight w:val="none"/>
        </w:rPr>
        <w:t>一、供应商须知前附表</w:t>
      </w:r>
      <w:bookmarkEnd w:id="6"/>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356"/>
      </w:tblGrid>
      <w:tr w14:paraId="1A64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B89F8BE">
            <w:pPr>
              <w:spacing w:line="360"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8356" w:type="dxa"/>
            <w:vAlign w:val="center"/>
          </w:tcPr>
          <w:p w14:paraId="17184D91">
            <w:pPr>
              <w:spacing w:line="360" w:lineRule="auto"/>
              <w:jc w:val="center"/>
              <w:rPr>
                <w:rFonts w:ascii="宋体" w:hAnsi="宋体"/>
                <w:b/>
                <w:color w:val="auto"/>
                <w:szCs w:val="21"/>
                <w:highlight w:val="none"/>
              </w:rPr>
            </w:pPr>
            <w:r>
              <w:rPr>
                <w:rFonts w:hint="eastAsia" w:ascii="宋体" w:hAnsi="宋体"/>
                <w:b/>
                <w:color w:val="auto"/>
                <w:szCs w:val="21"/>
                <w:highlight w:val="none"/>
              </w:rPr>
              <w:t>内容</w:t>
            </w:r>
          </w:p>
        </w:tc>
      </w:tr>
      <w:tr w14:paraId="767A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D3CE226">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8356" w:type="dxa"/>
            <w:vAlign w:val="center"/>
          </w:tcPr>
          <w:p w14:paraId="43BC7AA3">
            <w:pPr>
              <w:spacing w:line="360" w:lineRule="auto"/>
              <w:jc w:val="left"/>
              <w:rPr>
                <w:rFonts w:ascii="宋体" w:hAnsi="宋体"/>
                <w:color w:val="auto"/>
                <w:szCs w:val="21"/>
                <w:highlight w:val="none"/>
              </w:rPr>
            </w:pPr>
            <w:r>
              <w:rPr>
                <w:rFonts w:hint="eastAsia" w:ascii="宋体" w:hAnsi="宋体"/>
                <w:color w:val="auto"/>
                <w:szCs w:val="21"/>
                <w:highlight w:val="none"/>
              </w:rPr>
              <w:t>1.供应商的资格条件：详见竞争性磋商公告。</w:t>
            </w:r>
          </w:p>
          <w:p w14:paraId="30B986D9">
            <w:pPr>
              <w:spacing w:line="360" w:lineRule="auto"/>
              <w:jc w:val="left"/>
              <w:rPr>
                <w:rFonts w:ascii="宋体" w:hAnsi="宋体"/>
                <w:color w:val="auto"/>
                <w:szCs w:val="21"/>
                <w:highlight w:val="none"/>
              </w:rPr>
            </w:pPr>
            <w:r>
              <w:rPr>
                <w:rFonts w:hint="eastAsia" w:ascii="宋体" w:hAnsi="宋体"/>
                <w:color w:val="auto"/>
                <w:szCs w:val="21"/>
                <w:highlight w:val="none"/>
              </w:rPr>
              <w:t>2.供应商出现下列情形之一的，不得参加政府采购活动：</w:t>
            </w:r>
          </w:p>
          <w:p w14:paraId="5876FF2F">
            <w:pPr>
              <w:spacing w:line="360" w:lineRule="auto"/>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288B6F">
            <w:pPr>
              <w:spacing w:line="360" w:lineRule="auto"/>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r>
              <w:rPr>
                <w:rFonts w:hint="eastAsia" w:ascii="宋体" w:hAnsi="宋体"/>
                <w:color w:val="auto"/>
                <w:szCs w:val="21"/>
                <w:highlight w:val="none"/>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BB6F3B3">
            <w:pPr>
              <w:spacing w:line="360" w:lineRule="auto"/>
              <w:jc w:val="left"/>
              <w:rPr>
                <w:rFonts w:ascii="宋体" w:hAnsi="宋体"/>
                <w:color w:val="auto"/>
                <w:szCs w:val="21"/>
                <w:highlight w:val="none"/>
              </w:rPr>
            </w:pPr>
            <w:r>
              <w:rPr>
                <w:rFonts w:hint="eastAsia" w:ascii="宋体" w:hAnsi="宋体"/>
                <w:color w:val="auto"/>
                <w:szCs w:val="21"/>
                <w:highlight w:val="none"/>
              </w:rPr>
              <w:t>2.3供应商在参加政府采购活动前三年内，履行与采购人或者与采购人存在管理关系的单位的采购合同时，发生过重大实质性违约且未及时采取合理补救措施的，不得参与本次采购活动。</w:t>
            </w:r>
          </w:p>
        </w:tc>
      </w:tr>
      <w:tr w14:paraId="11E1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2827676">
            <w:pPr>
              <w:spacing w:line="360" w:lineRule="auto"/>
              <w:jc w:val="center"/>
              <w:rPr>
                <w:rFonts w:ascii="宋体" w:hAnsi="宋体"/>
                <w:color w:val="auto"/>
                <w:szCs w:val="21"/>
                <w:highlight w:val="none"/>
              </w:rPr>
            </w:pPr>
            <w:r>
              <w:rPr>
                <w:rFonts w:hint="eastAsia" w:ascii="宋体" w:hAnsi="宋体"/>
                <w:color w:val="auto"/>
                <w:szCs w:val="21"/>
                <w:highlight w:val="none"/>
              </w:rPr>
              <w:t>5.1</w:t>
            </w:r>
          </w:p>
        </w:tc>
        <w:tc>
          <w:tcPr>
            <w:tcW w:w="8356" w:type="dxa"/>
            <w:vAlign w:val="center"/>
          </w:tcPr>
          <w:p w14:paraId="22076CB4">
            <w:pPr>
              <w:spacing w:line="360" w:lineRule="auto"/>
              <w:jc w:val="left"/>
              <w:rPr>
                <w:rFonts w:ascii="宋体" w:hAnsi="宋体"/>
                <w:color w:val="auto"/>
                <w:szCs w:val="21"/>
                <w:highlight w:val="none"/>
              </w:rPr>
            </w:pPr>
            <w:r>
              <w:rPr>
                <w:rFonts w:hint="eastAsia" w:ascii="宋体" w:hAnsi="宋体"/>
                <w:color w:val="auto"/>
                <w:szCs w:val="21"/>
                <w:highlight w:val="none"/>
              </w:rPr>
              <w:t>是否接受联合体竞标：否。</w:t>
            </w:r>
          </w:p>
        </w:tc>
      </w:tr>
      <w:tr w14:paraId="08EC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483E93E">
            <w:pPr>
              <w:spacing w:line="360" w:lineRule="auto"/>
              <w:jc w:val="center"/>
              <w:rPr>
                <w:rFonts w:ascii="宋体" w:hAnsi="宋体"/>
                <w:color w:val="auto"/>
                <w:szCs w:val="21"/>
                <w:highlight w:val="none"/>
              </w:rPr>
            </w:pPr>
            <w:r>
              <w:rPr>
                <w:rFonts w:hint="eastAsia" w:ascii="宋体" w:hAnsi="宋体"/>
                <w:color w:val="auto"/>
                <w:szCs w:val="21"/>
                <w:highlight w:val="none"/>
              </w:rPr>
              <w:t>5.2</w:t>
            </w:r>
          </w:p>
        </w:tc>
        <w:tc>
          <w:tcPr>
            <w:tcW w:w="8356" w:type="dxa"/>
            <w:vAlign w:val="center"/>
          </w:tcPr>
          <w:p w14:paraId="7397B55B">
            <w:pPr>
              <w:spacing w:line="360" w:lineRule="auto"/>
              <w:jc w:val="left"/>
              <w:rPr>
                <w:rFonts w:ascii="宋体" w:hAnsi="宋体"/>
                <w:color w:val="auto"/>
                <w:szCs w:val="21"/>
                <w:highlight w:val="none"/>
              </w:rPr>
            </w:pPr>
            <w:r>
              <w:rPr>
                <w:rFonts w:hint="eastAsia" w:ascii="宋体" w:hAnsi="宋体"/>
                <w:color w:val="auto"/>
                <w:szCs w:val="21"/>
                <w:highlight w:val="none"/>
              </w:rPr>
              <w:t>如接受联合体参加竞争性磋商，要求如下：</w:t>
            </w:r>
          </w:p>
          <w:p w14:paraId="1E1548FD">
            <w:pPr>
              <w:spacing w:line="360" w:lineRule="auto"/>
              <w:jc w:val="left"/>
              <w:rPr>
                <w:rFonts w:ascii="宋体" w:hAnsi="宋体"/>
                <w:color w:val="auto"/>
                <w:szCs w:val="21"/>
                <w:highlight w:val="none"/>
              </w:rPr>
            </w:pPr>
            <w:r>
              <w:rPr>
                <w:rFonts w:hint="eastAsia" w:ascii="宋体" w:hAnsi="宋体"/>
                <w:color w:val="auto"/>
                <w:szCs w:val="21"/>
                <w:highlight w:val="none"/>
              </w:rPr>
              <w:t>1.两个以上竞标人可以组成一个竞标联合体，以一个竞标人的身份共同参加竞标，联合体竞标人的名称应统一按“XXX公司与XXX公司的联合体”的规则填写。</w:t>
            </w:r>
          </w:p>
          <w:p w14:paraId="319DDF2A">
            <w:pPr>
              <w:spacing w:line="360" w:lineRule="auto"/>
              <w:jc w:val="left"/>
              <w:rPr>
                <w:rFonts w:ascii="宋体" w:hAnsi="宋体"/>
                <w:color w:val="auto"/>
                <w:szCs w:val="21"/>
                <w:highlight w:val="none"/>
              </w:rPr>
            </w:pPr>
            <w:r>
              <w:rPr>
                <w:rFonts w:hint="eastAsia" w:ascii="宋体" w:hAnsi="宋体"/>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10870C27">
            <w:pPr>
              <w:spacing w:line="360" w:lineRule="auto"/>
              <w:jc w:val="left"/>
              <w:rPr>
                <w:rFonts w:ascii="宋体" w:hAnsi="宋体"/>
                <w:color w:val="auto"/>
                <w:szCs w:val="21"/>
                <w:highlight w:val="none"/>
              </w:rPr>
            </w:pPr>
            <w:r>
              <w:rPr>
                <w:rFonts w:hint="eastAsia" w:ascii="宋体" w:hAnsi="宋体"/>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27E9E8FF">
            <w:pPr>
              <w:spacing w:line="360" w:lineRule="auto"/>
              <w:jc w:val="left"/>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w:t>
            </w:r>
            <w:r>
              <w:rPr>
                <w:rFonts w:hint="eastAsia" w:ascii="宋体" w:hAnsi="宋体" w:eastAsia="宋体"/>
                <w:color w:val="auto"/>
                <w:szCs w:val="21"/>
                <w:highlight w:val="none"/>
              </w:rPr>
              <w:t>供应商</w:t>
            </w:r>
            <w:r>
              <w:rPr>
                <w:rFonts w:hint="eastAsia" w:ascii="宋体" w:hAnsi="宋体"/>
                <w:color w:val="auto"/>
                <w:szCs w:val="21"/>
                <w:highlight w:val="none"/>
              </w:rPr>
              <w:t>另外组成联合体参加同一合同项下的政府采购活动，否则与之相关的响应文件作废。</w:t>
            </w:r>
          </w:p>
          <w:p w14:paraId="539C3449">
            <w:pPr>
              <w:spacing w:line="360" w:lineRule="auto"/>
              <w:jc w:val="left"/>
              <w:rPr>
                <w:rFonts w:ascii="宋体" w:hAnsi="宋体"/>
                <w:color w:val="auto"/>
                <w:szCs w:val="21"/>
                <w:highlight w:val="none"/>
              </w:rPr>
            </w:pPr>
            <w:r>
              <w:rPr>
                <w:rFonts w:hint="eastAsia" w:ascii="宋体" w:hAnsi="宋体"/>
                <w:color w:val="auto"/>
                <w:szCs w:val="21"/>
                <w:highlight w:val="none"/>
              </w:rPr>
              <w:t>5.联合体中有同类资质的竞标人按照联合体分工承担相同工作的，应当按照资质等级较低的竞标人确定资质等级。</w:t>
            </w:r>
          </w:p>
          <w:p w14:paraId="2A8EB075">
            <w:pPr>
              <w:spacing w:line="360" w:lineRule="auto"/>
              <w:jc w:val="left"/>
              <w:rPr>
                <w:rFonts w:ascii="宋体" w:hAnsi="宋体"/>
                <w:color w:val="auto"/>
                <w:szCs w:val="21"/>
                <w:highlight w:val="none"/>
              </w:rPr>
            </w:pPr>
            <w:r>
              <w:rPr>
                <w:rFonts w:hint="eastAsia" w:ascii="宋体" w:hAnsi="宋体"/>
                <w:color w:val="auto"/>
                <w:szCs w:val="21"/>
                <w:highlight w:val="none"/>
              </w:rPr>
              <w:t>6.联合体竞标业绩、履约能力，联合体各方提供均可计算。</w:t>
            </w:r>
          </w:p>
          <w:p w14:paraId="3F144D79">
            <w:pPr>
              <w:spacing w:line="360" w:lineRule="auto"/>
              <w:jc w:val="left"/>
              <w:rPr>
                <w:rFonts w:ascii="宋体" w:hAnsi="宋体"/>
                <w:color w:val="auto"/>
                <w:szCs w:val="21"/>
                <w:highlight w:val="none"/>
              </w:rPr>
            </w:pPr>
            <w:r>
              <w:rPr>
                <w:rFonts w:hint="eastAsia" w:ascii="宋体" w:hAnsi="宋体"/>
                <w:color w:val="auto"/>
                <w:szCs w:val="21"/>
                <w:highlight w:val="none"/>
              </w:rPr>
              <w:t>7.联合体各方均应按照采购文件的规定提交资格证明文件。</w:t>
            </w:r>
          </w:p>
        </w:tc>
      </w:tr>
      <w:tr w14:paraId="584E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55B4914">
            <w:pPr>
              <w:spacing w:line="360" w:lineRule="auto"/>
              <w:jc w:val="center"/>
              <w:rPr>
                <w:rFonts w:ascii="宋体" w:hAnsi="宋体"/>
                <w:color w:val="auto"/>
                <w:szCs w:val="21"/>
                <w:highlight w:val="none"/>
              </w:rPr>
            </w:pPr>
            <w:r>
              <w:rPr>
                <w:rFonts w:ascii="宋体" w:hAnsi="宋体"/>
                <w:color w:val="auto"/>
                <w:szCs w:val="21"/>
                <w:highlight w:val="none"/>
              </w:rPr>
              <w:t>6.2</w:t>
            </w:r>
          </w:p>
        </w:tc>
        <w:tc>
          <w:tcPr>
            <w:tcW w:w="8356" w:type="dxa"/>
            <w:vAlign w:val="center"/>
          </w:tcPr>
          <w:p w14:paraId="1A0F3A24">
            <w:pPr>
              <w:spacing w:line="360" w:lineRule="auto"/>
              <w:jc w:val="left"/>
              <w:rPr>
                <w:rFonts w:ascii="宋体" w:hAnsi="宋体"/>
                <w:color w:val="auto"/>
                <w:szCs w:val="21"/>
                <w:highlight w:val="none"/>
              </w:rPr>
            </w:pPr>
            <w:r>
              <w:rPr>
                <w:rFonts w:hint="eastAsia" w:ascii="宋体" w:hAnsi="宋体"/>
                <w:color w:val="auto"/>
                <w:szCs w:val="21"/>
                <w:highlight w:val="none"/>
              </w:rPr>
              <w:sym w:font="Wingdings 2" w:char="F052"/>
            </w:r>
            <w:r>
              <w:rPr>
                <w:rFonts w:hint="eastAsia" w:ascii="宋体" w:hAnsi="宋体"/>
                <w:color w:val="auto"/>
                <w:szCs w:val="21"/>
                <w:highlight w:val="none"/>
              </w:rPr>
              <w:t>不允许分包</w:t>
            </w:r>
          </w:p>
          <w:p w14:paraId="5536418E">
            <w:pPr>
              <w:spacing w:line="360" w:lineRule="auto"/>
              <w:jc w:val="left"/>
              <w:rPr>
                <w:rFonts w:ascii="宋体" w:hAnsi="宋体"/>
                <w:color w:val="auto"/>
                <w:szCs w:val="21"/>
                <w:highlight w:val="none"/>
              </w:rPr>
            </w:pPr>
            <w:r>
              <w:rPr>
                <w:rFonts w:hint="eastAsia" w:ascii="宋体" w:hAnsi="宋体"/>
                <w:color w:val="auto"/>
                <w:szCs w:val="21"/>
                <w:highlight w:val="none"/>
              </w:rPr>
              <w:t>□允许分包</w:t>
            </w:r>
          </w:p>
          <w:p w14:paraId="1D7DD38F">
            <w:pPr>
              <w:spacing w:line="360" w:lineRule="auto"/>
              <w:jc w:val="left"/>
              <w:rPr>
                <w:rFonts w:ascii="宋体" w:hAnsi="宋体"/>
                <w:color w:val="auto"/>
                <w:szCs w:val="21"/>
                <w:highlight w:val="none"/>
              </w:rPr>
            </w:pPr>
            <w:r>
              <w:rPr>
                <w:rFonts w:hint="eastAsia" w:ascii="宋体" w:hAnsi="宋体"/>
                <w:color w:val="auto"/>
                <w:szCs w:val="21"/>
                <w:highlight w:val="none"/>
              </w:rPr>
              <w:t>分包内容：</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w:t>
            </w:r>
          </w:p>
          <w:p w14:paraId="7F29C8CC">
            <w:pPr>
              <w:spacing w:line="360" w:lineRule="auto"/>
              <w:jc w:val="left"/>
              <w:rPr>
                <w:rFonts w:ascii="宋体" w:hAnsi="宋体"/>
                <w:color w:val="auto"/>
                <w:szCs w:val="21"/>
                <w:highlight w:val="none"/>
              </w:rPr>
            </w:pPr>
            <w:r>
              <w:rPr>
                <w:rFonts w:hint="eastAsia" w:ascii="宋体" w:hAnsi="宋体"/>
                <w:color w:val="auto"/>
                <w:szCs w:val="21"/>
                <w:highlight w:val="none"/>
              </w:rPr>
              <w:t>分包金额或者比例：</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w:t>
            </w:r>
          </w:p>
          <w:p w14:paraId="01092EA1">
            <w:pPr>
              <w:spacing w:line="360" w:lineRule="auto"/>
              <w:jc w:val="left"/>
              <w:rPr>
                <w:rFonts w:ascii="宋体" w:hAnsi="宋体"/>
                <w:color w:val="auto"/>
                <w:szCs w:val="21"/>
                <w:highlight w:val="none"/>
              </w:rPr>
            </w:pPr>
            <w:r>
              <w:rPr>
                <w:rFonts w:hint="eastAsia" w:ascii="宋体" w:hAnsi="宋体"/>
                <w:color w:val="auto"/>
                <w:szCs w:val="21"/>
                <w:highlight w:val="none"/>
              </w:rPr>
              <w:t>分包供应商必须具备的资质：</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w:t>
            </w:r>
          </w:p>
        </w:tc>
      </w:tr>
      <w:tr w14:paraId="5276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4EABE9D">
            <w:pPr>
              <w:spacing w:line="360" w:lineRule="auto"/>
              <w:jc w:val="center"/>
              <w:rPr>
                <w:rFonts w:ascii="宋体" w:hAnsi="宋体"/>
                <w:color w:val="auto"/>
                <w:szCs w:val="21"/>
                <w:highlight w:val="none"/>
              </w:rPr>
            </w:pPr>
            <w:r>
              <w:rPr>
                <w:rFonts w:hint="eastAsia" w:ascii="宋体" w:hAnsi="宋体"/>
                <w:color w:val="auto"/>
                <w:szCs w:val="21"/>
                <w:highlight w:val="none"/>
              </w:rPr>
              <w:t>12.1.1</w:t>
            </w:r>
          </w:p>
        </w:tc>
        <w:tc>
          <w:tcPr>
            <w:tcW w:w="8356" w:type="dxa"/>
            <w:vAlign w:val="center"/>
          </w:tcPr>
          <w:p w14:paraId="4C9F74E3">
            <w:pPr>
              <w:spacing w:line="360" w:lineRule="auto"/>
              <w:jc w:val="left"/>
              <w:rPr>
                <w:rFonts w:ascii="宋体" w:hAnsi="宋体"/>
                <w:b/>
                <w:color w:val="auto"/>
                <w:szCs w:val="21"/>
                <w:highlight w:val="none"/>
              </w:rPr>
            </w:pPr>
            <w:r>
              <w:rPr>
                <w:rFonts w:hint="eastAsia" w:ascii="宋体" w:hAnsi="宋体"/>
                <w:b/>
                <w:color w:val="auto"/>
                <w:szCs w:val="21"/>
                <w:highlight w:val="none"/>
              </w:rPr>
              <w:t>资格证明文件</w:t>
            </w:r>
          </w:p>
          <w:p w14:paraId="1C53F8DE">
            <w:pPr>
              <w:spacing w:line="360" w:lineRule="auto"/>
              <w:jc w:val="left"/>
              <w:rPr>
                <w:rFonts w:ascii="宋体" w:hAnsi="宋体"/>
                <w:b/>
                <w:color w:val="auto"/>
                <w:szCs w:val="21"/>
                <w:highlight w:val="none"/>
              </w:rPr>
            </w:pPr>
            <w:r>
              <w:rPr>
                <w:rFonts w:hint="eastAsia" w:ascii="宋体" w:hAnsi="宋体"/>
                <w:color w:val="auto"/>
                <w:szCs w:val="21"/>
                <w:highlight w:val="none"/>
              </w:rPr>
              <w:t>1.供应商为法人或者其他组织的，提供营业执照等证明文件复印件（如营业执照或者事业单位法人证书或者执业许可证等）；</w:t>
            </w:r>
            <w:r>
              <w:rPr>
                <w:rFonts w:hint="eastAsia" w:ascii="宋体" w:hAnsi="宋体"/>
                <w:b/>
                <w:color w:val="auto"/>
                <w:szCs w:val="21"/>
                <w:highlight w:val="none"/>
              </w:rPr>
              <w:t>（必须提供，否则响应文件按无效处理）</w:t>
            </w:r>
          </w:p>
          <w:p w14:paraId="5C7F0C4D">
            <w:pPr>
              <w:spacing w:line="360" w:lineRule="auto"/>
              <w:jc w:val="left"/>
              <w:rPr>
                <w:rFonts w:ascii="宋体" w:hAnsi="宋体"/>
                <w:b/>
                <w:color w:val="auto"/>
                <w:szCs w:val="21"/>
                <w:highlight w:val="none"/>
              </w:rPr>
            </w:pPr>
            <w:r>
              <w:rPr>
                <w:rFonts w:hint="eastAsia" w:ascii="宋体" w:hAnsi="宋体"/>
                <w:color w:val="auto"/>
                <w:szCs w:val="21"/>
                <w:highlight w:val="none"/>
              </w:rPr>
              <w:t>2.供应商依法缴纳税收的相关材料（</w:t>
            </w:r>
            <w:bookmarkStart w:id="7" w:name="OLE_LINK12"/>
            <w:bookmarkStart w:id="8" w:name="OLE_LINK11"/>
            <w:r>
              <w:rPr>
                <w:rFonts w:hint="eastAsia" w:ascii="宋体" w:hAnsi="宋体"/>
                <w:color w:val="auto"/>
                <w:szCs w:val="21"/>
                <w:highlight w:val="none"/>
              </w:rPr>
              <w:t>竞标截止日期前半年</w:t>
            </w:r>
            <w:bookmarkEnd w:id="7"/>
            <w:bookmarkEnd w:id="8"/>
            <w:r>
              <w:rPr>
                <w:rFonts w:hint="eastAsia" w:ascii="宋体" w:hAnsi="宋体"/>
                <w:color w:val="auto"/>
                <w:szCs w:val="21"/>
                <w:highlight w:val="none"/>
              </w:rPr>
              <w:t>内任意一个月的依法缴纳税收的凭据复印件；依法免税的，必须提供相应文件证明其依法免税。从成立之日起到响应文件提交截止时间止不足要求月数的，只需提供从成立之日起的依法缴纳税收相应证明文件）；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b/>
                <w:color w:val="auto"/>
                <w:szCs w:val="21"/>
                <w:highlight w:val="none"/>
              </w:rPr>
              <w:t>（必须提供，否则响应文件按无效处理）</w:t>
            </w:r>
          </w:p>
          <w:p w14:paraId="1107D3E5">
            <w:pPr>
              <w:spacing w:line="360" w:lineRule="auto"/>
              <w:jc w:val="left"/>
              <w:rPr>
                <w:rFonts w:ascii="宋体" w:hAnsi="宋体"/>
                <w:b/>
                <w:color w:val="auto"/>
                <w:szCs w:val="21"/>
                <w:highlight w:val="none"/>
              </w:rPr>
            </w:pPr>
            <w:r>
              <w:rPr>
                <w:rFonts w:hint="eastAsia" w:ascii="宋体" w:hAnsi="宋体"/>
                <w:color w:val="auto"/>
                <w:szCs w:val="21"/>
                <w:highlight w:val="none"/>
              </w:rPr>
              <w:t>3.供应商依法缴纳社会保障资金的相关材料[竞标截止日期前半年内任意一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b/>
                <w:color w:val="auto"/>
                <w:szCs w:val="21"/>
                <w:highlight w:val="none"/>
              </w:rPr>
              <w:t>（必须提供，否则响应文件按无效处理）</w:t>
            </w:r>
          </w:p>
          <w:p w14:paraId="7458BD92">
            <w:pPr>
              <w:spacing w:line="360" w:lineRule="auto"/>
              <w:jc w:val="left"/>
              <w:rPr>
                <w:rFonts w:ascii="宋体" w:hAnsi="宋体"/>
                <w:b/>
                <w:color w:val="auto"/>
                <w:szCs w:val="21"/>
                <w:highlight w:val="none"/>
              </w:rPr>
            </w:pPr>
            <w:r>
              <w:rPr>
                <w:rFonts w:hint="eastAsia" w:ascii="宋体" w:hAnsi="宋体"/>
                <w:color w:val="auto"/>
                <w:szCs w:val="21"/>
                <w:highlight w:val="none"/>
              </w:rPr>
              <w:t>4.供应商财务状况报告及供应商财务状况承诺书（格式后附）（</w:t>
            </w:r>
            <w:bookmarkStart w:id="9" w:name="OLE_LINK14"/>
            <w:bookmarkStart w:id="10" w:name="OLE_LINK13"/>
            <w:r>
              <w:rPr>
                <w:rFonts w:hint="eastAsia" w:ascii="宋体" w:hAnsi="宋体"/>
                <w:color w:val="auto"/>
                <w:szCs w:val="21"/>
                <w:highlight w:val="none"/>
              </w:rPr>
              <w:t>2023年度</w:t>
            </w:r>
            <w:bookmarkEnd w:id="9"/>
            <w:bookmarkEnd w:id="10"/>
            <w:r>
              <w:rPr>
                <w:rFonts w:hint="eastAsia" w:ascii="宋体" w:hAnsi="宋体"/>
                <w:color w:val="auto"/>
                <w:szCs w:val="21"/>
                <w:highlight w:val="none"/>
              </w:rPr>
              <w:t>或202</w:t>
            </w:r>
            <w:r>
              <w:rPr>
                <w:rFonts w:ascii="宋体" w:hAnsi="宋体"/>
                <w:color w:val="auto"/>
                <w:szCs w:val="21"/>
                <w:highlight w:val="none"/>
              </w:rPr>
              <w:t>4</w:t>
            </w:r>
            <w:r>
              <w:rPr>
                <w:rFonts w:hint="eastAsia" w:ascii="宋体" w:hAnsi="宋体"/>
                <w:color w:val="auto"/>
                <w:szCs w:val="21"/>
                <w:highlight w:val="none"/>
              </w:rPr>
              <w:t>年度财务报表复印件，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w:t>
            </w:r>
            <w:r>
              <w:rPr>
                <w:rFonts w:hint="eastAsia" w:ascii="宋体" w:hAnsi="宋体"/>
                <w:b/>
                <w:color w:val="auto"/>
                <w:szCs w:val="21"/>
                <w:highlight w:val="none"/>
              </w:rPr>
              <w:t>（必须提供，否则响应文件按无效处理）</w:t>
            </w:r>
          </w:p>
          <w:p w14:paraId="0B6D91E3">
            <w:pPr>
              <w:spacing w:line="360" w:lineRule="auto"/>
              <w:jc w:val="left"/>
              <w:rPr>
                <w:rFonts w:ascii="宋体" w:hAnsi="宋体"/>
                <w:b/>
                <w:color w:val="auto"/>
                <w:szCs w:val="21"/>
                <w:highlight w:val="none"/>
              </w:rPr>
            </w:pPr>
            <w:r>
              <w:rPr>
                <w:rFonts w:hint="eastAsia" w:ascii="宋体" w:hAnsi="宋体"/>
                <w:color w:val="auto"/>
                <w:szCs w:val="21"/>
                <w:highlight w:val="none"/>
              </w:rPr>
              <w:t>5.供应商直接控股、管理关系信息表（格式后附）；</w:t>
            </w:r>
            <w:r>
              <w:rPr>
                <w:rFonts w:hint="eastAsia" w:ascii="宋体" w:hAnsi="宋体"/>
                <w:b/>
                <w:color w:val="auto"/>
                <w:szCs w:val="21"/>
                <w:highlight w:val="none"/>
              </w:rPr>
              <w:t>（必须提供，否则响应文件按无效处理）</w:t>
            </w:r>
          </w:p>
          <w:p w14:paraId="05827115">
            <w:pPr>
              <w:spacing w:line="360" w:lineRule="auto"/>
              <w:jc w:val="left"/>
              <w:rPr>
                <w:rFonts w:ascii="宋体" w:hAnsi="宋体"/>
                <w:b/>
                <w:color w:val="auto"/>
                <w:szCs w:val="21"/>
                <w:highlight w:val="none"/>
              </w:rPr>
            </w:pPr>
            <w:r>
              <w:rPr>
                <w:rFonts w:hint="eastAsia" w:ascii="宋体" w:hAnsi="宋体"/>
                <w:color w:val="auto"/>
                <w:szCs w:val="21"/>
                <w:highlight w:val="none"/>
              </w:rPr>
              <w:t>6.竞标声明（格式后附）；</w:t>
            </w:r>
            <w:r>
              <w:rPr>
                <w:rFonts w:hint="eastAsia" w:ascii="宋体" w:hAnsi="宋体"/>
                <w:b/>
                <w:color w:val="auto"/>
                <w:szCs w:val="21"/>
                <w:highlight w:val="none"/>
              </w:rPr>
              <w:t>（必须提供，否则响应文件按无效处理）</w:t>
            </w:r>
          </w:p>
          <w:p w14:paraId="6399100C">
            <w:pPr>
              <w:spacing w:line="360" w:lineRule="auto"/>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竞争性磋商公告对应的特定资格要求设置供应商提供的资格证明材料；</w:t>
            </w:r>
            <w:r>
              <w:rPr>
                <w:rFonts w:hint="eastAsia" w:ascii="宋体" w:hAnsi="宋体"/>
                <w:b/>
                <w:color w:val="auto"/>
                <w:szCs w:val="21"/>
                <w:highlight w:val="none"/>
              </w:rPr>
              <w:t>（必须提供，否则响应文件按无效处理）</w:t>
            </w:r>
          </w:p>
          <w:p w14:paraId="7838EE45">
            <w:pPr>
              <w:spacing w:line="360" w:lineRule="auto"/>
              <w:rPr>
                <w:rFonts w:ascii="宋体" w:hAnsi="宋体"/>
                <w:color w:val="auto"/>
                <w:szCs w:val="21"/>
                <w:highlight w:val="none"/>
              </w:rPr>
            </w:pPr>
            <w:r>
              <w:rPr>
                <w:rFonts w:hint="eastAsia" w:ascii="宋体" w:hAnsi="宋体"/>
                <w:color w:val="auto"/>
                <w:szCs w:val="21"/>
                <w:highlight w:val="none"/>
              </w:rPr>
              <w:t>（1）供应商具有有效的建筑工程施工总承包三级（含）以上资质，具备有效的省级及以上建设行政主管部门颁发的安全生产许可证，并在人员、设备、资金等方面具备相应的施工能力。</w:t>
            </w:r>
          </w:p>
          <w:p w14:paraId="3B19BD62">
            <w:pPr>
              <w:spacing w:line="360" w:lineRule="auto"/>
              <w:rPr>
                <w:rFonts w:ascii="宋体" w:hAnsi="宋体"/>
                <w:color w:val="auto"/>
                <w:szCs w:val="21"/>
                <w:highlight w:val="none"/>
              </w:rPr>
            </w:pPr>
            <w:r>
              <w:rPr>
                <w:rFonts w:hint="eastAsia" w:ascii="宋体" w:hAnsi="宋体"/>
                <w:color w:val="auto"/>
                <w:szCs w:val="21"/>
                <w:highlight w:val="none"/>
              </w:rPr>
              <w:t>（2）拟投入本项目的项目经理须具备建筑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2F9F11C1">
            <w:pPr>
              <w:spacing w:line="360" w:lineRule="auto"/>
              <w:jc w:val="left"/>
              <w:rPr>
                <w:rFonts w:ascii="宋体" w:hAnsi="宋体"/>
                <w:color w:val="auto"/>
                <w:szCs w:val="21"/>
                <w:highlight w:val="none"/>
              </w:rPr>
            </w:pPr>
            <w:r>
              <w:rPr>
                <w:rFonts w:hint="eastAsia" w:ascii="宋体" w:hAnsi="宋体"/>
                <w:color w:val="auto"/>
                <w:szCs w:val="21"/>
                <w:highlight w:val="none"/>
              </w:rPr>
              <w:t>（3）拟投入本项目的专职安全生产管理人员须具备有效的安全生产考核合格证书（C类）。</w:t>
            </w:r>
          </w:p>
          <w:p w14:paraId="76D0D819">
            <w:pPr>
              <w:spacing w:line="360" w:lineRule="auto"/>
              <w:jc w:val="left"/>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除磋商文件规定必须提供以外，供应商认为需要提供的其他证明材料；</w:t>
            </w:r>
          </w:p>
          <w:p w14:paraId="44FF24DA">
            <w:pPr>
              <w:spacing w:line="360" w:lineRule="auto"/>
              <w:jc w:val="left"/>
              <w:rPr>
                <w:rFonts w:ascii="宋体" w:hAnsi="宋体"/>
                <w:b/>
                <w:color w:val="auto"/>
                <w:szCs w:val="21"/>
                <w:highlight w:val="none"/>
              </w:rPr>
            </w:pPr>
            <w:r>
              <w:rPr>
                <w:rFonts w:hint="eastAsia" w:ascii="宋体" w:hAnsi="宋体"/>
                <w:b/>
                <w:color w:val="auto"/>
                <w:szCs w:val="21"/>
                <w:highlight w:val="none"/>
              </w:rPr>
              <w:t>注：</w:t>
            </w:r>
          </w:p>
          <w:p w14:paraId="0B359D16">
            <w:pPr>
              <w:spacing w:line="360" w:lineRule="auto"/>
              <w:jc w:val="left"/>
              <w:rPr>
                <w:rFonts w:ascii="宋体" w:hAnsi="宋体"/>
                <w:b/>
                <w:color w:val="auto"/>
                <w:szCs w:val="21"/>
                <w:highlight w:val="none"/>
              </w:rPr>
            </w:pPr>
            <w:r>
              <w:rPr>
                <w:rFonts w:hint="eastAsia" w:ascii="宋体" w:hAnsi="宋体"/>
                <w:b/>
                <w:color w:val="auto"/>
                <w:szCs w:val="21"/>
                <w:highlight w:val="none"/>
              </w:rPr>
              <w:t>1.以上标明“必须提供”的材料属于复印件的，必须加盖供应商公章，否则响应文件按无效响应处理。</w:t>
            </w:r>
          </w:p>
          <w:p w14:paraId="22D7F8F6">
            <w:pPr>
              <w:spacing w:line="360" w:lineRule="auto"/>
              <w:jc w:val="left"/>
              <w:rPr>
                <w:rFonts w:ascii="宋体" w:hAnsi="宋体"/>
                <w:color w:val="auto"/>
                <w:szCs w:val="21"/>
                <w:highlight w:val="none"/>
              </w:rPr>
            </w:pPr>
            <w:r>
              <w:rPr>
                <w:rFonts w:hint="eastAsia" w:ascii="宋体" w:hAnsi="宋体"/>
                <w:b/>
                <w:color w:val="auto"/>
                <w:szCs w:val="21"/>
                <w:highlight w:val="none"/>
              </w:rPr>
              <w:t>2.联合体竞标时，第1-5项资格证明文件联合体各方均必须分别提供，联合体各方分别盖章和签字，否则响应文件按无效响应处理。</w:t>
            </w:r>
          </w:p>
        </w:tc>
      </w:tr>
      <w:tr w14:paraId="65AD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E4C2BBA">
            <w:pPr>
              <w:spacing w:line="360" w:lineRule="auto"/>
              <w:jc w:val="center"/>
              <w:rPr>
                <w:rFonts w:ascii="宋体" w:hAnsi="宋体"/>
                <w:color w:val="auto"/>
                <w:szCs w:val="21"/>
                <w:highlight w:val="none"/>
              </w:rPr>
            </w:pPr>
            <w:r>
              <w:rPr>
                <w:rFonts w:hint="eastAsia" w:ascii="宋体" w:hAnsi="宋体"/>
                <w:color w:val="auto"/>
                <w:szCs w:val="21"/>
                <w:highlight w:val="none"/>
              </w:rPr>
              <w:t>12.1.2</w:t>
            </w:r>
          </w:p>
        </w:tc>
        <w:tc>
          <w:tcPr>
            <w:tcW w:w="8356" w:type="dxa"/>
            <w:vAlign w:val="center"/>
          </w:tcPr>
          <w:p w14:paraId="3B364BF9">
            <w:pPr>
              <w:spacing w:line="360" w:lineRule="auto"/>
              <w:jc w:val="left"/>
              <w:rPr>
                <w:rFonts w:ascii="宋体" w:hAnsi="宋体"/>
                <w:b/>
                <w:color w:val="auto"/>
                <w:szCs w:val="21"/>
                <w:highlight w:val="none"/>
              </w:rPr>
            </w:pPr>
            <w:r>
              <w:rPr>
                <w:rFonts w:hint="eastAsia" w:ascii="宋体" w:hAnsi="宋体"/>
                <w:b/>
                <w:color w:val="auto"/>
                <w:szCs w:val="21"/>
                <w:highlight w:val="none"/>
              </w:rPr>
              <w:t>报价文件</w:t>
            </w:r>
          </w:p>
          <w:p w14:paraId="2D0D5B49">
            <w:pPr>
              <w:spacing w:line="360" w:lineRule="auto"/>
              <w:jc w:val="left"/>
              <w:rPr>
                <w:rFonts w:ascii="宋体" w:hAnsi="宋体"/>
                <w:b/>
                <w:color w:val="auto"/>
                <w:szCs w:val="21"/>
                <w:highlight w:val="none"/>
              </w:rPr>
            </w:pPr>
            <w:r>
              <w:rPr>
                <w:rFonts w:hint="eastAsia" w:ascii="宋体" w:hAnsi="宋体"/>
                <w:color w:val="auto"/>
                <w:szCs w:val="21"/>
                <w:highlight w:val="none"/>
              </w:rPr>
              <w:t>1.竞标函及竞标函附录（格式后附）；</w:t>
            </w:r>
            <w:r>
              <w:rPr>
                <w:rFonts w:hint="eastAsia" w:ascii="宋体" w:hAnsi="宋体"/>
                <w:b/>
                <w:color w:val="auto"/>
                <w:szCs w:val="21"/>
                <w:highlight w:val="none"/>
              </w:rPr>
              <w:t>（必须提供，否则响应文件按无效处理）</w:t>
            </w:r>
          </w:p>
          <w:p w14:paraId="7473D276">
            <w:pPr>
              <w:spacing w:line="360" w:lineRule="auto"/>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.竞标报价表（格式后附）；</w:t>
            </w:r>
            <w:r>
              <w:rPr>
                <w:rFonts w:hint="eastAsia" w:ascii="宋体" w:hAnsi="宋体"/>
                <w:b/>
                <w:color w:val="auto"/>
                <w:szCs w:val="21"/>
                <w:highlight w:val="none"/>
              </w:rPr>
              <w:t>（必须提供，否则响应文件按无效处理）</w:t>
            </w:r>
          </w:p>
          <w:p w14:paraId="1A5DFBFF">
            <w:pPr>
              <w:spacing w:line="360" w:lineRule="auto"/>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.《中小企业声明函》或《残疾人福利性单位声明函》或监狱企业证明（由省级以上监狱管理局、戒毒管理局（含新疆生产建设兵团）出具的属于监狱企业的证明文件）；（如有请提供）</w:t>
            </w:r>
          </w:p>
          <w:p w14:paraId="22991452">
            <w:pPr>
              <w:spacing w:line="360" w:lineRule="auto"/>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.供应商认为需要提供的其他有关资料。（如有请提供）</w:t>
            </w:r>
          </w:p>
        </w:tc>
      </w:tr>
      <w:tr w14:paraId="1772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39C34A4">
            <w:pPr>
              <w:spacing w:line="360" w:lineRule="auto"/>
              <w:jc w:val="center"/>
              <w:rPr>
                <w:rFonts w:ascii="宋体" w:hAnsi="宋体"/>
                <w:color w:val="auto"/>
                <w:szCs w:val="21"/>
                <w:highlight w:val="none"/>
              </w:rPr>
            </w:pPr>
            <w:r>
              <w:rPr>
                <w:rFonts w:hint="eastAsia" w:ascii="宋体" w:hAnsi="宋体"/>
                <w:color w:val="auto"/>
                <w:szCs w:val="21"/>
                <w:highlight w:val="none"/>
              </w:rPr>
              <w:t>12.1.3</w:t>
            </w:r>
          </w:p>
        </w:tc>
        <w:tc>
          <w:tcPr>
            <w:tcW w:w="8356" w:type="dxa"/>
            <w:vAlign w:val="center"/>
          </w:tcPr>
          <w:p w14:paraId="5A9C5430">
            <w:pPr>
              <w:spacing w:line="360" w:lineRule="auto"/>
              <w:jc w:val="left"/>
              <w:rPr>
                <w:rFonts w:ascii="宋体" w:hAnsi="宋体"/>
                <w:b/>
                <w:color w:val="auto"/>
                <w:szCs w:val="21"/>
                <w:highlight w:val="none"/>
              </w:rPr>
            </w:pPr>
            <w:r>
              <w:rPr>
                <w:rFonts w:hint="eastAsia" w:ascii="宋体" w:hAnsi="宋体"/>
                <w:b/>
                <w:color w:val="auto"/>
                <w:szCs w:val="21"/>
                <w:highlight w:val="none"/>
              </w:rPr>
              <w:t>商务技术文件</w:t>
            </w:r>
          </w:p>
          <w:p w14:paraId="3A56A2C2">
            <w:pPr>
              <w:spacing w:line="360" w:lineRule="auto"/>
              <w:jc w:val="left"/>
              <w:rPr>
                <w:rFonts w:ascii="宋体" w:hAnsi="宋体"/>
                <w:b/>
                <w:color w:val="auto"/>
                <w:szCs w:val="21"/>
                <w:highlight w:val="none"/>
              </w:rPr>
            </w:pPr>
            <w:r>
              <w:rPr>
                <w:rFonts w:hint="eastAsia" w:ascii="宋体" w:hAnsi="宋体"/>
                <w:color w:val="auto"/>
                <w:szCs w:val="21"/>
                <w:highlight w:val="none"/>
              </w:rPr>
              <w:t>1.无串通参加竞争性磋商行为的承诺函（格式后附）；</w:t>
            </w:r>
            <w:r>
              <w:rPr>
                <w:rFonts w:hint="eastAsia" w:ascii="宋体" w:hAnsi="宋体"/>
                <w:b/>
                <w:color w:val="auto"/>
                <w:szCs w:val="21"/>
                <w:highlight w:val="none"/>
              </w:rPr>
              <w:t>（必须提供，否则响应文件按无效处理）</w:t>
            </w:r>
          </w:p>
          <w:p w14:paraId="28AEC6D8">
            <w:pPr>
              <w:spacing w:line="360" w:lineRule="auto"/>
              <w:jc w:val="left"/>
              <w:rPr>
                <w:rFonts w:ascii="宋体" w:hAnsi="宋体"/>
                <w:b/>
                <w:color w:val="auto"/>
                <w:szCs w:val="21"/>
                <w:highlight w:val="none"/>
              </w:rPr>
            </w:pPr>
            <w:r>
              <w:rPr>
                <w:rFonts w:hint="eastAsia" w:ascii="宋体" w:hAnsi="宋体"/>
                <w:color w:val="auto"/>
                <w:szCs w:val="21"/>
                <w:highlight w:val="none"/>
              </w:rPr>
              <w:t>2.法定代表人身份证明书及法定代表人有效身份证正反面复印件（格式后附）；</w:t>
            </w:r>
            <w:r>
              <w:rPr>
                <w:rFonts w:hint="eastAsia" w:ascii="宋体" w:hAnsi="宋体"/>
                <w:b/>
                <w:color w:val="auto"/>
                <w:szCs w:val="21"/>
                <w:highlight w:val="none"/>
              </w:rPr>
              <w:t>（必须提供，否则响应文件按无效处理）</w:t>
            </w:r>
          </w:p>
          <w:p w14:paraId="540F0231">
            <w:pPr>
              <w:spacing w:line="360" w:lineRule="auto"/>
              <w:jc w:val="left"/>
              <w:rPr>
                <w:rFonts w:ascii="宋体" w:hAnsi="宋体"/>
                <w:b/>
                <w:color w:val="auto"/>
                <w:szCs w:val="21"/>
                <w:highlight w:val="none"/>
              </w:rPr>
            </w:pPr>
            <w:r>
              <w:rPr>
                <w:rFonts w:hint="eastAsia" w:ascii="宋体" w:hAnsi="宋体"/>
                <w:color w:val="auto"/>
                <w:szCs w:val="21"/>
                <w:highlight w:val="none"/>
              </w:rPr>
              <w:t>3.授权委托书及委托代理人有效身份证正反面复印件（格式后附）；</w:t>
            </w:r>
            <w:r>
              <w:rPr>
                <w:rFonts w:hint="eastAsia" w:ascii="宋体" w:hAnsi="宋体"/>
                <w:b/>
                <w:color w:val="auto"/>
                <w:szCs w:val="21"/>
                <w:highlight w:val="none"/>
              </w:rPr>
              <w:t>（委托时必须提供，否则响应文件按无效处理）</w:t>
            </w:r>
          </w:p>
          <w:p w14:paraId="5ED3F4B4">
            <w:pPr>
              <w:spacing w:line="360" w:lineRule="auto"/>
              <w:jc w:val="left"/>
              <w:rPr>
                <w:rFonts w:ascii="宋体" w:hAnsi="宋体"/>
                <w:b/>
                <w:color w:val="auto"/>
                <w:szCs w:val="21"/>
                <w:highlight w:val="none"/>
              </w:rPr>
            </w:pPr>
            <w:r>
              <w:rPr>
                <w:rFonts w:hint="eastAsia" w:ascii="宋体" w:hAnsi="宋体"/>
                <w:color w:val="auto"/>
                <w:szCs w:val="21"/>
                <w:highlight w:val="none"/>
              </w:rPr>
              <w:t>4.磋商保证金提交凭证；</w:t>
            </w:r>
            <w:r>
              <w:rPr>
                <w:rFonts w:hint="eastAsia" w:ascii="宋体" w:hAnsi="宋体"/>
                <w:b/>
                <w:color w:val="auto"/>
                <w:szCs w:val="21"/>
                <w:highlight w:val="none"/>
              </w:rPr>
              <w:t>（如要求提交磋商保证金的则必须提供，否则响应文件按无效处理）</w:t>
            </w:r>
          </w:p>
          <w:p w14:paraId="3CCA2002">
            <w:pPr>
              <w:spacing w:line="360" w:lineRule="auto"/>
              <w:jc w:val="left"/>
              <w:rPr>
                <w:rFonts w:ascii="宋体" w:hAnsi="宋体"/>
                <w:b/>
                <w:color w:val="auto"/>
                <w:szCs w:val="21"/>
                <w:highlight w:val="none"/>
              </w:rPr>
            </w:pPr>
            <w:r>
              <w:rPr>
                <w:rFonts w:hint="eastAsia" w:ascii="宋体" w:hAnsi="宋体"/>
                <w:color w:val="auto"/>
                <w:szCs w:val="21"/>
                <w:highlight w:val="none"/>
              </w:rPr>
              <w:t>5.建筑材料和设备节能环保要求承诺书（格式后附）</w:t>
            </w:r>
            <w:r>
              <w:rPr>
                <w:rFonts w:hint="eastAsia" w:ascii="宋体" w:hAnsi="宋体"/>
                <w:b/>
                <w:color w:val="auto"/>
                <w:szCs w:val="21"/>
                <w:highlight w:val="none"/>
              </w:rPr>
              <w:t>；（必须提供，否则响应文件按无效响应处理）</w:t>
            </w:r>
          </w:p>
          <w:p w14:paraId="3D45A0B7">
            <w:pPr>
              <w:spacing w:line="360" w:lineRule="auto"/>
              <w:jc w:val="left"/>
              <w:rPr>
                <w:rFonts w:ascii="宋体" w:hAnsi="宋体"/>
                <w:color w:val="auto"/>
                <w:szCs w:val="21"/>
                <w:highlight w:val="none"/>
              </w:rPr>
            </w:pPr>
            <w:r>
              <w:rPr>
                <w:rFonts w:hint="eastAsia" w:ascii="宋体" w:hAnsi="宋体"/>
                <w:color w:val="auto"/>
                <w:szCs w:val="21"/>
                <w:highlight w:val="none"/>
              </w:rPr>
              <w:t>6.总工程量承诺书（格式自拟）；</w:t>
            </w:r>
            <w:r>
              <w:rPr>
                <w:rFonts w:hint="eastAsia" w:ascii="宋体" w:hAnsi="宋体"/>
                <w:b/>
                <w:color w:val="auto"/>
                <w:szCs w:val="21"/>
                <w:highlight w:val="none"/>
              </w:rPr>
              <w:t>（必须提供，承诺书须包含有“如我单位成交，开工30日历天内现场已完成工程量未达到总工程量的60%的，采购人有权委托其他施工单位共同完成剩余工程。如成交人拒不配合的，采购人有权解除合同，并向采购人支付合同价5%的违约金”的内容，否则响应文件按无效响应处理）</w:t>
            </w:r>
          </w:p>
          <w:p w14:paraId="045F949B">
            <w:pPr>
              <w:spacing w:line="360" w:lineRule="auto"/>
              <w:jc w:val="left"/>
              <w:rPr>
                <w:rFonts w:ascii="宋体" w:hAnsi="宋体"/>
                <w:b/>
                <w:color w:val="auto"/>
                <w:szCs w:val="21"/>
                <w:highlight w:val="none"/>
              </w:rPr>
            </w:pPr>
            <w:r>
              <w:rPr>
                <w:rFonts w:hint="eastAsia" w:ascii="宋体" w:hAnsi="宋体"/>
                <w:color w:val="auto"/>
                <w:szCs w:val="21"/>
                <w:highlight w:val="none"/>
              </w:rPr>
              <w:t>7.商务条款偏离表（格式后附）；</w:t>
            </w:r>
            <w:r>
              <w:rPr>
                <w:rFonts w:hint="eastAsia" w:ascii="宋体" w:hAnsi="宋体"/>
                <w:b/>
                <w:color w:val="auto"/>
                <w:szCs w:val="21"/>
                <w:highlight w:val="none"/>
              </w:rPr>
              <w:t>（必须提供，否则响应文件按无效响应处理）</w:t>
            </w:r>
          </w:p>
          <w:p w14:paraId="61D4B168">
            <w:pPr>
              <w:spacing w:line="360" w:lineRule="auto"/>
              <w:jc w:val="left"/>
              <w:rPr>
                <w:rFonts w:ascii="宋体" w:hAnsi="宋体"/>
                <w:b/>
                <w:color w:val="auto"/>
                <w:szCs w:val="21"/>
                <w:highlight w:val="none"/>
              </w:rPr>
            </w:pPr>
            <w:r>
              <w:rPr>
                <w:rFonts w:hint="eastAsia" w:ascii="宋体" w:hAnsi="宋体"/>
                <w:color w:val="auto"/>
                <w:szCs w:val="21"/>
                <w:highlight w:val="none"/>
              </w:rPr>
              <w:t>8.技术要求偏离表（格式后附）；</w:t>
            </w:r>
            <w:r>
              <w:rPr>
                <w:rFonts w:hint="eastAsia" w:ascii="宋体" w:hAnsi="宋体"/>
                <w:b/>
                <w:color w:val="auto"/>
                <w:szCs w:val="21"/>
                <w:highlight w:val="none"/>
              </w:rPr>
              <w:t>（必须提供，否则响应文件按无效响应处理）</w:t>
            </w:r>
          </w:p>
          <w:p w14:paraId="37A6DE57">
            <w:pPr>
              <w:spacing w:line="360" w:lineRule="auto"/>
              <w:jc w:val="left"/>
              <w:rPr>
                <w:rFonts w:ascii="宋体" w:hAnsi="宋体"/>
                <w:b/>
                <w:color w:val="auto"/>
                <w:szCs w:val="21"/>
                <w:highlight w:val="none"/>
              </w:rPr>
            </w:pPr>
            <w:r>
              <w:rPr>
                <w:rFonts w:hint="eastAsia" w:ascii="宋体" w:hAnsi="宋体"/>
                <w:color w:val="auto"/>
                <w:szCs w:val="21"/>
                <w:highlight w:val="none"/>
              </w:rPr>
              <w:t>9.施工组织设计（格式自拟）；</w:t>
            </w:r>
            <w:r>
              <w:rPr>
                <w:rFonts w:hint="eastAsia" w:ascii="宋体" w:hAnsi="宋体"/>
                <w:b/>
                <w:color w:val="auto"/>
                <w:szCs w:val="21"/>
                <w:highlight w:val="none"/>
              </w:rPr>
              <w:t>（必须提供，否则响应文件按无效处理）</w:t>
            </w:r>
          </w:p>
          <w:p w14:paraId="4E3F9274">
            <w:pPr>
              <w:spacing w:line="360" w:lineRule="auto"/>
              <w:jc w:val="left"/>
              <w:rPr>
                <w:rFonts w:ascii="宋体" w:hAnsi="宋体"/>
                <w:color w:val="auto"/>
                <w:szCs w:val="21"/>
                <w:highlight w:val="none"/>
              </w:rPr>
            </w:pPr>
            <w:r>
              <w:rPr>
                <w:rFonts w:hint="eastAsia" w:ascii="宋体" w:hAnsi="宋体"/>
                <w:color w:val="auto"/>
                <w:szCs w:val="21"/>
                <w:highlight w:val="none"/>
              </w:rPr>
              <w:t>10.拟分包项目情况表（格式自拟）；</w:t>
            </w:r>
            <w:r>
              <w:rPr>
                <w:rFonts w:hint="eastAsia" w:ascii="宋体" w:hAnsi="宋体"/>
                <w:b/>
                <w:color w:val="auto"/>
                <w:szCs w:val="21"/>
                <w:highlight w:val="none"/>
              </w:rPr>
              <w:t>（如有）</w:t>
            </w:r>
          </w:p>
          <w:p w14:paraId="768A728C">
            <w:pPr>
              <w:spacing w:line="360" w:lineRule="auto"/>
              <w:jc w:val="left"/>
              <w:rPr>
                <w:rFonts w:ascii="宋体" w:hAnsi="宋体"/>
                <w:color w:val="auto"/>
                <w:szCs w:val="21"/>
                <w:highlight w:val="none"/>
              </w:rPr>
            </w:pPr>
            <w:r>
              <w:rPr>
                <w:rFonts w:hint="eastAsia" w:ascii="宋体" w:hAnsi="宋体"/>
                <w:color w:val="auto"/>
                <w:szCs w:val="21"/>
                <w:highlight w:val="none"/>
              </w:rPr>
              <w:t>11.项目管理机构配备情况表及主要人员简历表</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格式</w:t>
            </w:r>
            <w:r>
              <w:rPr>
                <w:rFonts w:hint="eastAsia" w:ascii="宋体" w:hAnsi="宋体"/>
                <w:b w:val="0"/>
                <w:bCs w:val="0"/>
                <w:color w:val="auto"/>
                <w:szCs w:val="21"/>
                <w:highlight w:val="none"/>
                <w:lang w:val="en-US" w:eastAsia="zh-CN"/>
              </w:rPr>
              <w:t>自拟）</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b/>
                <w:bCs/>
                <w:color w:val="auto"/>
                <w:szCs w:val="21"/>
                <w:highlight w:val="none"/>
                <w:lang w:val="en-US" w:eastAsia="zh-CN"/>
              </w:rPr>
              <w:t>，</w:t>
            </w:r>
            <w:r>
              <w:rPr>
                <w:rFonts w:hint="eastAsia" w:ascii="宋体" w:hAnsi="宋体"/>
                <w:b/>
                <w:color w:val="auto"/>
                <w:szCs w:val="21"/>
                <w:highlight w:val="none"/>
              </w:rPr>
              <w:t>否则响应文件按无效处理）</w:t>
            </w:r>
          </w:p>
          <w:p w14:paraId="751648F5">
            <w:pPr>
              <w:spacing w:line="360" w:lineRule="auto"/>
              <w:jc w:val="left"/>
              <w:rPr>
                <w:rFonts w:ascii="宋体" w:hAnsi="宋体"/>
                <w:color w:val="auto"/>
                <w:szCs w:val="21"/>
                <w:highlight w:val="none"/>
              </w:rPr>
            </w:pPr>
            <w:r>
              <w:rPr>
                <w:rFonts w:hint="eastAsia" w:ascii="宋体" w:hAnsi="宋体"/>
                <w:color w:val="auto"/>
                <w:szCs w:val="21"/>
                <w:highlight w:val="none"/>
              </w:rPr>
              <w:t>12.供应商业绩一览表（格式</w:t>
            </w:r>
            <w:r>
              <w:rPr>
                <w:rFonts w:hint="eastAsia" w:ascii="宋体" w:hAnsi="宋体"/>
                <w:color w:val="auto"/>
                <w:szCs w:val="21"/>
                <w:highlight w:val="none"/>
                <w:lang w:val="en-US" w:eastAsia="zh-CN"/>
              </w:rPr>
              <w:t>自拟</w:t>
            </w:r>
            <w:r>
              <w:rPr>
                <w:rFonts w:hint="eastAsia" w:ascii="宋体" w:hAnsi="宋体"/>
                <w:color w:val="auto"/>
                <w:szCs w:val="21"/>
                <w:highlight w:val="none"/>
              </w:rPr>
              <w:t>）；</w:t>
            </w:r>
            <w:r>
              <w:rPr>
                <w:rFonts w:hint="eastAsia" w:ascii="宋体" w:hAnsi="宋体"/>
                <w:b/>
                <w:color w:val="auto"/>
                <w:szCs w:val="21"/>
                <w:highlight w:val="none"/>
              </w:rPr>
              <w:t>（如有）</w:t>
            </w:r>
          </w:p>
          <w:p w14:paraId="4E672B83">
            <w:pPr>
              <w:spacing w:line="360" w:lineRule="auto"/>
              <w:jc w:val="left"/>
              <w:rPr>
                <w:rFonts w:ascii="宋体" w:hAnsi="宋体"/>
                <w:color w:val="auto"/>
                <w:szCs w:val="21"/>
                <w:highlight w:val="none"/>
              </w:rPr>
            </w:pPr>
            <w:r>
              <w:rPr>
                <w:rFonts w:hint="eastAsia" w:ascii="宋体" w:hAnsi="宋体"/>
                <w:color w:val="auto"/>
                <w:szCs w:val="21"/>
                <w:highlight w:val="none"/>
              </w:rPr>
              <w:t>13.供应商认为需要提供的其他有关资料。</w:t>
            </w:r>
            <w:r>
              <w:rPr>
                <w:rFonts w:hint="eastAsia" w:ascii="宋体" w:hAnsi="宋体"/>
                <w:b/>
                <w:color w:val="auto"/>
                <w:szCs w:val="21"/>
                <w:highlight w:val="none"/>
              </w:rPr>
              <w:t>（如有）</w:t>
            </w:r>
          </w:p>
          <w:p w14:paraId="66FD1DF3">
            <w:pPr>
              <w:spacing w:line="360" w:lineRule="auto"/>
              <w:jc w:val="left"/>
              <w:rPr>
                <w:rFonts w:ascii="宋体" w:hAnsi="宋体"/>
                <w:b/>
                <w:color w:val="auto"/>
                <w:szCs w:val="21"/>
                <w:highlight w:val="none"/>
              </w:rPr>
            </w:pPr>
            <w:r>
              <w:rPr>
                <w:rFonts w:hint="eastAsia" w:ascii="宋体" w:hAnsi="宋体"/>
                <w:b/>
                <w:color w:val="auto"/>
                <w:szCs w:val="21"/>
                <w:highlight w:val="none"/>
              </w:rPr>
              <w:t>注：以上标明“必须提供”的材料属于复印件的，必须加盖供应商公章，否则响应文件按无效处理。</w:t>
            </w:r>
          </w:p>
        </w:tc>
      </w:tr>
      <w:tr w14:paraId="16E0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C10F41B">
            <w:pPr>
              <w:spacing w:line="360" w:lineRule="auto"/>
              <w:jc w:val="center"/>
              <w:rPr>
                <w:rFonts w:ascii="宋体" w:hAnsi="宋体"/>
                <w:color w:val="auto"/>
                <w:szCs w:val="21"/>
                <w:highlight w:val="none"/>
              </w:rPr>
            </w:pPr>
            <w:r>
              <w:rPr>
                <w:rFonts w:hint="eastAsia" w:ascii="宋体" w:hAnsi="宋体"/>
                <w:color w:val="auto"/>
                <w:szCs w:val="21"/>
                <w:highlight w:val="none"/>
              </w:rPr>
              <w:t>15.1</w:t>
            </w:r>
          </w:p>
        </w:tc>
        <w:tc>
          <w:tcPr>
            <w:tcW w:w="8356" w:type="dxa"/>
            <w:vAlign w:val="center"/>
          </w:tcPr>
          <w:p w14:paraId="21716948">
            <w:pPr>
              <w:spacing w:line="360" w:lineRule="auto"/>
              <w:jc w:val="left"/>
              <w:rPr>
                <w:rFonts w:ascii="宋体" w:hAnsi="宋体"/>
                <w:b/>
                <w:color w:val="auto"/>
                <w:szCs w:val="21"/>
                <w:highlight w:val="none"/>
              </w:rPr>
            </w:pPr>
            <w:r>
              <w:rPr>
                <w:rFonts w:hint="eastAsia" w:ascii="宋体" w:hAnsi="宋体" w:cs="宋体"/>
                <w:b/>
                <w:color w:val="auto"/>
                <w:szCs w:val="21"/>
                <w:highlight w:val="none"/>
              </w:rPr>
              <w:t>竞争性磋商报价采用下浮系数报价（报价范围：0≤下浮系数＜100%），供应商应认真阅读已经采购人审定的最高限价，参与磋商即表示认可最高限价，成交后依据采购预算价（招标控制价）公布的相应的清单项目的单价乘以（1-下浮系数）进行结算，竞标人不得对采购人的采购预算价（招标控制价）中的综合单价进行修改。</w:t>
            </w:r>
          </w:p>
        </w:tc>
      </w:tr>
      <w:tr w14:paraId="04BC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4A07D71">
            <w:pPr>
              <w:spacing w:line="360" w:lineRule="auto"/>
              <w:jc w:val="center"/>
              <w:rPr>
                <w:rFonts w:ascii="宋体" w:hAnsi="宋体"/>
                <w:color w:val="auto"/>
                <w:szCs w:val="21"/>
                <w:highlight w:val="none"/>
              </w:rPr>
            </w:pPr>
            <w:r>
              <w:rPr>
                <w:rFonts w:hint="eastAsia" w:ascii="宋体" w:hAnsi="宋体"/>
                <w:color w:val="auto"/>
                <w:szCs w:val="21"/>
                <w:highlight w:val="none"/>
              </w:rPr>
              <w:t>15.2</w:t>
            </w:r>
          </w:p>
        </w:tc>
        <w:tc>
          <w:tcPr>
            <w:tcW w:w="8356" w:type="dxa"/>
            <w:vAlign w:val="center"/>
          </w:tcPr>
          <w:p w14:paraId="5BF9443F">
            <w:pPr>
              <w:spacing w:line="360" w:lineRule="auto"/>
              <w:jc w:val="left"/>
              <w:rPr>
                <w:rFonts w:ascii="宋体" w:hAnsi="宋体"/>
                <w:color w:val="auto"/>
                <w:szCs w:val="21"/>
                <w:highlight w:val="none"/>
              </w:rPr>
            </w:pPr>
            <w:r>
              <w:rPr>
                <w:rFonts w:hint="eastAsia" w:ascii="宋体" w:hAnsi="宋体"/>
                <w:color w:val="auto"/>
                <w:szCs w:val="21"/>
                <w:highlight w:val="none"/>
              </w:rPr>
              <w:t>竞争性磋商报价包括为实施和完成合同工程所需的劳务、材料、机械、质检（自检）、安装、缺陷修复、管理、保险、税费、利润以及安全文明施工费等费用，以及合同明示或暗示的所有责任、义务和一般风险。</w:t>
            </w:r>
          </w:p>
        </w:tc>
      </w:tr>
      <w:tr w14:paraId="6046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CD1641A">
            <w:pPr>
              <w:spacing w:line="360" w:lineRule="auto"/>
              <w:jc w:val="center"/>
              <w:rPr>
                <w:rFonts w:ascii="宋体" w:hAnsi="宋体"/>
                <w:color w:val="auto"/>
                <w:szCs w:val="21"/>
                <w:highlight w:val="none"/>
              </w:rPr>
            </w:pPr>
            <w:r>
              <w:rPr>
                <w:rFonts w:ascii="宋体" w:hAnsi="宋体"/>
                <w:color w:val="auto"/>
                <w:szCs w:val="21"/>
                <w:highlight w:val="none"/>
              </w:rPr>
              <w:t>15.3</w:t>
            </w:r>
          </w:p>
        </w:tc>
        <w:tc>
          <w:tcPr>
            <w:tcW w:w="8356" w:type="dxa"/>
            <w:vAlign w:val="center"/>
          </w:tcPr>
          <w:p w14:paraId="47FA16BB">
            <w:pPr>
              <w:spacing w:line="360" w:lineRule="auto"/>
              <w:jc w:val="left"/>
              <w:rPr>
                <w:rFonts w:ascii="宋体" w:hAnsi="宋体"/>
                <w:color w:val="auto"/>
                <w:szCs w:val="21"/>
                <w:highlight w:val="none"/>
              </w:rPr>
            </w:pPr>
            <w:r>
              <w:rPr>
                <w:rFonts w:hint="eastAsia" w:ascii="宋体" w:hAnsi="宋体"/>
                <w:color w:val="auto"/>
                <w:szCs w:val="21"/>
                <w:highlight w:val="none"/>
              </w:rPr>
              <w:t>本工程增值税计税方法：</w:t>
            </w:r>
            <w:r>
              <w:rPr>
                <w:rFonts w:hint="eastAsia" w:ascii="宋体" w:hAnsi="宋体"/>
                <w:color w:val="auto"/>
                <w:szCs w:val="21"/>
                <w:highlight w:val="none"/>
              </w:rPr>
              <w:sym w:font="Wingdings 2" w:char="F052"/>
            </w:r>
            <w:r>
              <w:rPr>
                <w:rFonts w:hint="eastAsia" w:ascii="宋体" w:hAnsi="宋体"/>
                <w:color w:val="auto"/>
                <w:szCs w:val="21"/>
                <w:highlight w:val="none"/>
              </w:rPr>
              <w:t>一般计税法；□简易计税法</w:t>
            </w:r>
          </w:p>
        </w:tc>
      </w:tr>
      <w:tr w14:paraId="17C7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A889D2A">
            <w:pPr>
              <w:spacing w:line="360" w:lineRule="auto"/>
              <w:jc w:val="center"/>
              <w:rPr>
                <w:rFonts w:ascii="宋体" w:hAnsi="宋体"/>
                <w:color w:val="auto"/>
                <w:szCs w:val="21"/>
                <w:highlight w:val="none"/>
              </w:rPr>
            </w:pPr>
            <w:r>
              <w:rPr>
                <w:rFonts w:hint="eastAsia" w:ascii="宋体" w:hAnsi="宋体"/>
                <w:color w:val="auto"/>
                <w:szCs w:val="21"/>
                <w:highlight w:val="none"/>
              </w:rPr>
              <w:t>16.2</w:t>
            </w:r>
          </w:p>
        </w:tc>
        <w:tc>
          <w:tcPr>
            <w:tcW w:w="8356" w:type="dxa"/>
            <w:vAlign w:val="center"/>
          </w:tcPr>
          <w:p w14:paraId="06020D5B">
            <w:pPr>
              <w:spacing w:line="360" w:lineRule="auto"/>
              <w:jc w:val="left"/>
              <w:rPr>
                <w:rFonts w:ascii="宋体" w:hAnsi="宋体"/>
                <w:color w:val="auto"/>
                <w:szCs w:val="21"/>
                <w:highlight w:val="none"/>
              </w:rPr>
            </w:pPr>
            <w:r>
              <w:rPr>
                <w:rFonts w:hint="eastAsia" w:ascii="宋体" w:hAnsi="宋体"/>
                <w:color w:val="auto"/>
                <w:szCs w:val="21"/>
                <w:highlight w:val="none"/>
              </w:rPr>
              <w:t>竞争性磋商有效期：自首次响应文件提交截止之日起120日。</w:t>
            </w:r>
          </w:p>
        </w:tc>
      </w:tr>
      <w:tr w14:paraId="62C1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D077148">
            <w:pPr>
              <w:spacing w:line="360" w:lineRule="auto"/>
              <w:jc w:val="center"/>
              <w:rPr>
                <w:rFonts w:ascii="宋体" w:hAnsi="宋体"/>
                <w:color w:val="auto"/>
                <w:szCs w:val="21"/>
                <w:highlight w:val="none"/>
              </w:rPr>
            </w:pPr>
            <w:r>
              <w:rPr>
                <w:rFonts w:ascii="宋体" w:hAnsi="宋体"/>
                <w:color w:val="auto"/>
                <w:szCs w:val="21"/>
                <w:highlight w:val="none"/>
              </w:rPr>
              <w:t>17.1</w:t>
            </w:r>
          </w:p>
        </w:tc>
        <w:tc>
          <w:tcPr>
            <w:tcW w:w="8356" w:type="dxa"/>
            <w:vAlign w:val="center"/>
          </w:tcPr>
          <w:p w14:paraId="3191C17B">
            <w:pPr>
              <w:spacing w:line="360" w:lineRule="auto"/>
              <w:jc w:val="left"/>
              <w:rPr>
                <w:rFonts w:ascii="宋体" w:hAnsi="宋体"/>
                <w:color w:val="auto"/>
                <w:szCs w:val="21"/>
                <w:highlight w:val="none"/>
              </w:rPr>
            </w:pPr>
            <w:r>
              <w:rPr>
                <w:rFonts w:hint="eastAsia" w:ascii="宋体" w:hAnsi="宋体"/>
                <w:color w:val="auto"/>
                <w:szCs w:val="21"/>
                <w:highlight w:val="none"/>
              </w:rPr>
              <w:t>□本项目不收取磋商保证金。</w:t>
            </w:r>
          </w:p>
          <w:p w14:paraId="3FB85BDB">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本项目收取磋商保证金，具体规定如下：</w:t>
            </w:r>
          </w:p>
          <w:p w14:paraId="1EA8C809">
            <w:pPr>
              <w:spacing w:line="360" w:lineRule="auto"/>
              <w:jc w:val="left"/>
              <w:rPr>
                <w:rFonts w:ascii="宋体" w:hAnsi="宋体"/>
                <w:color w:val="auto"/>
                <w:szCs w:val="21"/>
                <w:highlight w:val="none"/>
              </w:rPr>
            </w:pPr>
            <w:r>
              <w:rPr>
                <w:rFonts w:hint="eastAsia" w:ascii="宋体" w:hAnsi="宋体"/>
                <w:color w:val="auto"/>
                <w:szCs w:val="21"/>
                <w:highlight w:val="none"/>
              </w:rPr>
              <w:t>磋商保证金（人民币）：</w:t>
            </w:r>
            <w:r>
              <w:rPr>
                <w:rFonts w:hint="eastAsia" w:ascii="宋体" w:hAnsi="宋体" w:cs="宋体"/>
                <w:color w:val="auto"/>
                <w:kern w:val="0"/>
                <w:szCs w:val="21"/>
                <w:highlight w:val="none"/>
              </w:rPr>
              <w:t>1分标人民币2</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000.00元；2分标人民币</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000.00元</w:t>
            </w:r>
            <w:r>
              <w:rPr>
                <w:rFonts w:hint="eastAsia" w:ascii="宋体" w:hAnsi="宋体"/>
                <w:color w:val="auto"/>
                <w:szCs w:val="21"/>
                <w:highlight w:val="none"/>
              </w:rPr>
              <w:t>。</w:t>
            </w:r>
          </w:p>
          <w:p w14:paraId="4C0ED530">
            <w:pPr>
              <w:spacing w:line="360" w:lineRule="auto"/>
              <w:jc w:val="left"/>
              <w:rPr>
                <w:rFonts w:ascii="宋体" w:hAnsi="宋体"/>
                <w:color w:val="auto"/>
                <w:szCs w:val="21"/>
                <w:highlight w:val="none"/>
              </w:rPr>
            </w:pPr>
            <w:r>
              <w:rPr>
                <w:rFonts w:hint="eastAsia" w:ascii="宋体" w:hAnsi="宋体"/>
                <w:color w:val="auto"/>
                <w:szCs w:val="21"/>
                <w:highlight w:val="none"/>
              </w:rPr>
              <w:t>磋商保证金的缴纳账号信息：</w:t>
            </w:r>
          </w:p>
          <w:p w14:paraId="70157D0F">
            <w:pPr>
              <w:spacing w:line="360" w:lineRule="auto"/>
              <w:jc w:val="left"/>
              <w:rPr>
                <w:rFonts w:ascii="宋体" w:hAnsi="宋体"/>
                <w:color w:val="auto"/>
                <w:szCs w:val="21"/>
                <w:highlight w:val="none"/>
              </w:rPr>
            </w:pPr>
            <w:r>
              <w:rPr>
                <w:rFonts w:hint="eastAsia" w:ascii="宋体" w:hAnsi="宋体"/>
                <w:color w:val="auto"/>
                <w:szCs w:val="21"/>
                <w:highlight w:val="none"/>
              </w:rPr>
              <w:t>开户名称：</w:t>
            </w:r>
            <w:r>
              <w:rPr>
                <w:rFonts w:hint="eastAsia" w:ascii="宋体" w:hAnsi="宋体"/>
                <w:color w:val="auto"/>
                <w:szCs w:val="21"/>
                <w:highlight w:val="none"/>
                <w:lang w:eastAsia="zh-CN"/>
              </w:rPr>
              <w:t>广西正海招标有限公司</w:t>
            </w:r>
            <w:r>
              <w:rPr>
                <w:rFonts w:hint="eastAsia" w:ascii="宋体" w:hAnsi="宋体"/>
                <w:color w:val="auto"/>
                <w:szCs w:val="21"/>
                <w:highlight w:val="none"/>
              </w:rPr>
              <w:t>；</w:t>
            </w:r>
          </w:p>
          <w:p w14:paraId="036B9480">
            <w:pPr>
              <w:spacing w:line="360" w:lineRule="auto"/>
              <w:jc w:val="left"/>
              <w:rPr>
                <w:rFonts w:ascii="宋体" w:hAnsi="宋体"/>
                <w:color w:val="auto"/>
                <w:szCs w:val="21"/>
                <w:highlight w:val="none"/>
              </w:rPr>
            </w:pPr>
            <w:r>
              <w:rPr>
                <w:rFonts w:hint="eastAsia" w:ascii="宋体" w:hAnsi="宋体"/>
                <w:color w:val="auto"/>
                <w:szCs w:val="21"/>
                <w:highlight w:val="none"/>
              </w:rPr>
              <w:t>账号：</w:t>
            </w:r>
            <w:r>
              <w:rPr>
                <w:rFonts w:hint="eastAsia" w:ascii="宋体" w:hAnsi="宋体"/>
                <w:color w:val="auto"/>
                <w:szCs w:val="21"/>
                <w:highlight w:val="none"/>
                <w:lang w:eastAsia="zh-CN"/>
              </w:rPr>
              <w:t>800105504300012</w:t>
            </w:r>
            <w:r>
              <w:rPr>
                <w:rFonts w:hint="eastAsia" w:ascii="宋体" w:hAnsi="宋体"/>
                <w:color w:val="auto"/>
                <w:szCs w:val="21"/>
                <w:highlight w:val="none"/>
              </w:rPr>
              <w:t>；</w:t>
            </w:r>
          </w:p>
          <w:p w14:paraId="512CA347">
            <w:pPr>
              <w:spacing w:line="360" w:lineRule="auto"/>
              <w:jc w:val="left"/>
              <w:rPr>
                <w:rFonts w:ascii="宋体" w:hAnsi="宋体"/>
                <w:color w:val="auto"/>
                <w:szCs w:val="21"/>
                <w:highlight w:val="none"/>
              </w:rPr>
            </w:pPr>
            <w:r>
              <w:rPr>
                <w:rFonts w:hint="eastAsia" w:ascii="宋体" w:hAnsi="宋体"/>
                <w:color w:val="auto"/>
                <w:szCs w:val="21"/>
                <w:highlight w:val="none"/>
              </w:rPr>
              <w:t>开户行：</w:t>
            </w:r>
            <w:r>
              <w:rPr>
                <w:rFonts w:hint="eastAsia" w:ascii="宋体" w:hAnsi="宋体"/>
                <w:color w:val="auto"/>
                <w:szCs w:val="21"/>
                <w:highlight w:val="none"/>
                <w:lang w:eastAsia="zh-CN"/>
              </w:rPr>
              <w:t>广西北部湾银行南宁市兴宁支行</w:t>
            </w:r>
            <w:r>
              <w:rPr>
                <w:rFonts w:hint="eastAsia" w:ascii="宋体" w:hAnsi="宋体"/>
                <w:color w:val="auto"/>
                <w:szCs w:val="21"/>
                <w:highlight w:val="none"/>
              </w:rPr>
              <w:t>。</w:t>
            </w:r>
          </w:p>
          <w:p w14:paraId="3880BE26">
            <w:pPr>
              <w:spacing w:line="360" w:lineRule="auto"/>
              <w:jc w:val="left"/>
              <w:rPr>
                <w:rFonts w:ascii="宋体" w:hAnsi="宋体"/>
                <w:color w:val="auto"/>
                <w:szCs w:val="21"/>
                <w:highlight w:val="none"/>
              </w:rPr>
            </w:pPr>
            <w:r>
              <w:rPr>
                <w:rFonts w:hint="eastAsia" w:ascii="宋体" w:hAnsi="宋体"/>
                <w:color w:val="auto"/>
                <w:szCs w:val="21"/>
                <w:highlight w:val="none"/>
              </w:rPr>
              <w:t>相关要求：</w:t>
            </w:r>
          </w:p>
          <w:p w14:paraId="3E0B8C19">
            <w:pPr>
              <w:spacing w:line="360" w:lineRule="auto"/>
              <w:jc w:val="left"/>
              <w:rPr>
                <w:rFonts w:ascii="宋体" w:hAnsi="宋体"/>
                <w:color w:val="auto"/>
                <w:szCs w:val="21"/>
                <w:highlight w:val="none"/>
              </w:rPr>
            </w:pPr>
            <w:r>
              <w:rPr>
                <w:rFonts w:hint="eastAsia" w:ascii="宋体" w:hAnsi="宋体"/>
                <w:color w:val="auto"/>
                <w:szCs w:val="21"/>
                <w:highlight w:val="none"/>
              </w:rPr>
              <w:t>1.磋商保证金的缴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5C0A822F">
            <w:pPr>
              <w:spacing w:line="360" w:lineRule="auto"/>
              <w:jc w:val="left"/>
              <w:rPr>
                <w:rFonts w:ascii="宋体" w:hAnsi="宋体"/>
                <w:color w:val="auto"/>
                <w:szCs w:val="21"/>
                <w:highlight w:val="none"/>
              </w:rPr>
            </w:pPr>
            <w:r>
              <w:rPr>
                <w:rFonts w:hint="eastAsia" w:ascii="宋体" w:hAnsi="宋体"/>
                <w:color w:val="auto"/>
                <w:szCs w:val="21"/>
                <w:highlight w:val="none"/>
              </w:rPr>
              <w:t>（1）磋商保证金采用银行转账缴纳方式的，在响应文件提交截止时间前交至指定账户并且到账，供应商应将银行转账底单的复印件作为磋商保证金缴纳凭证，放置于商务技术文件中，否则响应文件按无效响应处理。</w:t>
            </w:r>
          </w:p>
          <w:p w14:paraId="1A311C85">
            <w:pPr>
              <w:spacing w:line="360" w:lineRule="auto"/>
              <w:jc w:val="left"/>
              <w:rPr>
                <w:rFonts w:hint="eastAsia" w:ascii="宋体" w:hAnsi="宋体" w:eastAsiaTheme="minorEastAsia"/>
                <w:color w:val="auto"/>
                <w:szCs w:val="21"/>
                <w:highlight w:val="none"/>
                <w:lang w:eastAsia="zh-CN"/>
              </w:rPr>
            </w:pPr>
            <w:r>
              <w:rPr>
                <w:rFonts w:hint="eastAsia" w:ascii="宋体" w:hAnsi="宋体"/>
                <w:color w:val="auto"/>
                <w:szCs w:val="21"/>
                <w:highlight w:val="none"/>
              </w:rPr>
              <w:t>（2）磋商保证金采用支票、汇票、本票或者金融、担保机构出具的保函缴纳方式的，供应商应将支票、汇票、本票或者金融、担保机构出具的保函的复印件作为磋商保证金缴纳凭证，放置于商务技术文件中，否则响应文件按无效响应处理。供应商必须在首次响应文件提交截止时间前将支票、汇票、本票或者金融、担保机构出具的保函原件提交给采购代理机构，由采购代理机构向供应商出具回执，并妥善保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纸质保函</w:t>
            </w:r>
            <w:r>
              <w:rPr>
                <w:rFonts w:hint="eastAsia" w:ascii="宋体" w:hAnsi="宋体"/>
                <w:color w:val="auto"/>
                <w:szCs w:val="21"/>
                <w:highlight w:val="none"/>
              </w:rPr>
              <w:t>现场提交或邮寄地址：南宁市青秀区茅桥路2号习艺基地A栋1号电梯3楼，联系人：覃相健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0771-2865989</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电子保函发送到32970806@qq.com邮箱</w:t>
            </w:r>
            <w:r>
              <w:rPr>
                <w:rFonts w:hint="eastAsia" w:ascii="宋体" w:hAnsi="宋体"/>
                <w:color w:val="auto"/>
                <w:szCs w:val="21"/>
                <w:highlight w:val="none"/>
              </w:rPr>
              <w:t>）</w:t>
            </w:r>
            <w:r>
              <w:rPr>
                <w:rFonts w:hint="eastAsia" w:ascii="宋体" w:hAnsi="宋体"/>
                <w:color w:val="auto"/>
                <w:szCs w:val="21"/>
                <w:highlight w:val="none"/>
                <w:lang w:eastAsia="zh-CN"/>
              </w:rPr>
              <w:t>。</w:t>
            </w:r>
          </w:p>
          <w:p w14:paraId="691FCCD1">
            <w:pPr>
              <w:spacing w:line="360" w:lineRule="auto"/>
              <w:jc w:val="left"/>
              <w:rPr>
                <w:rFonts w:ascii="宋体" w:hAnsi="宋体"/>
                <w:color w:val="auto"/>
                <w:szCs w:val="21"/>
                <w:highlight w:val="none"/>
              </w:rPr>
            </w:pPr>
            <w:r>
              <w:rPr>
                <w:rFonts w:hint="eastAsia" w:ascii="宋体" w:hAnsi="宋体"/>
                <w:color w:val="auto"/>
                <w:szCs w:val="21"/>
                <w:highlight w:val="none"/>
              </w:rPr>
              <w:t>2.供应商为联合体的，可以由联合体中的一方或者多方共同缴纳磋商保证金，其缴纳的保证金对联合体各方均具有约束力。</w:t>
            </w:r>
          </w:p>
          <w:p w14:paraId="0401581A">
            <w:pPr>
              <w:spacing w:line="360" w:lineRule="auto"/>
              <w:jc w:val="left"/>
              <w:rPr>
                <w:rFonts w:ascii="宋体" w:hAnsi="宋体"/>
                <w:color w:val="auto"/>
                <w:szCs w:val="21"/>
                <w:highlight w:val="none"/>
              </w:rPr>
            </w:pPr>
            <w:r>
              <w:rPr>
                <w:rFonts w:hint="eastAsia" w:ascii="宋体" w:hAnsi="宋体"/>
                <w:color w:val="auto"/>
                <w:szCs w:val="21"/>
                <w:highlight w:val="none"/>
              </w:rPr>
              <w:t>备注：</w:t>
            </w:r>
          </w:p>
          <w:p w14:paraId="429D9FAF">
            <w:pPr>
              <w:spacing w:line="360" w:lineRule="auto"/>
              <w:jc w:val="left"/>
              <w:rPr>
                <w:rFonts w:ascii="宋体" w:hAnsi="宋体"/>
                <w:color w:val="auto"/>
                <w:szCs w:val="21"/>
                <w:highlight w:val="none"/>
              </w:rPr>
            </w:pPr>
            <w:r>
              <w:rPr>
                <w:rFonts w:hint="eastAsia" w:ascii="宋体" w:hAnsi="宋体"/>
                <w:color w:val="auto"/>
                <w:szCs w:val="21"/>
                <w:highlight w:val="none"/>
              </w:rPr>
              <w:t>（1）磋商保证金在响应文件提交截止时间后缴纳的，或者不按规定缴纳方式缴纳的，或者未足额缴纳的（包含保函额度不足的），视为无效磋商保证金。</w:t>
            </w:r>
          </w:p>
          <w:p w14:paraId="3403C5EE">
            <w:pPr>
              <w:spacing w:line="360" w:lineRule="auto"/>
              <w:jc w:val="left"/>
              <w:rPr>
                <w:rFonts w:ascii="宋体" w:hAnsi="宋体"/>
                <w:color w:val="auto"/>
                <w:szCs w:val="21"/>
                <w:highlight w:val="none"/>
              </w:rPr>
            </w:pPr>
            <w:r>
              <w:rPr>
                <w:rFonts w:hint="eastAsia" w:ascii="宋体" w:hAnsi="宋体"/>
                <w:color w:val="auto"/>
                <w:szCs w:val="21"/>
                <w:highlight w:val="none"/>
              </w:rPr>
              <w:t>（2）供应商采用现钞方式或者从个人账户（自然人参加竞争性磋商除外）转出的磋商保证金，视为无效磋商保证金。</w:t>
            </w:r>
          </w:p>
          <w:p w14:paraId="0FCD0EA2">
            <w:pPr>
              <w:spacing w:line="360" w:lineRule="auto"/>
              <w:jc w:val="left"/>
              <w:rPr>
                <w:rFonts w:ascii="宋体" w:hAnsi="宋体"/>
                <w:color w:val="auto"/>
                <w:szCs w:val="21"/>
                <w:highlight w:val="none"/>
              </w:rPr>
            </w:pPr>
            <w:r>
              <w:rPr>
                <w:rFonts w:hint="eastAsia" w:ascii="宋体" w:hAnsi="宋体"/>
                <w:color w:val="auto"/>
                <w:szCs w:val="21"/>
                <w:highlight w:val="none"/>
              </w:rPr>
              <w:t>（3）支票、汇票或者本票出现无效或者背书情形的，视为无效磋商保证金。</w:t>
            </w:r>
          </w:p>
          <w:p w14:paraId="48B72827">
            <w:pPr>
              <w:spacing w:line="360" w:lineRule="auto"/>
              <w:jc w:val="left"/>
              <w:rPr>
                <w:rFonts w:ascii="宋体" w:hAnsi="宋体"/>
                <w:color w:val="auto"/>
                <w:szCs w:val="21"/>
                <w:highlight w:val="none"/>
              </w:rPr>
            </w:pPr>
            <w:r>
              <w:rPr>
                <w:rFonts w:hint="eastAsia" w:ascii="宋体" w:hAnsi="宋体"/>
                <w:color w:val="auto"/>
                <w:szCs w:val="21"/>
                <w:highlight w:val="none"/>
              </w:rPr>
              <w:t>（4）保函有效期短于竞争性磋商有效期的，视为无效磋商保证金。</w:t>
            </w:r>
          </w:p>
          <w:p w14:paraId="358C4F10">
            <w:pPr>
              <w:spacing w:line="360" w:lineRule="auto"/>
              <w:jc w:val="left"/>
              <w:rPr>
                <w:rFonts w:ascii="宋体" w:hAnsi="宋体"/>
                <w:color w:val="auto"/>
                <w:szCs w:val="21"/>
                <w:highlight w:val="none"/>
              </w:rPr>
            </w:pPr>
            <w:r>
              <w:rPr>
                <w:rFonts w:hint="eastAsia" w:ascii="宋体" w:hAnsi="宋体"/>
                <w:color w:val="auto"/>
                <w:szCs w:val="21"/>
                <w:highlight w:val="none"/>
              </w:rPr>
              <w:t>（5）采用银行、保险机构出具保函的，必须为无条件保函，否则视为无效磋商保证金。</w:t>
            </w:r>
          </w:p>
        </w:tc>
      </w:tr>
      <w:tr w14:paraId="7AF2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489CDB8">
            <w:pPr>
              <w:spacing w:line="360" w:lineRule="auto"/>
              <w:jc w:val="center"/>
              <w:rPr>
                <w:rFonts w:ascii="宋体" w:hAnsi="宋体"/>
                <w:color w:val="auto"/>
                <w:szCs w:val="21"/>
                <w:highlight w:val="none"/>
              </w:rPr>
            </w:pPr>
            <w:r>
              <w:rPr>
                <w:rFonts w:hint="eastAsia" w:ascii="宋体" w:hAnsi="宋体"/>
                <w:color w:val="auto"/>
                <w:szCs w:val="21"/>
                <w:highlight w:val="none"/>
              </w:rPr>
              <w:t>19</w:t>
            </w:r>
          </w:p>
        </w:tc>
        <w:tc>
          <w:tcPr>
            <w:tcW w:w="8356" w:type="dxa"/>
            <w:vAlign w:val="center"/>
          </w:tcPr>
          <w:p w14:paraId="75A5F69D">
            <w:pPr>
              <w:spacing w:line="360" w:lineRule="auto"/>
              <w:jc w:val="left"/>
              <w:rPr>
                <w:rFonts w:ascii="宋体" w:hAnsi="宋体"/>
                <w:color w:val="auto"/>
                <w:szCs w:val="21"/>
                <w:highlight w:val="none"/>
              </w:rPr>
            </w:pPr>
            <w:r>
              <w:rPr>
                <w:rFonts w:hint="eastAsia" w:ascii="宋体" w:hAnsi="宋体"/>
                <w:color w:val="auto"/>
                <w:szCs w:val="21"/>
                <w:highlight w:val="none"/>
              </w:rPr>
              <w:t>本项目不接受电子备份响应文件。</w:t>
            </w:r>
          </w:p>
        </w:tc>
      </w:tr>
      <w:tr w14:paraId="011D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2629191">
            <w:pPr>
              <w:spacing w:line="360" w:lineRule="auto"/>
              <w:jc w:val="center"/>
              <w:rPr>
                <w:rFonts w:ascii="宋体" w:hAnsi="宋体"/>
                <w:color w:val="auto"/>
                <w:szCs w:val="21"/>
                <w:highlight w:val="none"/>
              </w:rPr>
            </w:pPr>
            <w:r>
              <w:rPr>
                <w:rFonts w:hint="eastAsia" w:ascii="宋体" w:hAnsi="宋体"/>
                <w:color w:val="auto"/>
                <w:szCs w:val="21"/>
                <w:highlight w:val="none"/>
              </w:rPr>
              <w:t>20.1</w:t>
            </w:r>
          </w:p>
        </w:tc>
        <w:tc>
          <w:tcPr>
            <w:tcW w:w="8356" w:type="dxa"/>
            <w:vAlign w:val="center"/>
          </w:tcPr>
          <w:p w14:paraId="2A773DEB">
            <w:pPr>
              <w:spacing w:line="360" w:lineRule="auto"/>
              <w:jc w:val="left"/>
              <w:rPr>
                <w:rFonts w:ascii="宋体" w:hAnsi="宋体"/>
                <w:color w:val="auto"/>
                <w:szCs w:val="21"/>
                <w:highlight w:val="none"/>
              </w:rPr>
            </w:pPr>
            <w:r>
              <w:rPr>
                <w:rFonts w:hint="eastAsia" w:ascii="宋体" w:hAnsi="宋体"/>
                <w:color w:val="auto"/>
                <w:szCs w:val="21"/>
                <w:highlight w:val="none"/>
              </w:rPr>
              <w:t>响应文件提交截止时间：详见竞争性磋商公告。</w:t>
            </w:r>
          </w:p>
          <w:p w14:paraId="3B8F3CD5">
            <w:pPr>
              <w:spacing w:line="360" w:lineRule="auto"/>
              <w:jc w:val="left"/>
              <w:rPr>
                <w:rFonts w:ascii="宋体" w:hAnsi="宋体"/>
                <w:color w:val="auto"/>
                <w:szCs w:val="21"/>
                <w:highlight w:val="none"/>
              </w:rPr>
            </w:pPr>
            <w:r>
              <w:rPr>
                <w:rFonts w:hint="eastAsia" w:ascii="宋体" w:hAnsi="宋体"/>
                <w:color w:val="auto"/>
                <w:szCs w:val="21"/>
                <w:highlight w:val="none"/>
              </w:rPr>
              <w:t>响应文件提交地点：详见竞争性磋商公告。</w:t>
            </w:r>
          </w:p>
        </w:tc>
      </w:tr>
      <w:tr w14:paraId="5E1B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72D9972">
            <w:pPr>
              <w:spacing w:line="360" w:lineRule="auto"/>
              <w:jc w:val="center"/>
              <w:rPr>
                <w:rFonts w:ascii="宋体" w:hAnsi="宋体"/>
                <w:color w:val="auto"/>
                <w:szCs w:val="21"/>
                <w:highlight w:val="none"/>
              </w:rPr>
            </w:pPr>
            <w:r>
              <w:rPr>
                <w:rFonts w:hint="eastAsia" w:ascii="宋体" w:hAnsi="宋体"/>
                <w:color w:val="auto"/>
                <w:szCs w:val="21"/>
                <w:highlight w:val="none"/>
              </w:rPr>
              <w:t>24.1</w:t>
            </w:r>
          </w:p>
        </w:tc>
        <w:tc>
          <w:tcPr>
            <w:tcW w:w="8356" w:type="dxa"/>
            <w:vAlign w:val="center"/>
          </w:tcPr>
          <w:p w14:paraId="3A6C0C2A">
            <w:pPr>
              <w:spacing w:line="360" w:lineRule="auto"/>
              <w:jc w:val="left"/>
              <w:rPr>
                <w:rFonts w:ascii="宋体" w:hAnsi="宋体"/>
                <w:color w:val="auto"/>
                <w:szCs w:val="21"/>
                <w:highlight w:val="none"/>
              </w:rPr>
            </w:pPr>
            <w:r>
              <w:rPr>
                <w:rFonts w:hint="eastAsia" w:ascii="宋体" w:hAnsi="宋体"/>
                <w:color w:val="auto"/>
                <w:szCs w:val="21"/>
                <w:highlight w:val="none"/>
              </w:rPr>
              <w:t>磋商小组的人数：</w:t>
            </w:r>
            <w:r>
              <w:rPr>
                <w:rFonts w:ascii="宋体" w:hAnsi="宋体"/>
                <w:color w:val="auto"/>
                <w:szCs w:val="21"/>
                <w:highlight w:val="none"/>
              </w:rPr>
              <w:t>3</w:t>
            </w:r>
            <w:r>
              <w:rPr>
                <w:rFonts w:hint="eastAsia" w:ascii="宋体" w:hAnsi="宋体"/>
                <w:color w:val="auto"/>
                <w:szCs w:val="21"/>
                <w:highlight w:val="none"/>
              </w:rPr>
              <w:t>人。</w:t>
            </w:r>
          </w:p>
        </w:tc>
      </w:tr>
      <w:tr w14:paraId="289A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E152632">
            <w:pPr>
              <w:spacing w:line="360" w:lineRule="auto"/>
              <w:jc w:val="center"/>
              <w:rPr>
                <w:rFonts w:ascii="宋体" w:hAnsi="宋体"/>
                <w:color w:val="auto"/>
                <w:szCs w:val="21"/>
                <w:highlight w:val="none"/>
              </w:rPr>
            </w:pPr>
            <w:r>
              <w:rPr>
                <w:rFonts w:hint="eastAsia" w:ascii="宋体" w:hAnsi="宋体"/>
                <w:color w:val="auto"/>
                <w:szCs w:val="21"/>
                <w:highlight w:val="none"/>
              </w:rPr>
              <w:t>25</w:t>
            </w:r>
          </w:p>
        </w:tc>
        <w:tc>
          <w:tcPr>
            <w:tcW w:w="8356" w:type="dxa"/>
            <w:vAlign w:val="center"/>
          </w:tcPr>
          <w:p w14:paraId="6C67312A">
            <w:pPr>
              <w:spacing w:line="360" w:lineRule="auto"/>
              <w:jc w:val="left"/>
              <w:rPr>
                <w:rFonts w:ascii="宋体" w:hAnsi="宋体"/>
                <w:color w:val="auto"/>
                <w:szCs w:val="21"/>
                <w:highlight w:val="none"/>
              </w:rPr>
            </w:pPr>
            <w:r>
              <w:rPr>
                <w:rFonts w:hint="eastAsia" w:ascii="宋体" w:hAnsi="宋体"/>
                <w:color w:val="auto"/>
                <w:szCs w:val="21"/>
                <w:highlight w:val="none"/>
              </w:rPr>
              <w:t>首次响应文件开启时间详见“竞争性磋商公告”。</w:t>
            </w:r>
          </w:p>
          <w:p w14:paraId="4DD612C4">
            <w:pPr>
              <w:spacing w:line="360" w:lineRule="auto"/>
              <w:jc w:val="left"/>
              <w:rPr>
                <w:rFonts w:ascii="宋体" w:hAnsi="宋体"/>
                <w:color w:val="auto"/>
                <w:szCs w:val="21"/>
                <w:highlight w:val="none"/>
              </w:rPr>
            </w:pPr>
            <w:r>
              <w:rPr>
                <w:rFonts w:hint="eastAsia" w:ascii="宋体" w:hAnsi="宋体"/>
                <w:color w:val="auto"/>
                <w:szCs w:val="21"/>
                <w:highlight w:val="none"/>
              </w:rPr>
              <w:t>首次响应文件解密时间：30分钟。</w:t>
            </w:r>
          </w:p>
        </w:tc>
      </w:tr>
      <w:tr w14:paraId="4500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4224FB4">
            <w:pPr>
              <w:spacing w:line="360" w:lineRule="auto"/>
              <w:jc w:val="center"/>
              <w:rPr>
                <w:rFonts w:ascii="宋体" w:hAnsi="宋体"/>
                <w:color w:val="auto"/>
                <w:szCs w:val="21"/>
                <w:highlight w:val="none"/>
              </w:rPr>
            </w:pPr>
            <w:r>
              <w:rPr>
                <w:rFonts w:hint="eastAsia" w:ascii="宋体" w:hAnsi="宋体"/>
                <w:color w:val="auto"/>
                <w:szCs w:val="21"/>
                <w:highlight w:val="none"/>
              </w:rPr>
              <w:t>26.3</w:t>
            </w:r>
          </w:p>
        </w:tc>
        <w:tc>
          <w:tcPr>
            <w:tcW w:w="8356" w:type="dxa"/>
            <w:vAlign w:val="center"/>
          </w:tcPr>
          <w:p w14:paraId="43588063">
            <w:pPr>
              <w:spacing w:line="360" w:lineRule="auto"/>
              <w:jc w:val="left"/>
              <w:rPr>
                <w:rFonts w:ascii="宋体" w:hAnsi="宋体"/>
                <w:color w:val="auto"/>
                <w:szCs w:val="21"/>
                <w:highlight w:val="none"/>
              </w:rPr>
            </w:pPr>
            <w:r>
              <w:rPr>
                <w:rFonts w:hint="eastAsia" w:ascii="宋体" w:hAnsi="宋体"/>
                <w:color w:val="auto"/>
                <w:szCs w:val="21"/>
                <w:highlight w:val="none"/>
              </w:rPr>
              <w:t>商务要求评审中允许负偏离的条款数为0项。</w:t>
            </w:r>
          </w:p>
          <w:p w14:paraId="35422132">
            <w:pPr>
              <w:spacing w:line="360" w:lineRule="auto"/>
              <w:jc w:val="left"/>
              <w:rPr>
                <w:rFonts w:ascii="宋体" w:hAnsi="宋体"/>
                <w:color w:val="auto"/>
                <w:szCs w:val="21"/>
                <w:highlight w:val="none"/>
              </w:rPr>
            </w:pPr>
            <w:r>
              <w:rPr>
                <w:rFonts w:hint="eastAsia" w:ascii="宋体" w:hAnsi="宋体"/>
                <w:color w:val="auto"/>
                <w:szCs w:val="21"/>
                <w:highlight w:val="none"/>
              </w:rPr>
              <w:t>技术要求评审中允许负偏离的条款数为0项。</w:t>
            </w:r>
          </w:p>
        </w:tc>
      </w:tr>
      <w:tr w14:paraId="6CDC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52682F0">
            <w:pPr>
              <w:spacing w:line="360" w:lineRule="auto"/>
              <w:jc w:val="center"/>
              <w:rPr>
                <w:rFonts w:ascii="宋体" w:hAnsi="宋体"/>
                <w:color w:val="auto"/>
                <w:szCs w:val="21"/>
                <w:highlight w:val="none"/>
              </w:rPr>
            </w:pPr>
            <w:r>
              <w:rPr>
                <w:rFonts w:ascii="宋体" w:hAnsi="宋体"/>
                <w:color w:val="auto"/>
                <w:szCs w:val="21"/>
                <w:highlight w:val="none"/>
              </w:rPr>
              <w:t>28.1</w:t>
            </w:r>
          </w:p>
        </w:tc>
        <w:tc>
          <w:tcPr>
            <w:tcW w:w="8356" w:type="dxa"/>
            <w:vAlign w:val="center"/>
          </w:tcPr>
          <w:p w14:paraId="217A0316">
            <w:pPr>
              <w:spacing w:line="360" w:lineRule="auto"/>
              <w:jc w:val="left"/>
              <w:rPr>
                <w:rFonts w:ascii="宋体" w:hAnsi="宋体"/>
                <w:color w:val="auto"/>
                <w:szCs w:val="21"/>
                <w:highlight w:val="none"/>
              </w:rPr>
            </w:pPr>
            <w:r>
              <w:rPr>
                <w:rFonts w:hint="eastAsia" w:ascii="宋体" w:hAnsi="宋体"/>
                <w:color w:val="auto"/>
                <w:szCs w:val="21"/>
                <w:highlight w:val="none"/>
              </w:rPr>
              <w:t>□本项目不收取履约保证金。</w:t>
            </w:r>
          </w:p>
          <w:p w14:paraId="60D52AEC">
            <w:pP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本项目收取履约保证金，具体详见第三章采购需求。</w:t>
            </w:r>
          </w:p>
        </w:tc>
      </w:tr>
      <w:tr w14:paraId="56F5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358B53E">
            <w:pPr>
              <w:spacing w:line="360" w:lineRule="auto"/>
              <w:jc w:val="center"/>
              <w:rPr>
                <w:rFonts w:ascii="宋体" w:hAnsi="宋体"/>
                <w:color w:val="auto"/>
                <w:szCs w:val="21"/>
                <w:highlight w:val="none"/>
              </w:rPr>
            </w:pPr>
            <w:r>
              <w:rPr>
                <w:rFonts w:hint="eastAsia" w:ascii="宋体" w:hAnsi="宋体"/>
                <w:color w:val="auto"/>
                <w:szCs w:val="21"/>
                <w:highlight w:val="none"/>
              </w:rPr>
              <w:t>29.1</w:t>
            </w:r>
          </w:p>
        </w:tc>
        <w:tc>
          <w:tcPr>
            <w:tcW w:w="8356" w:type="dxa"/>
            <w:vAlign w:val="center"/>
          </w:tcPr>
          <w:p w14:paraId="5D2DF373">
            <w:pPr>
              <w:spacing w:line="360" w:lineRule="auto"/>
              <w:jc w:val="left"/>
              <w:rPr>
                <w:rFonts w:ascii="宋体" w:hAnsi="宋体"/>
                <w:color w:val="auto"/>
                <w:szCs w:val="21"/>
                <w:highlight w:val="none"/>
              </w:rPr>
            </w:pPr>
            <w:r>
              <w:rPr>
                <w:rFonts w:hint="eastAsia" w:ascii="宋体" w:hAnsi="宋体"/>
                <w:color w:val="auto"/>
                <w:szCs w:val="21"/>
                <w:highlight w:val="none"/>
              </w:rPr>
              <w:t>签订合同携带的证明材料：</w:t>
            </w:r>
          </w:p>
          <w:p w14:paraId="46E15A25">
            <w:pPr>
              <w:spacing w:line="360" w:lineRule="auto"/>
              <w:jc w:val="left"/>
              <w:rPr>
                <w:rFonts w:ascii="宋体" w:hAnsi="宋体"/>
                <w:color w:val="auto"/>
                <w:szCs w:val="21"/>
                <w:highlight w:val="none"/>
              </w:rPr>
            </w:pPr>
            <w:r>
              <w:rPr>
                <w:rFonts w:hint="eastAsia" w:ascii="宋体" w:hAnsi="宋体"/>
                <w:color w:val="auto"/>
                <w:szCs w:val="21"/>
                <w:highlight w:val="none"/>
              </w:rPr>
              <w:t>1.委托代理人负责签订合同的，须携带授权委托书及委托代理人身份证原件等其他资格证件。</w:t>
            </w:r>
          </w:p>
          <w:p w14:paraId="4E4C0F56">
            <w:pPr>
              <w:spacing w:line="360" w:lineRule="auto"/>
              <w:jc w:val="left"/>
              <w:rPr>
                <w:rFonts w:ascii="宋体" w:hAnsi="宋体"/>
                <w:color w:val="auto"/>
                <w:szCs w:val="21"/>
                <w:highlight w:val="none"/>
              </w:rPr>
            </w:pPr>
            <w:r>
              <w:rPr>
                <w:rFonts w:hint="eastAsia" w:ascii="宋体" w:hAnsi="宋体"/>
                <w:color w:val="auto"/>
                <w:szCs w:val="21"/>
                <w:highlight w:val="none"/>
              </w:rPr>
              <w:t>2.法定代表人负责签订合同的，须携带法定代表人身份证明原件及身份证原件等其他证明材料。</w:t>
            </w:r>
          </w:p>
        </w:tc>
      </w:tr>
      <w:tr w14:paraId="578B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A5323FF">
            <w:pPr>
              <w:spacing w:line="360" w:lineRule="auto"/>
              <w:jc w:val="center"/>
              <w:rPr>
                <w:rFonts w:ascii="宋体" w:hAnsi="宋体"/>
                <w:color w:val="auto"/>
                <w:szCs w:val="21"/>
                <w:highlight w:val="none"/>
              </w:rPr>
            </w:pPr>
            <w:r>
              <w:rPr>
                <w:rFonts w:hint="eastAsia" w:ascii="宋体" w:hAnsi="宋体"/>
                <w:color w:val="auto"/>
                <w:szCs w:val="21"/>
                <w:highlight w:val="none"/>
              </w:rPr>
              <w:t>31.2</w:t>
            </w:r>
          </w:p>
        </w:tc>
        <w:tc>
          <w:tcPr>
            <w:tcW w:w="8356" w:type="dxa"/>
            <w:vAlign w:val="center"/>
          </w:tcPr>
          <w:p w14:paraId="0298BA84">
            <w:pPr>
              <w:spacing w:line="360" w:lineRule="auto"/>
              <w:jc w:val="left"/>
              <w:rPr>
                <w:rFonts w:ascii="宋体" w:hAnsi="宋体"/>
                <w:color w:val="auto"/>
                <w:szCs w:val="21"/>
                <w:highlight w:val="none"/>
              </w:rPr>
            </w:pPr>
            <w:r>
              <w:rPr>
                <w:rFonts w:hint="eastAsia" w:ascii="宋体" w:hAnsi="宋体"/>
                <w:color w:val="auto"/>
                <w:szCs w:val="21"/>
                <w:highlight w:val="none"/>
              </w:rPr>
              <w:t>接收质疑函方式：书面形式。</w:t>
            </w:r>
          </w:p>
          <w:p w14:paraId="38381B5E">
            <w:pPr>
              <w:spacing w:line="360" w:lineRule="auto"/>
              <w:jc w:val="left"/>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广西正海招标有限公司</w:t>
            </w:r>
            <w:r>
              <w:rPr>
                <w:rFonts w:hint="eastAsia" w:ascii="宋体" w:hAnsi="宋体"/>
                <w:color w:val="auto"/>
                <w:szCs w:val="21"/>
                <w:highlight w:val="none"/>
              </w:rPr>
              <w:t>。</w:t>
            </w:r>
          </w:p>
          <w:p w14:paraId="5B7EAE94">
            <w:pPr>
              <w:spacing w:line="360" w:lineRule="auto"/>
              <w:jc w:val="lef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eastAsia="zh-CN"/>
              </w:rPr>
              <w:t>0771-2865989</w:t>
            </w:r>
            <w:r>
              <w:rPr>
                <w:rFonts w:hint="eastAsia" w:ascii="宋体" w:hAnsi="宋体"/>
                <w:color w:val="auto"/>
                <w:szCs w:val="21"/>
                <w:highlight w:val="none"/>
              </w:rPr>
              <w:t>。</w:t>
            </w:r>
          </w:p>
          <w:p w14:paraId="25FC54E9">
            <w:pPr>
              <w:spacing w:line="360" w:lineRule="auto"/>
              <w:jc w:val="left"/>
              <w:rPr>
                <w:rFonts w:ascii="宋体" w:hAnsi="宋体"/>
                <w:color w:val="auto"/>
                <w:szCs w:val="21"/>
                <w:highlight w:val="none"/>
              </w:rPr>
            </w:pPr>
            <w:r>
              <w:rPr>
                <w:rFonts w:hint="eastAsia" w:ascii="宋体" w:hAnsi="宋体"/>
                <w:color w:val="auto"/>
                <w:szCs w:val="21"/>
                <w:highlight w:val="none"/>
              </w:rPr>
              <w:t>通讯地址：</w:t>
            </w:r>
            <w:r>
              <w:rPr>
                <w:rFonts w:hint="eastAsia" w:ascii="宋体" w:hAnsi="宋体"/>
                <w:color w:val="auto"/>
                <w:szCs w:val="21"/>
                <w:highlight w:val="none"/>
                <w:lang w:eastAsia="zh-CN"/>
              </w:rPr>
              <w:t>南宁市青秀区茅桥路2号习艺基地A栋1号电梯3楼</w:t>
            </w:r>
            <w:r>
              <w:rPr>
                <w:rFonts w:hint="eastAsia" w:ascii="宋体" w:hAnsi="宋体"/>
                <w:color w:val="auto"/>
                <w:szCs w:val="21"/>
                <w:highlight w:val="none"/>
              </w:rPr>
              <w:t>。</w:t>
            </w:r>
          </w:p>
          <w:p w14:paraId="5C522CC2">
            <w:pPr>
              <w:spacing w:line="360" w:lineRule="auto"/>
              <w:jc w:val="left"/>
              <w:rPr>
                <w:rFonts w:ascii="宋体" w:hAnsi="宋体"/>
                <w:color w:val="auto"/>
                <w:szCs w:val="21"/>
                <w:highlight w:val="none"/>
              </w:rPr>
            </w:pPr>
            <w:r>
              <w:rPr>
                <w:rFonts w:hint="eastAsia" w:ascii="宋体" w:hAnsi="宋体"/>
                <w:color w:val="auto"/>
                <w:szCs w:val="21"/>
                <w:highlight w:val="none"/>
              </w:rPr>
              <w:t>业务时间：工作日每天8：00到12：00，</w:t>
            </w:r>
            <w:r>
              <w:rPr>
                <w:rFonts w:hint="eastAsia" w:ascii="宋体" w:hAnsi="宋体"/>
                <w:color w:val="auto"/>
                <w:szCs w:val="21"/>
                <w:highlight w:val="none"/>
                <w:lang w:val="en-US" w:eastAsia="zh-CN"/>
              </w:rPr>
              <w:t>15</w:t>
            </w:r>
            <w:r>
              <w:rPr>
                <w:rFonts w:hint="eastAsia" w:ascii="宋体" w:hAnsi="宋体"/>
                <w:color w:val="auto"/>
                <w:szCs w:val="21"/>
                <w:highlight w:val="none"/>
              </w:rPr>
              <w:t>：00到</w:t>
            </w:r>
            <w:r>
              <w:rPr>
                <w:rFonts w:hint="eastAsia" w:ascii="宋体" w:hAnsi="宋体"/>
                <w:color w:val="auto"/>
                <w:szCs w:val="21"/>
                <w:highlight w:val="none"/>
                <w:lang w:val="en-US" w:eastAsia="zh-CN"/>
              </w:rPr>
              <w:t>18</w:t>
            </w:r>
            <w:r>
              <w:rPr>
                <w:rFonts w:hint="eastAsia" w:ascii="宋体" w:hAnsi="宋体"/>
                <w:color w:val="auto"/>
                <w:szCs w:val="21"/>
                <w:highlight w:val="none"/>
              </w:rPr>
              <w:t>：00。</w:t>
            </w:r>
          </w:p>
        </w:tc>
      </w:tr>
      <w:tr w14:paraId="527E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0B1F6B0">
            <w:pPr>
              <w:spacing w:line="360" w:lineRule="auto"/>
              <w:jc w:val="center"/>
              <w:rPr>
                <w:rFonts w:ascii="宋体" w:hAnsi="宋体"/>
                <w:color w:val="auto"/>
                <w:szCs w:val="21"/>
                <w:highlight w:val="none"/>
              </w:rPr>
            </w:pPr>
            <w:r>
              <w:rPr>
                <w:rFonts w:hint="eastAsia" w:ascii="宋体" w:hAnsi="宋体"/>
                <w:color w:val="auto"/>
                <w:szCs w:val="21"/>
                <w:highlight w:val="none"/>
              </w:rPr>
              <w:t>32.1</w:t>
            </w:r>
          </w:p>
        </w:tc>
        <w:tc>
          <w:tcPr>
            <w:tcW w:w="8356" w:type="dxa"/>
            <w:vAlign w:val="center"/>
          </w:tcPr>
          <w:p w14:paraId="36519B00">
            <w:pPr>
              <w:spacing w:line="360" w:lineRule="auto"/>
              <w:jc w:val="left"/>
              <w:rPr>
                <w:rFonts w:ascii="宋体" w:hAnsi="宋体"/>
                <w:color w:val="auto"/>
                <w:szCs w:val="21"/>
                <w:highlight w:val="none"/>
              </w:rPr>
            </w:pPr>
            <w:r>
              <w:rPr>
                <w:rFonts w:hint="eastAsia" w:ascii="宋体" w:hAnsi="宋体"/>
                <w:color w:val="auto"/>
                <w:szCs w:val="21"/>
                <w:highlight w:val="none"/>
              </w:rPr>
              <w:t>1.采购代理费支付方式：</w:t>
            </w:r>
          </w:p>
          <w:p w14:paraId="73B41967">
            <w:pPr>
              <w:spacing w:line="360" w:lineRule="auto"/>
              <w:jc w:val="left"/>
              <w:rPr>
                <w:rFonts w:ascii="宋体" w:hAnsi="宋体"/>
                <w:color w:val="auto"/>
                <w:szCs w:val="21"/>
                <w:highlight w:val="none"/>
              </w:rPr>
            </w:pPr>
            <w:r>
              <w:rPr>
                <w:rFonts w:hint="eastAsia" w:ascii="宋体" w:hAnsi="宋体"/>
                <w:color w:val="auto"/>
                <w:szCs w:val="21"/>
                <w:highlight w:val="none"/>
              </w:rPr>
              <w:t>本项目代理服务费由成交供应商在领取成交通知书前，一次性向采购代理机构支付。</w:t>
            </w:r>
          </w:p>
          <w:p w14:paraId="5F3F6C6B">
            <w:pPr>
              <w:spacing w:line="360" w:lineRule="auto"/>
              <w:jc w:val="left"/>
              <w:rPr>
                <w:rFonts w:ascii="宋体" w:hAnsi="宋体"/>
                <w:color w:val="auto"/>
                <w:szCs w:val="21"/>
                <w:highlight w:val="none"/>
              </w:rPr>
            </w:pPr>
            <w:r>
              <w:rPr>
                <w:rFonts w:hint="eastAsia" w:ascii="宋体" w:hAnsi="宋体"/>
                <w:color w:val="auto"/>
                <w:szCs w:val="21"/>
                <w:highlight w:val="none"/>
              </w:rPr>
              <w:t>2.采购代理费收取标准：</w:t>
            </w:r>
          </w:p>
          <w:p w14:paraId="1F2F2335">
            <w:pPr>
              <w:spacing w:line="360" w:lineRule="auto"/>
              <w:jc w:val="left"/>
              <w:rPr>
                <w:rFonts w:ascii="宋体" w:hAnsi="宋体"/>
                <w:color w:val="auto"/>
                <w:szCs w:val="21"/>
                <w:highlight w:val="none"/>
              </w:rPr>
            </w:pPr>
            <w:r>
              <w:rPr>
                <w:rFonts w:hint="eastAsia" w:ascii="宋体" w:hAnsi="宋体"/>
                <w:color w:val="auto"/>
                <w:szCs w:val="21"/>
                <w:highlight w:val="none"/>
              </w:rPr>
              <w:t>以</w:t>
            </w:r>
            <w:r>
              <w:rPr>
                <w:rFonts w:hint="eastAsia" w:ascii="宋体" w:hAnsi="宋体"/>
                <w:color w:val="auto"/>
                <w:szCs w:val="21"/>
                <w:highlight w:val="none"/>
                <w:lang w:val="en-US" w:eastAsia="zh-CN"/>
              </w:rPr>
              <w:t>各分标</w:t>
            </w:r>
            <w:r>
              <w:rPr>
                <w:rFonts w:hint="eastAsia" w:ascii="宋体" w:hAnsi="宋体"/>
                <w:color w:val="auto"/>
                <w:szCs w:val="21"/>
                <w:highlight w:val="none"/>
              </w:rPr>
              <w:t>成交金额为计费额，按本须知正文第</w:t>
            </w:r>
            <w:r>
              <w:rPr>
                <w:rFonts w:ascii="宋体" w:hAnsi="宋体"/>
                <w:color w:val="auto"/>
                <w:szCs w:val="21"/>
                <w:highlight w:val="none"/>
              </w:rPr>
              <w:t>32.2</w:t>
            </w:r>
            <w:r>
              <w:rPr>
                <w:rFonts w:hint="eastAsia" w:ascii="宋体" w:hAnsi="宋体"/>
                <w:color w:val="auto"/>
                <w:szCs w:val="21"/>
                <w:highlight w:val="none"/>
              </w:rPr>
              <w:t>条规定的工程类收费标准采用差额定率累进法计算出收费基准价格，采购代理收费以收费基准价格收取。</w:t>
            </w:r>
          </w:p>
          <w:p w14:paraId="6E667607">
            <w:pPr>
              <w:spacing w:line="360" w:lineRule="auto"/>
              <w:jc w:val="left"/>
              <w:rPr>
                <w:rFonts w:ascii="宋体" w:hAnsi="宋体"/>
                <w:color w:val="auto"/>
                <w:szCs w:val="21"/>
                <w:highlight w:val="none"/>
              </w:rPr>
            </w:pPr>
            <w:r>
              <w:rPr>
                <w:rFonts w:hint="eastAsia" w:ascii="宋体" w:hAnsi="宋体"/>
                <w:color w:val="auto"/>
                <w:szCs w:val="21"/>
                <w:highlight w:val="none"/>
              </w:rPr>
              <w:t>3.采购代理费收取银行账户</w:t>
            </w:r>
          </w:p>
          <w:p w14:paraId="032568D7">
            <w:pPr>
              <w:spacing w:line="360" w:lineRule="auto"/>
              <w:jc w:val="left"/>
              <w:rPr>
                <w:rFonts w:hint="eastAsia" w:ascii="宋体" w:hAnsi="宋体"/>
                <w:color w:val="auto"/>
                <w:szCs w:val="21"/>
                <w:highlight w:val="none"/>
              </w:rPr>
            </w:pPr>
            <w:r>
              <w:rPr>
                <w:rFonts w:hint="eastAsia" w:ascii="宋体" w:hAnsi="宋体"/>
                <w:color w:val="auto"/>
                <w:szCs w:val="21"/>
                <w:highlight w:val="none"/>
              </w:rPr>
              <w:t>账户名称：广西正海招标有限公司</w:t>
            </w:r>
          </w:p>
          <w:p w14:paraId="7391D2A7">
            <w:pPr>
              <w:spacing w:line="360" w:lineRule="auto"/>
              <w:jc w:val="left"/>
              <w:rPr>
                <w:rFonts w:hint="eastAsia" w:ascii="宋体" w:hAnsi="宋体"/>
                <w:color w:val="auto"/>
                <w:szCs w:val="21"/>
                <w:highlight w:val="none"/>
              </w:rPr>
            </w:pPr>
            <w:r>
              <w:rPr>
                <w:rFonts w:hint="eastAsia" w:ascii="宋体" w:hAnsi="宋体"/>
                <w:color w:val="auto"/>
                <w:szCs w:val="21"/>
                <w:highlight w:val="none"/>
              </w:rPr>
              <w:t>开户银行：中国光大银行南宁长湖支行</w:t>
            </w:r>
          </w:p>
          <w:p w14:paraId="6900A1B2">
            <w:pPr>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银行账号：79080188000035937</w:t>
            </w:r>
          </w:p>
        </w:tc>
      </w:tr>
      <w:tr w14:paraId="08A9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75EAB61">
            <w:pPr>
              <w:spacing w:line="360" w:lineRule="auto"/>
              <w:jc w:val="center"/>
              <w:rPr>
                <w:rFonts w:ascii="宋体" w:hAnsi="宋体"/>
                <w:color w:val="auto"/>
                <w:szCs w:val="21"/>
                <w:highlight w:val="none"/>
              </w:rPr>
            </w:pPr>
            <w:r>
              <w:rPr>
                <w:rFonts w:hint="eastAsia" w:ascii="宋体" w:hAnsi="宋体"/>
                <w:color w:val="auto"/>
                <w:szCs w:val="21"/>
                <w:highlight w:val="none"/>
              </w:rPr>
              <w:t>33.1</w:t>
            </w:r>
          </w:p>
        </w:tc>
        <w:tc>
          <w:tcPr>
            <w:tcW w:w="8356" w:type="dxa"/>
            <w:vAlign w:val="center"/>
          </w:tcPr>
          <w:p w14:paraId="15E18B4C">
            <w:pPr>
              <w:spacing w:line="360" w:lineRule="auto"/>
              <w:jc w:val="left"/>
              <w:rPr>
                <w:rFonts w:ascii="宋体" w:hAnsi="宋体"/>
                <w:color w:val="auto"/>
                <w:szCs w:val="21"/>
                <w:highlight w:val="none"/>
              </w:rPr>
            </w:pPr>
            <w:r>
              <w:rPr>
                <w:rFonts w:hint="eastAsia" w:ascii="宋体" w:hAnsi="宋体"/>
                <w:color w:val="auto"/>
                <w:szCs w:val="21"/>
                <w:highlight w:val="none"/>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148D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DAD5320">
            <w:pPr>
              <w:spacing w:line="360" w:lineRule="auto"/>
              <w:jc w:val="center"/>
              <w:rPr>
                <w:rFonts w:ascii="宋体" w:hAnsi="宋体"/>
                <w:color w:val="auto"/>
                <w:szCs w:val="21"/>
                <w:highlight w:val="none"/>
              </w:rPr>
            </w:pPr>
            <w:r>
              <w:rPr>
                <w:rFonts w:hint="eastAsia" w:ascii="宋体" w:hAnsi="宋体"/>
                <w:color w:val="auto"/>
                <w:szCs w:val="21"/>
                <w:highlight w:val="none"/>
              </w:rPr>
              <w:t>33.2</w:t>
            </w:r>
          </w:p>
        </w:tc>
        <w:tc>
          <w:tcPr>
            <w:tcW w:w="8356" w:type="dxa"/>
            <w:vAlign w:val="center"/>
          </w:tcPr>
          <w:p w14:paraId="2D5AEEEF">
            <w:pPr>
              <w:spacing w:line="360" w:lineRule="auto"/>
              <w:jc w:val="left"/>
              <w:rPr>
                <w:rFonts w:ascii="宋体" w:hAnsi="宋体"/>
                <w:color w:val="auto"/>
                <w:szCs w:val="21"/>
                <w:highlight w:val="none"/>
              </w:rPr>
            </w:pPr>
            <w:r>
              <w:rPr>
                <w:rFonts w:hint="eastAsia" w:ascii="宋体" w:hAnsi="宋体"/>
                <w:color w:val="auto"/>
                <w:szCs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成交供应商。</w:t>
            </w:r>
          </w:p>
        </w:tc>
      </w:tr>
      <w:tr w14:paraId="27D6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16516E3">
            <w:pPr>
              <w:spacing w:line="360" w:lineRule="auto"/>
              <w:jc w:val="center"/>
              <w:rPr>
                <w:rFonts w:ascii="宋体" w:hAnsi="宋体"/>
                <w:color w:val="auto"/>
                <w:szCs w:val="21"/>
                <w:highlight w:val="none"/>
              </w:rPr>
            </w:pPr>
            <w:r>
              <w:rPr>
                <w:rFonts w:hint="eastAsia" w:ascii="宋体" w:hAnsi="宋体"/>
                <w:color w:val="auto"/>
                <w:szCs w:val="21"/>
                <w:highlight w:val="none"/>
              </w:rPr>
              <w:t>33.3</w:t>
            </w:r>
          </w:p>
        </w:tc>
        <w:tc>
          <w:tcPr>
            <w:tcW w:w="8356" w:type="dxa"/>
            <w:vAlign w:val="center"/>
          </w:tcPr>
          <w:p w14:paraId="1E2BB917">
            <w:pPr>
              <w:spacing w:line="360" w:lineRule="auto"/>
              <w:jc w:val="left"/>
              <w:rPr>
                <w:rFonts w:ascii="宋体" w:hAnsi="宋体"/>
                <w:color w:val="auto"/>
                <w:szCs w:val="21"/>
                <w:highlight w:val="none"/>
              </w:rPr>
            </w:pPr>
            <w:r>
              <w:rPr>
                <w:rFonts w:hint="eastAsia" w:ascii="宋体" w:hAnsi="宋体"/>
                <w:color w:val="auto"/>
                <w:szCs w:val="21"/>
                <w:highlight w:val="none"/>
              </w:rPr>
              <w:t>1.本磋商文件中描述供应商的“公章”是指根据我国对公章的管理规定，用供应商法定主体名称制作的印章或供应商通过指定电子化政府采购平台办理数字证书（CA认证）获得的以法定主体名称制作的电子印章。除本磋商文件有特殊规定外，供应商的财务章、部门章、分公司章、工会章、合同章、投标专用章、业务专用章及银行的转账章、现金收讫章、现金付讫章等其他形式印章均不能代替公章。</w:t>
            </w:r>
          </w:p>
          <w:p w14:paraId="0E686ACC">
            <w:pPr>
              <w:spacing w:line="360" w:lineRule="auto"/>
              <w:jc w:val="left"/>
              <w:rPr>
                <w:rFonts w:ascii="宋体" w:hAnsi="宋体"/>
                <w:color w:val="auto"/>
                <w:szCs w:val="21"/>
                <w:highlight w:val="none"/>
              </w:rPr>
            </w:pPr>
            <w:r>
              <w:rPr>
                <w:rFonts w:hint="eastAsia" w:ascii="宋体" w:hAnsi="宋体"/>
                <w:color w:val="auto"/>
                <w:szCs w:val="21"/>
                <w:highlight w:val="none"/>
              </w:rPr>
              <w:t>2.供应商为其他组织或者自然人时，本磋商文件规定的法定代表人指负责人或者自然人。本磋商文件所称负责人是指参加磋商的其他组织营业执照或者执业许可证等证照上的负责人，本磋商文件所称自然人指参与磋商的自然人本人，且应具备独立承担民事责任能力，自然人应当为年满18岁以上成年人（十六周岁以上的未成年人，以自己的劳动收入为主要生活来源的，视为完全民事行为能力人）。</w:t>
            </w:r>
          </w:p>
          <w:p w14:paraId="56D5BF01">
            <w:pPr>
              <w:spacing w:line="360" w:lineRule="auto"/>
              <w:jc w:val="left"/>
              <w:rPr>
                <w:rFonts w:ascii="宋体" w:hAnsi="宋体"/>
                <w:color w:val="auto"/>
                <w:szCs w:val="21"/>
                <w:highlight w:val="none"/>
              </w:rPr>
            </w:pPr>
            <w:r>
              <w:rPr>
                <w:rFonts w:hint="eastAsia" w:ascii="宋体" w:hAnsi="宋体"/>
                <w:color w:val="auto"/>
                <w:szCs w:val="21"/>
                <w:highlight w:val="none"/>
              </w:rPr>
              <w:t>3.本磋商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14:paraId="610D75F8">
            <w:pPr>
              <w:spacing w:line="360" w:lineRule="auto"/>
              <w:jc w:val="left"/>
              <w:rPr>
                <w:rFonts w:ascii="宋体" w:hAnsi="宋体"/>
                <w:color w:val="auto"/>
                <w:szCs w:val="21"/>
                <w:highlight w:val="none"/>
              </w:rPr>
            </w:pPr>
            <w:r>
              <w:rPr>
                <w:rFonts w:hint="eastAsia" w:ascii="宋体" w:hAnsi="宋体"/>
                <w:color w:val="auto"/>
                <w:szCs w:val="21"/>
                <w:highlight w:val="none"/>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5C73A321">
            <w:pPr>
              <w:spacing w:line="360" w:lineRule="auto"/>
              <w:jc w:val="left"/>
              <w:rPr>
                <w:rFonts w:ascii="宋体" w:hAnsi="宋体"/>
                <w:color w:val="auto"/>
                <w:szCs w:val="21"/>
                <w:highlight w:val="none"/>
              </w:rPr>
            </w:pPr>
            <w:r>
              <w:rPr>
                <w:rFonts w:hint="eastAsia" w:ascii="宋体" w:hAnsi="宋体"/>
                <w:color w:val="auto"/>
                <w:szCs w:val="21"/>
                <w:highlight w:val="none"/>
              </w:rPr>
              <w:t>5.自然人投标的，磋商文件规定盖公章处由自然人摁手指指印。</w:t>
            </w:r>
          </w:p>
          <w:p w14:paraId="5B460260">
            <w:pPr>
              <w:spacing w:line="360" w:lineRule="auto"/>
              <w:jc w:val="left"/>
              <w:rPr>
                <w:rFonts w:ascii="宋体" w:hAnsi="宋体"/>
                <w:color w:val="auto"/>
                <w:szCs w:val="21"/>
                <w:highlight w:val="none"/>
              </w:rPr>
            </w:pPr>
            <w:r>
              <w:rPr>
                <w:rFonts w:hint="eastAsia" w:ascii="宋体" w:hAnsi="宋体"/>
                <w:color w:val="auto"/>
                <w:szCs w:val="21"/>
                <w:highlight w:val="none"/>
              </w:rPr>
              <w:t>6.本磋商文件所称的“以上”“以下”“以内”“届满”，包括本数；所称的“不满”“超过”“以外”，不包括本数。</w:t>
            </w:r>
          </w:p>
        </w:tc>
      </w:tr>
      <w:tr w14:paraId="1AC6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A68CDFB">
            <w:pPr>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3.5</w:t>
            </w:r>
          </w:p>
        </w:tc>
        <w:tc>
          <w:tcPr>
            <w:tcW w:w="8356" w:type="dxa"/>
            <w:vAlign w:val="center"/>
          </w:tcPr>
          <w:p w14:paraId="01B30887">
            <w:pPr>
              <w:spacing w:line="360" w:lineRule="auto"/>
              <w:jc w:val="left"/>
              <w:rPr>
                <w:rFonts w:ascii="宋体" w:hAnsi="宋体"/>
                <w:color w:val="auto"/>
                <w:szCs w:val="21"/>
                <w:highlight w:val="none"/>
              </w:rPr>
            </w:pPr>
            <w:r>
              <w:rPr>
                <w:rFonts w:hint="eastAsia" w:ascii="宋体" w:hAnsi="宋体"/>
                <w:color w:val="auto"/>
                <w:szCs w:val="21"/>
                <w:highlight w:val="none"/>
              </w:rPr>
              <w:t>现场踏勘：</w:t>
            </w:r>
          </w:p>
          <w:p w14:paraId="1BBCE641">
            <w:pPr>
              <w:spacing w:line="360" w:lineRule="auto"/>
              <w:jc w:val="left"/>
              <w:rPr>
                <w:rFonts w:hint="eastAsia" w:ascii="宋体" w:hAnsi="宋体"/>
                <w:color w:val="auto"/>
                <w:szCs w:val="21"/>
                <w:highlight w:val="none"/>
              </w:rPr>
            </w:pPr>
            <w:r>
              <w:rPr>
                <w:rFonts w:hint="eastAsia" w:ascii="宋体" w:hAnsi="宋体"/>
                <w:color w:val="auto"/>
                <w:szCs w:val="21"/>
                <w:highlight w:val="none"/>
              </w:rPr>
              <w:t>1.本项目不统一组织现场踏勘，供应商如需全面了解项目现场情况，可自行前往现场踏勘。如因不了解现场导致投标失误由供应商自行承担后果。</w:t>
            </w:r>
          </w:p>
          <w:p w14:paraId="00C12AF2">
            <w:pPr>
              <w:spacing w:line="360" w:lineRule="auto"/>
              <w:jc w:val="left"/>
              <w:rPr>
                <w:rFonts w:hint="eastAsia" w:ascii="宋体" w:hAnsi="宋体"/>
                <w:color w:val="auto"/>
                <w:szCs w:val="21"/>
                <w:highlight w:val="none"/>
              </w:rPr>
            </w:pPr>
            <w:r>
              <w:rPr>
                <w:rFonts w:hint="eastAsia" w:ascii="宋体" w:hAnsi="宋体"/>
                <w:color w:val="auto"/>
                <w:szCs w:val="21"/>
                <w:highlight w:val="none"/>
              </w:rPr>
              <w:t>2.供应商承担踏勘现场所发生的费用和自身安全责任。</w:t>
            </w:r>
          </w:p>
          <w:p w14:paraId="70DE49EC">
            <w:pPr>
              <w:spacing w:line="360" w:lineRule="auto"/>
              <w:jc w:val="left"/>
              <w:rPr>
                <w:rFonts w:ascii="宋体" w:hAnsi="宋体"/>
                <w:color w:val="auto"/>
                <w:szCs w:val="21"/>
                <w:highlight w:val="none"/>
              </w:rPr>
            </w:pPr>
            <w:r>
              <w:rPr>
                <w:rFonts w:hint="eastAsia" w:ascii="宋体" w:hAnsi="宋体"/>
                <w:color w:val="auto"/>
                <w:szCs w:val="21"/>
                <w:highlight w:val="none"/>
              </w:rPr>
              <w:t>3.采购人不对供应商在踏勘现场后做出的判断和决策负责。</w:t>
            </w:r>
          </w:p>
        </w:tc>
      </w:tr>
    </w:tbl>
    <w:p w14:paraId="153C8259">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4D615CD5">
      <w:pPr>
        <w:pStyle w:val="3"/>
        <w:jc w:val="center"/>
        <w:rPr>
          <w:color w:val="auto"/>
          <w:highlight w:val="none"/>
        </w:rPr>
      </w:pPr>
      <w:bookmarkStart w:id="11" w:name="_Toc197530106"/>
      <w:r>
        <w:rPr>
          <w:rFonts w:hint="eastAsia"/>
          <w:color w:val="auto"/>
          <w:highlight w:val="none"/>
        </w:rPr>
        <w:t>二、供应商须知正文</w:t>
      </w:r>
      <w:bookmarkEnd w:id="11"/>
    </w:p>
    <w:p w14:paraId="2B3342AE">
      <w:pPr>
        <w:pStyle w:val="4"/>
        <w:jc w:val="left"/>
        <w:rPr>
          <w:rFonts w:ascii="宋体" w:hAnsi="宋体" w:eastAsia="宋体"/>
          <w:color w:val="auto"/>
          <w:sz w:val="28"/>
          <w:szCs w:val="28"/>
          <w:highlight w:val="none"/>
        </w:rPr>
      </w:pPr>
      <w:bookmarkStart w:id="12" w:name="_Toc197530107"/>
      <w:r>
        <w:rPr>
          <w:rFonts w:hint="eastAsia" w:ascii="宋体" w:hAnsi="宋体" w:eastAsia="宋体"/>
          <w:color w:val="auto"/>
          <w:sz w:val="28"/>
          <w:szCs w:val="28"/>
          <w:highlight w:val="none"/>
        </w:rPr>
        <w:t>（一）总则</w:t>
      </w:r>
      <w:bookmarkEnd w:id="12"/>
    </w:p>
    <w:p w14:paraId="6891C4E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1.适用范围</w:t>
      </w:r>
    </w:p>
    <w:p w14:paraId="3B3AEA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E3DF0F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1.2本竞争性磋商文件（以下简称磋商文件）适用于本项目的所有采购程序和环节（法律、法规另有规定的，从其规定）。</w:t>
      </w:r>
    </w:p>
    <w:p w14:paraId="09510A6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2.定义</w:t>
      </w:r>
    </w:p>
    <w:p w14:paraId="05088B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2.1“采购人”是指依法进行政府采购的国家机关、事业单位、团体组织。</w:t>
      </w:r>
    </w:p>
    <w:p w14:paraId="33CB3A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2.2“采购代理机构”是指政府采购集中采购机构和集中采购机构以外的采购代理机构。</w:t>
      </w:r>
    </w:p>
    <w:p w14:paraId="1697E21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2.3“供应商”是指向采购人提供货物、工程或者服务的法人、其他组织或者自然人。</w:t>
      </w:r>
    </w:p>
    <w:p w14:paraId="5BC91F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2.4“工程”是指建设工程，包括建筑物和构筑物的新建、改建、扩建、装修、拆除、修缮等。</w:t>
      </w:r>
    </w:p>
    <w:p w14:paraId="4DCBB7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2.5“竞争性磋商”是指供应商按照本项目竞争性磋商公告或者邀请函规定的方式获取磋商文件、提交响应文件并希望获得标的的行为。</w:t>
      </w:r>
    </w:p>
    <w:p w14:paraId="1B56A5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2.6“书面形式”是指合同书、信件和数据电文（包括电报、电传、传真、电子数据交换和电子邮件）等可以有形地表现所载内容的形式。</w:t>
      </w:r>
    </w:p>
    <w:p w14:paraId="660DDB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2.7“响应文件”是指：供应商根据本磋商文件要求，编制包含资格证明、报价、商务技术等所有内容的文件。</w:t>
      </w:r>
    </w:p>
    <w:p w14:paraId="3CA586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2.8“实质性要求”是指磋商文件中已经指明不满足则响应文件按无效处理的条款，或者不能负偏离的条款，或者采购需求中带“▲”的条款。</w:t>
      </w:r>
    </w:p>
    <w:p w14:paraId="3527D48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2.9“正偏离”，是指响应文件对磋商文件“采购需求”中有关条款作出的响应优于条款要求并有利于采购人的情形。</w:t>
      </w:r>
    </w:p>
    <w:p w14:paraId="5410D1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2.10“负偏离”，是指响应文件对磋商文件“采购需求”中有关条款作出的响应不满足条款要求，导致采购人要求不能得到满足的情形。</w:t>
      </w:r>
    </w:p>
    <w:p w14:paraId="244103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2.11“允许负偏离的条款”是指采购需求中的不属于“实质性要求”的条款。</w:t>
      </w:r>
    </w:p>
    <w:p w14:paraId="6D1DBE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2.12“首次报价”是指供应商提交的首次响应文件中的报价。</w:t>
      </w:r>
    </w:p>
    <w:p w14:paraId="2922B6C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2.13“评审报价”是指供应商提交的最后报价并经修正（如有）和政策功能价格扣除（如有）后的价格。</w:t>
      </w:r>
    </w:p>
    <w:p w14:paraId="33CACEA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3.供应商的资格条件</w:t>
      </w:r>
    </w:p>
    <w:p w14:paraId="0665C4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供应商的资格条件详见“供应商须知前附表”。</w:t>
      </w:r>
    </w:p>
    <w:p w14:paraId="09272D0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4.磋商费用</w:t>
      </w:r>
    </w:p>
    <w:p w14:paraId="3EF68A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供应商应承担参与本次采购活动有关的所有费用，包括但不限于获取磋商文件、勘查现场、编制和提交响应文件、参加磋商与应答、签订合同等，不论竞争性磋商结果如何，均应自行承担。</w:t>
      </w:r>
    </w:p>
    <w:p w14:paraId="13297C9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5.联合体参加竞争性磋商</w:t>
      </w:r>
    </w:p>
    <w:p w14:paraId="399DBC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5.1本项目是否接受联合体参加竞争性磋商，详见“供应商须知前附表”。</w:t>
      </w:r>
    </w:p>
    <w:p w14:paraId="73636E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5.2如接受联合体参加竞争性磋商，相关要求详见“供应商须知前附表”。</w:t>
      </w:r>
    </w:p>
    <w:p w14:paraId="489FC7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5.3根据《政府采购促进中小企业发展管理办法》（财库[2020]46号）第九条及《广西壮族自治区财政厅关于持续优化政府采购营商环境推动高质量发展的通知》（桂财采〔2024〕55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34B86FA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6.转包与分包</w:t>
      </w:r>
    </w:p>
    <w:p w14:paraId="22A123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6.1本项目不允许转包。</w:t>
      </w:r>
    </w:p>
    <w:p w14:paraId="1AE755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37BA7F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08B2876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6.4根据《政府采购促进中小企业发展管理办法》（财库[2020]46号）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30%以上的，采购人、采购代理机构应当对大中型企业的报价给予4%-6%（工程项目为1%-2%）的扣除，用扣除后的价格参加评审。接受分包的小微企业与分包企业之间存在直接控股、管理关系的，不享受价格扣除优惠政策。</w:t>
      </w:r>
    </w:p>
    <w:p w14:paraId="4401AA3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7.特别说明</w:t>
      </w:r>
    </w:p>
    <w:p w14:paraId="0EEB45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7.1如果本磋商文件要求提供供应商或制造商的资格、信誉、荣誉、业绩与企业认证等材料的，资格、信誉、荣誉、业绩与企业认证等必须为供应商或者制造商所拥有或自身获得。</w:t>
      </w:r>
    </w:p>
    <w:p w14:paraId="72CEDF4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7.2供应商应仔细阅读磋商文件的所有内容，按照磋商文件的要求提交响应文件，并对所提供的全部资料的真实性承担法律责任。</w:t>
      </w:r>
    </w:p>
    <w:p w14:paraId="0558C9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7.3供应商在竞争性磋商活动中提供任何虚假材料谋取成交的，将报财政部门查处；签订合同后发现的，按照相关法律执行。</w:t>
      </w:r>
    </w:p>
    <w:p w14:paraId="3A359AE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7.4在政府采购活动中，采购人员及相关人员与供应商有下列利害关系之一的，应当回避：</w:t>
      </w:r>
    </w:p>
    <w:p w14:paraId="358413A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（1）参加采购活动前3年内与供应商存在劳动关系；</w:t>
      </w:r>
    </w:p>
    <w:p w14:paraId="26F33D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（2）参加采购活动前3年内担任供应商的董事、监事；</w:t>
      </w:r>
    </w:p>
    <w:p w14:paraId="5C948B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（3）参加采购活动前3年内是供应商的控股股东或者实际控制人；</w:t>
      </w:r>
    </w:p>
    <w:p w14:paraId="49C4E36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（4）与供应商的法定代表人或者负责人有夫妻、直系血亲、三代以内旁系血亲或者近姻亲关系；</w:t>
      </w:r>
    </w:p>
    <w:p w14:paraId="215511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（5）与供应商有其他可能影响政府采购活动公平、公正进行的关系。</w:t>
      </w:r>
    </w:p>
    <w:p w14:paraId="577E0A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9568A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7.5有下列情形之一的视为供应商相互串通竞争性磋商，响应文件将被视为无效：</w:t>
      </w:r>
    </w:p>
    <w:p w14:paraId="281497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（1）不同供应商的响应文件由同一单位或者个人编制，或者不同供应商报名的IP地址一致的；</w:t>
      </w:r>
    </w:p>
    <w:p w14:paraId="390B91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（2）不同供应商委托同一单位或者个人办理竞争性磋商事宜；</w:t>
      </w:r>
    </w:p>
    <w:p w14:paraId="0BE26A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（3）不同的供应商的响应文件载明的项目管理员为同一个人；</w:t>
      </w:r>
    </w:p>
    <w:p w14:paraId="080F55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（4）不同供应商的响应文件异常一致或者报价呈规律性差异；</w:t>
      </w:r>
    </w:p>
    <w:p w14:paraId="4F4A28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（5）不同供应商的响应文件相互混装；</w:t>
      </w:r>
    </w:p>
    <w:p w14:paraId="6B0DEDC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（6）不同供应商的磋商保证金从同一单位或者个人账户转出。</w:t>
      </w:r>
      <w:r>
        <w:rPr>
          <w:rFonts w:hint="eastAsia" w:ascii="宋体" w:hAnsi="宋体" w:eastAsia="宋体"/>
          <w:color w:val="auto"/>
          <w:szCs w:val="21"/>
          <w:highlight w:val="none"/>
        </w:rPr>
        <w:tab/>
      </w:r>
    </w:p>
    <w:p w14:paraId="106839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7.6供应商有下列情形之一的，属于恶意串通行为，将报同级监督管理部门：</w:t>
      </w:r>
    </w:p>
    <w:p w14:paraId="0980F19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（1）供应商直接或者间接从采购人或者采购代理机构处获得其他供应商的相关信息并修改其响应文件；</w:t>
      </w:r>
    </w:p>
    <w:p w14:paraId="32C1C01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（2）供应商按照采购人或者采购代理机构的授意撤换、修改响应文件；</w:t>
      </w:r>
    </w:p>
    <w:p w14:paraId="4DF32B1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（3）供应商之间协商报价、技术方案等响应文件或者响应文件的实质性内容；</w:t>
      </w:r>
    </w:p>
    <w:p w14:paraId="04C7F68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（4）属于同一集团、协会、商会等组织成员的供应商按照该组织要求协同参加政府采购活动；</w:t>
      </w:r>
    </w:p>
    <w:p w14:paraId="064A75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（5）供应商之间事先约定一致抬高或者压低报价，或者在政府采购活动中事先约定轮流以高价位或者低价位成交，或者事先约定由某一特定供应商成交，然后再参加竞争性磋商；</w:t>
      </w:r>
    </w:p>
    <w:p w14:paraId="717A9C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（6）供应商之间商定部分供应商放弃参加政府采购活动或者放弃成交；</w:t>
      </w:r>
    </w:p>
    <w:p w14:paraId="07C3FD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（7）供应商与采购人或者采购代理机构之间、供应商相互之间，为谋求特定供应商成交或者排斥其他供应商的其他串通行为。</w:t>
      </w:r>
    </w:p>
    <w:p w14:paraId="04E2A4D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7.7磋商委托</w:t>
      </w:r>
    </w:p>
    <w:p w14:paraId="05D9F8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供应商代表参加磋商活动过程中必须携带个人有效身份证件。如供应商代表不是法定代表人，须持有授权委托书（按第六章要求格式填写）。</w:t>
      </w:r>
    </w:p>
    <w:p w14:paraId="162451B8">
      <w:pPr>
        <w:pStyle w:val="4"/>
        <w:jc w:val="left"/>
        <w:rPr>
          <w:rFonts w:ascii="宋体" w:hAnsi="宋体" w:eastAsia="宋体"/>
          <w:color w:val="auto"/>
          <w:sz w:val="28"/>
          <w:szCs w:val="28"/>
          <w:highlight w:val="none"/>
        </w:rPr>
      </w:pPr>
      <w:bookmarkStart w:id="13" w:name="_Toc197530108"/>
      <w:r>
        <w:rPr>
          <w:rFonts w:hint="eastAsia" w:ascii="宋体" w:hAnsi="宋体" w:eastAsia="宋体"/>
          <w:color w:val="auto"/>
          <w:sz w:val="28"/>
          <w:szCs w:val="28"/>
          <w:highlight w:val="none"/>
        </w:rPr>
        <w:t>（二）磋商文件</w:t>
      </w:r>
      <w:bookmarkEnd w:id="13"/>
    </w:p>
    <w:p w14:paraId="0A5FC4C8">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8.磋商文件的构成</w:t>
      </w:r>
    </w:p>
    <w:p w14:paraId="170CE45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第一</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竞争性磋商公告；</w:t>
      </w:r>
    </w:p>
    <w:p w14:paraId="64A042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第二</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供应商须知；</w:t>
      </w:r>
    </w:p>
    <w:p w14:paraId="732ECB7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第三</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采购需求；</w:t>
      </w:r>
    </w:p>
    <w:p w14:paraId="653FB79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第四</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评审程序、评审方法和评审标准；</w:t>
      </w:r>
    </w:p>
    <w:p w14:paraId="587415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第五</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工程量清单、招标控制价及图纸；</w:t>
      </w:r>
    </w:p>
    <w:p w14:paraId="785B0F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第六</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响应文件格式；</w:t>
      </w:r>
    </w:p>
    <w:p w14:paraId="586494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第七</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合同文本。</w:t>
      </w:r>
    </w:p>
    <w:p w14:paraId="2596E1F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9.供应商的询问</w:t>
      </w:r>
    </w:p>
    <w:p w14:paraId="28678E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27CD19C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10.磋商文件的澄清和修改</w:t>
      </w:r>
    </w:p>
    <w:p w14:paraId="0263475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10.1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w:t>
      </w:r>
      <w:r>
        <w:rPr>
          <w:rFonts w:ascii="宋体" w:hAnsi="宋体" w:eastAsia="宋体"/>
          <w:color w:val="auto"/>
          <w:szCs w:val="21"/>
          <w:highlight w:val="none"/>
        </w:rPr>
        <w:t>3个工作</w:t>
      </w:r>
      <w:r>
        <w:rPr>
          <w:rFonts w:hint="eastAsia" w:ascii="宋体" w:hAnsi="宋体" w:eastAsia="宋体"/>
          <w:color w:val="auto"/>
          <w:szCs w:val="21"/>
          <w:highlight w:val="none"/>
        </w:rPr>
        <w:t>日前，在原公告发布媒体上发布更正公告，并以书面形式通知所有获取磋商文件的供应商，不足</w:t>
      </w:r>
      <w:r>
        <w:rPr>
          <w:rFonts w:ascii="宋体" w:hAnsi="宋体" w:eastAsia="宋体"/>
          <w:color w:val="auto"/>
          <w:szCs w:val="21"/>
          <w:highlight w:val="none"/>
        </w:rPr>
        <w:t>3个工作</w:t>
      </w:r>
      <w:r>
        <w:rPr>
          <w:rFonts w:hint="eastAsia" w:ascii="宋体" w:hAnsi="宋体" w:eastAsia="宋体"/>
          <w:color w:val="auto"/>
          <w:szCs w:val="21"/>
          <w:highlight w:val="none"/>
        </w:rPr>
        <w:t>日的，应当顺延提交首次响应文件截止时间。</w:t>
      </w:r>
    </w:p>
    <w:p w14:paraId="35B43F6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10.2采购人和采购代理机构可以视采购具体情况，变更首次响应文件提交截止时间和开启时间，并在原公告发布媒体上发布更正公告。</w:t>
      </w:r>
    </w:p>
    <w:p w14:paraId="5EF11C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10.3磋商文件澄清、答复、修改、补充的内容为磋商文件的组成部分。当磋商文件与磋商文件的澄清、答复、修改、补充通知就同一内容的表述不一致时，以最后发出的文件为准。</w:t>
      </w:r>
    </w:p>
    <w:p w14:paraId="62E8C36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10.4响应文件未按磋商文件的澄清、修改后的内容编制的，其响应文件作无效响应处理。</w:t>
      </w:r>
    </w:p>
    <w:p w14:paraId="169DDFA0">
      <w:pPr>
        <w:pStyle w:val="4"/>
        <w:jc w:val="left"/>
        <w:rPr>
          <w:rFonts w:ascii="宋体" w:hAnsi="宋体" w:eastAsia="宋体"/>
          <w:color w:val="auto"/>
          <w:sz w:val="28"/>
          <w:szCs w:val="28"/>
          <w:highlight w:val="none"/>
        </w:rPr>
      </w:pPr>
      <w:bookmarkStart w:id="14" w:name="_Toc197530109"/>
      <w:r>
        <w:rPr>
          <w:rFonts w:hint="eastAsia" w:ascii="宋体" w:hAnsi="宋体" w:eastAsia="宋体"/>
          <w:color w:val="auto"/>
          <w:sz w:val="28"/>
          <w:szCs w:val="28"/>
          <w:highlight w:val="none"/>
        </w:rPr>
        <w:t>（三）响应文件的编制</w:t>
      </w:r>
      <w:bookmarkEnd w:id="14"/>
    </w:p>
    <w:p w14:paraId="4198CB5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11.响应文件的编制原则</w:t>
      </w:r>
    </w:p>
    <w:p w14:paraId="1DBE077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供应商必须按照磋商文件的要求编制响应文件，并对其提交的响应文件的真实性、合法性承担法律责任。响应文件必须对磋商文件作出实质性响应。</w:t>
      </w:r>
    </w:p>
    <w:p w14:paraId="1E3092C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12.响应文件的组成</w:t>
      </w:r>
    </w:p>
    <w:p w14:paraId="487AD6F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12.1响应文件由资格证明文件、报价文件、商务技术文件三部分组成。</w:t>
      </w:r>
    </w:p>
    <w:p w14:paraId="2B96C92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12.1.1资格证明文件：详见“供应商须知前附表”。</w:t>
      </w:r>
    </w:p>
    <w:p w14:paraId="52AFD92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12.1.2报价文件：详见“供应商须知前附表”。</w:t>
      </w:r>
    </w:p>
    <w:p w14:paraId="3F2B5E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12.1.3商务技术文件：详见“供应商须知前附表”。</w:t>
      </w:r>
    </w:p>
    <w:p w14:paraId="7DD2559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13.计量单位</w:t>
      </w:r>
    </w:p>
    <w:p w14:paraId="092A3B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磋商文件已有明确规定的，使用磋商文件规定的计量单位；磋商文件没有规定的，应采用中华人民共和国法定计量单位，货币种类为人民币，否则视同未响应。</w:t>
      </w:r>
    </w:p>
    <w:p w14:paraId="342A2598">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14.竞争性磋商的风险</w:t>
      </w:r>
    </w:p>
    <w:p w14:paraId="4FF107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供应商没有按照磋商文件要求提供全部资料，或者供应商没有对磋商文件在各方面作出实质性响应可能导致其响应无效，是供应商应当考虑的风险。</w:t>
      </w:r>
    </w:p>
    <w:p w14:paraId="6CADCDD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15.竞争性磋商报价</w:t>
      </w:r>
    </w:p>
    <w:p w14:paraId="62BFD3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15.1竞争性磋商报价应按磋商文件中“竞争性磋商报价表”格式填写。</w:t>
      </w:r>
    </w:p>
    <w:p w14:paraId="7421E07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15.2竞争性磋商报价的内容见“供应商须知前附表”。</w:t>
      </w:r>
    </w:p>
    <w:p w14:paraId="52AE19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15.3本项目的增值税计税方法见“供应商须知前附表”。</w:t>
      </w:r>
    </w:p>
    <w:p w14:paraId="7C12CB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15.4竞争性磋商报价要求：</w:t>
      </w:r>
    </w:p>
    <w:p w14:paraId="7819E5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15.4.1供应商的竞争性磋商报价应符合以下要求，否则响应文件按无效响应处理：</w:t>
      </w:r>
    </w:p>
    <w:p w14:paraId="14752B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（1）供应商必须就“采购需求”中所参加竞争性磋商的每个分标的全部内容分别作完整唯一报价，不得存在漏项报价；</w:t>
      </w:r>
    </w:p>
    <w:p w14:paraId="6E1AFF6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（2）供应商必须就所参加竞争性磋商的分标的单项内容作唯一报价。</w:t>
      </w:r>
    </w:p>
    <w:p w14:paraId="1CC49F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15.4.2竞争性磋商报价（包含首次报价、最后报价）超过所参加竞争性磋商分标规定的采购预算金额或者最高限价的，其响应文件将按无效处理。</w:t>
      </w:r>
    </w:p>
    <w:p w14:paraId="3E2616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15.4.3竞争性磋商报价（包含首次报价、最后报价）超过分项采购预算金额或者最高限价的，其响应文件将按无效处理。</w:t>
      </w:r>
    </w:p>
    <w:p w14:paraId="56348C8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16.竞争性磋商有效期</w:t>
      </w:r>
    </w:p>
    <w:p w14:paraId="38FF1C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16.1竞争性磋商有效期是指为保证采购人有足够的时间在提交响应文件后完成评审、确定成交供应商、合同签订等工作而要求供应商提交的响应文件在一定时间内保持有效的期限。</w:t>
      </w:r>
    </w:p>
    <w:p w14:paraId="2E020D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16.2竞争性磋商有效期应由供应商按“供应商须知前附表”规定的期限作出响应。</w:t>
      </w:r>
    </w:p>
    <w:p w14:paraId="1FD6F1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16.3供应商的响应文件在竞争性磋商有效期内均保持有效。</w:t>
      </w:r>
    </w:p>
    <w:p w14:paraId="1404E23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17.磋商保证金</w:t>
      </w:r>
    </w:p>
    <w:p w14:paraId="1A660E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17.1供应商须按“供应商须知前附表”的规定缴纳磋商保证金。</w:t>
      </w:r>
    </w:p>
    <w:p w14:paraId="58584D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17.2磋商保证金的退还</w:t>
      </w:r>
    </w:p>
    <w:p w14:paraId="4E8EF9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未成交供应商的磋商保证金自成交通知书发出之日起5个工作日内退还；成交供应商的磋商保证金自签订合同之日起5个工作日内退还成交供应商。</w:t>
      </w:r>
    </w:p>
    <w:p w14:paraId="5DFB11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17.3磋商保证金不计息。</w:t>
      </w:r>
    </w:p>
    <w:p w14:paraId="03DD9AB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17.4供应商有下列情形之一的，磋商保证金将不予退还：</w:t>
      </w:r>
    </w:p>
    <w:p w14:paraId="6784B99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（1）供应商在提交响应文件截止时间后撤回响应文件的；</w:t>
      </w:r>
    </w:p>
    <w:p w14:paraId="69D1AE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（2）未按规定缴纳履约保证金的；</w:t>
      </w:r>
    </w:p>
    <w:p w14:paraId="2C12DA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（3）供应商在响应文件中提供虚假材料的；</w:t>
      </w:r>
    </w:p>
    <w:p w14:paraId="6A479E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（4）除因不可抗力或者磋商文件认可的情形以外，成交供应商不与采购人签订合同的；</w:t>
      </w:r>
    </w:p>
    <w:p w14:paraId="5891AAA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（5）供应商与采购人、其他供应商或者采购代理机构恶意串通的；</w:t>
      </w:r>
    </w:p>
    <w:p w14:paraId="674D5E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（6）法律法规规定的其他情形。</w:t>
      </w:r>
    </w:p>
    <w:p w14:paraId="1E20E31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18.响应文件编制的要求</w:t>
      </w:r>
    </w:p>
    <w:p w14:paraId="6EB3DD2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供应商应安装客户端软件—“广西政府采购云平台新版客户端”，并按照磋商文件和电子交易平台的要求编制并加密响应文件。供应商未按规定加密的响应文件，电子交易平台将拒收并提示。响应文件内容不完整、编排混乱导致响应文件被误读、漏读或者查找不到相关内容的，由此引发的后果由供应商承担。</w:t>
      </w:r>
    </w:p>
    <w:p w14:paraId="053873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为确保网上操作合法、有效和安全，供应商应当在提交响应文件截止时间前完成在“广西政府采购云平台”的身份认证，确保在磋商过程中能够对相关数据电文进行加密和使用电子签章。使用“广西政府采购云平台电子交易客户端”需要提前申领CA数字证书。</w:t>
      </w:r>
    </w:p>
    <w:p w14:paraId="61C1DCC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18.3响应文件须由供应商按采购文件要求签字、盖章（具体以供应商须知前附表或响应文件格式规定为准），否则按无效响应处理。</w:t>
      </w:r>
    </w:p>
    <w:p w14:paraId="65404D1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18.4响应文件中标注的供应商名称应与主体资格证明（如营业执照或者事业单位法人证书或者执业许可证或者登记证书等）及公章一致，否则其响应文件按无效处理。</w:t>
      </w:r>
    </w:p>
    <w:p w14:paraId="6EDA09B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DB3078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19.电子备份响应文件</w:t>
      </w:r>
    </w:p>
    <w:p w14:paraId="18345D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本项目不接受备份响应文件。</w:t>
      </w:r>
    </w:p>
    <w:p w14:paraId="2C04E49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20.响应文件的提交</w:t>
      </w:r>
    </w:p>
    <w:p w14:paraId="52C1EF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w:t>
      </w:r>
    </w:p>
    <w:p w14:paraId="750F38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20.2未在规定时间内提交或者未按照磋商文件要求加密的电子响应文件，广西政府采购云平台将拒收。</w:t>
      </w:r>
    </w:p>
    <w:p w14:paraId="63FA6F7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21.首次响应文件的补充、修改与撤回</w:t>
      </w:r>
    </w:p>
    <w:p w14:paraId="1993F3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陆广西政府采购云平台（https：//www.gcy.zfcg.gxzf.gov.cn/）中查看。）</w:t>
      </w:r>
    </w:p>
    <w:p w14:paraId="5BF69D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21.2在提交响应文件截止时间前，除供应商补充、修改或者撤回响应文件外，任何单位和个人不得解密或提取响应文件。</w:t>
      </w:r>
    </w:p>
    <w:p w14:paraId="1EFC068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22.响应文件的退回</w:t>
      </w:r>
    </w:p>
    <w:p w14:paraId="459263A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采购人和采购代理机构对已提交的响应文件概不退回。</w:t>
      </w:r>
    </w:p>
    <w:p w14:paraId="1C068B0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23.截止时间后的撤回</w:t>
      </w:r>
    </w:p>
    <w:p w14:paraId="4210B20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供应商在响应文件提交截止时间后向采购人、采购代理机构书面申请撤回响应文件的，将根据本须知正文第17.4条的规定不予退还其磋商保证金。</w:t>
      </w:r>
    </w:p>
    <w:p w14:paraId="158ACDFA">
      <w:pPr>
        <w:pStyle w:val="4"/>
        <w:jc w:val="left"/>
        <w:rPr>
          <w:rFonts w:ascii="宋体" w:hAnsi="宋体" w:eastAsia="宋体"/>
          <w:color w:val="auto"/>
          <w:sz w:val="28"/>
          <w:szCs w:val="28"/>
          <w:highlight w:val="none"/>
        </w:rPr>
      </w:pPr>
      <w:bookmarkStart w:id="15" w:name="_Toc197530110"/>
      <w:r>
        <w:rPr>
          <w:rFonts w:hint="eastAsia" w:ascii="宋体" w:hAnsi="宋体" w:eastAsia="宋体"/>
          <w:color w:val="auto"/>
          <w:sz w:val="28"/>
          <w:szCs w:val="28"/>
          <w:highlight w:val="none"/>
        </w:rPr>
        <w:t>（四）评审及磋商</w:t>
      </w:r>
      <w:bookmarkEnd w:id="15"/>
    </w:p>
    <w:p w14:paraId="090CA6F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24.磋商小组成立</w:t>
      </w:r>
    </w:p>
    <w:p w14:paraId="456E45F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27E243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C3F26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24.3采购代理机构应当基于广西政府采购云平台抽（选）取评审专家。</w:t>
      </w:r>
    </w:p>
    <w:p w14:paraId="0DA26CD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25.首次响应文件的开启和解密</w:t>
      </w:r>
    </w:p>
    <w:p w14:paraId="2B35C0C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按无效处理。</w:t>
      </w:r>
    </w:p>
    <w:p w14:paraId="4831823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26.评审程序、评审方法和评审标准</w:t>
      </w:r>
    </w:p>
    <w:p w14:paraId="2E5E1F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26.1本项目的评审方法为综合评分法。</w:t>
      </w:r>
    </w:p>
    <w:p w14:paraId="6BF993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26.2磋商小组按照“第四章评审程序、评审方法和评审标准”规定的方法、评审因素、标准和程序对响应文件进行评审并推荐成交候选供应商。</w:t>
      </w:r>
    </w:p>
    <w:p w14:paraId="6095541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26.3商务/技术要求允许负偏离的条款数详见“供应商须知前附表”。</w:t>
      </w:r>
    </w:p>
    <w:p w14:paraId="5BC772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D7C01C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26.5电子交易活动的中止。采购过程中出现以下情形，导致电子交易平台无法正常运行，或者无法保证电子交易的公平、公正和安全时，采购机构可中止电子交易活动：</w:t>
      </w:r>
    </w:p>
    <w:p w14:paraId="695C0F0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（1）电子交易平台发生故障而无法登录访问的；</w:t>
      </w:r>
    </w:p>
    <w:p w14:paraId="0BB91E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（2）电子交易平台应用或数据库出现错误，不能进行正常操作的；</w:t>
      </w:r>
    </w:p>
    <w:p w14:paraId="57DC1B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（3）电子交易平台发现严重安全漏洞，有潜在泄密危险的；</w:t>
      </w:r>
    </w:p>
    <w:p w14:paraId="321934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（4）病毒发作导致不能进行正常操作的；</w:t>
      </w:r>
    </w:p>
    <w:p w14:paraId="0BFD3BC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（5）其他无法保证电子交易的公平、公正和安全的情况。</w:t>
      </w:r>
    </w:p>
    <w:p w14:paraId="0CE9FBC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76D08F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27.确定成交供应商及结果公告</w:t>
      </w:r>
    </w:p>
    <w:p w14:paraId="7CFEA9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0C7D9A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1DF5CF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27.3出现下列情形之一的，采购人或者采购代理机构应当终止竞争性磋商采购活动，发布项目终止公告并说明原因，重新开展采购活动：</w:t>
      </w:r>
    </w:p>
    <w:p w14:paraId="7A23A1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（1）因情况变化，不再符合规定的竞争性磋商采购方式适用情形的；</w:t>
      </w:r>
    </w:p>
    <w:p w14:paraId="43EA28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（2）出现影响采购公正的违法、违规行为的；</w:t>
      </w:r>
    </w:p>
    <w:p w14:paraId="0911BD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（3）除“第四章评审程序、评审方法和评审标准”第4.3条规定的情形外，在采购过程中符合要求的供应商或者报价未超过采购预算的供应商不足3家的。</w:t>
      </w:r>
    </w:p>
    <w:p w14:paraId="089AC1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33F94DE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28.履约保证金</w:t>
      </w:r>
    </w:p>
    <w:p w14:paraId="7E2D67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28.1履约保证金的金额、缴纳方式、退付的时间和条件详见“供应商须知前附表”。成交供应商未按规定缴纳履约保证金的，视同放弃成交资格。</w:t>
      </w:r>
    </w:p>
    <w:p w14:paraId="2EEBBD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28.2在履约保证金退还日期前，若成交供应商的开户名称、开户银行、</w:t>
      </w:r>
      <w:r>
        <w:rPr>
          <w:rFonts w:hint="eastAsia" w:ascii="宋体" w:hAnsi="宋体"/>
          <w:color w:val="auto"/>
          <w:szCs w:val="21"/>
          <w:highlight w:val="none"/>
        </w:rPr>
        <w:t>账号</w:t>
      </w:r>
      <w:r>
        <w:rPr>
          <w:rFonts w:hint="eastAsia" w:ascii="宋体" w:hAnsi="宋体" w:eastAsia="宋体"/>
          <w:color w:val="auto"/>
          <w:szCs w:val="21"/>
          <w:highlight w:val="none"/>
        </w:rPr>
        <w:t>有变动的，请以书面形式通知履约保证金收取单位，否则由此产生的后果由成交供应商自行承担。</w:t>
      </w:r>
    </w:p>
    <w:p w14:paraId="24DE743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29.签订合同</w:t>
      </w:r>
    </w:p>
    <w:p w14:paraId="051D21A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49A1861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线下签订纸质合同：供应商领取成交通知书后，按“供应商须知前附表”规定向采购人出示相关证明材料，经采购人核验合格后方可签订合同。</w:t>
      </w:r>
    </w:p>
    <w:p w14:paraId="54A232E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29.2签订合同时间：在成交通知书规定的时间内与采购人签订合同。</w:t>
      </w:r>
    </w:p>
    <w:p w14:paraId="6D881FE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14:paraId="1A3E07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交供应商放弃成交项目，拒绝与采购人签订合同的，其磋商保证金将不予退还，并上缴国库。给采购人造成损失，或（并）因此延误采购人工期计划的，须依据《中华人民共和国民法典》第五百条、《政府采购非招标采购方式管理办法（财政部令第74号）》第二十二条、第五十四条规定、《工程建设项目施工招标投标办法（2013年修正）》第六十条和第八十一条等规定承担赔偿损失等法律责任，采购人有权将成交供应商的失信行为报财政部门记入诚信档案，以示惩戒。</w:t>
      </w:r>
    </w:p>
    <w:p w14:paraId="58AD583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D1E49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5DF9F9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29.6如签订合同并生效后，供应商无故拒绝或延期，除按照合同条款处理外，将承担相应的法律责任。</w:t>
      </w:r>
    </w:p>
    <w:p w14:paraId="59DBEC7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30.政府采购合同公告</w:t>
      </w:r>
    </w:p>
    <w:p w14:paraId="650B270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7E558A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31.询问、质疑和投诉</w:t>
      </w:r>
    </w:p>
    <w:p w14:paraId="348653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31.1供应商对政府采购活动事项有疑问的，可以向采购人、采购代理机构提出询问，采购人或者采购代理机构应当在3个工作日内对供应商依法提出的询问作出答复，但答复的内容不得涉及商业秘密。</w:t>
      </w:r>
    </w:p>
    <w:p w14:paraId="2035EAE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具体质疑起算时间如下：</w:t>
      </w:r>
    </w:p>
    <w:p w14:paraId="4F81F3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（1）对可以质疑的磋商文件提出质疑的，为获取磋商文件之日或者竞争性磋商公告期限届满之日；</w:t>
      </w:r>
    </w:p>
    <w:p w14:paraId="475C67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（2）对采购过程提出质疑的，为各采购程序环节结束之日；</w:t>
      </w:r>
    </w:p>
    <w:p w14:paraId="3EFBE0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（3）对成交结果提出质疑的，为成交结果公告期限届满之日。</w:t>
      </w:r>
    </w:p>
    <w:p w14:paraId="5FF2051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2B97D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31.4供应商提出质疑应当提交质疑函和必要的证明材料，针对同一采购程序环节的质疑必须在法定质疑期内一次性提出。质疑函应当包括下列内容（质疑函格式后附）：</w:t>
      </w:r>
    </w:p>
    <w:p w14:paraId="0105CC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（1）供应商的姓名或者名称、地址、邮编、联系人及联系电话；</w:t>
      </w:r>
    </w:p>
    <w:p w14:paraId="569446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（2）质疑项目的名称、编号；</w:t>
      </w:r>
    </w:p>
    <w:p w14:paraId="1163FC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（3）具体、明确的质疑事项和与质疑事项相关的请求；</w:t>
      </w:r>
    </w:p>
    <w:p w14:paraId="43E1292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（4）事实依据；</w:t>
      </w:r>
    </w:p>
    <w:p w14:paraId="2FF583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（5）必要的法律依据；</w:t>
      </w:r>
    </w:p>
    <w:p w14:paraId="78B941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（6）提出质疑的日期。</w:t>
      </w:r>
    </w:p>
    <w:p w14:paraId="7617C8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供应商为自然人的，应当由本人签字；供应商为法人或者其他组织的，应当由法定代表人、主要负责人，或者其委托代理人签字或者盖章，并加盖公章。</w:t>
      </w:r>
    </w:p>
    <w:p w14:paraId="097B8E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6407B79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（1）对采购文件提出的质疑，依法通过澄清或者修改可以继续开展采购活动的，澄清或者修改采购文件后继续开展采购活动；否则应当修改采购文件后重新开展采购活动。</w:t>
      </w:r>
    </w:p>
    <w:p w14:paraId="171AF98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（2）对采购过程或者成交结果提出的质疑且质疑成立，合格供应商符合法定数量时，可以从合格的成交候选人中另行确定成交供应商的，应当依法另行确定成交供应商；否则应当重新开展采购活动。</w:t>
      </w:r>
    </w:p>
    <w:p w14:paraId="00E318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质疑答复导致成交结果改变的，采购人或者采购代理机构应当将有关情况书面报告本级财政部门。</w:t>
      </w:r>
    </w:p>
    <w:p w14:paraId="2338F8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B91126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32.其他内容</w:t>
      </w:r>
    </w:p>
    <w:p w14:paraId="677C76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32.1代理服务费收取标准及缴费账户详见“供应商须知前附表”，供应商为联合体的，可以由联合体中的一方或者多方共同缴纳代理服务费。</w:t>
      </w:r>
    </w:p>
    <w:p w14:paraId="2CD4B3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32.2代理服务费收费计算标准：</w:t>
      </w:r>
    </w:p>
    <w:tbl>
      <w:tblPr>
        <w:tblStyle w:val="38"/>
        <w:tblW w:w="0" w:type="auto"/>
        <w:jc w:val="center"/>
        <w:tblLayout w:type="autofit"/>
        <w:tblCellMar>
          <w:top w:w="0" w:type="dxa"/>
          <w:left w:w="108" w:type="dxa"/>
          <w:bottom w:w="0" w:type="dxa"/>
          <w:right w:w="108" w:type="dxa"/>
        </w:tblCellMar>
      </w:tblPr>
      <w:tblGrid>
        <w:gridCol w:w="2336"/>
        <w:gridCol w:w="2336"/>
        <w:gridCol w:w="2336"/>
        <w:gridCol w:w="2336"/>
      </w:tblGrid>
      <w:tr w14:paraId="36A8C40E">
        <w:tblPrEx>
          <w:tblCellMar>
            <w:top w:w="0" w:type="dxa"/>
            <w:left w:w="108" w:type="dxa"/>
            <w:bottom w:w="0" w:type="dxa"/>
            <w:right w:w="108" w:type="dxa"/>
          </w:tblCellMar>
        </w:tblPrEx>
        <w:trPr>
          <w:trHeight w:val="1509" w:hRule="atLeast"/>
          <w:jc w:val="center"/>
        </w:trPr>
        <w:tc>
          <w:tcPr>
            <w:tcW w:w="2336" w:type="dxa"/>
            <w:tcBorders>
              <w:top w:val="single" w:color="auto" w:sz="4" w:space="0"/>
              <w:left w:val="single" w:color="auto" w:sz="4" w:space="0"/>
              <w:bottom w:val="single" w:color="auto" w:sz="4" w:space="0"/>
              <w:right w:val="single" w:color="auto" w:sz="4" w:space="0"/>
              <w:tl2br w:val="single" w:color="auto" w:sz="4" w:space="0"/>
            </w:tcBorders>
            <w:vAlign w:val="center"/>
          </w:tcPr>
          <w:p w14:paraId="76E8FCC9">
            <w:pPr>
              <w:spacing w:line="360" w:lineRule="auto"/>
              <w:jc w:val="right"/>
              <w:rPr>
                <w:rFonts w:ascii="宋体" w:hAnsi="宋体"/>
                <w:color w:val="auto"/>
                <w:szCs w:val="21"/>
                <w:highlight w:val="none"/>
              </w:rPr>
            </w:pPr>
            <w:r>
              <w:rPr>
                <w:rFonts w:hint="eastAsia" w:ascii="宋体" w:hAnsi="宋体"/>
                <w:color w:val="auto"/>
                <w:szCs w:val="21"/>
                <w:highlight w:val="none"/>
              </w:rPr>
              <w:t>费率</w:t>
            </w:r>
          </w:p>
          <w:p w14:paraId="63369843">
            <w:pPr>
              <w:spacing w:line="360" w:lineRule="auto"/>
              <w:jc w:val="left"/>
              <w:rPr>
                <w:rFonts w:ascii="宋体" w:hAnsi="宋体"/>
                <w:color w:val="auto"/>
                <w:szCs w:val="21"/>
                <w:highlight w:val="none"/>
              </w:rPr>
            </w:pPr>
          </w:p>
          <w:p w14:paraId="407C3C40">
            <w:pPr>
              <w:spacing w:line="360" w:lineRule="auto"/>
              <w:jc w:val="left"/>
              <w:rPr>
                <w:rFonts w:ascii="宋体" w:hAnsi="宋体"/>
                <w:color w:val="auto"/>
                <w:szCs w:val="21"/>
                <w:highlight w:val="none"/>
              </w:rPr>
            </w:pPr>
            <w:r>
              <w:rPr>
                <w:rFonts w:hint="eastAsia" w:ascii="宋体" w:hAnsi="宋体"/>
                <w:color w:val="auto"/>
                <w:szCs w:val="21"/>
                <w:highlight w:val="none"/>
              </w:rPr>
              <w:t>金额（人民币）</w:t>
            </w:r>
          </w:p>
        </w:tc>
        <w:tc>
          <w:tcPr>
            <w:tcW w:w="2336" w:type="dxa"/>
            <w:tcBorders>
              <w:top w:val="single" w:color="auto" w:sz="4" w:space="0"/>
              <w:left w:val="single" w:color="auto" w:sz="4" w:space="0"/>
              <w:bottom w:val="single" w:color="auto" w:sz="4" w:space="0"/>
              <w:right w:val="single" w:color="auto" w:sz="4" w:space="0"/>
            </w:tcBorders>
            <w:vAlign w:val="center"/>
          </w:tcPr>
          <w:p w14:paraId="79202B07">
            <w:pPr>
              <w:spacing w:line="360" w:lineRule="auto"/>
              <w:jc w:val="center"/>
              <w:rPr>
                <w:rFonts w:ascii="宋体" w:hAnsi="宋体"/>
                <w:color w:val="auto"/>
                <w:szCs w:val="21"/>
                <w:highlight w:val="none"/>
              </w:rPr>
            </w:pPr>
            <w:r>
              <w:rPr>
                <w:rFonts w:hint="eastAsia" w:ascii="宋体" w:hAnsi="宋体"/>
                <w:color w:val="auto"/>
                <w:szCs w:val="21"/>
                <w:highlight w:val="none"/>
              </w:rPr>
              <w:t>货物类</w:t>
            </w:r>
          </w:p>
        </w:tc>
        <w:tc>
          <w:tcPr>
            <w:tcW w:w="2336" w:type="dxa"/>
            <w:tcBorders>
              <w:top w:val="single" w:color="auto" w:sz="4" w:space="0"/>
              <w:left w:val="single" w:color="auto" w:sz="4" w:space="0"/>
              <w:bottom w:val="single" w:color="auto" w:sz="4" w:space="0"/>
              <w:right w:val="single" w:color="auto" w:sz="4" w:space="0"/>
            </w:tcBorders>
            <w:vAlign w:val="center"/>
          </w:tcPr>
          <w:p w14:paraId="621FAC31">
            <w:pPr>
              <w:spacing w:line="360" w:lineRule="auto"/>
              <w:jc w:val="center"/>
              <w:rPr>
                <w:rFonts w:ascii="宋体" w:hAnsi="宋体"/>
                <w:color w:val="auto"/>
                <w:szCs w:val="21"/>
                <w:highlight w:val="none"/>
              </w:rPr>
            </w:pPr>
            <w:r>
              <w:rPr>
                <w:rFonts w:hint="eastAsia" w:ascii="宋体" w:hAnsi="宋体"/>
                <w:color w:val="auto"/>
                <w:szCs w:val="21"/>
                <w:highlight w:val="none"/>
              </w:rPr>
              <w:t>服务类</w:t>
            </w:r>
          </w:p>
        </w:tc>
        <w:tc>
          <w:tcPr>
            <w:tcW w:w="2336" w:type="dxa"/>
            <w:tcBorders>
              <w:top w:val="single" w:color="auto" w:sz="4" w:space="0"/>
              <w:left w:val="single" w:color="auto" w:sz="4" w:space="0"/>
              <w:bottom w:val="single" w:color="auto" w:sz="4" w:space="0"/>
              <w:right w:val="single" w:color="auto" w:sz="4" w:space="0"/>
            </w:tcBorders>
            <w:vAlign w:val="center"/>
          </w:tcPr>
          <w:p w14:paraId="741DCF5B">
            <w:pPr>
              <w:spacing w:line="360" w:lineRule="auto"/>
              <w:jc w:val="center"/>
              <w:rPr>
                <w:rFonts w:ascii="宋体" w:hAnsi="宋体"/>
                <w:color w:val="auto"/>
                <w:szCs w:val="21"/>
                <w:highlight w:val="none"/>
              </w:rPr>
            </w:pPr>
            <w:r>
              <w:rPr>
                <w:rFonts w:hint="eastAsia" w:ascii="宋体" w:hAnsi="宋体"/>
                <w:color w:val="auto"/>
                <w:szCs w:val="21"/>
                <w:highlight w:val="none"/>
              </w:rPr>
              <w:t>工程类</w:t>
            </w:r>
          </w:p>
        </w:tc>
      </w:tr>
      <w:tr w14:paraId="607C02C4">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3761971">
            <w:pPr>
              <w:spacing w:line="360" w:lineRule="auto"/>
              <w:jc w:val="center"/>
              <w:rPr>
                <w:rFonts w:ascii="宋体" w:hAnsi="宋体"/>
                <w:color w:val="auto"/>
                <w:szCs w:val="21"/>
                <w:highlight w:val="none"/>
              </w:rPr>
            </w:pPr>
            <w:r>
              <w:rPr>
                <w:rFonts w:hint="eastAsia" w:ascii="宋体" w:hAnsi="宋体"/>
                <w:color w:val="auto"/>
                <w:szCs w:val="21"/>
                <w:highlight w:val="none"/>
              </w:rPr>
              <w:t>100万元以下</w:t>
            </w:r>
          </w:p>
        </w:tc>
        <w:tc>
          <w:tcPr>
            <w:tcW w:w="2336" w:type="dxa"/>
            <w:tcBorders>
              <w:top w:val="single" w:color="auto" w:sz="4" w:space="0"/>
              <w:left w:val="single" w:color="auto" w:sz="4" w:space="0"/>
              <w:bottom w:val="single" w:color="auto" w:sz="4" w:space="0"/>
              <w:right w:val="single" w:color="auto" w:sz="4" w:space="0"/>
            </w:tcBorders>
            <w:vAlign w:val="center"/>
          </w:tcPr>
          <w:p w14:paraId="64BABB0C">
            <w:pPr>
              <w:spacing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2336" w:type="dxa"/>
            <w:tcBorders>
              <w:top w:val="single" w:color="auto" w:sz="4" w:space="0"/>
              <w:left w:val="single" w:color="auto" w:sz="4" w:space="0"/>
              <w:bottom w:val="single" w:color="auto" w:sz="4" w:space="0"/>
              <w:right w:val="single" w:color="auto" w:sz="4" w:space="0"/>
            </w:tcBorders>
            <w:vAlign w:val="center"/>
          </w:tcPr>
          <w:p w14:paraId="6AA6A1A2">
            <w:pPr>
              <w:spacing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2336" w:type="dxa"/>
            <w:tcBorders>
              <w:top w:val="single" w:color="auto" w:sz="4" w:space="0"/>
              <w:left w:val="single" w:color="auto" w:sz="4" w:space="0"/>
              <w:bottom w:val="single" w:color="auto" w:sz="4" w:space="0"/>
              <w:right w:val="single" w:color="auto" w:sz="4" w:space="0"/>
            </w:tcBorders>
            <w:vAlign w:val="center"/>
          </w:tcPr>
          <w:p w14:paraId="1593C1BC">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r>
      <w:tr w14:paraId="724F48D2">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1082FF42">
            <w:pPr>
              <w:spacing w:line="360" w:lineRule="auto"/>
              <w:jc w:val="center"/>
              <w:rPr>
                <w:rFonts w:ascii="宋体" w:hAnsi="宋体"/>
                <w:color w:val="auto"/>
                <w:szCs w:val="21"/>
                <w:highlight w:val="none"/>
              </w:rPr>
            </w:pPr>
            <w:r>
              <w:rPr>
                <w:rFonts w:hint="eastAsia" w:ascii="宋体" w:hAnsi="宋体"/>
                <w:color w:val="auto"/>
                <w:szCs w:val="21"/>
                <w:highlight w:val="none"/>
              </w:rPr>
              <w:t>100～500万元</w:t>
            </w:r>
          </w:p>
        </w:tc>
        <w:tc>
          <w:tcPr>
            <w:tcW w:w="2336" w:type="dxa"/>
            <w:tcBorders>
              <w:top w:val="single" w:color="auto" w:sz="4" w:space="0"/>
              <w:left w:val="single" w:color="auto" w:sz="4" w:space="0"/>
              <w:bottom w:val="single" w:color="auto" w:sz="4" w:space="0"/>
              <w:right w:val="single" w:color="auto" w:sz="4" w:space="0"/>
            </w:tcBorders>
            <w:vAlign w:val="center"/>
          </w:tcPr>
          <w:p w14:paraId="0C874997">
            <w:pPr>
              <w:spacing w:line="360" w:lineRule="auto"/>
              <w:jc w:val="center"/>
              <w:rPr>
                <w:rFonts w:ascii="宋体" w:hAnsi="宋体"/>
                <w:color w:val="auto"/>
                <w:szCs w:val="21"/>
                <w:highlight w:val="none"/>
              </w:rPr>
            </w:pPr>
            <w:r>
              <w:rPr>
                <w:rFonts w:hint="eastAsia" w:ascii="宋体" w:hAnsi="宋体"/>
                <w:color w:val="auto"/>
                <w:szCs w:val="21"/>
                <w:highlight w:val="none"/>
              </w:rPr>
              <w:t>1.1%</w:t>
            </w:r>
          </w:p>
        </w:tc>
        <w:tc>
          <w:tcPr>
            <w:tcW w:w="2336" w:type="dxa"/>
            <w:tcBorders>
              <w:top w:val="single" w:color="auto" w:sz="4" w:space="0"/>
              <w:left w:val="single" w:color="auto" w:sz="4" w:space="0"/>
              <w:bottom w:val="single" w:color="auto" w:sz="4" w:space="0"/>
              <w:right w:val="single" w:color="auto" w:sz="4" w:space="0"/>
            </w:tcBorders>
            <w:vAlign w:val="center"/>
          </w:tcPr>
          <w:p w14:paraId="3D1EEBB0">
            <w:pPr>
              <w:spacing w:line="360" w:lineRule="auto"/>
              <w:jc w:val="center"/>
              <w:rPr>
                <w:rFonts w:ascii="宋体" w:hAnsi="宋体"/>
                <w:color w:val="auto"/>
                <w:szCs w:val="21"/>
                <w:highlight w:val="none"/>
              </w:rPr>
            </w:pPr>
            <w:r>
              <w:rPr>
                <w:rFonts w:hint="eastAsia" w:ascii="宋体" w:hAnsi="宋体"/>
                <w:color w:val="auto"/>
                <w:szCs w:val="21"/>
                <w:highlight w:val="none"/>
              </w:rPr>
              <w:t>0.8%</w:t>
            </w:r>
          </w:p>
        </w:tc>
        <w:tc>
          <w:tcPr>
            <w:tcW w:w="2336" w:type="dxa"/>
            <w:tcBorders>
              <w:top w:val="single" w:color="auto" w:sz="4" w:space="0"/>
              <w:left w:val="single" w:color="auto" w:sz="4" w:space="0"/>
              <w:bottom w:val="single" w:color="auto" w:sz="4" w:space="0"/>
              <w:right w:val="single" w:color="auto" w:sz="4" w:space="0"/>
            </w:tcBorders>
            <w:vAlign w:val="center"/>
          </w:tcPr>
          <w:p w14:paraId="6644A3DD">
            <w:pPr>
              <w:spacing w:line="360" w:lineRule="auto"/>
              <w:jc w:val="center"/>
              <w:rPr>
                <w:rFonts w:ascii="宋体" w:hAnsi="宋体"/>
                <w:color w:val="auto"/>
                <w:szCs w:val="21"/>
                <w:highlight w:val="none"/>
              </w:rPr>
            </w:pPr>
            <w:r>
              <w:rPr>
                <w:rFonts w:hint="eastAsia" w:ascii="宋体" w:hAnsi="宋体"/>
                <w:color w:val="auto"/>
                <w:szCs w:val="21"/>
                <w:highlight w:val="none"/>
              </w:rPr>
              <w:t>0.7%</w:t>
            </w:r>
          </w:p>
        </w:tc>
      </w:tr>
      <w:tr w14:paraId="03560ABF">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66A9A3F0">
            <w:pPr>
              <w:spacing w:line="360" w:lineRule="auto"/>
              <w:jc w:val="center"/>
              <w:rPr>
                <w:rFonts w:ascii="宋体" w:hAnsi="宋体"/>
                <w:color w:val="auto"/>
                <w:szCs w:val="21"/>
                <w:highlight w:val="none"/>
              </w:rPr>
            </w:pPr>
            <w:r>
              <w:rPr>
                <w:rFonts w:hint="eastAsia" w:ascii="宋体" w:hAnsi="宋体"/>
                <w:color w:val="auto"/>
                <w:szCs w:val="21"/>
                <w:highlight w:val="none"/>
              </w:rPr>
              <w:t>500～1000万元</w:t>
            </w:r>
          </w:p>
        </w:tc>
        <w:tc>
          <w:tcPr>
            <w:tcW w:w="2336" w:type="dxa"/>
            <w:tcBorders>
              <w:top w:val="single" w:color="auto" w:sz="4" w:space="0"/>
              <w:left w:val="single" w:color="auto" w:sz="4" w:space="0"/>
              <w:bottom w:val="single" w:color="auto" w:sz="4" w:space="0"/>
              <w:right w:val="single" w:color="auto" w:sz="4" w:space="0"/>
            </w:tcBorders>
            <w:vAlign w:val="center"/>
          </w:tcPr>
          <w:p w14:paraId="15030D93">
            <w:pPr>
              <w:spacing w:line="360" w:lineRule="auto"/>
              <w:jc w:val="center"/>
              <w:rPr>
                <w:rFonts w:ascii="宋体" w:hAnsi="宋体"/>
                <w:color w:val="auto"/>
                <w:szCs w:val="21"/>
                <w:highlight w:val="none"/>
              </w:rPr>
            </w:pPr>
            <w:r>
              <w:rPr>
                <w:rFonts w:hint="eastAsia" w:ascii="宋体" w:hAnsi="宋体"/>
                <w:color w:val="auto"/>
                <w:szCs w:val="21"/>
                <w:highlight w:val="none"/>
              </w:rPr>
              <w:t>0.8%</w:t>
            </w:r>
          </w:p>
        </w:tc>
        <w:tc>
          <w:tcPr>
            <w:tcW w:w="2336" w:type="dxa"/>
            <w:tcBorders>
              <w:top w:val="single" w:color="auto" w:sz="4" w:space="0"/>
              <w:left w:val="single" w:color="auto" w:sz="4" w:space="0"/>
              <w:bottom w:val="single" w:color="auto" w:sz="4" w:space="0"/>
              <w:right w:val="single" w:color="auto" w:sz="4" w:space="0"/>
            </w:tcBorders>
            <w:vAlign w:val="center"/>
          </w:tcPr>
          <w:p w14:paraId="312C7CA5">
            <w:pPr>
              <w:spacing w:line="360" w:lineRule="auto"/>
              <w:jc w:val="center"/>
              <w:rPr>
                <w:rFonts w:ascii="宋体" w:hAnsi="宋体"/>
                <w:color w:val="auto"/>
                <w:szCs w:val="21"/>
                <w:highlight w:val="none"/>
              </w:rPr>
            </w:pPr>
            <w:r>
              <w:rPr>
                <w:rFonts w:hint="eastAsia" w:ascii="宋体" w:hAnsi="宋体"/>
                <w:color w:val="auto"/>
                <w:szCs w:val="21"/>
                <w:highlight w:val="none"/>
              </w:rPr>
              <w:t>0.45%</w:t>
            </w:r>
          </w:p>
        </w:tc>
        <w:tc>
          <w:tcPr>
            <w:tcW w:w="2336" w:type="dxa"/>
            <w:tcBorders>
              <w:top w:val="single" w:color="auto" w:sz="4" w:space="0"/>
              <w:left w:val="single" w:color="auto" w:sz="4" w:space="0"/>
              <w:bottom w:val="single" w:color="auto" w:sz="4" w:space="0"/>
              <w:right w:val="single" w:color="auto" w:sz="4" w:space="0"/>
            </w:tcBorders>
            <w:vAlign w:val="center"/>
          </w:tcPr>
          <w:p w14:paraId="12B6A148">
            <w:pPr>
              <w:spacing w:line="360" w:lineRule="auto"/>
              <w:jc w:val="center"/>
              <w:rPr>
                <w:rFonts w:ascii="宋体" w:hAnsi="宋体"/>
                <w:color w:val="auto"/>
                <w:szCs w:val="21"/>
                <w:highlight w:val="none"/>
              </w:rPr>
            </w:pPr>
            <w:r>
              <w:rPr>
                <w:rFonts w:hint="eastAsia" w:ascii="宋体" w:hAnsi="宋体"/>
                <w:color w:val="auto"/>
                <w:szCs w:val="21"/>
                <w:highlight w:val="none"/>
              </w:rPr>
              <w:t>0.55%</w:t>
            </w:r>
          </w:p>
        </w:tc>
      </w:tr>
      <w:tr w14:paraId="620225DE">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16E6EEB9">
            <w:pPr>
              <w:spacing w:line="360" w:lineRule="auto"/>
              <w:jc w:val="center"/>
              <w:rPr>
                <w:rFonts w:ascii="宋体" w:hAnsi="宋体"/>
                <w:color w:val="auto"/>
                <w:szCs w:val="21"/>
                <w:highlight w:val="none"/>
              </w:rPr>
            </w:pPr>
            <w:r>
              <w:rPr>
                <w:rFonts w:hint="eastAsia" w:ascii="宋体" w:hAnsi="宋体"/>
                <w:color w:val="auto"/>
                <w:szCs w:val="21"/>
                <w:highlight w:val="none"/>
              </w:rPr>
              <w:t>1000～5000万元</w:t>
            </w:r>
          </w:p>
        </w:tc>
        <w:tc>
          <w:tcPr>
            <w:tcW w:w="2336" w:type="dxa"/>
            <w:tcBorders>
              <w:top w:val="single" w:color="auto" w:sz="4" w:space="0"/>
              <w:left w:val="single" w:color="auto" w:sz="4" w:space="0"/>
              <w:bottom w:val="single" w:color="auto" w:sz="4" w:space="0"/>
              <w:right w:val="single" w:color="auto" w:sz="4" w:space="0"/>
            </w:tcBorders>
            <w:vAlign w:val="center"/>
          </w:tcPr>
          <w:p w14:paraId="3460DE90">
            <w:pPr>
              <w:spacing w:line="360" w:lineRule="auto"/>
              <w:jc w:val="center"/>
              <w:rPr>
                <w:rFonts w:ascii="宋体" w:hAnsi="宋体"/>
                <w:color w:val="auto"/>
                <w:szCs w:val="21"/>
                <w:highlight w:val="none"/>
              </w:rPr>
            </w:pPr>
            <w:r>
              <w:rPr>
                <w:rFonts w:hint="eastAsia" w:ascii="宋体" w:hAnsi="宋体"/>
                <w:color w:val="auto"/>
                <w:szCs w:val="21"/>
                <w:highlight w:val="none"/>
              </w:rPr>
              <w:t>0.5%</w:t>
            </w:r>
          </w:p>
        </w:tc>
        <w:tc>
          <w:tcPr>
            <w:tcW w:w="2336" w:type="dxa"/>
            <w:tcBorders>
              <w:top w:val="single" w:color="auto" w:sz="4" w:space="0"/>
              <w:left w:val="single" w:color="auto" w:sz="4" w:space="0"/>
              <w:bottom w:val="single" w:color="auto" w:sz="4" w:space="0"/>
              <w:right w:val="single" w:color="auto" w:sz="4" w:space="0"/>
            </w:tcBorders>
            <w:vAlign w:val="center"/>
          </w:tcPr>
          <w:p w14:paraId="03470C5D">
            <w:pPr>
              <w:spacing w:line="360" w:lineRule="auto"/>
              <w:jc w:val="center"/>
              <w:rPr>
                <w:rFonts w:ascii="宋体" w:hAnsi="宋体"/>
                <w:color w:val="auto"/>
                <w:szCs w:val="21"/>
                <w:highlight w:val="none"/>
              </w:rPr>
            </w:pPr>
            <w:r>
              <w:rPr>
                <w:rFonts w:hint="eastAsia" w:ascii="宋体" w:hAnsi="宋体"/>
                <w:color w:val="auto"/>
                <w:szCs w:val="21"/>
                <w:highlight w:val="none"/>
              </w:rPr>
              <w:t>0.25%</w:t>
            </w:r>
          </w:p>
        </w:tc>
        <w:tc>
          <w:tcPr>
            <w:tcW w:w="2336" w:type="dxa"/>
            <w:tcBorders>
              <w:top w:val="single" w:color="auto" w:sz="4" w:space="0"/>
              <w:left w:val="single" w:color="auto" w:sz="4" w:space="0"/>
              <w:bottom w:val="single" w:color="auto" w:sz="4" w:space="0"/>
              <w:right w:val="single" w:color="auto" w:sz="4" w:space="0"/>
            </w:tcBorders>
            <w:vAlign w:val="center"/>
          </w:tcPr>
          <w:p w14:paraId="57B1FB4A">
            <w:pPr>
              <w:spacing w:line="360" w:lineRule="auto"/>
              <w:jc w:val="center"/>
              <w:rPr>
                <w:rFonts w:ascii="宋体" w:hAnsi="宋体"/>
                <w:color w:val="auto"/>
                <w:szCs w:val="21"/>
                <w:highlight w:val="none"/>
              </w:rPr>
            </w:pPr>
            <w:r>
              <w:rPr>
                <w:rFonts w:hint="eastAsia" w:ascii="宋体" w:hAnsi="宋体"/>
                <w:color w:val="auto"/>
                <w:szCs w:val="21"/>
                <w:highlight w:val="none"/>
              </w:rPr>
              <w:t>0.35%</w:t>
            </w:r>
          </w:p>
        </w:tc>
      </w:tr>
      <w:tr w14:paraId="5503C3C1">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7739A48">
            <w:pPr>
              <w:spacing w:line="360" w:lineRule="auto"/>
              <w:jc w:val="center"/>
              <w:rPr>
                <w:rFonts w:ascii="宋体" w:hAnsi="宋体"/>
                <w:color w:val="auto"/>
                <w:szCs w:val="21"/>
                <w:highlight w:val="none"/>
              </w:rPr>
            </w:pPr>
            <w:r>
              <w:rPr>
                <w:rFonts w:hint="eastAsia" w:ascii="宋体" w:hAnsi="宋体"/>
                <w:color w:val="auto"/>
                <w:szCs w:val="21"/>
                <w:highlight w:val="none"/>
              </w:rPr>
              <w:t>5000万元～1亿元</w:t>
            </w:r>
          </w:p>
        </w:tc>
        <w:tc>
          <w:tcPr>
            <w:tcW w:w="2336" w:type="dxa"/>
            <w:tcBorders>
              <w:top w:val="single" w:color="auto" w:sz="4" w:space="0"/>
              <w:left w:val="single" w:color="auto" w:sz="4" w:space="0"/>
              <w:bottom w:val="single" w:color="auto" w:sz="4" w:space="0"/>
              <w:right w:val="single" w:color="auto" w:sz="4" w:space="0"/>
            </w:tcBorders>
            <w:vAlign w:val="center"/>
          </w:tcPr>
          <w:p w14:paraId="78F26D75">
            <w:pPr>
              <w:spacing w:line="360" w:lineRule="auto"/>
              <w:jc w:val="center"/>
              <w:rPr>
                <w:rFonts w:ascii="宋体" w:hAnsi="宋体"/>
                <w:color w:val="auto"/>
                <w:szCs w:val="21"/>
                <w:highlight w:val="none"/>
              </w:rPr>
            </w:pPr>
            <w:r>
              <w:rPr>
                <w:rFonts w:hint="eastAsia" w:ascii="宋体" w:hAnsi="宋体"/>
                <w:color w:val="auto"/>
                <w:szCs w:val="21"/>
                <w:highlight w:val="none"/>
              </w:rPr>
              <w:t>0.25%</w:t>
            </w:r>
          </w:p>
        </w:tc>
        <w:tc>
          <w:tcPr>
            <w:tcW w:w="2336" w:type="dxa"/>
            <w:tcBorders>
              <w:top w:val="single" w:color="auto" w:sz="4" w:space="0"/>
              <w:left w:val="single" w:color="auto" w:sz="4" w:space="0"/>
              <w:bottom w:val="single" w:color="auto" w:sz="4" w:space="0"/>
              <w:right w:val="single" w:color="auto" w:sz="4" w:space="0"/>
            </w:tcBorders>
            <w:vAlign w:val="center"/>
          </w:tcPr>
          <w:p w14:paraId="075E0F47">
            <w:pPr>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2336" w:type="dxa"/>
            <w:tcBorders>
              <w:top w:val="single" w:color="auto" w:sz="4" w:space="0"/>
              <w:left w:val="single" w:color="auto" w:sz="4" w:space="0"/>
              <w:bottom w:val="single" w:color="auto" w:sz="4" w:space="0"/>
              <w:right w:val="single" w:color="auto" w:sz="4" w:space="0"/>
            </w:tcBorders>
            <w:vAlign w:val="center"/>
          </w:tcPr>
          <w:p w14:paraId="3E7CCE51">
            <w:pPr>
              <w:spacing w:line="360" w:lineRule="auto"/>
              <w:jc w:val="center"/>
              <w:rPr>
                <w:rFonts w:ascii="宋体" w:hAnsi="宋体"/>
                <w:color w:val="auto"/>
                <w:szCs w:val="21"/>
                <w:highlight w:val="none"/>
              </w:rPr>
            </w:pPr>
            <w:r>
              <w:rPr>
                <w:rFonts w:hint="eastAsia" w:ascii="宋体" w:hAnsi="宋体"/>
                <w:color w:val="auto"/>
                <w:szCs w:val="21"/>
                <w:highlight w:val="none"/>
              </w:rPr>
              <w:t>0.2%</w:t>
            </w:r>
          </w:p>
        </w:tc>
      </w:tr>
      <w:tr w14:paraId="32946153">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C79A426">
            <w:pPr>
              <w:spacing w:line="360" w:lineRule="auto"/>
              <w:jc w:val="center"/>
              <w:rPr>
                <w:rFonts w:ascii="宋体" w:hAnsi="宋体"/>
                <w:color w:val="auto"/>
                <w:szCs w:val="21"/>
                <w:highlight w:val="none"/>
              </w:rPr>
            </w:pPr>
            <w:r>
              <w:rPr>
                <w:rFonts w:hint="eastAsia" w:ascii="宋体" w:hAnsi="宋体"/>
                <w:color w:val="auto"/>
                <w:szCs w:val="21"/>
                <w:highlight w:val="none"/>
              </w:rPr>
              <w:t>1～5亿元</w:t>
            </w:r>
          </w:p>
        </w:tc>
        <w:tc>
          <w:tcPr>
            <w:tcW w:w="2336" w:type="dxa"/>
            <w:tcBorders>
              <w:top w:val="single" w:color="auto" w:sz="4" w:space="0"/>
              <w:left w:val="single" w:color="auto" w:sz="4" w:space="0"/>
              <w:bottom w:val="single" w:color="auto" w:sz="4" w:space="0"/>
              <w:right w:val="single" w:color="auto" w:sz="4" w:space="0"/>
            </w:tcBorders>
            <w:vAlign w:val="center"/>
          </w:tcPr>
          <w:p w14:paraId="319B01E6">
            <w:pPr>
              <w:spacing w:line="360" w:lineRule="auto"/>
              <w:jc w:val="center"/>
              <w:rPr>
                <w:rFonts w:ascii="宋体" w:hAnsi="宋体"/>
                <w:color w:val="auto"/>
                <w:szCs w:val="21"/>
                <w:highlight w:val="none"/>
              </w:rPr>
            </w:pPr>
            <w:r>
              <w:rPr>
                <w:rFonts w:hint="eastAsia" w:ascii="宋体" w:hAnsi="宋体"/>
                <w:color w:val="auto"/>
                <w:szCs w:val="21"/>
                <w:highlight w:val="none"/>
              </w:rPr>
              <w:t>0.05%</w:t>
            </w:r>
          </w:p>
        </w:tc>
        <w:tc>
          <w:tcPr>
            <w:tcW w:w="2336" w:type="dxa"/>
            <w:tcBorders>
              <w:top w:val="single" w:color="auto" w:sz="4" w:space="0"/>
              <w:left w:val="single" w:color="auto" w:sz="4" w:space="0"/>
              <w:bottom w:val="single" w:color="auto" w:sz="4" w:space="0"/>
              <w:right w:val="single" w:color="auto" w:sz="4" w:space="0"/>
            </w:tcBorders>
            <w:vAlign w:val="center"/>
          </w:tcPr>
          <w:p w14:paraId="22A4A1F5">
            <w:pPr>
              <w:spacing w:line="360" w:lineRule="auto"/>
              <w:jc w:val="center"/>
              <w:rPr>
                <w:rFonts w:ascii="宋体" w:hAnsi="宋体"/>
                <w:color w:val="auto"/>
                <w:szCs w:val="21"/>
                <w:highlight w:val="none"/>
              </w:rPr>
            </w:pPr>
            <w:r>
              <w:rPr>
                <w:rFonts w:hint="eastAsia" w:ascii="宋体" w:hAnsi="宋体"/>
                <w:color w:val="auto"/>
                <w:szCs w:val="21"/>
                <w:highlight w:val="none"/>
              </w:rPr>
              <w:t>0.05%</w:t>
            </w:r>
          </w:p>
        </w:tc>
        <w:tc>
          <w:tcPr>
            <w:tcW w:w="2336" w:type="dxa"/>
            <w:tcBorders>
              <w:top w:val="single" w:color="auto" w:sz="4" w:space="0"/>
              <w:left w:val="single" w:color="auto" w:sz="4" w:space="0"/>
              <w:bottom w:val="single" w:color="auto" w:sz="4" w:space="0"/>
              <w:right w:val="single" w:color="auto" w:sz="4" w:space="0"/>
            </w:tcBorders>
            <w:vAlign w:val="center"/>
          </w:tcPr>
          <w:p w14:paraId="20E5FFD5">
            <w:pPr>
              <w:spacing w:line="360" w:lineRule="auto"/>
              <w:jc w:val="center"/>
              <w:rPr>
                <w:rFonts w:ascii="宋体" w:hAnsi="宋体"/>
                <w:color w:val="auto"/>
                <w:szCs w:val="21"/>
                <w:highlight w:val="none"/>
              </w:rPr>
            </w:pPr>
            <w:r>
              <w:rPr>
                <w:rFonts w:hint="eastAsia" w:ascii="宋体" w:hAnsi="宋体"/>
                <w:color w:val="auto"/>
                <w:szCs w:val="21"/>
                <w:highlight w:val="none"/>
              </w:rPr>
              <w:t>0.05%</w:t>
            </w:r>
          </w:p>
        </w:tc>
      </w:tr>
      <w:tr w14:paraId="385151AB">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16689EB">
            <w:pPr>
              <w:spacing w:line="360" w:lineRule="auto"/>
              <w:jc w:val="center"/>
              <w:rPr>
                <w:rFonts w:ascii="宋体" w:hAnsi="宋体"/>
                <w:color w:val="auto"/>
                <w:szCs w:val="21"/>
                <w:highlight w:val="none"/>
              </w:rPr>
            </w:pPr>
            <w:r>
              <w:rPr>
                <w:rFonts w:hint="eastAsia" w:ascii="宋体" w:hAnsi="宋体"/>
                <w:color w:val="auto"/>
                <w:szCs w:val="21"/>
                <w:highlight w:val="none"/>
              </w:rPr>
              <w:t>5～10亿元</w:t>
            </w:r>
          </w:p>
        </w:tc>
        <w:tc>
          <w:tcPr>
            <w:tcW w:w="2336" w:type="dxa"/>
            <w:tcBorders>
              <w:top w:val="single" w:color="auto" w:sz="4" w:space="0"/>
              <w:left w:val="single" w:color="auto" w:sz="4" w:space="0"/>
              <w:bottom w:val="single" w:color="auto" w:sz="4" w:space="0"/>
              <w:right w:val="single" w:color="auto" w:sz="4" w:space="0"/>
            </w:tcBorders>
            <w:vAlign w:val="center"/>
          </w:tcPr>
          <w:p w14:paraId="55C5AAE7">
            <w:pPr>
              <w:spacing w:line="360" w:lineRule="auto"/>
              <w:jc w:val="center"/>
              <w:rPr>
                <w:rFonts w:ascii="宋体" w:hAnsi="宋体"/>
                <w:color w:val="auto"/>
                <w:szCs w:val="21"/>
                <w:highlight w:val="none"/>
              </w:rPr>
            </w:pPr>
            <w:r>
              <w:rPr>
                <w:rFonts w:hint="eastAsia" w:ascii="宋体" w:hAnsi="宋体"/>
                <w:color w:val="auto"/>
                <w:szCs w:val="21"/>
                <w:highlight w:val="none"/>
              </w:rPr>
              <w:t>0.035%</w:t>
            </w:r>
          </w:p>
        </w:tc>
        <w:tc>
          <w:tcPr>
            <w:tcW w:w="2336" w:type="dxa"/>
            <w:tcBorders>
              <w:top w:val="single" w:color="auto" w:sz="4" w:space="0"/>
              <w:left w:val="single" w:color="auto" w:sz="4" w:space="0"/>
              <w:bottom w:val="single" w:color="auto" w:sz="4" w:space="0"/>
              <w:right w:val="single" w:color="auto" w:sz="4" w:space="0"/>
            </w:tcBorders>
            <w:vAlign w:val="center"/>
          </w:tcPr>
          <w:p w14:paraId="1B3A320B">
            <w:pPr>
              <w:spacing w:line="360" w:lineRule="auto"/>
              <w:jc w:val="center"/>
              <w:rPr>
                <w:rFonts w:ascii="宋体" w:hAnsi="宋体"/>
                <w:color w:val="auto"/>
                <w:szCs w:val="21"/>
                <w:highlight w:val="none"/>
              </w:rPr>
            </w:pPr>
            <w:r>
              <w:rPr>
                <w:rFonts w:hint="eastAsia" w:ascii="宋体" w:hAnsi="宋体"/>
                <w:color w:val="auto"/>
                <w:szCs w:val="21"/>
                <w:highlight w:val="none"/>
              </w:rPr>
              <w:t>0.035%</w:t>
            </w:r>
          </w:p>
        </w:tc>
        <w:tc>
          <w:tcPr>
            <w:tcW w:w="2336" w:type="dxa"/>
            <w:tcBorders>
              <w:top w:val="single" w:color="auto" w:sz="4" w:space="0"/>
              <w:left w:val="single" w:color="auto" w:sz="4" w:space="0"/>
              <w:bottom w:val="single" w:color="auto" w:sz="4" w:space="0"/>
              <w:right w:val="single" w:color="auto" w:sz="4" w:space="0"/>
            </w:tcBorders>
            <w:vAlign w:val="center"/>
          </w:tcPr>
          <w:p w14:paraId="229E91EF">
            <w:pPr>
              <w:spacing w:line="360" w:lineRule="auto"/>
              <w:jc w:val="center"/>
              <w:rPr>
                <w:rFonts w:ascii="宋体" w:hAnsi="宋体"/>
                <w:color w:val="auto"/>
                <w:szCs w:val="21"/>
                <w:highlight w:val="none"/>
              </w:rPr>
            </w:pPr>
            <w:r>
              <w:rPr>
                <w:rFonts w:hint="eastAsia" w:ascii="宋体" w:hAnsi="宋体"/>
                <w:color w:val="auto"/>
                <w:szCs w:val="21"/>
                <w:highlight w:val="none"/>
              </w:rPr>
              <w:t>0.035%</w:t>
            </w:r>
          </w:p>
        </w:tc>
      </w:tr>
      <w:tr w14:paraId="5CA20CDF">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22B6F0C7">
            <w:pPr>
              <w:spacing w:line="360" w:lineRule="auto"/>
              <w:jc w:val="center"/>
              <w:rPr>
                <w:rFonts w:ascii="宋体" w:hAnsi="宋体"/>
                <w:color w:val="auto"/>
                <w:szCs w:val="21"/>
                <w:highlight w:val="none"/>
              </w:rPr>
            </w:pPr>
            <w:r>
              <w:rPr>
                <w:rFonts w:hint="eastAsia" w:ascii="宋体" w:hAnsi="宋体"/>
                <w:color w:val="auto"/>
                <w:szCs w:val="21"/>
                <w:highlight w:val="none"/>
              </w:rPr>
              <w:t>10～50亿元</w:t>
            </w:r>
          </w:p>
        </w:tc>
        <w:tc>
          <w:tcPr>
            <w:tcW w:w="2336" w:type="dxa"/>
            <w:tcBorders>
              <w:top w:val="single" w:color="auto" w:sz="4" w:space="0"/>
              <w:left w:val="single" w:color="auto" w:sz="4" w:space="0"/>
              <w:bottom w:val="single" w:color="auto" w:sz="4" w:space="0"/>
              <w:right w:val="single" w:color="auto" w:sz="4" w:space="0"/>
            </w:tcBorders>
            <w:vAlign w:val="center"/>
          </w:tcPr>
          <w:p w14:paraId="5F3FCC19">
            <w:pPr>
              <w:spacing w:line="360" w:lineRule="auto"/>
              <w:jc w:val="center"/>
              <w:rPr>
                <w:rFonts w:ascii="宋体" w:hAnsi="宋体"/>
                <w:color w:val="auto"/>
                <w:szCs w:val="21"/>
                <w:highlight w:val="none"/>
              </w:rPr>
            </w:pPr>
            <w:r>
              <w:rPr>
                <w:rFonts w:hint="eastAsia" w:ascii="宋体" w:hAnsi="宋体"/>
                <w:color w:val="auto"/>
                <w:szCs w:val="21"/>
                <w:highlight w:val="none"/>
              </w:rPr>
              <w:t>0.008%</w:t>
            </w:r>
          </w:p>
        </w:tc>
        <w:tc>
          <w:tcPr>
            <w:tcW w:w="2336" w:type="dxa"/>
            <w:tcBorders>
              <w:top w:val="single" w:color="auto" w:sz="4" w:space="0"/>
              <w:left w:val="single" w:color="auto" w:sz="4" w:space="0"/>
              <w:bottom w:val="single" w:color="auto" w:sz="4" w:space="0"/>
              <w:right w:val="single" w:color="auto" w:sz="4" w:space="0"/>
            </w:tcBorders>
            <w:vAlign w:val="center"/>
          </w:tcPr>
          <w:p w14:paraId="2D85B1B3">
            <w:pPr>
              <w:spacing w:line="360" w:lineRule="auto"/>
              <w:jc w:val="center"/>
              <w:rPr>
                <w:rFonts w:ascii="宋体" w:hAnsi="宋体"/>
                <w:color w:val="auto"/>
                <w:szCs w:val="21"/>
                <w:highlight w:val="none"/>
              </w:rPr>
            </w:pPr>
            <w:r>
              <w:rPr>
                <w:rFonts w:hint="eastAsia" w:ascii="宋体" w:hAnsi="宋体"/>
                <w:color w:val="auto"/>
                <w:szCs w:val="21"/>
                <w:highlight w:val="none"/>
              </w:rPr>
              <w:t>0.008%</w:t>
            </w:r>
          </w:p>
        </w:tc>
        <w:tc>
          <w:tcPr>
            <w:tcW w:w="2336" w:type="dxa"/>
            <w:tcBorders>
              <w:top w:val="single" w:color="auto" w:sz="4" w:space="0"/>
              <w:left w:val="single" w:color="auto" w:sz="4" w:space="0"/>
              <w:bottom w:val="single" w:color="auto" w:sz="4" w:space="0"/>
              <w:right w:val="single" w:color="auto" w:sz="4" w:space="0"/>
            </w:tcBorders>
            <w:vAlign w:val="center"/>
          </w:tcPr>
          <w:p w14:paraId="7CFEF8F7">
            <w:pPr>
              <w:spacing w:line="360" w:lineRule="auto"/>
              <w:jc w:val="center"/>
              <w:rPr>
                <w:rFonts w:ascii="宋体" w:hAnsi="宋体"/>
                <w:color w:val="auto"/>
                <w:szCs w:val="21"/>
                <w:highlight w:val="none"/>
              </w:rPr>
            </w:pPr>
            <w:r>
              <w:rPr>
                <w:rFonts w:hint="eastAsia" w:ascii="宋体" w:hAnsi="宋体"/>
                <w:color w:val="auto"/>
                <w:szCs w:val="21"/>
                <w:highlight w:val="none"/>
              </w:rPr>
              <w:t>0.008%</w:t>
            </w:r>
          </w:p>
        </w:tc>
      </w:tr>
      <w:tr w14:paraId="0C5C7BD0">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4FD4ABA4">
            <w:pPr>
              <w:spacing w:line="360" w:lineRule="auto"/>
              <w:jc w:val="center"/>
              <w:rPr>
                <w:rFonts w:ascii="宋体" w:hAnsi="宋体"/>
                <w:color w:val="auto"/>
                <w:szCs w:val="21"/>
                <w:highlight w:val="none"/>
              </w:rPr>
            </w:pPr>
            <w:r>
              <w:rPr>
                <w:rFonts w:hint="eastAsia" w:ascii="宋体" w:hAnsi="宋体"/>
                <w:color w:val="auto"/>
                <w:szCs w:val="21"/>
                <w:highlight w:val="none"/>
              </w:rPr>
              <w:t>50～100亿元</w:t>
            </w:r>
          </w:p>
        </w:tc>
        <w:tc>
          <w:tcPr>
            <w:tcW w:w="2336" w:type="dxa"/>
            <w:tcBorders>
              <w:top w:val="single" w:color="auto" w:sz="4" w:space="0"/>
              <w:left w:val="single" w:color="auto" w:sz="4" w:space="0"/>
              <w:bottom w:val="single" w:color="auto" w:sz="4" w:space="0"/>
              <w:right w:val="single" w:color="auto" w:sz="4" w:space="0"/>
            </w:tcBorders>
            <w:vAlign w:val="center"/>
          </w:tcPr>
          <w:p w14:paraId="2CC98A3F">
            <w:pPr>
              <w:spacing w:line="360" w:lineRule="auto"/>
              <w:jc w:val="center"/>
              <w:rPr>
                <w:rFonts w:ascii="宋体" w:hAnsi="宋体"/>
                <w:color w:val="auto"/>
                <w:szCs w:val="21"/>
                <w:highlight w:val="none"/>
              </w:rPr>
            </w:pPr>
            <w:r>
              <w:rPr>
                <w:rFonts w:hint="eastAsia" w:ascii="宋体" w:hAnsi="宋体"/>
                <w:color w:val="auto"/>
                <w:szCs w:val="21"/>
                <w:highlight w:val="none"/>
              </w:rPr>
              <w:t>0.006%</w:t>
            </w:r>
          </w:p>
        </w:tc>
        <w:tc>
          <w:tcPr>
            <w:tcW w:w="2336" w:type="dxa"/>
            <w:tcBorders>
              <w:top w:val="single" w:color="auto" w:sz="4" w:space="0"/>
              <w:left w:val="single" w:color="auto" w:sz="4" w:space="0"/>
              <w:bottom w:val="single" w:color="auto" w:sz="4" w:space="0"/>
              <w:right w:val="single" w:color="auto" w:sz="4" w:space="0"/>
            </w:tcBorders>
            <w:vAlign w:val="center"/>
          </w:tcPr>
          <w:p w14:paraId="4AC95A4B">
            <w:pPr>
              <w:spacing w:line="360" w:lineRule="auto"/>
              <w:jc w:val="center"/>
              <w:rPr>
                <w:rFonts w:ascii="宋体" w:hAnsi="宋体"/>
                <w:color w:val="auto"/>
                <w:szCs w:val="21"/>
                <w:highlight w:val="none"/>
              </w:rPr>
            </w:pPr>
            <w:r>
              <w:rPr>
                <w:rFonts w:hint="eastAsia" w:ascii="宋体" w:hAnsi="宋体"/>
                <w:color w:val="auto"/>
                <w:szCs w:val="21"/>
                <w:highlight w:val="none"/>
              </w:rPr>
              <w:t>0.006%</w:t>
            </w:r>
          </w:p>
        </w:tc>
        <w:tc>
          <w:tcPr>
            <w:tcW w:w="2336" w:type="dxa"/>
            <w:tcBorders>
              <w:top w:val="single" w:color="auto" w:sz="4" w:space="0"/>
              <w:left w:val="single" w:color="auto" w:sz="4" w:space="0"/>
              <w:bottom w:val="single" w:color="auto" w:sz="4" w:space="0"/>
              <w:right w:val="single" w:color="auto" w:sz="4" w:space="0"/>
            </w:tcBorders>
            <w:vAlign w:val="center"/>
          </w:tcPr>
          <w:p w14:paraId="2999CD0F">
            <w:pPr>
              <w:spacing w:line="360" w:lineRule="auto"/>
              <w:jc w:val="center"/>
              <w:rPr>
                <w:rFonts w:ascii="宋体" w:hAnsi="宋体"/>
                <w:color w:val="auto"/>
                <w:szCs w:val="21"/>
                <w:highlight w:val="none"/>
              </w:rPr>
            </w:pPr>
            <w:r>
              <w:rPr>
                <w:rFonts w:hint="eastAsia" w:ascii="宋体" w:hAnsi="宋体"/>
                <w:color w:val="auto"/>
                <w:szCs w:val="21"/>
                <w:highlight w:val="none"/>
              </w:rPr>
              <w:t>0.006%</w:t>
            </w:r>
          </w:p>
        </w:tc>
      </w:tr>
      <w:tr w14:paraId="2AF35395">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5306995A">
            <w:pPr>
              <w:spacing w:line="360" w:lineRule="auto"/>
              <w:jc w:val="center"/>
              <w:rPr>
                <w:rFonts w:ascii="宋体" w:hAnsi="宋体"/>
                <w:color w:val="auto"/>
                <w:szCs w:val="21"/>
                <w:highlight w:val="none"/>
              </w:rPr>
            </w:pPr>
            <w:r>
              <w:rPr>
                <w:rFonts w:hint="eastAsia" w:ascii="宋体" w:hAnsi="宋体"/>
                <w:color w:val="auto"/>
                <w:szCs w:val="21"/>
                <w:highlight w:val="none"/>
              </w:rPr>
              <w:t>100亿元以上</w:t>
            </w:r>
          </w:p>
        </w:tc>
        <w:tc>
          <w:tcPr>
            <w:tcW w:w="2336" w:type="dxa"/>
            <w:tcBorders>
              <w:top w:val="single" w:color="auto" w:sz="4" w:space="0"/>
              <w:left w:val="single" w:color="auto" w:sz="4" w:space="0"/>
              <w:bottom w:val="single" w:color="auto" w:sz="4" w:space="0"/>
              <w:right w:val="single" w:color="auto" w:sz="4" w:space="0"/>
            </w:tcBorders>
            <w:vAlign w:val="center"/>
          </w:tcPr>
          <w:p w14:paraId="3F35F3C7">
            <w:pPr>
              <w:spacing w:line="360" w:lineRule="auto"/>
              <w:jc w:val="center"/>
              <w:rPr>
                <w:rFonts w:ascii="宋体" w:hAnsi="宋体"/>
                <w:color w:val="auto"/>
                <w:szCs w:val="21"/>
                <w:highlight w:val="none"/>
              </w:rPr>
            </w:pPr>
            <w:r>
              <w:rPr>
                <w:rFonts w:hint="eastAsia" w:ascii="宋体" w:hAnsi="宋体"/>
                <w:color w:val="auto"/>
                <w:szCs w:val="21"/>
                <w:highlight w:val="none"/>
              </w:rPr>
              <w:t>0.004%</w:t>
            </w:r>
          </w:p>
        </w:tc>
        <w:tc>
          <w:tcPr>
            <w:tcW w:w="2336" w:type="dxa"/>
            <w:tcBorders>
              <w:top w:val="single" w:color="auto" w:sz="4" w:space="0"/>
              <w:left w:val="single" w:color="auto" w:sz="4" w:space="0"/>
              <w:bottom w:val="single" w:color="auto" w:sz="4" w:space="0"/>
              <w:right w:val="single" w:color="auto" w:sz="4" w:space="0"/>
            </w:tcBorders>
            <w:vAlign w:val="center"/>
          </w:tcPr>
          <w:p w14:paraId="13D5EA38">
            <w:pPr>
              <w:spacing w:line="360" w:lineRule="auto"/>
              <w:jc w:val="center"/>
              <w:rPr>
                <w:rFonts w:ascii="宋体" w:hAnsi="宋体"/>
                <w:color w:val="auto"/>
                <w:szCs w:val="21"/>
                <w:highlight w:val="none"/>
              </w:rPr>
            </w:pPr>
            <w:r>
              <w:rPr>
                <w:rFonts w:hint="eastAsia" w:ascii="宋体" w:hAnsi="宋体"/>
                <w:color w:val="auto"/>
                <w:szCs w:val="21"/>
                <w:highlight w:val="none"/>
              </w:rPr>
              <w:t>0.004%</w:t>
            </w:r>
          </w:p>
        </w:tc>
        <w:tc>
          <w:tcPr>
            <w:tcW w:w="2336" w:type="dxa"/>
            <w:tcBorders>
              <w:top w:val="single" w:color="auto" w:sz="4" w:space="0"/>
              <w:left w:val="single" w:color="auto" w:sz="4" w:space="0"/>
              <w:bottom w:val="single" w:color="auto" w:sz="4" w:space="0"/>
              <w:right w:val="single" w:color="auto" w:sz="4" w:space="0"/>
            </w:tcBorders>
            <w:vAlign w:val="center"/>
          </w:tcPr>
          <w:p w14:paraId="1087206B">
            <w:pPr>
              <w:spacing w:line="360" w:lineRule="auto"/>
              <w:jc w:val="center"/>
              <w:rPr>
                <w:rFonts w:ascii="宋体" w:hAnsi="宋体"/>
                <w:color w:val="auto"/>
                <w:szCs w:val="21"/>
                <w:highlight w:val="none"/>
              </w:rPr>
            </w:pPr>
            <w:r>
              <w:rPr>
                <w:rFonts w:hint="eastAsia" w:ascii="宋体" w:hAnsi="宋体"/>
                <w:color w:val="auto"/>
                <w:szCs w:val="21"/>
                <w:highlight w:val="none"/>
              </w:rPr>
              <w:t>0.004%</w:t>
            </w:r>
          </w:p>
        </w:tc>
      </w:tr>
    </w:tbl>
    <w:p w14:paraId="53DA43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774E5E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（1）按本表费率计算的收费为采购代理的收费基准价格；</w:t>
      </w:r>
    </w:p>
    <w:p w14:paraId="148DE99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（2）采购代理收费按差额定率累进法计算。</w:t>
      </w:r>
    </w:p>
    <w:p w14:paraId="234814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例如：某工程项目采购代理业务成交金额为150万元，计算采购代理收费额如下：</w:t>
      </w:r>
    </w:p>
    <w:p w14:paraId="1F3E1B3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100万元×l.0%＝1.0万元</w:t>
      </w:r>
    </w:p>
    <w:p w14:paraId="2CA6F4C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（150-100）万元×0.7%＝0.35万元</w:t>
      </w:r>
    </w:p>
    <w:p w14:paraId="1C087FE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合计收费＝1.0+0.35＝1.35万元</w:t>
      </w:r>
    </w:p>
    <w:p w14:paraId="0D1FC16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33.需要补充的其他内容</w:t>
      </w:r>
    </w:p>
    <w:p w14:paraId="164C13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33.1本磋商文件解释规则详见“供应商须知前附表”。</w:t>
      </w:r>
    </w:p>
    <w:p w14:paraId="7F91B8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33.2农民工工资保证金见“供应商须知前附表”。</w:t>
      </w:r>
    </w:p>
    <w:p w14:paraId="146A7A0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33.3其他事项详见“供应商须知前附表”。</w:t>
      </w:r>
    </w:p>
    <w:p w14:paraId="53D7CF7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93F8E5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（1）在货物采购项目中，货物由中小企业制造，即货物由中小企业生产且使用该中小企业商号或者注册商标，不对其中涉及的工程承建商和服务的承接商作出要求；</w:t>
      </w:r>
    </w:p>
    <w:p w14:paraId="364414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（2）在工程采购项目中，工程由中小企业承建，即工程施工单位为中小企业，不对其中涉及的货物的制造商和服务的承接商作出要求；</w:t>
      </w:r>
    </w:p>
    <w:p w14:paraId="6CE249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02FF8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B4E3AC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依据本磋商文件规定享受扶持政策获得政府采购合同的，小微企业不得将合同分包给大中型企业，中型企业不得将合同分包给大型企业。</w:t>
      </w:r>
    </w:p>
    <w:p w14:paraId="53323172">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33.5</w:t>
      </w:r>
      <w:r>
        <w:rPr>
          <w:rFonts w:hint="eastAsia" w:ascii="宋体" w:hAnsi="宋体" w:eastAsia="宋体"/>
          <w:color w:val="auto"/>
          <w:szCs w:val="21"/>
          <w:highlight w:val="none"/>
        </w:rPr>
        <w:t>现场踏勘：见“供应商须知前附表”。</w:t>
      </w:r>
    </w:p>
    <w:p w14:paraId="479FC8FE">
      <w:pPr>
        <w:pStyle w:val="2"/>
        <w:jc w:val="center"/>
        <w:rPr>
          <w:rFonts w:ascii="宋体" w:hAnsi="宋体" w:eastAsia="宋体"/>
          <w:color w:val="auto"/>
          <w:highlight w:val="none"/>
        </w:rPr>
        <w:sectPr>
          <w:pgSz w:w="11906" w:h="16838"/>
          <w:pgMar w:top="1440" w:right="1134" w:bottom="1440" w:left="1418" w:header="851" w:footer="992" w:gutter="0"/>
          <w:cols w:space="425" w:num="1"/>
          <w:docGrid w:type="lines" w:linePitch="312" w:charSpace="0"/>
        </w:sectPr>
      </w:pPr>
    </w:p>
    <w:p w14:paraId="57EE854C">
      <w:pPr>
        <w:pStyle w:val="2"/>
        <w:jc w:val="center"/>
        <w:rPr>
          <w:rFonts w:ascii="宋体" w:hAnsi="宋体" w:eastAsia="宋体"/>
          <w:color w:val="auto"/>
          <w:highlight w:val="none"/>
        </w:rPr>
      </w:pPr>
      <w:bookmarkStart w:id="16" w:name="_Toc197530111"/>
      <w:r>
        <w:rPr>
          <w:rFonts w:hint="eastAsia" w:ascii="宋体" w:hAnsi="宋体" w:eastAsia="宋体"/>
          <w:color w:val="auto"/>
          <w:highlight w:val="none"/>
        </w:rPr>
        <w:t>第三</w:t>
      </w:r>
      <w:r>
        <w:rPr>
          <w:rFonts w:hint="eastAsia" w:ascii="宋体" w:hAnsi="宋体" w:eastAsia="宋体"/>
          <w:color w:val="auto"/>
          <w:spacing w:val="100"/>
          <w:highlight w:val="none"/>
        </w:rPr>
        <w:t>章</w:t>
      </w:r>
      <w:r>
        <w:rPr>
          <w:rFonts w:hint="eastAsia" w:ascii="宋体" w:hAnsi="宋体" w:eastAsia="宋体"/>
          <w:color w:val="auto"/>
          <w:highlight w:val="none"/>
        </w:rPr>
        <w:t>采购需求</w:t>
      </w:r>
      <w:bookmarkEnd w:id="16"/>
    </w:p>
    <w:p w14:paraId="747CAA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说明：</w:t>
      </w:r>
    </w:p>
    <w:p w14:paraId="6D9EF3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1.“实质性要求”是指采购需求中带“▲”的条款或者不能负偏离的条款或者已经指明不满足按响应文件按无效处理的条款。</w:t>
      </w:r>
    </w:p>
    <w:p w14:paraId="05EA2BA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2.供应商必须自行为其竞标产品侵犯他人的知识产权或者专利成果的行为承担相应法律责任。</w:t>
      </w:r>
    </w:p>
    <w:p w14:paraId="67ECEC90">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3.供应商可根据自身情况提供以下内容：</w:t>
      </w:r>
    </w:p>
    <w:p w14:paraId="6A12C1AE">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1)项目经理的职称和业绩经验证明材料、技术负责人的职称和业绩经验证明材料、拟投入本工程管理人员的配置及相关资历证明材料(施工员、质量员、材料员应具有有效的相应施工现场专业人员职业培训合格证书，专职安全生产管理人员需具有有效建筑施工企业三类人员C证)</w:t>
      </w:r>
      <w:r>
        <w:rPr>
          <w:rFonts w:hint="eastAsia" w:ascii="宋体" w:hAnsi="宋体" w:eastAsia="宋体"/>
          <w:color w:val="auto"/>
          <w:szCs w:val="21"/>
          <w:highlight w:val="none"/>
          <w:lang w:val="en-US" w:eastAsia="zh-CN"/>
        </w:rPr>
        <w:t>；</w:t>
      </w:r>
    </w:p>
    <w:p w14:paraId="2B5FF33E">
      <w:pPr>
        <w:spacing w:line="360" w:lineRule="auto"/>
        <w:ind w:firstLine="420" w:firstLineChars="200"/>
        <w:rPr>
          <w:rFonts w:hint="eastAsia"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2)施工组织设计(包括但不限于:主要施工方法、</w:t>
      </w:r>
      <w:r>
        <w:rPr>
          <w:rFonts w:hint="eastAsia" w:ascii="宋体" w:hAnsi="宋体" w:cs="宋体"/>
          <w:color w:val="auto"/>
          <w:szCs w:val="21"/>
          <w:highlight w:val="none"/>
        </w:rPr>
        <w:t>确保工程质量的技术组织措施</w:t>
      </w:r>
      <w:r>
        <w:rPr>
          <w:rFonts w:hint="default" w:ascii="宋体" w:hAnsi="宋体" w:eastAsia="宋体"/>
          <w:color w:val="auto"/>
          <w:szCs w:val="21"/>
          <w:highlight w:val="none"/>
          <w:lang w:val="en-US" w:eastAsia="zh-CN"/>
        </w:rPr>
        <w:t>、</w:t>
      </w:r>
      <w:r>
        <w:rPr>
          <w:rFonts w:hint="eastAsia" w:ascii="宋体" w:hAnsi="宋体" w:cs="宋体"/>
          <w:color w:val="auto"/>
          <w:szCs w:val="21"/>
          <w:highlight w:val="none"/>
        </w:rPr>
        <w:t>确保安全生产的技术组织措施</w:t>
      </w:r>
      <w:r>
        <w:rPr>
          <w:rFonts w:hint="eastAsia" w:ascii="宋体" w:hAnsi="宋体" w:cs="宋体"/>
          <w:color w:val="auto"/>
          <w:szCs w:val="21"/>
          <w:highlight w:val="none"/>
          <w:lang w:eastAsia="zh-CN"/>
        </w:rPr>
        <w:t>、</w:t>
      </w:r>
      <w:r>
        <w:rPr>
          <w:rFonts w:hint="eastAsia" w:ascii="宋体" w:hAnsi="宋体" w:cs="宋体"/>
          <w:color w:val="auto"/>
          <w:szCs w:val="21"/>
          <w:highlight w:val="none"/>
        </w:rPr>
        <w:t>确保工期的技术组织措施</w:t>
      </w:r>
      <w:r>
        <w:rPr>
          <w:rFonts w:hint="default" w:ascii="宋体" w:hAnsi="宋体" w:eastAsia="宋体"/>
          <w:color w:val="auto"/>
          <w:szCs w:val="21"/>
          <w:highlight w:val="none"/>
          <w:lang w:val="en-US" w:eastAsia="zh-CN"/>
        </w:rPr>
        <w:t>等)。</w:t>
      </w:r>
    </w:p>
    <w:p w14:paraId="03992718">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.项目需求一览表：</w:t>
      </w:r>
    </w:p>
    <w:p w14:paraId="0CDAA6BC">
      <w:pPr>
        <w:spacing w:line="360" w:lineRule="auto"/>
        <w:ind w:firstLine="422" w:firstLineChars="200"/>
        <w:rPr>
          <w:rFonts w:hint="default" w:ascii="宋体" w:hAnsi="宋体" w:eastAsia="宋体"/>
          <w:b/>
          <w:bCs/>
          <w:color w:val="auto"/>
          <w:szCs w:val="21"/>
          <w:highlight w:val="none"/>
          <w:lang w:val="en-US" w:eastAsia="zh-CN"/>
        </w:rPr>
      </w:pPr>
      <w:r>
        <w:rPr>
          <w:rFonts w:hint="eastAsia" w:ascii="宋体" w:hAnsi="宋体" w:eastAsia="宋体"/>
          <w:b/>
          <w:bCs/>
          <w:color w:val="auto"/>
          <w:szCs w:val="21"/>
          <w:highlight w:val="none"/>
          <w:lang w:val="en-US" w:eastAsia="zh-CN"/>
        </w:rPr>
        <w:t>1分标：</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86"/>
        <w:gridCol w:w="664"/>
        <w:gridCol w:w="664"/>
        <w:gridCol w:w="5910"/>
      </w:tblGrid>
      <w:tr w14:paraId="404E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257D8881">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286" w:type="dxa"/>
            <w:vAlign w:val="center"/>
          </w:tcPr>
          <w:p w14:paraId="5BEA8CF6">
            <w:pPr>
              <w:spacing w:line="360" w:lineRule="auto"/>
              <w:jc w:val="center"/>
              <w:rPr>
                <w:rFonts w:ascii="宋体" w:hAnsi="宋体"/>
                <w:b/>
                <w:color w:val="auto"/>
                <w:szCs w:val="21"/>
                <w:highlight w:val="none"/>
              </w:rPr>
            </w:pPr>
            <w:r>
              <w:rPr>
                <w:rFonts w:hint="eastAsia" w:ascii="宋体" w:hAnsi="宋体"/>
                <w:b/>
                <w:color w:val="auto"/>
                <w:szCs w:val="21"/>
                <w:highlight w:val="none"/>
              </w:rPr>
              <w:t>标的名称</w:t>
            </w:r>
          </w:p>
        </w:tc>
        <w:tc>
          <w:tcPr>
            <w:tcW w:w="664" w:type="dxa"/>
            <w:vAlign w:val="center"/>
          </w:tcPr>
          <w:p w14:paraId="502E99E0">
            <w:pPr>
              <w:spacing w:line="360" w:lineRule="auto"/>
              <w:jc w:val="center"/>
              <w:rPr>
                <w:rFonts w:ascii="宋体" w:hAnsi="宋体"/>
                <w:b/>
                <w:color w:val="auto"/>
                <w:szCs w:val="21"/>
                <w:highlight w:val="none"/>
              </w:rPr>
            </w:pPr>
            <w:r>
              <w:rPr>
                <w:rFonts w:hint="eastAsia" w:ascii="宋体" w:hAnsi="宋体"/>
                <w:b/>
                <w:color w:val="auto"/>
                <w:szCs w:val="21"/>
                <w:highlight w:val="none"/>
              </w:rPr>
              <w:t>数量及单位</w:t>
            </w:r>
          </w:p>
        </w:tc>
        <w:tc>
          <w:tcPr>
            <w:tcW w:w="664" w:type="dxa"/>
            <w:vAlign w:val="center"/>
          </w:tcPr>
          <w:p w14:paraId="26D1FE6B">
            <w:pPr>
              <w:spacing w:line="360" w:lineRule="auto"/>
              <w:jc w:val="center"/>
              <w:rPr>
                <w:rFonts w:ascii="宋体" w:hAnsi="宋体"/>
                <w:b/>
                <w:color w:val="auto"/>
                <w:szCs w:val="21"/>
                <w:highlight w:val="none"/>
              </w:rPr>
            </w:pPr>
            <w:r>
              <w:rPr>
                <w:rFonts w:hint="eastAsia" w:ascii="宋体" w:hAnsi="宋体"/>
                <w:b/>
                <w:color w:val="auto"/>
                <w:szCs w:val="21"/>
                <w:highlight w:val="none"/>
              </w:rPr>
              <w:t>所属行业</w:t>
            </w:r>
          </w:p>
        </w:tc>
        <w:tc>
          <w:tcPr>
            <w:tcW w:w="5910" w:type="dxa"/>
            <w:vAlign w:val="center"/>
          </w:tcPr>
          <w:p w14:paraId="611A12C1">
            <w:pPr>
              <w:spacing w:line="360" w:lineRule="auto"/>
              <w:jc w:val="center"/>
              <w:rPr>
                <w:rFonts w:ascii="宋体" w:hAnsi="宋体"/>
                <w:b/>
                <w:color w:val="auto"/>
                <w:szCs w:val="21"/>
                <w:highlight w:val="none"/>
              </w:rPr>
            </w:pPr>
            <w:r>
              <w:rPr>
                <w:rFonts w:hint="eastAsia" w:ascii="宋体" w:hAnsi="宋体"/>
                <w:b/>
                <w:color w:val="auto"/>
                <w:szCs w:val="21"/>
                <w:highlight w:val="none"/>
              </w:rPr>
              <w:t>技术要求</w:t>
            </w:r>
          </w:p>
        </w:tc>
      </w:tr>
      <w:tr w14:paraId="7FDB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1A9FAFD0">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86" w:type="dxa"/>
            <w:vAlign w:val="center"/>
          </w:tcPr>
          <w:p w14:paraId="7B286BBE">
            <w:pPr>
              <w:spacing w:line="360" w:lineRule="auto"/>
              <w:jc w:val="center"/>
              <w:rPr>
                <w:rFonts w:hint="eastAsia" w:ascii="宋体" w:hAnsi="宋体" w:eastAsiaTheme="minorEastAsia"/>
                <w:color w:val="auto"/>
                <w:szCs w:val="21"/>
                <w:highlight w:val="none"/>
                <w:lang w:eastAsia="zh-CN"/>
              </w:rPr>
            </w:pPr>
            <w:r>
              <w:rPr>
                <w:rFonts w:hint="eastAsia" w:ascii="宋体" w:hAnsi="宋体" w:cs="宋体"/>
                <w:color w:val="auto"/>
                <w:szCs w:val="21"/>
                <w:highlight w:val="none"/>
                <w:lang w:eastAsia="zh-CN"/>
              </w:rPr>
              <w:t>2025年毕业生腾空房修缮项目(西校园片区子项目)</w:t>
            </w:r>
          </w:p>
        </w:tc>
        <w:tc>
          <w:tcPr>
            <w:tcW w:w="664" w:type="dxa"/>
            <w:vAlign w:val="center"/>
          </w:tcPr>
          <w:p w14:paraId="58BA462B">
            <w:pPr>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664" w:type="dxa"/>
            <w:vAlign w:val="center"/>
          </w:tcPr>
          <w:p w14:paraId="7D22BA0E">
            <w:pPr>
              <w:spacing w:line="360" w:lineRule="auto"/>
              <w:jc w:val="center"/>
              <w:rPr>
                <w:rFonts w:ascii="宋体" w:hAnsi="宋体"/>
                <w:color w:val="auto"/>
                <w:szCs w:val="21"/>
                <w:highlight w:val="none"/>
              </w:rPr>
            </w:pPr>
            <w:r>
              <w:rPr>
                <w:rFonts w:hint="eastAsia" w:ascii="宋体" w:hAnsi="宋体"/>
                <w:color w:val="auto"/>
                <w:szCs w:val="21"/>
                <w:highlight w:val="none"/>
              </w:rPr>
              <w:t>建筑业</w:t>
            </w:r>
          </w:p>
        </w:tc>
        <w:tc>
          <w:tcPr>
            <w:tcW w:w="5910" w:type="dxa"/>
            <w:vAlign w:val="center"/>
          </w:tcPr>
          <w:p w14:paraId="3848B48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一、项目概况</w:t>
            </w:r>
          </w:p>
          <w:p w14:paraId="584197CC">
            <w:pPr>
              <w:spacing w:line="360" w:lineRule="auto"/>
              <w:ind w:firstLine="420" w:firstLineChars="200"/>
              <w:jc w:val="left"/>
              <w:rPr>
                <w:rFonts w:hint="eastAsia" w:ascii="宋体" w:hAnsi="宋体" w:eastAsiaTheme="minorEastAsia"/>
                <w:color w:val="auto"/>
                <w:szCs w:val="21"/>
                <w:highlight w:val="none"/>
                <w:lang w:eastAsia="zh-CN"/>
              </w:rPr>
            </w:pPr>
            <w:r>
              <w:rPr>
                <w:rFonts w:hint="eastAsia" w:ascii="宋体" w:hAnsi="宋体"/>
                <w:color w:val="auto"/>
                <w:szCs w:val="21"/>
                <w:highlight w:val="none"/>
              </w:rPr>
              <w:t>（一）项目名称：</w:t>
            </w:r>
            <w:r>
              <w:rPr>
                <w:rFonts w:hint="eastAsia" w:ascii="宋体" w:hAnsi="宋体" w:cs="宋体"/>
                <w:color w:val="auto"/>
                <w:szCs w:val="21"/>
                <w:highlight w:val="none"/>
                <w:lang w:eastAsia="zh-CN"/>
              </w:rPr>
              <w:t>2025年毕业生腾空房修缮项目(西校园片区子项目)</w:t>
            </w:r>
          </w:p>
          <w:p w14:paraId="67694C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（二）建设地点：南宁市大学东路100号广西大学校园内。</w:t>
            </w:r>
          </w:p>
          <w:p w14:paraId="78A5332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（三）建设规模：</w:t>
            </w:r>
            <w:r>
              <w:rPr>
                <w:rFonts w:hint="eastAsia" w:ascii="宋体" w:hAnsi="宋体"/>
                <w:color w:val="auto"/>
                <w:szCs w:val="21"/>
                <w:highlight w:val="none"/>
                <w:lang w:eastAsia="zh-CN"/>
              </w:rPr>
              <w:t>2025年毕业生腾空房修缮项目(西校园片区子项目)</w:t>
            </w:r>
            <w:r>
              <w:rPr>
                <w:rFonts w:hint="eastAsia" w:ascii="宋体" w:hAnsi="宋体"/>
                <w:color w:val="auto"/>
                <w:szCs w:val="21"/>
                <w:highlight w:val="none"/>
              </w:rPr>
              <w:t>共修缮学生公寓约553间，包含楼栋为：学生公寓西1、2、4、5、6B、7、8、9、10、11、12、15、16、17、18、19、20、22、23、27栋</w:t>
            </w:r>
            <w:r>
              <w:rPr>
                <w:rFonts w:hint="eastAsia" w:ascii="宋体" w:hAnsi="宋体"/>
                <w:color w:val="auto"/>
                <w:szCs w:val="21"/>
                <w:highlight w:val="none"/>
                <w:lang w:eastAsia="zh-CN"/>
              </w:rPr>
              <w:t>、专A栋、专B栋等</w:t>
            </w:r>
            <w:r>
              <w:rPr>
                <w:rFonts w:hint="eastAsia" w:ascii="宋体" w:hAnsi="宋体"/>
                <w:color w:val="auto"/>
                <w:szCs w:val="21"/>
                <w:highlight w:val="none"/>
              </w:rPr>
              <w:t>。主要建设内容为：拆除宿舍内天地墙原有饰面、灯具、卫生洁具；卫生间重新铺地砖、局部破损地面修补、墙面刮腻子刷无机涂料（局部贴瓷砖）、天棚面刮腻子刷无机涂料、更换门窗、栏杆、晾衣杆、卫生洁具等；具体详见采购人发布的施工设计图纸、工程量清单及采购预算价（招标控制价）。</w:t>
            </w:r>
          </w:p>
          <w:p w14:paraId="0A96667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四</w:t>
            </w:r>
            <w:r>
              <w:rPr>
                <w:rFonts w:hint="eastAsia" w:ascii="宋体" w:hAnsi="宋体"/>
                <w:color w:val="auto"/>
                <w:szCs w:val="21"/>
                <w:highlight w:val="none"/>
              </w:rPr>
              <w:t>）采购范围：</w:t>
            </w:r>
            <w:r>
              <w:rPr>
                <w:rFonts w:hint="eastAsia" w:ascii="宋体" w:hAnsi="宋体"/>
                <w:color w:val="auto"/>
                <w:szCs w:val="21"/>
                <w:highlight w:val="none"/>
                <w:lang w:eastAsia="zh-CN"/>
              </w:rPr>
              <w:t>2025年毕业生腾空房修缮项目(西校园片区子项目)</w:t>
            </w:r>
            <w:r>
              <w:rPr>
                <w:rFonts w:hint="eastAsia" w:ascii="宋体" w:hAnsi="宋体"/>
                <w:color w:val="auto"/>
                <w:szCs w:val="21"/>
                <w:highlight w:val="none"/>
              </w:rPr>
              <w:t>工程施工，具体详见采购人发布的施工设计图纸、工程量清单及采购预算价（招标控制价），以及经发包人同意变更的事项。</w:t>
            </w:r>
          </w:p>
          <w:p w14:paraId="5F4EBB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（五）工程质量标准：合格。</w:t>
            </w:r>
          </w:p>
          <w:p w14:paraId="6A73A6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二、竞标人资质要求：</w:t>
            </w:r>
          </w:p>
          <w:p w14:paraId="71C0B0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（一）单位资质：须具备建筑工程施工总承包三级（含）以上资质</w:t>
            </w:r>
            <w:r>
              <w:rPr>
                <w:rFonts w:hint="eastAsia" w:ascii="宋体" w:hAnsi="宋体"/>
                <w:color w:val="auto"/>
                <w:szCs w:val="21"/>
                <w:highlight w:val="none"/>
                <w:lang w:eastAsia="zh-CN"/>
              </w:rPr>
              <w:t>，</w:t>
            </w:r>
            <w:r>
              <w:rPr>
                <w:rFonts w:hint="eastAsia" w:ascii="宋体" w:hAnsi="宋体"/>
                <w:color w:val="auto"/>
                <w:szCs w:val="21"/>
                <w:highlight w:val="none"/>
                <w:lang w:eastAsia="zh-CN"/>
              </w:rPr>
              <w:t>具备有效的省级及以上建设行政主管部门颁发的安全生产许可证</w:t>
            </w:r>
            <w:r>
              <w:rPr>
                <w:rFonts w:hint="eastAsia" w:ascii="宋体" w:hAnsi="宋体"/>
                <w:color w:val="auto"/>
                <w:szCs w:val="21"/>
                <w:highlight w:val="none"/>
              </w:rPr>
              <w:t>；</w:t>
            </w:r>
          </w:p>
          <w:p w14:paraId="0850F1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（二）项目经理：须具备建筑工程专业二级（含）以上注册建造师执业资格及有效的安全生产考核合格证书（B类）；</w:t>
            </w:r>
          </w:p>
          <w:p w14:paraId="245C26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（三）安全员：须具备有效的安全生产考核合格证书（C类）；</w:t>
            </w:r>
          </w:p>
          <w:p w14:paraId="7E4FD6F3">
            <w:pPr>
              <w:spacing w:line="360" w:lineRule="auto"/>
              <w:ind w:firstLine="420" w:firstLineChars="200"/>
              <w:jc w:val="left"/>
              <w:rPr>
                <w:rFonts w:hint="eastAsia" w:ascii="宋体" w:hAnsi="宋体" w:eastAsiaTheme="minorEastAsia"/>
                <w:color w:val="auto"/>
                <w:szCs w:val="21"/>
                <w:highlight w:val="none"/>
                <w:lang w:eastAsia="zh-CN"/>
              </w:rPr>
            </w:pPr>
            <w:r>
              <w:rPr>
                <w:rFonts w:hint="eastAsia" w:ascii="宋体" w:hAnsi="宋体"/>
                <w:color w:val="auto"/>
                <w:szCs w:val="21"/>
                <w:highlight w:val="none"/>
              </w:rPr>
              <w:t>（四）施工员、质量员、材料员：须具备相应施工现场专业人员职业培训合格证书并在有效期内</w:t>
            </w:r>
            <w:r>
              <w:rPr>
                <w:rFonts w:hint="eastAsia" w:ascii="宋体" w:hAnsi="宋体"/>
                <w:color w:val="auto"/>
                <w:szCs w:val="21"/>
                <w:highlight w:val="none"/>
                <w:lang w:eastAsia="zh-CN"/>
              </w:rPr>
              <w:t>。</w:t>
            </w:r>
          </w:p>
          <w:p w14:paraId="57F626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以上人员均需提供供应商为其依法缴纳竞标截止之日前半年内任意一个月社会保险凭证或劳动合同或用人单位工作证明复印件。</w:t>
            </w:r>
          </w:p>
          <w:p w14:paraId="193C8B47">
            <w:pPr>
              <w:spacing w:line="360" w:lineRule="auto"/>
              <w:ind w:firstLine="420" w:firstLineChars="200"/>
              <w:jc w:val="left"/>
              <w:rPr>
                <w:rFonts w:asciiTheme="minorEastAsia" w:hAnsiTheme="minorEastAsia" w:cstheme="minorEastAsia"/>
                <w:color w:val="auto"/>
                <w:szCs w:val="21"/>
                <w:highlight w:val="none"/>
              </w:rPr>
            </w:pPr>
            <w:r>
              <w:rPr>
                <w:rFonts w:hint="eastAsia" w:ascii="宋体" w:hAnsi="宋体" w:cs="宋体"/>
                <w:color w:val="auto"/>
                <w:szCs w:val="21"/>
                <w:highlight w:val="none"/>
              </w:rPr>
              <w:t>三、</w:t>
            </w:r>
            <w:r>
              <w:rPr>
                <w:rFonts w:hint="eastAsia" w:asciiTheme="minorEastAsia" w:hAnsiTheme="minorEastAsia" w:cstheme="minorEastAsia"/>
                <w:color w:val="auto"/>
                <w:szCs w:val="21"/>
                <w:highlight w:val="none"/>
              </w:rPr>
              <w:t>其它要求：</w:t>
            </w:r>
          </w:p>
          <w:p w14:paraId="2EFA1C6A">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一</w:t>
            </w:r>
            <w:r>
              <w:rPr>
                <w:rFonts w:hint="eastAsia" w:asciiTheme="minorEastAsia" w:hAnsiTheme="minorEastAsia" w:cstheme="minorEastAsia"/>
                <w:color w:val="auto"/>
                <w:szCs w:val="21"/>
                <w:highlight w:val="none"/>
              </w:rPr>
              <w:t>）符合国家现行的工程建设标准、技术规范及强制性标准条文、以及施工图纸载明的其他有关规范标准。</w:t>
            </w:r>
          </w:p>
          <w:p w14:paraId="24B4A36F">
            <w:pPr>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二</w:t>
            </w:r>
            <w:r>
              <w:rPr>
                <w:rFonts w:hint="eastAsia" w:asciiTheme="minorEastAsia" w:hAnsiTheme="minorEastAsia" w:cstheme="minorEastAsia"/>
                <w:color w:val="auto"/>
                <w:szCs w:val="21"/>
                <w:highlight w:val="none"/>
              </w:rPr>
              <w:t>）施工时必须进行宿舍家具及电器保护。</w:t>
            </w:r>
          </w:p>
          <w:p w14:paraId="40EEA6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四、开工日期：以签订合同后采购人通知为准。</w:t>
            </w:r>
          </w:p>
          <w:p w14:paraId="1E6ADA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五、开工前供应商应到采购人水电管理部门办理用水用电手续，签订施工用水用电协议，并以现金转账方式缴纳文明施工保证金，文明施工保证金为本工程合同价的3%（最高不超过50万元），采购人开通用水用电；现场施工用水、用电费用按月以实际计量收费（单价：以采购人水电部门核准为准）向采购人缴纳；项目竣工验收前，供应商应与采购人结算水电费用，待结算完成后，由供应商申请，发包人15个工作日内退还文明施工保证金（无息）。</w:t>
            </w:r>
          </w:p>
          <w:p w14:paraId="0445AB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六、供应商需按人社规（2022）5号文规定设立农民工工资账户。</w:t>
            </w:r>
          </w:p>
        </w:tc>
      </w:tr>
      <w:tr w14:paraId="495B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1CD8EF27">
            <w:pPr>
              <w:spacing w:line="360" w:lineRule="auto"/>
              <w:jc w:val="center"/>
              <w:rPr>
                <w:rFonts w:ascii="宋体" w:hAnsi="宋体"/>
                <w:b/>
                <w:color w:val="auto"/>
                <w:szCs w:val="21"/>
                <w:highlight w:val="none"/>
              </w:rPr>
            </w:pPr>
            <w:r>
              <w:rPr>
                <w:rFonts w:hint="eastAsia" w:ascii="宋体" w:hAnsi="宋体"/>
                <w:b/>
                <w:color w:val="auto"/>
                <w:szCs w:val="21"/>
                <w:highlight w:val="none"/>
              </w:rPr>
              <w:t>商务要求</w:t>
            </w:r>
          </w:p>
        </w:tc>
      </w:tr>
      <w:tr w14:paraId="1AC0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54868C5E">
            <w:pPr>
              <w:spacing w:line="360" w:lineRule="auto"/>
              <w:jc w:val="center"/>
              <w:rPr>
                <w:rFonts w:ascii="宋体" w:hAnsi="宋体"/>
                <w:color w:val="auto"/>
                <w:szCs w:val="21"/>
                <w:highlight w:val="none"/>
              </w:rPr>
            </w:pPr>
            <w:r>
              <w:rPr>
                <w:rFonts w:hint="eastAsia" w:ascii="宋体" w:hAnsi="宋体"/>
                <w:color w:val="auto"/>
                <w:szCs w:val="21"/>
                <w:highlight w:val="none"/>
              </w:rPr>
              <w:t>施工工期</w:t>
            </w:r>
          </w:p>
        </w:tc>
        <w:tc>
          <w:tcPr>
            <w:tcW w:w="7238" w:type="dxa"/>
            <w:gridSpan w:val="3"/>
            <w:vAlign w:val="center"/>
          </w:tcPr>
          <w:p w14:paraId="48C3CDEF">
            <w:pPr>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55</w:t>
            </w:r>
            <w:r>
              <w:rPr>
                <w:rFonts w:hint="eastAsia" w:ascii="宋体" w:hAnsi="宋体"/>
                <w:color w:val="auto"/>
                <w:szCs w:val="21"/>
                <w:highlight w:val="none"/>
              </w:rPr>
              <w:t>日历天</w:t>
            </w:r>
            <w:r>
              <w:rPr>
                <w:rFonts w:hint="eastAsia" w:asciiTheme="minorEastAsia" w:hAnsiTheme="minorEastAsia" w:cstheme="minorEastAsia"/>
                <w:color w:val="auto"/>
                <w:szCs w:val="21"/>
                <w:highlight w:val="none"/>
              </w:rPr>
              <w:t>（竣工日期以预验收日期为准）</w:t>
            </w:r>
            <w:r>
              <w:rPr>
                <w:rFonts w:ascii="宋体" w:hAnsi="宋体"/>
                <w:color w:val="auto"/>
                <w:szCs w:val="21"/>
                <w:highlight w:val="none"/>
              </w:rPr>
              <w:t>。</w:t>
            </w:r>
          </w:p>
        </w:tc>
      </w:tr>
      <w:tr w14:paraId="1736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shd w:val="clear" w:color="auto" w:fill="auto"/>
            <w:vAlign w:val="center"/>
          </w:tcPr>
          <w:p w14:paraId="7C2E0C5C">
            <w:pPr>
              <w:spacing w:line="360" w:lineRule="auto"/>
              <w:jc w:val="center"/>
              <w:rPr>
                <w:rFonts w:ascii="宋体" w:hAnsi="宋体"/>
                <w:color w:val="auto"/>
                <w:szCs w:val="21"/>
                <w:highlight w:val="none"/>
              </w:rPr>
            </w:pPr>
            <w:r>
              <w:rPr>
                <w:rFonts w:hint="eastAsia" w:ascii="宋体" w:hAnsi="宋体"/>
                <w:color w:val="auto"/>
                <w:szCs w:val="21"/>
                <w:highlight w:val="none"/>
              </w:rPr>
              <w:t>合同签订时间</w:t>
            </w:r>
          </w:p>
        </w:tc>
        <w:tc>
          <w:tcPr>
            <w:tcW w:w="7238" w:type="dxa"/>
            <w:gridSpan w:val="3"/>
            <w:shd w:val="clear" w:color="auto" w:fill="auto"/>
            <w:vAlign w:val="center"/>
          </w:tcPr>
          <w:p w14:paraId="7B6D0844">
            <w:pPr>
              <w:spacing w:line="360" w:lineRule="auto"/>
              <w:jc w:val="left"/>
              <w:rPr>
                <w:rFonts w:ascii="宋体" w:hAnsi="宋体"/>
                <w:color w:val="auto"/>
                <w:szCs w:val="21"/>
                <w:highlight w:val="none"/>
              </w:rPr>
            </w:pPr>
            <w:r>
              <w:rPr>
                <w:rFonts w:hint="eastAsia" w:ascii="宋体" w:hAnsi="宋体"/>
                <w:color w:val="auto"/>
                <w:szCs w:val="21"/>
                <w:highlight w:val="none"/>
              </w:rPr>
              <w:t>自成交通知书发出之日起</w:t>
            </w:r>
            <w:r>
              <w:rPr>
                <w:rFonts w:ascii="宋体" w:hAnsi="宋体"/>
                <w:color w:val="auto"/>
                <w:szCs w:val="21"/>
                <w:highlight w:val="none"/>
              </w:rPr>
              <w:t>15</w:t>
            </w:r>
            <w:r>
              <w:rPr>
                <w:rFonts w:hint="eastAsia" w:ascii="宋体" w:hAnsi="宋体"/>
                <w:color w:val="auto"/>
                <w:szCs w:val="21"/>
                <w:highlight w:val="none"/>
              </w:rPr>
              <w:t>日内。</w:t>
            </w:r>
          </w:p>
        </w:tc>
      </w:tr>
      <w:tr w14:paraId="610A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41C665CC">
            <w:pPr>
              <w:spacing w:line="360" w:lineRule="auto"/>
              <w:jc w:val="center"/>
              <w:rPr>
                <w:rFonts w:ascii="宋体" w:hAnsi="宋体"/>
                <w:color w:val="auto"/>
                <w:szCs w:val="21"/>
                <w:highlight w:val="none"/>
              </w:rPr>
            </w:pPr>
            <w:r>
              <w:rPr>
                <w:rFonts w:hint="eastAsia" w:ascii="宋体" w:hAnsi="宋体"/>
                <w:color w:val="auto"/>
                <w:szCs w:val="21"/>
                <w:highlight w:val="none"/>
              </w:rPr>
              <w:t>报价要求</w:t>
            </w:r>
          </w:p>
        </w:tc>
        <w:tc>
          <w:tcPr>
            <w:tcW w:w="7238" w:type="dxa"/>
            <w:gridSpan w:val="3"/>
            <w:vAlign w:val="center"/>
          </w:tcPr>
          <w:p w14:paraId="1F6483BA">
            <w:pPr>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1.竞争性磋商报价采用下浮系数报价（报价范围：0≤下浮系数&lt;100%），供应商应认真阅读已经采购人审定的最高限价（招标控制价），参与磋商即表示认可最高限价（招标控制价）及单价，成交后依据合同的固定综合单价【固定综合单价=采购预算价（招标控制价）公布的相应的清单项目的单价×（1-下浮系数）】进行结算，供应商不得对采购人的采购预算价（招标控制价）中的综合单价进行修改，合同总价为暂定合同价【暂定合同价=采购预算价（招标控制价）公布的总金额×（1-下浮系数）】。</w:t>
            </w:r>
          </w:p>
          <w:p w14:paraId="6E1E34C2">
            <w:pPr>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2.竞标报价包括了为实施和完成合同工程所需的劳务、材料、机械、质检（自检）、安装、缺陷修复、管理、保险、税费、利润等费用，以及合同明示或暗示的所有责任、义务和一般风险。</w:t>
            </w:r>
          </w:p>
          <w:p w14:paraId="44D792BC">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3.本项目采用固定综合单价合同，工程量按实际结算，供应商工程量清单中项目的工程量无论增减，均按原单价结算。本工程最终结算价以采购人或采购人选定的第三方工程咨询单位审定金额为准。</w:t>
            </w:r>
          </w:p>
          <w:p w14:paraId="733C07F7">
            <w:pPr>
              <w:spacing w:line="360" w:lineRule="auto"/>
              <w:jc w:val="left"/>
              <w:rPr>
                <w:rFonts w:ascii="宋体" w:hAnsi="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铝合金门窗、防盗网、钢筋晾衣杆、金属变形缝盖板、金属栏杆、不锈钢水箱、钢防盗门等拆除按以料抵工计取，不另计拆除费用。</w:t>
            </w:r>
          </w:p>
        </w:tc>
      </w:tr>
      <w:tr w14:paraId="5834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534DBCD1">
            <w:pPr>
              <w:spacing w:line="360" w:lineRule="auto"/>
              <w:jc w:val="center"/>
              <w:rPr>
                <w:rFonts w:ascii="宋体" w:hAnsi="宋体"/>
                <w:color w:val="auto"/>
                <w:szCs w:val="21"/>
                <w:highlight w:val="none"/>
              </w:rPr>
            </w:pPr>
            <w:r>
              <w:rPr>
                <w:rFonts w:hint="eastAsia" w:ascii="宋体" w:hAnsi="宋体"/>
                <w:color w:val="auto"/>
                <w:szCs w:val="21"/>
                <w:highlight w:val="none"/>
              </w:rPr>
              <w:t>履约保证金</w:t>
            </w:r>
          </w:p>
        </w:tc>
        <w:tc>
          <w:tcPr>
            <w:tcW w:w="7238" w:type="dxa"/>
            <w:gridSpan w:val="3"/>
            <w:vAlign w:val="center"/>
          </w:tcPr>
          <w:p w14:paraId="297D4220">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履约保证金金额：按签约合同价扣除发包人材料设备价款、暂估专业工程、暂列金额后的2%。在收到成交通知书或任务委托书后须在10日历天内交至指定账户，否则视同放弃成交（履约保证金缴纳时须备注项目名称+项目编号。）</w:t>
            </w:r>
          </w:p>
          <w:p w14:paraId="69FEC351">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2.履约保证金缴纳方式：</w:t>
            </w:r>
            <w:r>
              <w:rPr>
                <w:rFonts w:hint="eastAsia" w:ascii="宋体" w:hAnsi="宋体"/>
                <w:color w:val="auto"/>
                <w:szCs w:val="21"/>
                <w:highlight w:val="none"/>
              </w:rPr>
              <w:t>银行转账或者银行出具的无条件保函非现金方式（无息）</w:t>
            </w:r>
            <w:r>
              <w:rPr>
                <w:rFonts w:hint="eastAsia" w:ascii="宋体" w:hAnsi="宋体" w:eastAsia="宋体"/>
                <w:color w:val="auto"/>
                <w:szCs w:val="21"/>
                <w:highlight w:val="none"/>
              </w:rPr>
              <w:t>。</w:t>
            </w:r>
          </w:p>
          <w:p w14:paraId="1E8070A8">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履约保证金退还方式、时间及条件：履约保证金在工程竣工验收合格并对验收发现的问题完成整改后的5个工作日内，退付履约金的50%；成交供应商向采购人完成（施工）竣工资料移交手续后并提交完整的竣工结算资料，</w:t>
            </w:r>
            <w:r>
              <w:rPr>
                <w:rFonts w:hint="eastAsia" w:ascii="宋体" w:hAnsi="宋体" w:cs="宋体"/>
                <w:color w:val="auto"/>
                <w:szCs w:val="21"/>
                <w:highlight w:val="none"/>
              </w:rPr>
              <w:t>竣工结算审核完成，双方在竣工结算审定单签字盖章后1</w:t>
            </w:r>
            <w:r>
              <w:rPr>
                <w:rFonts w:ascii="宋体" w:hAnsi="宋体" w:cs="宋体"/>
                <w:color w:val="auto"/>
                <w:szCs w:val="21"/>
                <w:highlight w:val="none"/>
              </w:rPr>
              <w:t>4</w:t>
            </w:r>
            <w:r>
              <w:rPr>
                <w:rFonts w:hint="eastAsia" w:ascii="宋体" w:hAnsi="宋体" w:cs="宋体"/>
                <w:color w:val="auto"/>
                <w:szCs w:val="21"/>
                <w:highlight w:val="none"/>
              </w:rPr>
              <w:t>天</w:t>
            </w:r>
            <w:r>
              <w:rPr>
                <w:rFonts w:hint="eastAsia" w:ascii="宋体" w:hAnsi="宋体" w:eastAsia="宋体"/>
                <w:color w:val="auto"/>
                <w:szCs w:val="21"/>
                <w:highlight w:val="none"/>
              </w:rPr>
              <w:t>可向采购人申请退还剩余的履约保证金，采购人应在收到申请之日起5个工作日内扣减成交供应商赔偿金和其他应从成交供应商扣回的款项后，将履约保证金的余额退还给成交供应商（无息）。</w:t>
            </w:r>
          </w:p>
          <w:p w14:paraId="3B9E8D2B">
            <w:pPr>
              <w:spacing w:line="360" w:lineRule="auto"/>
              <w:jc w:val="left"/>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履约保证金指定账户：</w:t>
            </w:r>
          </w:p>
          <w:p w14:paraId="727D517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统一社会信用代码：124500004985009929</w:t>
            </w:r>
          </w:p>
          <w:p w14:paraId="0206DC82">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户名：广西大学</w:t>
            </w:r>
          </w:p>
          <w:p w14:paraId="5E4D0C0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开户行：中国银行广西南宁市西大支行</w:t>
            </w:r>
          </w:p>
          <w:p w14:paraId="05339620">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账号：618457484938</w:t>
            </w:r>
          </w:p>
          <w:p w14:paraId="70766F71">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注：其他要求</w:t>
            </w:r>
          </w:p>
          <w:p w14:paraId="7D5F9B7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根据《广西壮族自治区财政厅关于持续优化政府采购营商环境推动高质量发展的通知》（桂财采〔2024〕55号），采购文件要求成交供应商缴纳履约保证金的，履约保证金数额不得超过政府采购合同金额的5%，对中小企业收取的履约保证金数额不得超过政府采购合同金额的2%。</w:t>
            </w:r>
          </w:p>
          <w:p w14:paraId="61911ACF">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（2）履约保证金必须足额缴纳，或出具的保函额度必须足额且保函有效期不能低于合同履行期限（即签订采购合同之日起至履行完合同约定的权利及义务之日止），否则视为无效履约保证金。</w:t>
            </w:r>
          </w:p>
          <w:p w14:paraId="195CCAC8">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（3）采用保函的，必须为无条件保函，否则视为无效履约保证金。</w:t>
            </w:r>
          </w:p>
        </w:tc>
      </w:tr>
      <w:tr w14:paraId="5681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7A90D8E6">
            <w:pPr>
              <w:spacing w:line="360" w:lineRule="auto"/>
              <w:jc w:val="center"/>
              <w:rPr>
                <w:rFonts w:ascii="宋体" w:hAnsi="宋体"/>
                <w:color w:val="auto"/>
                <w:szCs w:val="21"/>
                <w:highlight w:val="none"/>
              </w:rPr>
            </w:pPr>
            <w:r>
              <w:rPr>
                <w:rFonts w:hint="eastAsia" w:ascii="宋体" w:hAnsi="宋体"/>
                <w:color w:val="auto"/>
                <w:szCs w:val="21"/>
                <w:highlight w:val="none"/>
              </w:rPr>
              <w:t>工程款（预付款、进度款）支付</w:t>
            </w:r>
          </w:p>
        </w:tc>
        <w:tc>
          <w:tcPr>
            <w:tcW w:w="7238" w:type="dxa"/>
            <w:gridSpan w:val="3"/>
            <w:vAlign w:val="center"/>
          </w:tcPr>
          <w:p w14:paraId="4D8CA6CB">
            <w:pPr>
              <w:pStyle w:val="63"/>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预付款：无预付款。</w:t>
            </w:r>
          </w:p>
          <w:p w14:paraId="19FD9D2D">
            <w:pPr>
              <w:pStyle w:val="63"/>
              <w:spacing w:line="360" w:lineRule="auto"/>
              <w:rPr>
                <w:rFonts w:ascii="宋体" w:hAnsi="宋体"/>
                <w:color w:val="auto"/>
                <w:szCs w:val="21"/>
                <w:highlight w:val="none"/>
              </w:rPr>
            </w:pPr>
            <w:r>
              <w:rPr>
                <w:rFonts w:hint="eastAsia" w:ascii="宋体" w:hAnsi="宋体"/>
                <w:color w:val="auto"/>
                <w:szCs w:val="21"/>
                <w:highlight w:val="none"/>
              </w:rPr>
              <w:t>2.工程款原则上按月支付，在确保不影响工程结算工作顺利开展的前提下，合同内进度款支付限额为已完成工程量的70%，工程变更部分无进度款，待工程竣工验收合格后3个月内，成交人按要求递交结算报告及全部结算资料，经采购人检查完整合格，双方在《工程项目竣工结算送审资料表》签字确认后,采购人按照递交的结算价与签约合同价（扣除发包人材料价款、暂估专业工程、暂列金额）二者的低价，拨付工程进度款至已完成工程量的70%。采购人按经审定的每期工程进度款的20%的比例拨付到成交人设立的农民工工资专用账户；其它工程进度款转入成交人指定账户。成交人在申请支付工程进度款时，必须提供上月关于农民工工资已按实发放的书面承诺书。因成交人原因造成工程资料与工程进度不同步，或者资料不真实，采购人暂停支付工程进度款，另按（人民币）1000元/次的标准计收违约金。</w:t>
            </w:r>
          </w:p>
          <w:p w14:paraId="3183998C">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w:t>
            </w:r>
            <w:r>
              <w:rPr>
                <w:rFonts w:ascii="宋体" w:hAnsi="宋体" w:eastAsia="宋体"/>
                <w:color w:val="auto"/>
                <w:szCs w:val="21"/>
                <w:highlight w:val="none"/>
              </w:rPr>
              <w:t>.</w:t>
            </w:r>
            <w:r>
              <w:rPr>
                <w:rFonts w:hint="eastAsia" w:ascii="宋体" w:hAnsi="宋体" w:eastAsia="宋体"/>
                <w:color w:val="auto"/>
                <w:szCs w:val="21"/>
                <w:highlight w:val="none"/>
              </w:rPr>
              <w:t>付款申请注意事项</w:t>
            </w:r>
          </w:p>
          <w:p w14:paraId="20A64D4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（1）进度付款申请单的份数：一式伍份。</w:t>
            </w:r>
          </w:p>
          <w:p w14:paraId="26F05AB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（2）进度付款申请单的内容：本次已完成工程的价款、累计已完成的工程价款、累计已支付的工程价款、增加和扣减的其他金额等。</w:t>
            </w:r>
          </w:p>
          <w:p w14:paraId="6DD4ECD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为保证进度款申请额的准确性，双方约定，供应商报送的工程进度款（以下简称送审款），与采购人最终审定的工程进度款（以下简称审定款）相比，应保证其误差率≤5％，如误差率＞5％，供应商应承担违约责任并支付违约金；误差率为5％—10％（含）的，违约金＝（送审款-审定款）×5%×50％；误差率大于10％的，违约金=（送审款-审定款）×5%，违约金由采购人从供应商工程结算款中扣除。</w:t>
            </w:r>
          </w:p>
          <w:p w14:paraId="4478C60F">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注：误差率=（送审款-审定款）/送审款×100%</w:t>
            </w:r>
          </w:p>
          <w:p w14:paraId="6853160C">
            <w:pPr>
              <w:spacing w:line="360" w:lineRule="auto"/>
              <w:jc w:val="left"/>
              <w:rPr>
                <w:rFonts w:ascii="宋体" w:hAnsi="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）供应商应及时开具发票，未开具发票给采购人的，采购人不予支付工程进度款。</w:t>
            </w:r>
          </w:p>
        </w:tc>
      </w:tr>
      <w:tr w14:paraId="0BFB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4FD1E9A4">
            <w:pPr>
              <w:spacing w:line="360" w:lineRule="auto"/>
              <w:jc w:val="center"/>
              <w:rPr>
                <w:rFonts w:ascii="宋体" w:hAnsi="宋体"/>
                <w:color w:val="auto"/>
                <w:szCs w:val="21"/>
                <w:highlight w:val="none"/>
              </w:rPr>
            </w:pPr>
            <w:r>
              <w:rPr>
                <w:rFonts w:hint="eastAsia" w:ascii="宋体" w:hAnsi="宋体"/>
                <w:color w:val="auto"/>
                <w:szCs w:val="21"/>
                <w:highlight w:val="none"/>
              </w:rPr>
              <w:t>验收标准</w:t>
            </w:r>
          </w:p>
        </w:tc>
        <w:tc>
          <w:tcPr>
            <w:tcW w:w="7238" w:type="dxa"/>
            <w:gridSpan w:val="3"/>
            <w:vAlign w:val="center"/>
          </w:tcPr>
          <w:p w14:paraId="19F7F639">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必须达到国家、自治区相关的施工验收规范合格标准。</w:t>
            </w:r>
          </w:p>
        </w:tc>
      </w:tr>
    </w:tbl>
    <w:p w14:paraId="5A4C2010">
      <w:pPr>
        <w:spacing w:line="360" w:lineRule="auto"/>
        <w:ind w:firstLine="420" w:firstLineChars="200"/>
        <w:rPr>
          <w:rFonts w:ascii="宋体" w:hAnsi="宋体" w:eastAsia="宋体"/>
          <w:color w:val="auto"/>
          <w:szCs w:val="21"/>
          <w:highlight w:val="none"/>
        </w:rPr>
      </w:pPr>
    </w:p>
    <w:p w14:paraId="56C26811">
      <w:pPr>
        <w:spacing w:line="360" w:lineRule="auto"/>
        <w:ind w:firstLine="422" w:firstLineChars="200"/>
        <w:rPr>
          <w:rFonts w:hint="default" w:ascii="宋体" w:hAnsi="宋体" w:eastAsia="宋体"/>
          <w:b/>
          <w:bCs/>
          <w:color w:val="auto"/>
          <w:szCs w:val="21"/>
          <w:highlight w:val="none"/>
          <w:lang w:val="en-US" w:eastAsia="zh-CN"/>
        </w:rPr>
      </w:pPr>
      <w:r>
        <w:rPr>
          <w:rFonts w:hint="eastAsia" w:ascii="宋体" w:hAnsi="宋体" w:eastAsia="宋体"/>
          <w:b/>
          <w:bCs/>
          <w:color w:val="auto"/>
          <w:szCs w:val="21"/>
          <w:highlight w:val="none"/>
          <w:lang w:val="en-US" w:eastAsia="zh-CN"/>
        </w:rPr>
        <w:t>2分标：</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86"/>
        <w:gridCol w:w="664"/>
        <w:gridCol w:w="664"/>
        <w:gridCol w:w="5910"/>
      </w:tblGrid>
      <w:tr w14:paraId="5D87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7F0CA1F9">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286" w:type="dxa"/>
            <w:vAlign w:val="center"/>
          </w:tcPr>
          <w:p w14:paraId="08CB98B3">
            <w:pPr>
              <w:spacing w:line="360" w:lineRule="auto"/>
              <w:jc w:val="center"/>
              <w:rPr>
                <w:rFonts w:ascii="宋体" w:hAnsi="宋体"/>
                <w:b/>
                <w:color w:val="auto"/>
                <w:szCs w:val="21"/>
                <w:highlight w:val="none"/>
              </w:rPr>
            </w:pPr>
            <w:r>
              <w:rPr>
                <w:rFonts w:hint="eastAsia" w:ascii="宋体" w:hAnsi="宋体"/>
                <w:b/>
                <w:color w:val="auto"/>
                <w:szCs w:val="21"/>
                <w:highlight w:val="none"/>
              </w:rPr>
              <w:t>标的名称</w:t>
            </w:r>
          </w:p>
        </w:tc>
        <w:tc>
          <w:tcPr>
            <w:tcW w:w="664" w:type="dxa"/>
            <w:vAlign w:val="center"/>
          </w:tcPr>
          <w:p w14:paraId="27F30DBA">
            <w:pPr>
              <w:spacing w:line="360" w:lineRule="auto"/>
              <w:jc w:val="center"/>
              <w:rPr>
                <w:rFonts w:ascii="宋体" w:hAnsi="宋体"/>
                <w:b/>
                <w:color w:val="auto"/>
                <w:szCs w:val="21"/>
                <w:highlight w:val="none"/>
              </w:rPr>
            </w:pPr>
            <w:r>
              <w:rPr>
                <w:rFonts w:hint="eastAsia" w:ascii="宋体" w:hAnsi="宋体"/>
                <w:b/>
                <w:color w:val="auto"/>
                <w:szCs w:val="21"/>
                <w:highlight w:val="none"/>
              </w:rPr>
              <w:t>数量及单位</w:t>
            </w:r>
          </w:p>
        </w:tc>
        <w:tc>
          <w:tcPr>
            <w:tcW w:w="664" w:type="dxa"/>
            <w:vAlign w:val="center"/>
          </w:tcPr>
          <w:p w14:paraId="505E99AA">
            <w:pPr>
              <w:spacing w:line="360" w:lineRule="auto"/>
              <w:jc w:val="center"/>
              <w:rPr>
                <w:rFonts w:ascii="宋体" w:hAnsi="宋体"/>
                <w:b/>
                <w:color w:val="auto"/>
                <w:szCs w:val="21"/>
                <w:highlight w:val="none"/>
              </w:rPr>
            </w:pPr>
            <w:r>
              <w:rPr>
                <w:rFonts w:hint="eastAsia" w:ascii="宋体" w:hAnsi="宋体"/>
                <w:b/>
                <w:color w:val="auto"/>
                <w:szCs w:val="21"/>
                <w:highlight w:val="none"/>
              </w:rPr>
              <w:t>所属行业</w:t>
            </w:r>
          </w:p>
        </w:tc>
        <w:tc>
          <w:tcPr>
            <w:tcW w:w="5910" w:type="dxa"/>
            <w:vAlign w:val="center"/>
          </w:tcPr>
          <w:p w14:paraId="3C4862C9">
            <w:pPr>
              <w:spacing w:line="360" w:lineRule="auto"/>
              <w:jc w:val="center"/>
              <w:rPr>
                <w:rFonts w:ascii="宋体" w:hAnsi="宋体"/>
                <w:b/>
                <w:color w:val="auto"/>
                <w:szCs w:val="21"/>
                <w:highlight w:val="none"/>
              </w:rPr>
            </w:pPr>
            <w:r>
              <w:rPr>
                <w:rFonts w:hint="eastAsia" w:ascii="宋体" w:hAnsi="宋体"/>
                <w:b/>
                <w:color w:val="auto"/>
                <w:szCs w:val="21"/>
                <w:highlight w:val="none"/>
              </w:rPr>
              <w:t>技术要求</w:t>
            </w:r>
          </w:p>
        </w:tc>
      </w:tr>
      <w:tr w14:paraId="36C7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07096ADB">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86" w:type="dxa"/>
            <w:vAlign w:val="center"/>
          </w:tcPr>
          <w:p w14:paraId="5A80E2B2">
            <w:pPr>
              <w:spacing w:line="360" w:lineRule="auto"/>
              <w:jc w:val="center"/>
              <w:rPr>
                <w:rFonts w:hint="eastAsia" w:ascii="宋体" w:hAnsi="宋体" w:eastAsiaTheme="minorEastAsia"/>
                <w:color w:val="auto"/>
                <w:szCs w:val="21"/>
                <w:highlight w:val="none"/>
                <w:lang w:eastAsia="zh-CN"/>
              </w:rPr>
            </w:pPr>
            <w:r>
              <w:rPr>
                <w:rFonts w:hint="eastAsia" w:ascii="宋体" w:hAnsi="宋体" w:cs="宋体"/>
                <w:color w:val="auto"/>
                <w:szCs w:val="21"/>
                <w:highlight w:val="none"/>
                <w:lang w:eastAsia="zh-CN"/>
              </w:rPr>
              <w:t>2025年毕业生腾空房修缮项目(东校园片区子项目)</w:t>
            </w:r>
          </w:p>
        </w:tc>
        <w:tc>
          <w:tcPr>
            <w:tcW w:w="664" w:type="dxa"/>
            <w:vAlign w:val="center"/>
          </w:tcPr>
          <w:p w14:paraId="3A066954">
            <w:pPr>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664" w:type="dxa"/>
            <w:vAlign w:val="center"/>
          </w:tcPr>
          <w:p w14:paraId="667AF8AC">
            <w:pPr>
              <w:spacing w:line="360" w:lineRule="auto"/>
              <w:jc w:val="center"/>
              <w:rPr>
                <w:rFonts w:ascii="宋体" w:hAnsi="宋体"/>
                <w:color w:val="auto"/>
                <w:szCs w:val="21"/>
                <w:highlight w:val="none"/>
              </w:rPr>
            </w:pPr>
            <w:r>
              <w:rPr>
                <w:rFonts w:hint="eastAsia" w:ascii="宋体" w:hAnsi="宋体"/>
                <w:color w:val="auto"/>
                <w:szCs w:val="21"/>
                <w:highlight w:val="none"/>
              </w:rPr>
              <w:t>建筑业</w:t>
            </w:r>
          </w:p>
        </w:tc>
        <w:tc>
          <w:tcPr>
            <w:tcW w:w="5910" w:type="dxa"/>
            <w:vAlign w:val="center"/>
          </w:tcPr>
          <w:p w14:paraId="382C88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一、项目概况</w:t>
            </w:r>
          </w:p>
          <w:p w14:paraId="05E71B05">
            <w:pPr>
              <w:spacing w:line="360" w:lineRule="auto"/>
              <w:ind w:firstLine="420" w:firstLineChars="200"/>
              <w:jc w:val="left"/>
              <w:rPr>
                <w:rFonts w:hint="eastAsia" w:ascii="宋体" w:hAnsi="宋体" w:eastAsiaTheme="minorEastAsia"/>
                <w:color w:val="auto"/>
                <w:szCs w:val="21"/>
                <w:highlight w:val="none"/>
                <w:lang w:eastAsia="zh-CN"/>
              </w:rPr>
            </w:pPr>
            <w:r>
              <w:rPr>
                <w:rFonts w:hint="eastAsia" w:ascii="宋体" w:hAnsi="宋体"/>
                <w:color w:val="auto"/>
                <w:szCs w:val="21"/>
                <w:highlight w:val="none"/>
              </w:rPr>
              <w:t>（一）项目名称：</w:t>
            </w:r>
            <w:r>
              <w:rPr>
                <w:rFonts w:hint="eastAsia" w:ascii="宋体" w:hAnsi="宋体" w:cs="宋体"/>
                <w:color w:val="auto"/>
                <w:szCs w:val="21"/>
                <w:highlight w:val="none"/>
                <w:lang w:eastAsia="zh-CN"/>
              </w:rPr>
              <w:t>2025年毕业生腾空房修缮项目(东校园片区子项目)</w:t>
            </w:r>
          </w:p>
          <w:p w14:paraId="01791A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（二）建设地点：南宁市大学东路100号广西大学校园内。</w:t>
            </w:r>
          </w:p>
          <w:p w14:paraId="18EF5BD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（三）建设规模：</w:t>
            </w:r>
            <w:r>
              <w:rPr>
                <w:rFonts w:hint="eastAsia" w:ascii="宋体" w:hAnsi="宋体"/>
                <w:color w:val="auto"/>
                <w:szCs w:val="21"/>
                <w:highlight w:val="none"/>
                <w:lang w:eastAsia="zh-CN"/>
              </w:rPr>
              <w:t>2025年毕业生腾空房修缮项目(东校园片区子项目)</w:t>
            </w:r>
            <w:r>
              <w:rPr>
                <w:rFonts w:hint="eastAsia" w:ascii="宋体" w:hAnsi="宋体"/>
                <w:color w:val="auto"/>
                <w:szCs w:val="21"/>
                <w:highlight w:val="none"/>
              </w:rPr>
              <w:t>共维修学生公寓约728间，包含楼栋为：学生公寓东1、1B、2A、3、7、13、17、18、27等。主要建设内容为：拆除宿舍内天地墙原有饰面、灯具、卫生洁具；卫生间重新铺地砖、局部破损地面修补、墙面刮腻子刷无机涂料（局部贴瓷砖）、天棚面刮腻子刷无机涂料、更换门窗、栏杆、晾衣杆、卫生洁具等；具体详见采购人发布的施工设计图纸、工程量清单及采购预算价（招标控制价）</w:t>
            </w:r>
            <w:r>
              <w:rPr>
                <w:rFonts w:hint="eastAsia" w:ascii="宋体" w:hAnsi="宋体"/>
                <w:color w:val="auto"/>
                <w:szCs w:val="21"/>
                <w:highlight w:val="none"/>
              </w:rPr>
              <w:t>。</w:t>
            </w:r>
          </w:p>
          <w:p w14:paraId="07CF6C0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四</w:t>
            </w:r>
            <w:r>
              <w:rPr>
                <w:rFonts w:hint="eastAsia" w:ascii="宋体" w:hAnsi="宋体"/>
                <w:color w:val="auto"/>
                <w:szCs w:val="21"/>
                <w:highlight w:val="none"/>
              </w:rPr>
              <w:t>）采购范围：</w:t>
            </w:r>
            <w:r>
              <w:rPr>
                <w:rFonts w:hint="eastAsia" w:ascii="宋体" w:hAnsi="宋体"/>
                <w:color w:val="auto"/>
                <w:szCs w:val="21"/>
                <w:highlight w:val="none"/>
                <w:lang w:eastAsia="zh-CN"/>
              </w:rPr>
              <w:t>2025年毕业生腾空房修缮项目(东校园片区子项目)</w:t>
            </w:r>
            <w:r>
              <w:rPr>
                <w:rFonts w:hint="eastAsia" w:ascii="宋体" w:hAnsi="宋体"/>
                <w:color w:val="auto"/>
                <w:szCs w:val="21"/>
                <w:highlight w:val="none"/>
              </w:rPr>
              <w:t>，具体详见采购人发布的施工设计图纸、工程量清单及采购预算价（招标控制价），以及经发包人同意变更的事项。</w:t>
            </w:r>
          </w:p>
          <w:p w14:paraId="6EDF02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（五）工程质量标准：合格。</w:t>
            </w:r>
          </w:p>
          <w:p w14:paraId="3DFCC9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二、竞标人资质要求：</w:t>
            </w:r>
          </w:p>
          <w:p w14:paraId="1162471D">
            <w:pPr>
              <w:spacing w:line="360" w:lineRule="auto"/>
              <w:ind w:firstLine="420" w:firstLineChars="200"/>
              <w:jc w:val="left"/>
              <w:rPr>
                <w:rFonts w:hint="eastAsia" w:ascii="宋体" w:hAnsi="宋体" w:eastAsiaTheme="minorEastAsia"/>
                <w:color w:val="auto"/>
                <w:szCs w:val="21"/>
                <w:highlight w:val="none"/>
                <w:lang w:eastAsia="zh-CN"/>
              </w:rPr>
            </w:pPr>
            <w:r>
              <w:rPr>
                <w:rFonts w:hint="eastAsia" w:ascii="宋体" w:hAnsi="宋体"/>
                <w:color w:val="auto"/>
                <w:szCs w:val="21"/>
                <w:highlight w:val="none"/>
              </w:rPr>
              <w:t>（一）单位资质：须具备建筑工程施工总承包三级（含）以上资质</w:t>
            </w:r>
            <w:r>
              <w:rPr>
                <w:rFonts w:hint="eastAsia" w:ascii="宋体" w:hAnsi="宋体"/>
                <w:color w:val="auto"/>
                <w:szCs w:val="21"/>
                <w:highlight w:val="none"/>
                <w:lang w:eastAsia="zh-CN"/>
              </w:rPr>
              <w:t>，具备有效的省级及以上建设行政主管部门颁发的安全生产许可证；</w:t>
            </w:r>
          </w:p>
          <w:p w14:paraId="7347BD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（二）项目经理：须具备建筑工程专业二级（含）以上注册建造师执业资格及有效的安全生产考核合格证书（B类）；</w:t>
            </w:r>
          </w:p>
          <w:p w14:paraId="73D3B5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（三）安全员：须具备有效的安全生产考核合格证书（C类）；</w:t>
            </w:r>
          </w:p>
          <w:p w14:paraId="5F0AACB0">
            <w:pPr>
              <w:spacing w:line="360" w:lineRule="auto"/>
              <w:ind w:firstLine="420" w:firstLineChars="200"/>
              <w:jc w:val="left"/>
              <w:rPr>
                <w:rFonts w:hint="eastAsia" w:ascii="宋体" w:hAnsi="宋体" w:eastAsiaTheme="minorEastAsia"/>
                <w:color w:val="auto"/>
                <w:szCs w:val="21"/>
                <w:highlight w:val="none"/>
                <w:lang w:eastAsia="zh-CN"/>
              </w:rPr>
            </w:pPr>
            <w:r>
              <w:rPr>
                <w:rFonts w:hint="eastAsia" w:ascii="宋体" w:hAnsi="宋体"/>
                <w:color w:val="auto"/>
                <w:szCs w:val="21"/>
                <w:highlight w:val="none"/>
              </w:rPr>
              <w:t>（四）施工员、质量员、材料员：须具备相应施工现场专业人员职业培训合格证书并在有效期内</w:t>
            </w:r>
            <w:r>
              <w:rPr>
                <w:rFonts w:hint="eastAsia" w:ascii="宋体" w:hAnsi="宋体"/>
                <w:color w:val="auto"/>
                <w:szCs w:val="21"/>
                <w:highlight w:val="none"/>
                <w:lang w:eastAsia="zh-CN"/>
              </w:rPr>
              <w:t>。</w:t>
            </w:r>
          </w:p>
          <w:p w14:paraId="37D319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以上人员均需提供供应商为其依法缴纳竞标截止之日前半年内任意一个月社会保险凭证或劳动合同或用人单位工作证明复印件。</w:t>
            </w:r>
          </w:p>
          <w:p w14:paraId="7A70FEE5">
            <w:pPr>
              <w:spacing w:line="360" w:lineRule="auto"/>
              <w:ind w:firstLine="420" w:firstLineChars="200"/>
              <w:jc w:val="left"/>
              <w:rPr>
                <w:rFonts w:asciiTheme="minorEastAsia" w:hAnsiTheme="minorEastAsia" w:cstheme="minorEastAsia"/>
                <w:color w:val="auto"/>
                <w:szCs w:val="21"/>
                <w:highlight w:val="none"/>
              </w:rPr>
            </w:pPr>
            <w:r>
              <w:rPr>
                <w:rFonts w:hint="eastAsia" w:ascii="宋体" w:hAnsi="宋体" w:cs="宋体"/>
                <w:color w:val="auto"/>
                <w:szCs w:val="21"/>
                <w:highlight w:val="none"/>
              </w:rPr>
              <w:t>三、</w:t>
            </w:r>
            <w:r>
              <w:rPr>
                <w:rFonts w:hint="eastAsia" w:asciiTheme="minorEastAsia" w:hAnsiTheme="minorEastAsia" w:cstheme="minorEastAsia"/>
                <w:color w:val="auto"/>
                <w:szCs w:val="21"/>
                <w:highlight w:val="none"/>
              </w:rPr>
              <w:t>其它要求：</w:t>
            </w:r>
          </w:p>
          <w:p w14:paraId="0F738EA2">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一</w:t>
            </w:r>
            <w:r>
              <w:rPr>
                <w:rFonts w:hint="eastAsia" w:asciiTheme="minorEastAsia" w:hAnsiTheme="minorEastAsia" w:cstheme="minorEastAsia"/>
                <w:color w:val="auto"/>
                <w:szCs w:val="21"/>
                <w:highlight w:val="none"/>
              </w:rPr>
              <w:t>）符合国家现行的工程建设标准、技术规范及强制性标准条文、以及施工图纸载明的其他有关规范标准。</w:t>
            </w:r>
          </w:p>
          <w:p w14:paraId="3FBD7D5E">
            <w:pPr>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二</w:t>
            </w:r>
            <w:r>
              <w:rPr>
                <w:rFonts w:hint="eastAsia" w:asciiTheme="minorEastAsia" w:hAnsiTheme="minorEastAsia" w:cstheme="minorEastAsia"/>
                <w:color w:val="auto"/>
                <w:szCs w:val="21"/>
                <w:highlight w:val="none"/>
              </w:rPr>
              <w:t>）施工时必须进行宿舍家具及电器保护。</w:t>
            </w:r>
          </w:p>
          <w:p w14:paraId="75185F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四、开工日期：以签订合同后采购人通知为准。</w:t>
            </w:r>
          </w:p>
          <w:p w14:paraId="274437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五、开工前供应商应到采购人水电管理部门办理用水用电手续，签订施工用水用电协议，并以现金转账方式缴纳文明施工保证金，文明施工保证金为本工程合同价的3%（最高不超过50万元），采购人开通用水用电；现场施工用水、用电费用按月以实际计量收费（单价：以采购人水电部门核准为准）向采购人缴纳；项目竣工验收前，供应商应与采购人结算水电费用，待结算完成后，由供应商申请，发包人15个工作日内退还文明施工保证金（无息）。</w:t>
            </w:r>
          </w:p>
          <w:p w14:paraId="1C843B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六、供应商需按人社规（2022）5号文规定设立农民工工资账户。</w:t>
            </w:r>
          </w:p>
        </w:tc>
      </w:tr>
      <w:tr w14:paraId="18B6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54DCDD2A">
            <w:pPr>
              <w:spacing w:line="360" w:lineRule="auto"/>
              <w:jc w:val="center"/>
              <w:rPr>
                <w:rFonts w:ascii="宋体" w:hAnsi="宋体"/>
                <w:b/>
                <w:color w:val="auto"/>
                <w:szCs w:val="21"/>
                <w:highlight w:val="none"/>
              </w:rPr>
            </w:pPr>
            <w:r>
              <w:rPr>
                <w:rFonts w:hint="eastAsia" w:ascii="宋体" w:hAnsi="宋体"/>
                <w:b/>
                <w:color w:val="auto"/>
                <w:szCs w:val="21"/>
                <w:highlight w:val="none"/>
              </w:rPr>
              <w:t>商务要求</w:t>
            </w:r>
          </w:p>
        </w:tc>
      </w:tr>
      <w:tr w14:paraId="1E1F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2B570C32">
            <w:pPr>
              <w:spacing w:line="360" w:lineRule="auto"/>
              <w:jc w:val="center"/>
              <w:rPr>
                <w:rFonts w:ascii="宋体" w:hAnsi="宋体"/>
                <w:color w:val="auto"/>
                <w:szCs w:val="21"/>
                <w:highlight w:val="none"/>
              </w:rPr>
            </w:pPr>
            <w:r>
              <w:rPr>
                <w:rFonts w:hint="eastAsia" w:ascii="宋体" w:hAnsi="宋体"/>
                <w:color w:val="auto"/>
                <w:szCs w:val="21"/>
                <w:highlight w:val="none"/>
              </w:rPr>
              <w:t>施工工期</w:t>
            </w:r>
          </w:p>
        </w:tc>
        <w:tc>
          <w:tcPr>
            <w:tcW w:w="7238" w:type="dxa"/>
            <w:gridSpan w:val="3"/>
            <w:vAlign w:val="center"/>
          </w:tcPr>
          <w:p w14:paraId="3D8A75DF">
            <w:pPr>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55</w:t>
            </w:r>
            <w:r>
              <w:rPr>
                <w:rFonts w:hint="eastAsia" w:ascii="宋体" w:hAnsi="宋体"/>
                <w:color w:val="auto"/>
                <w:szCs w:val="21"/>
                <w:highlight w:val="none"/>
              </w:rPr>
              <w:t>日历天</w:t>
            </w:r>
            <w:r>
              <w:rPr>
                <w:rFonts w:hint="eastAsia" w:asciiTheme="minorEastAsia" w:hAnsiTheme="minorEastAsia" w:cstheme="minorEastAsia"/>
                <w:color w:val="auto"/>
                <w:szCs w:val="21"/>
                <w:highlight w:val="none"/>
              </w:rPr>
              <w:t>（竣工日期以预验收日期为准）</w:t>
            </w:r>
            <w:r>
              <w:rPr>
                <w:rFonts w:ascii="宋体" w:hAnsi="宋体"/>
                <w:color w:val="auto"/>
                <w:szCs w:val="21"/>
                <w:highlight w:val="none"/>
              </w:rPr>
              <w:t>。</w:t>
            </w:r>
          </w:p>
        </w:tc>
      </w:tr>
      <w:tr w14:paraId="1955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shd w:val="clear" w:color="auto" w:fill="auto"/>
            <w:vAlign w:val="center"/>
          </w:tcPr>
          <w:p w14:paraId="77288585">
            <w:pPr>
              <w:spacing w:line="360" w:lineRule="auto"/>
              <w:jc w:val="center"/>
              <w:rPr>
                <w:rFonts w:ascii="宋体" w:hAnsi="宋体"/>
                <w:color w:val="auto"/>
                <w:szCs w:val="21"/>
                <w:highlight w:val="none"/>
              </w:rPr>
            </w:pPr>
            <w:r>
              <w:rPr>
                <w:rFonts w:hint="eastAsia" w:ascii="宋体" w:hAnsi="宋体"/>
                <w:color w:val="auto"/>
                <w:szCs w:val="21"/>
                <w:highlight w:val="none"/>
              </w:rPr>
              <w:t>合同签订时间</w:t>
            </w:r>
          </w:p>
        </w:tc>
        <w:tc>
          <w:tcPr>
            <w:tcW w:w="7238" w:type="dxa"/>
            <w:gridSpan w:val="3"/>
            <w:shd w:val="clear" w:color="auto" w:fill="auto"/>
            <w:vAlign w:val="center"/>
          </w:tcPr>
          <w:p w14:paraId="618D0AED">
            <w:pPr>
              <w:spacing w:line="360" w:lineRule="auto"/>
              <w:jc w:val="left"/>
              <w:rPr>
                <w:rFonts w:ascii="宋体" w:hAnsi="宋体"/>
                <w:color w:val="auto"/>
                <w:szCs w:val="21"/>
                <w:highlight w:val="none"/>
              </w:rPr>
            </w:pPr>
            <w:r>
              <w:rPr>
                <w:rFonts w:hint="eastAsia" w:ascii="宋体" w:hAnsi="宋体"/>
                <w:color w:val="auto"/>
                <w:szCs w:val="21"/>
                <w:highlight w:val="none"/>
              </w:rPr>
              <w:t>自成交通知书发出之日起</w:t>
            </w:r>
            <w:r>
              <w:rPr>
                <w:rFonts w:ascii="宋体" w:hAnsi="宋体"/>
                <w:color w:val="auto"/>
                <w:szCs w:val="21"/>
                <w:highlight w:val="none"/>
              </w:rPr>
              <w:t>15</w:t>
            </w:r>
            <w:r>
              <w:rPr>
                <w:rFonts w:hint="eastAsia" w:ascii="宋体" w:hAnsi="宋体"/>
                <w:color w:val="auto"/>
                <w:szCs w:val="21"/>
                <w:highlight w:val="none"/>
              </w:rPr>
              <w:t>日内。</w:t>
            </w:r>
          </w:p>
        </w:tc>
      </w:tr>
      <w:tr w14:paraId="02B3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6AC4D6DB">
            <w:pPr>
              <w:spacing w:line="360" w:lineRule="auto"/>
              <w:jc w:val="center"/>
              <w:rPr>
                <w:rFonts w:ascii="宋体" w:hAnsi="宋体"/>
                <w:color w:val="auto"/>
                <w:szCs w:val="21"/>
                <w:highlight w:val="none"/>
              </w:rPr>
            </w:pPr>
            <w:r>
              <w:rPr>
                <w:rFonts w:hint="eastAsia" w:ascii="宋体" w:hAnsi="宋体"/>
                <w:color w:val="auto"/>
                <w:szCs w:val="21"/>
                <w:highlight w:val="none"/>
              </w:rPr>
              <w:t>报价要求</w:t>
            </w:r>
          </w:p>
        </w:tc>
        <w:tc>
          <w:tcPr>
            <w:tcW w:w="7238" w:type="dxa"/>
            <w:gridSpan w:val="3"/>
            <w:vAlign w:val="center"/>
          </w:tcPr>
          <w:p w14:paraId="61977C81">
            <w:pPr>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1.竞争性磋商报价采用下浮系数报价（报价范围：0≤下浮系数&lt;100%），供应商应认真阅读已经采购人审定的最高限价（招标控制价），参与磋商即表示认可最高限价（招标控制价）及单价，成交后依据合同的固定综合单价【固定综合单价=采购预算价（招标控制价）公布的相应的清单项目的单价×（1-下浮系数）】进行结算，供应商不得对采购人的采购预算价（招标控制价）中的综合单价进行修改，合同总价为暂定合同价【暂定合同价=采购预算价（招标控制价）公布的总金额×（1-下浮系数）】。</w:t>
            </w:r>
          </w:p>
          <w:p w14:paraId="034FB0A4">
            <w:pPr>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2.竞标报价包括了为实施和完成合同工程所需的劳务、材料、机械、质检（自检）、安装、缺陷修复、管理、保险、税费、利润等费用，以及合同明示或暗示的所有责任、义务和一般风险。</w:t>
            </w:r>
          </w:p>
          <w:p w14:paraId="70038C4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3.本项目采用固定综合单价合同，工程量按实际结算，供应商工程量清单中项目的工程量无论增减，均按原单价结算。本工程最终结算价以采购人或采购人选定的第三方工程咨询单位审定金额为准。</w:t>
            </w:r>
          </w:p>
          <w:p w14:paraId="2F42A755">
            <w:pPr>
              <w:spacing w:line="360" w:lineRule="auto"/>
              <w:jc w:val="left"/>
              <w:rPr>
                <w:rFonts w:ascii="宋体" w:hAnsi="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铝合金门窗、防盗网、钢筋晾衣杆、金属变形缝盖板、金属栏杆、不锈钢水箱、钢防盗门等拆除按以料抵工计取，不另计拆除费用。</w:t>
            </w:r>
          </w:p>
        </w:tc>
      </w:tr>
      <w:tr w14:paraId="3490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27E37CA6">
            <w:pPr>
              <w:spacing w:line="360" w:lineRule="auto"/>
              <w:jc w:val="center"/>
              <w:rPr>
                <w:rFonts w:ascii="宋体" w:hAnsi="宋体"/>
                <w:color w:val="auto"/>
                <w:szCs w:val="21"/>
                <w:highlight w:val="none"/>
              </w:rPr>
            </w:pPr>
            <w:r>
              <w:rPr>
                <w:rFonts w:hint="eastAsia" w:ascii="宋体" w:hAnsi="宋体"/>
                <w:color w:val="auto"/>
                <w:szCs w:val="21"/>
                <w:highlight w:val="none"/>
              </w:rPr>
              <w:t>履约保证金</w:t>
            </w:r>
          </w:p>
        </w:tc>
        <w:tc>
          <w:tcPr>
            <w:tcW w:w="7238" w:type="dxa"/>
            <w:gridSpan w:val="3"/>
            <w:vAlign w:val="center"/>
          </w:tcPr>
          <w:p w14:paraId="2DB82360">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履约保证金金额：按签约合同价扣除发包人材料设备价款、暂估专业工程、暂列金额后的2%。在收到成交通知书或任务委托书后须在10日历天内交至指定账户，否则视同放弃成交（履约保证金缴纳时须备注项目名称+项目编号。）</w:t>
            </w:r>
          </w:p>
          <w:p w14:paraId="601D78C8">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2.履约保证金缴纳方式：</w:t>
            </w:r>
            <w:r>
              <w:rPr>
                <w:rFonts w:hint="eastAsia" w:ascii="宋体" w:hAnsi="宋体"/>
                <w:color w:val="auto"/>
                <w:szCs w:val="21"/>
                <w:highlight w:val="none"/>
              </w:rPr>
              <w:t>银行转账或者银行出具的无条件保函非现金方式（无息）</w:t>
            </w:r>
            <w:r>
              <w:rPr>
                <w:rFonts w:hint="eastAsia" w:ascii="宋体" w:hAnsi="宋体" w:eastAsia="宋体"/>
                <w:color w:val="auto"/>
                <w:szCs w:val="21"/>
                <w:highlight w:val="none"/>
              </w:rPr>
              <w:t>。</w:t>
            </w:r>
          </w:p>
          <w:p w14:paraId="6C62D158">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履约保证金退还方式、时间及条件：履约保证金在工程竣工验收合格并对验收发现的问题完成整改后的5个工作日内，退付履约金的50%；成交供应商向采购人完成（施工）竣工资料移交手续后并提交完整的竣工结算资料，竣工结算审核完成，双方在竣工结算审定单签字盖章后14天可向采购人申请退还剩余的履约保证金，采购人应在收到申请之日起5个工作日内扣减成交供应商赔偿金和其他应从成交供应商扣回的款项后，将履约保证金的余额退还给成交供应商（无息）。</w:t>
            </w:r>
          </w:p>
          <w:p w14:paraId="752DD66B">
            <w:pPr>
              <w:spacing w:line="360" w:lineRule="auto"/>
              <w:jc w:val="left"/>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履约保证金指定账户：</w:t>
            </w:r>
          </w:p>
          <w:p w14:paraId="3D08BBD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统一社会信用代码：124500004985009929</w:t>
            </w:r>
          </w:p>
          <w:p w14:paraId="5CB25F2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户名：广西大学</w:t>
            </w:r>
          </w:p>
          <w:p w14:paraId="1BACAEEF">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开户行：中国银行广西南宁市西大支行</w:t>
            </w:r>
          </w:p>
          <w:p w14:paraId="6BAE7E0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账号：618457484938</w:t>
            </w:r>
          </w:p>
          <w:p w14:paraId="0EBD92F9">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注：其他要求</w:t>
            </w:r>
          </w:p>
          <w:p w14:paraId="7D0AFD1F">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根据《广西壮族自治区财政厅关于持续优化政府采购营商环境推动高质量发展的通知》（桂财采〔2024〕55号），采购文件要求成交供应商缴纳履约保证金的，履约保证金数额不得超过政府采购合同金额的5%，对中小企业收取的履约保证金数额不得超过政府采购合同金额的2%。</w:t>
            </w:r>
          </w:p>
          <w:p w14:paraId="6928224B">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（2）履约保证金必须足额缴纳，或出具的保函额度必须足额且保函有效期不能低于合同履行期限（即签订采购合同之日起至履行完合同约定的权利及义务之日止），否则视为无效履约保证金。</w:t>
            </w:r>
          </w:p>
          <w:p w14:paraId="42087A7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（3）采用保函的，必须为无条件保函，否则视为无效履约保证金。</w:t>
            </w:r>
          </w:p>
        </w:tc>
      </w:tr>
      <w:tr w14:paraId="3255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20827118">
            <w:pPr>
              <w:spacing w:line="360" w:lineRule="auto"/>
              <w:jc w:val="center"/>
              <w:rPr>
                <w:rFonts w:ascii="宋体" w:hAnsi="宋体"/>
                <w:color w:val="auto"/>
                <w:szCs w:val="21"/>
                <w:highlight w:val="none"/>
              </w:rPr>
            </w:pPr>
            <w:r>
              <w:rPr>
                <w:rFonts w:hint="eastAsia" w:ascii="宋体" w:hAnsi="宋体"/>
                <w:color w:val="auto"/>
                <w:szCs w:val="21"/>
                <w:highlight w:val="none"/>
              </w:rPr>
              <w:t>工程款（预付款、进度款）支付</w:t>
            </w:r>
          </w:p>
        </w:tc>
        <w:tc>
          <w:tcPr>
            <w:tcW w:w="7238" w:type="dxa"/>
            <w:gridSpan w:val="3"/>
            <w:vAlign w:val="center"/>
          </w:tcPr>
          <w:p w14:paraId="453BCD2E">
            <w:pPr>
              <w:pStyle w:val="63"/>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预付款：无预付款。</w:t>
            </w:r>
          </w:p>
          <w:p w14:paraId="15D2945F">
            <w:pPr>
              <w:pStyle w:val="63"/>
              <w:spacing w:line="360" w:lineRule="auto"/>
              <w:rPr>
                <w:rFonts w:ascii="宋体" w:hAnsi="宋体"/>
                <w:color w:val="auto"/>
                <w:szCs w:val="21"/>
                <w:highlight w:val="none"/>
              </w:rPr>
            </w:pPr>
            <w:r>
              <w:rPr>
                <w:rFonts w:hint="eastAsia" w:ascii="宋体" w:hAnsi="宋体"/>
                <w:color w:val="auto"/>
                <w:szCs w:val="21"/>
                <w:highlight w:val="none"/>
              </w:rPr>
              <w:t>2.工程款原则上按月支付，在确保不影响工程结算工作顺利开展的前提下，合同内进度款支付限额为已完成工程量的70%，工程变更部分无进度款，待工程竣工验收合格后3个月内，成交人按要求递交结算报告及全部结算资料，经采购人检查完整合格，双方在《工程项目竣工结算送审资料表》签字确认后,采购人按照递交的结算价与签约合同价（扣除发包人材料价款、暂估专业工程、暂列金额）二者的低价，拨付工程进度款至已完成工程量的70%。采购人按经审定的每期工程进度款的20%的比例拨付到成交人设立的农民工工资专用账户；其它工程进度款转入成交人指定账户。成交人在申请支付工程进度款时，必须提供上月关于农民工工资已按实发放的书面承诺书。因成交人原因造成工程资料与工程进度不同步，或者资料不真实，采购人暂停支付工程进度款，另按（人民币）1000元/次的标准计收违约金。</w:t>
            </w:r>
          </w:p>
          <w:p w14:paraId="3080EC22">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w:t>
            </w:r>
            <w:r>
              <w:rPr>
                <w:rFonts w:ascii="宋体" w:hAnsi="宋体" w:eastAsia="宋体"/>
                <w:color w:val="auto"/>
                <w:szCs w:val="21"/>
                <w:highlight w:val="none"/>
              </w:rPr>
              <w:t>.</w:t>
            </w:r>
            <w:r>
              <w:rPr>
                <w:rFonts w:hint="eastAsia" w:ascii="宋体" w:hAnsi="宋体" w:eastAsia="宋体"/>
                <w:color w:val="auto"/>
                <w:szCs w:val="21"/>
                <w:highlight w:val="none"/>
              </w:rPr>
              <w:t>付款申请注意事项</w:t>
            </w:r>
          </w:p>
          <w:p w14:paraId="3AAA6B06">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（1）进度付款申请单的份数：一式伍份。</w:t>
            </w:r>
          </w:p>
          <w:p w14:paraId="7A767C1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（2）进度付款申请单的内容：本次已完成工程的价款、累计已完成的工程价款、累计已支付的工程价款、增加和扣减的其他金额等。</w:t>
            </w:r>
          </w:p>
          <w:p w14:paraId="474451E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为保证进度款申请额的准确性，双方约定，供应商报送的工程进度款（以下简称送审款），与采购人最终审定的工程进度款（以下简称审定款）相比，应保证其误差率≤5％，如误差率＞5％，供应商应承担违约责任并支付违约金；误差率为5％—10％（含）的，违约金＝（送审款-审定款）×5%×50％；误差率大于10％的，违约金=（送审款-审定款）×5%，违约金由采购人从供应商工程结算款中扣除。</w:t>
            </w:r>
          </w:p>
          <w:p w14:paraId="6FE1666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注：误差率=（送审款-审定款）/送审款×100%</w:t>
            </w:r>
          </w:p>
          <w:p w14:paraId="63594861">
            <w:pPr>
              <w:spacing w:line="360" w:lineRule="auto"/>
              <w:jc w:val="left"/>
              <w:rPr>
                <w:rFonts w:ascii="宋体" w:hAnsi="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）供应商应及时开具发票，未开具发票给采购人的，采购人不予支付工程进度款。</w:t>
            </w:r>
          </w:p>
        </w:tc>
      </w:tr>
      <w:tr w14:paraId="79EF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2E78012F">
            <w:pPr>
              <w:spacing w:line="360" w:lineRule="auto"/>
              <w:jc w:val="center"/>
              <w:rPr>
                <w:rFonts w:ascii="宋体" w:hAnsi="宋体"/>
                <w:color w:val="auto"/>
                <w:szCs w:val="21"/>
                <w:highlight w:val="none"/>
              </w:rPr>
            </w:pPr>
            <w:r>
              <w:rPr>
                <w:rFonts w:hint="eastAsia" w:ascii="宋体" w:hAnsi="宋体"/>
                <w:color w:val="auto"/>
                <w:szCs w:val="21"/>
                <w:highlight w:val="none"/>
              </w:rPr>
              <w:t>验收标准</w:t>
            </w:r>
          </w:p>
        </w:tc>
        <w:tc>
          <w:tcPr>
            <w:tcW w:w="7238" w:type="dxa"/>
            <w:gridSpan w:val="3"/>
            <w:vAlign w:val="center"/>
          </w:tcPr>
          <w:p w14:paraId="7ECDF32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必须达到国家、自治区相关的施工验收规范合格标准。</w:t>
            </w:r>
          </w:p>
        </w:tc>
      </w:tr>
    </w:tbl>
    <w:p w14:paraId="468143A6">
      <w:pPr>
        <w:spacing w:line="360" w:lineRule="auto"/>
        <w:rPr>
          <w:rFonts w:hint="default" w:ascii="宋体" w:hAnsi="宋体" w:eastAsia="宋体"/>
          <w:color w:val="auto"/>
          <w:szCs w:val="21"/>
          <w:highlight w:val="none"/>
          <w:lang w:val="en-US" w:eastAsia="zh-CN"/>
        </w:rPr>
        <w:sectPr>
          <w:pgSz w:w="11906" w:h="16838"/>
          <w:pgMar w:top="1440" w:right="1134" w:bottom="1440" w:left="1418" w:header="851" w:footer="992" w:gutter="0"/>
          <w:cols w:space="425" w:num="1"/>
          <w:docGrid w:type="lines" w:linePitch="312" w:charSpace="0"/>
        </w:sectPr>
      </w:pPr>
    </w:p>
    <w:p w14:paraId="7B1F2C5D">
      <w:pPr>
        <w:spacing w:line="360" w:lineRule="auto"/>
        <w:ind w:firstLine="640" w:firstLineChars="200"/>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rPr>
        <w:t>附件：</w:t>
      </w:r>
    </w:p>
    <w:p w14:paraId="75F5E3F8">
      <w:pPr>
        <w:spacing w:line="360" w:lineRule="auto"/>
        <w:jc w:val="center"/>
        <w:rPr>
          <w:rFonts w:ascii="微软雅黑" w:hAnsi="微软雅黑" w:eastAsia="微软雅黑"/>
          <w:color w:val="auto"/>
          <w:sz w:val="40"/>
          <w:szCs w:val="40"/>
          <w:highlight w:val="none"/>
        </w:rPr>
      </w:pPr>
      <w:r>
        <w:rPr>
          <w:rFonts w:hint="eastAsia" w:ascii="微软雅黑" w:hAnsi="微软雅黑" w:eastAsia="微软雅黑"/>
          <w:color w:val="auto"/>
          <w:sz w:val="40"/>
          <w:szCs w:val="40"/>
          <w:highlight w:val="none"/>
        </w:rPr>
        <w:t>中小微企业划型标准</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46"/>
        <w:gridCol w:w="1642"/>
        <w:gridCol w:w="1642"/>
        <w:gridCol w:w="1642"/>
        <w:gridCol w:w="1636"/>
      </w:tblGrid>
      <w:tr w14:paraId="6135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7537886B">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行业名称</w:t>
            </w:r>
          </w:p>
        </w:tc>
        <w:tc>
          <w:tcPr>
            <w:tcW w:w="785" w:type="pct"/>
            <w:vAlign w:val="center"/>
          </w:tcPr>
          <w:p w14:paraId="6E795D4A">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指标名称</w:t>
            </w:r>
          </w:p>
        </w:tc>
        <w:tc>
          <w:tcPr>
            <w:tcW w:w="834" w:type="pct"/>
            <w:vAlign w:val="center"/>
          </w:tcPr>
          <w:p w14:paraId="40FCD9CB">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计量单位</w:t>
            </w:r>
          </w:p>
        </w:tc>
        <w:tc>
          <w:tcPr>
            <w:tcW w:w="834" w:type="pct"/>
            <w:vAlign w:val="center"/>
          </w:tcPr>
          <w:p w14:paraId="3F3C089A">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中型</w:t>
            </w:r>
          </w:p>
        </w:tc>
        <w:tc>
          <w:tcPr>
            <w:tcW w:w="834" w:type="pct"/>
            <w:vAlign w:val="center"/>
          </w:tcPr>
          <w:p w14:paraId="7D22DD33">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小型</w:t>
            </w:r>
          </w:p>
        </w:tc>
        <w:tc>
          <w:tcPr>
            <w:tcW w:w="831" w:type="pct"/>
            <w:vAlign w:val="center"/>
          </w:tcPr>
          <w:p w14:paraId="3D8CE4E3">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微型</w:t>
            </w:r>
          </w:p>
        </w:tc>
      </w:tr>
      <w:tr w14:paraId="6782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66115478">
            <w:pPr>
              <w:jc w:val="center"/>
              <w:rPr>
                <w:rFonts w:ascii="宋体" w:hAnsi="宋体"/>
                <w:b/>
                <w:color w:val="auto"/>
                <w:sz w:val="18"/>
                <w:szCs w:val="18"/>
                <w:highlight w:val="none"/>
              </w:rPr>
            </w:pPr>
            <w:r>
              <w:rPr>
                <w:rFonts w:hint="eastAsia" w:ascii="宋体" w:hAnsi="宋体"/>
                <w:b/>
                <w:color w:val="auto"/>
                <w:sz w:val="18"/>
                <w:szCs w:val="18"/>
                <w:highlight w:val="none"/>
              </w:rPr>
              <w:t>农、林、牧、渔</w:t>
            </w:r>
          </w:p>
        </w:tc>
        <w:tc>
          <w:tcPr>
            <w:tcW w:w="785" w:type="pct"/>
            <w:vAlign w:val="center"/>
          </w:tcPr>
          <w:p w14:paraId="41E26A38">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2611AC07">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F015F8A">
            <w:pPr>
              <w:jc w:val="center"/>
              <w:rPr>
                <w:rFonts w:ascii="宋体" w:hAnsi="宋体"/>
                <w:color w:val="auto"/>
                <w:sz w:val="18"/>
                <w:szCs w:val="18"/>
                <w:highlight w:val="none"/>
              </w:rPr>
            </w:pPr>
            <w:r>
              <w:rPr>
                <w:rFonts w:hint="eastAsia" w:ascii="宋体" w:hAnsi="宋体"/>
                <w:color w:val="auto"/>
                <w:sz w:val="18"/>
                <w:szCs w:val="18"/>
                <w:highlight w:val="none"/>
              </w:rPr>
              <w:t>500≤Y＜20000</w:t>
            </w:r>
          </w:p>
        </w:tc>
        <w:tc>
          <w:tcPr>
            <w:tcW w:w="834" w:type="pct"/>
            <w:vAlign w:val="center"/>
          </w:tcPr>
          <w:p w14:paraId="42BAE030">
            <w:pPr>
              <w:jc w:val="center"/>
              <w:rPr>
                <w:rFonts w:ascii="宋体" w:hAnsi="宋体"/>
                <w:color w:val="auto"/>
                <w:sz w:val="18"/>
                <w:szCs w:val="18"/>
                <w:highlight w:val="none"/>
              </w:rPr>
            </w:pPr>
            <w:r>
              <w:rPr>
                <w:rFonts w:hint="eastAsia" w:ascii="宋体" w:hAnsi="宋体"/>
                <w:color w:val="auto"/>
                <w:sz w:val="18"/>
                <w:szCs w:val="18"/>
                <w:highlight w:val="none"/>
              </w:rPr>
              <w:t>50≤Y＜500</w:t>
            </w:r>
          </w:p>
        </w:tc>
        <w:tc>
          <w:tcPr>
            <w:tcW w:w="831" w:type="pct"/>
            <w:vAlign w:val="center"/>
          </w:tcPr>
          <w:p w14:paraId="16376DFA">
            <w:pPr>
              <w:jc w:val="center"/>
              <w:rPr>
                <w:rFonts w:ascii="宋体" w:hAnsi="宋体"/>
                <w:color w:val="auto"/>
                <w:sz w:val="18"/>
                <w:szCs w:val="18"/>
                <w:highlight w:val="none"/>
              </w:rPr>
            </w:pPr>
            <w:r>
              <w:rPr>
                <w:rFonts w:hint="eastAsia" w:ascii="宋体" w:hAnsi="宋体"/>
                <w:color w:val="auto"/>
                <w:sz w:val="18"/>
                <w:szCs w:val="18"/>
                <w:highlight w:val="none"/>
              </w:rPr>
              <w:t>Y＜50</w:t>
            </w:r>
          </w:p>
        </w:tc>
      </w:tr>
      <w:tr w14:paraId="7B28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06B16B0">
            <w:pPr>
              <w:jc w:val="center"/>
              <w:rPr>
                <w:rFonts w:ascii="宋体" w:hAnsi="宋体"/>
                <w:b/>
                <w:color w:val="auto"/>
                <w:sz w:val="18"/>
                <w:szCs w:val="18"/>
                <w:highlight w:val="none"/>
              </w:rPr>
            </w:pPr>
            <w:r>
              <w:rPr>
                <w:rFonts w:hint="eastAsia" w:ascii="宋体" w:hAnsi="宋体"/>
                <w:b/>
                <w:color w:val="auto"/>
                <w:sz w:val="18"/>
                <w:szCs w:val="18"/>
                <w:highlight w:val="none"/>
              </w:rPr>
              <w:t>工业</w:t>
            </w:r>
          </w:p>
        </w:tc>
        <w:tc>
          <w:tcPr>
            <w:tcW w:w="785" w:type="pct"/>
            <w:vAlign w:val="center"/>
          </w:tcPr>
          <w:p w14:paraId="47521349">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32BABDF3">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4115D25E">
            <w:pPr>
              <w:jc w:val="center"/>
              <w:rPr>
                <w:rFonts w:ascii="宋体" w:hAnsi="宋体"/>
                <w:color w:val="auto"/>
                <w:sz w:val="18"/>
                <w:szCs w:val="18"/>
                <w:highlight w:val="none"/>
              </w:rPr>
            </w:pPr>
            <w:r>
              <w:rPr>
                <w:rFonts w:hint="eastAsia" w:ascii="宋体" w:hAnsi="宋体"/>
                <w:color w:val="auto"/>
                <w:sz w:val="18"/>
                <w:szCs w:val="18"/>
                <w:highlight w:val="none"/>
              </w:rPr>
              <w:t>300≤X＜1000</w:t>
            </w:r>
          </w:p>
        </w:tc>
        <w:tc>
          <w:tcPr>
            <w:tcW w:w="834" w:type="pct"/>
            <w:vAlign w:val="center"/>
          </w:tcPr>
          <w:p w14:paraId="7D3437BC">
            <w:pPr>
              <w:jc w:val="center"/>
              <w:rPr>
                <w:rFonts w:ascii="宋体" w:hAnsi="宋体"/>
                <w:color w:val="auto"/>
                <w:sz w:val="18"/>
                <w:szCs w:val="18"/>
                <w:highlight w:val="none"/>
              </w:rPr>
            </w:pPr>
            <w:r>
              <w:rPr>
                <w:rFonts w:hint="eastAsia" w:ascii="宋体" w:hAnsi="宋体"/>
                <w:color w:val="auto"/>
                <w:sz w:val="18"/>
                <w:szCs w:val="18"/>
                <w:highlight w:val="none"/>
              </w:rPr>
              <w:t>20≤X＜300</w:t>
            </w:r>
          </w:p>
        </w:tc>
        <w:tc>
          <w:tcPr>
            <w:tcW w:w="831" w:type="pct"/>
            <w:vAlign w:val="center"/>
          </w:tcPr>
          <w:p w14:paraId="574B3476">
            <w:pPr>
              <w:jc w:val="center"/>
              <w:rPr>
                <w:rFonts w:ascii="宋体" w:hAnsi="宋体"/>
                <w:color w:val="auto"/>
                <w:sz w:val="18"/>
                <w:szCs w:val="18"/>
                <w:highlight w:val="none"/>
              </w:rPr>
            </w:pPr>
            <w:r>
              <w:rPr>
                <w:rFonts w:hint="eastAsia" w:ascii="宋体" w:hAnsi="宋体"/>
                <w:color w:val="auto"/>
                <w:sz w:val="18"/>
                <w:szCs w:val="18"/>
                <w:highlight w:val="none"/>
              </w:rPr>
              <w:t>X＜20</w:t>
            </w:r>
          </w:p>
        </w:tc>
      </w:tr>
      <w:tr w14:paraId="00B6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A159F75">
            <w:pPr>
              <w:jc w:val="center"/>
              <w:rPr>
                <w:rFonts w:ascii="宋体" w:hAnsi="宋体"/>
                <w:b/>
                <w:color w:val="auto"/>
                <w:sz w:val="18"/>
                <w:szCs w:val="18"/>
                <w:highlight w:val="none"/>
              </w:rPr>
            </w:pPr>
          </w:p>
        </w:tc>
        <w:tc>
          <w:tcPr>
            <w:tcW w:w="785" w:type="pct"/>
            <w:vAlign w:val="center"/>
          </w:tcPr>
          <w:p w14:paraId="0A933455">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4C4B58C6">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199911B">
            <w:pPr>
              <w:jc w:val="center"/>
              <w:rPr>
                <w:rFonts w:ascii="宋体" w:hAnsi="宋体"/>
                <w:color w:val="auto"/>
                <w:sz w:val="18"/>
                <w:szCs w:val="18"/>
                <w:highlight w:val="none"/>
              </w:rPr>
            </w:pPr>
            <w:r>
              <w:rPr>
                <w:rFonts w:hint="eastAsia" w:ascii="宋体" w:hAnsi="宋体"/>
                <w:color w:val="auto"/>
                <w:sz w:val="18"/>
                <w:szCs w:val="18"/>
                <w:highlight w:val="none"/>
              </w:rPr>
              <w:t>2000≤Y＜40000</w:t>
            </w:r>
          </w:p>
        </w:tc>
        <w:tc>
          <w:tcPr>
            <w:tcW w:w="834" w:type="pct"/>
            <w:vAlign w:val="center"/>
          </w:tcPr>
          <w:p w14:paraId="7B605EDE">
            <w:pPr>
              <w:jc w:val="center"/>
              <w:rPr>
                <w:rFonts w:ascii="宋体" w:hAnsi="宋体"/>
                <w:color w:val="auto"/>
                <w:sz w:val="18"/>
                <w:szCs w:val="18"/>
                <w:highlight w:val="none"/>
              </w:rPr>
            </w:pPr>
            <w:r>
              <w:rPr>
                <w:rFonts w:hint="eastAsia" w:ascii="宋体" w:hAnsi="宋体"/>
                <w:color w:val="auto"/>
                <w:sz w:val="18"/>
                <w:szCs w:val="18"/>
                <w:highlight w:val="none"/>
              </w:rPr>
              <w:t>300≤Y＜2000</w:t>
            </w:r>
          </w:p>
        </w:tc>
        <w:tc>
          <w:tcPr>
            <w:tcW w:w="831" w:type="pct"/>
            <w:vAlign w:val="center"/>
          </w:tcPr>
          <w:p w14:paraId="3B247558">
            <w:pPr>
              <w:jc w:val="center"/>
              <w:rPr>
                <w:rFonts w:ascii="宋体" w:hAnsi="宋体"/>
                <w:color w:val="auto"/>
                <w:sz w:val="18"/>
                <w:szCs w:val="18"/>
                <w:highlight w:val="none"/>
              </w:rPr>
            </w:pPr>
            <w:r>
              <w:rPr>
                <w:rFonts w:hint="eastAsia" w:ascii="宋体" w:hAnsi="宋体"/>
                <w:color w:val="auto"/>
                <w:sz w:val="18"/>
                <w:szCs w:val="18"/>
                <w:highlight w:val="none"/>
              </w:rPr>
              <w:t>Y＜300</w:t>
            </w:r>
          </w:p>
        </w:tc>
      </w:tr>
      <w:tr w14:paraId="2E94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334D8AF">
            <w:pPr>
              <w:jc w:val="center"/>
              <w:rPr>
                <w:rFonts w:ascii="宋体" w:hAnsi="宋体"/>
                <w:b/>
                <w:color w:val="auto"/>
                <w:sz w:val="18"/>
                <w:szCs w:val="18"/>
                <w:highlight w:val="none"/>
              </w:rPr>
            </w:pPr>
            <w:r>
              <w:rPr>
                <w:rFonts w:hint="eastAsia" w:ascii="宋体" w:hAnsi="宋体"/>
                <w:b/>
                <w:color w:val="auto"/>
                <w:sz w:val="18"/>
                <w:szCs w:val="18"/>
                <w:highlight w:val="none"/>
              </w:rPr>
              <w:t>建筑业</w:t>
            </w:r>
          </w:p>
        </w:tc>
        <w:tc>
          <w:tcPr>
            <w:tcW w:w="785" w:type="pct"/>
            <w:vAlign w:val="center"/>
          </w:tcPr>
          <w:p w14:paraId="4D699B4C">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6777A360">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73C381DF">
            <w:pPr>
              <w:jc w:val="center"/>
              <w:rPr>
                <w:rFonts w:ascii="宋体" w:hAnsi="宋体"/>
                <w:color w:val="auto"/>
                <w:sz w:val="18"/>
                <w:szCs w:val="18"/>
                <w:highlight w:val="none"/>
              </w:rPr>
            </w:pPr>
            <w:r>
              <w:rPr>
                <w:rFonts w:hint="eastAsia" w:ascii="宋体" w:hAnsi="宋体"/>
                <w:color w:val="auto"/>
                <w:sz w:val="18"/>
                <w:szCs w:val="18"/>
                <w:highlight w:val="none"/>
              </w:rPr>
              <w:t>6000≤Y＜80000</w:t>
            </w:r>
          </w:p>
        </w:tc>
        <w:tc>
          <w:tcPr>
            <w:tcW w:w="834" w:type="pct"/>
            <w:vAlign w:val="center"/>
          </w:tcPr>
          <w:p w14:paraId="2E5A4CB6">
            <w:pPr>
              <w:jc w:val="center"/>
              <w:rPr>
                <w:rFonts w:ascii="宋体" w:hAnsi="宋体"/>
                <w:color w:val="auto"/>
                <w:sz w:val="18"/>
                <w:szCs w:val="18"/>
                <w:highlight w:val="none"/>
              </w:rPr>
            </w:pPr>
            <w:r>
              <w:rPr>
                <w:rFonts w:hint="eastAsia" w:ascii="宋体" w:hAnsi="宋体"/>
                <w:color w:val="auto"/>
                <w:sz w:val="18"/>
                <w:szCs w:val="18"/>
                <w:highlight w:val="none"/>
              </w:rPr>
              <w:t>300≤Y＜6000</w:t>
            </w:r>
          </w:p>
        </w:tc>
        <w:tc>
          <w:tcPr>
            <w:tcW w:w="831" w:type="pct"/>
            <w:vAlign w:val="center"/>
          </w:tcPr>
          <w:p w14:paraId="593DAFF7">
            <w:pPr>
              <w:jc w:val="center"/>
              <w:rPr>
                <w:rFonts w:ascii="宋体" w:hAnsi="宋体"/>
                <w:color w:val="auto"/>
                <w:sz w:val="18"/>
                <w:szCs w:val="18"/>
                <w:highlight w:val="none"/>
              </w:rPr>
            </w:pPr>
            <w:r>
              <w:rPr>
                <w:rFonts w:hint="eastAsia" w:ascii="宋体" w:hAnsi="宋体"/>
                <w:color w:val="auto"/>
                <w:sz w:val="18"/>
                <w:szCs w:val="18"/>
                <w:highlight w:val="none"/>
              </w:rPr>
              <w:t>Y＜300</w:t>
            </w:r>
          </w:p>
        </w:tc>
      </w:tr>
      <w:tr w14:paraId="6D92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3D9D2BC">
            <w:pPr>
              <w:jc w:val="center"/>
              <w:rPr>
                <w:rFonts w:ascii="宋体" w:hAnsi="宋体"/>
                <w:b/>
                <w:color w:val="auto"/>
                <w:sz w:val="18"/>
                <w:szCs w:val="18"/>
                <w:highlight w:val="none"/>
              </w:rPr>
            </w:pPr>
          </w:p>
        </w:tc>
        <w:tc>
          <w:tcPr>
            <w:tcW w:w="785" w:type="pct"/>
            <w:vAlign w:val="center"/>
          </w:tcPr>
          <w:p w14:paraId="26762EF2">
            <w:pPr>
              <w:jc w:val="center"/>
              <w:rPr>
                <w:rFonts w:ascii="宋体" w:hAnsi="宋体"/>
                <w:color w:val="auto"/>
                <w:sz w:val="18"/>
                <w:szCs w:val="18"/>
                <w:highlight w:val="none"/>
              </w:rPr>
            </w:pPr>
            <w:r>
              <w:rPr>
                <w:rFonts w:hint="eastAsia" w:ascii="宋体" w:hAnsi="宋体"/>
                <w:color w:val="auto"/>
                <w:sz w:val="18"/>
                <w:szCs w:val="18"/>
                <w:highlight w:val="none"/>
              </w:rPr>
              <w:t>资产总额（Z）</w:t>
            </w:r>
          </w:p>
        </w:tc>
        <w:tc>
          <w:tcPr>
            <w:tcW w:w="834" w:type="pct"/>
            <w:vAlign w:val="center"/>
          </w:tcPr>
          <w:p w14:paraId="1EF3B9AE">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72711CB">
            <w:pPr>
              <w:jc w:val="center"/>
              <w:rPr>
                <w:rFonts w:ascii="宋体" w:hAnsi="宋体"/>
                <w:color w:val="auto"/>
                <w:sz w:val="18"/>
                <w:szCs w:val="18"/>
                <w:highlight w:val="none"/>
              </w:rPr>
            </w:pPr>
            <w:r>
              <w:rPr>
                <w:rFonts w:hint="eastAsia" w:ascii="宋体" w:hAnsi="宋体"/>
                <w:color w:val="auto"/>
                <w:sz w:val="18"/>
                <w:szCs w:val="18"/>
                <w:highlight w:val="none"/>
              </w:rPr>
              <w:t>5000≤Z＜80000</w:t>
            </w:r>
          </w:p>
        </w:tc>
        <w:tc>
          <w:tcPr>
            <w:tcW w:w="834" w:type="pct"/>
            <w:vAlign w:val="center"/>
          </w:tcPr>
          <w:p w14:paraId="00E25A76">
            <w:pPr>
              <w:jc w:val="center"/>
              <w:rPr>
                <w:rFonts w:ascii="宋体" w:hAnsi="宋体"/>
                <w:color w:val="auto"/>
                <w:sz w:val="18"/>
                <w:szCs w:val="18"/>
                <w:highlight w:val="none"/>
              </w:rPr>
            </w:pPr>
            <w:r>
              <w:rPr>
                <w:rFonts w:hint="eastAsia" w:ascii="宋体" w:hAnsi="宋体"/>
                <w:color w:val="auto"/>
                <w:sz w:val="18"/>
                <w:szCs w:val="18"/>
                <w:highlight w:val="none"/>
              </w:rPr>
              <w:t>300≤Z＜5000</w:t>
            </w:r>
          </w:p>
        </w:tc>
        <w:tc>
          <w:tcPr>
            <w:tcW w:w="831" w:type="pct"/>
            <w:vAlign w:val="center"/>
          </w:tcPr>
          <w:p w14:paraId="06B51FD0">
            <w:pPr>
              <w:jc w:val="center"/>
              <w:rPr>
                <w:rFonts w:ascii="宋体" w:hAnsi="宋体"/>
                <w:color w:val="auto"/>
                <w:sz w:val="18"/>
                <w:szCs w:val="18"/>
                <w:highlight w:val="none"/>
              </w:rPr>
            </w:pPr>
            <w:r>
              <w:rPr>
                <w:rFonts w:hint="eastAsia" w:ascii="宋体" w:hAnsi="宋体"/>
                <w:color w:val="auto"/>
                <w:sz w:val="18"/>
                <w:szCs w:val="18"/>
                <w:highlight w:val="none"/>
              </w:rPr>
              <w:t>Z＜300</w:t>
            </w:r>
          </w:p>
        </w:tc>
      </w:tr>
      <w:tr w14:paraId="2DCD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7C3D2BE">
            <w:pPr>
              <w:jc w:val="center"/>
              <w:rPr>
                <w:rFonts w:ascii="宋体" w:hAnsi="宋体"/>
                <w:b/>
                <w:color w:val="auto"/>
                <w:sz w:val="18"/>
                <w:szCs w:val="18"/>
                <w:highlight w:val="none"/>
              </w:rPr>
            </w:pPr>
            <w:r>
              <w:rPr>
                <w:rFonts w:hint="eastAsia" w:ascii="宋体" w:hAnsi="宋体"/>
                <w:b/>
                <w:color w:val="auto"/>
                <w:sz w:val="18"/>
                <w:szCs w:val="18"/>
                <w:highlight w:val="none"/>
              </w:rPr>
              <w:t>批发业</w:t>
            </w:r>
          </w:p>
        </w:tc>
        <w:tc>
          <w:tcPr>
            <w:tcW w:w="785" w:type="pct"/>
            <w:vAlign w:val="center"/>
          </w:tcPr>
          <w:p w14:paraId="4E788C87">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01B3F827">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7043B33A">
            <w:pPr>
              <w:jc w:val="center"/>
              <w:rPr>
                <w:rFonts w:ascii="宋体" w:hAnsi="宋体"/>
                <w:color w:val="auto"/>
                <w:sz w:val="18"/>
                <w:szCs w:val="18"/>
                <w:highlight w:val="none"/>
              </w:rPr>
            </w:pPr>
            <w:r>
              <w:rPr>
                <w:rFonts w:hint="eastAsia" w:ascii="宋体" w:hAnsi="宋体"/>
                <w:color w:val="auto"/>
                <w:sz w:val="18"/>
                <w:szCs w:val="18"/>
                <w:highlight w:val="none"/>
              </w:rPr>
              <w:t>20≤X＜200</w:t>
            </w:r>
          </w:p>
        </w:tc>
        <w:tc>
          <w:tcPr>
            <w:tcW w:w="834" w:type="pct"/>
            <w:vAlign w:val="center"/>
          </w:tcPr>
          <w:p w14:paraId="703FA7B7">
            <w:pPr>
              <w:jc w:val="center"/>
              <w:rPr>
                <w:rFonts w:ascii="宋体" w:hAnsi="宋体"/>
                <w:color w:val="auto"/>
                <w:sz w:val="18"/>
                <w:szCs w:val="18"/>
                <w:highlight w:val="none"/>
              </w:rPr>
            </w:pPr>
            <w:r>
              <w:rPr>
                <w:rFonts w:hint="eastAsia" w:ascii="宋体" w:hAnsi="宋体"/>
                <w:color w:val="auto"/>
                <w:sz w:val="18"/>
                <w:szCs w:val="18"/>
                <w:highlight w:val="none"/>
              </w:rPr>
              <w:t>5≤X＜20</w:t>
            </w:r>
          </w:p>
        </w:tc>
        <w:tc>
          <w:tcPr>
            <w:tcW w:w="831" w:type="pct"/>
            <w:vAlign w:val="center"/>
          </w:tcPr>
          <w:p w14:paraId="5511FAC2">
            <w:pPr>
              <w:jc w:val="center"/>
              <w:rPr>
                <w:rFonts w:ascii="宋体" w:hAnsi="宋体"/>
                <w:color w:val="auto"/>
                <w:sz w:val="18"/>
                <w:szCs w:val="18"/>
                <w:highlight w:val="none"/>
              </w:rPr>
            </w:pPr>
            <w:r>
              <w:rPr>
                <w:rFonts w:hint="eastAsia" w:ascii="宋体" w:hAnsi="宋体"/>
                <w:color w:val="auto"/>
                <w:sz w:val="18"/>
                <w:szCs w:val="18"/>
                <w:highlight w:val="none"/>
              </w:rPr>
              <w:t>X＜5</w:t>
            </w:r>
          </w:p>
        </w:tc>
      </w:tr>
      <w:tr w14:paraId="2E3B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CED8E5A">
            <w:pPr>
              <w:jc w:val="center"/>
              <w:rPr>
                <w:rFonts w:ascii="宋体" w:hAnsi="宋体"/>
                <w:b/>
                <w:color w:val="auto"/>
                <w:sz w:val="18"/>
                <w:szCs w:val="18"/>
                <w:highlight w:val="none"/>
              </w:rPr>
            </w:pPr>
          </w:p>
        </w:tc>
        <w:tc>
          <w:tcPr>
            <w:tcW w:w="785" w:type="pct"/>
            <w:vAlign w:val="center"/>
          </w:tcPr>
          <w:p w14:paraId="507AE5A4">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15C8A158">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4CE25B80">
            <w:pPr>
              <w:jc w:val="center"/>
              <w:rPr>
                <w:rFonts w:ascii="宋体" w:hAnsi="宋体"/>
                <w:color w:val="auto"/>
                <w:sz w:val="18"/>
                <w:szCs w:val="18"/>
                <w:highlight w:val="none"/>
              </w:rPr>
            </w:pPr>
            <w:r>
              <w:rPr>
                <w:rFonts w:hint="eastAsia" w:ascii="宋体" w:hAnsi="宋体"/>
                <w:color w:val="auto"/>
                <w:sz w:val="18"/>
                <w:szCs w:val="18"/>
                <w:highlight w:val="none"/>
              </w:rPr>
              <w:t>5000≤Y＜40000</w:t>
            </w:r>
          </w:p>
        </w:tc>
        <w:tc>
          <w:tcPr>
            <w:tcW w:w="834" w:type="pct"/>
            <w:vAlign w:val="center"/>
          </w:tcPr>
          <w:p w14:paraId="22DD0FA0">
            <w:pPr>
              <w:jc w:val="center"/>
              <w:rPr>
                <w:rFonts w:ascii="宋体" w:hAnsi="宋体"/>
                <w:color w:val="auto"/>
                <w:sz w:val="18"/>
                <w:szCs w:val="18"/>
                <w:highlight w:val="none"/>
              </w:rPr>
            </w:pPr>
            <w:r>
              <w:rPr>
                <w:rFonts w:hint="eastAsia" w:ascii="宋体" w:hAnsi="宋体"/>
                <w:color w:val="auto"/>
                <w:sz w:val="18"/>
                <w:szCs w:val="18"/>
                <w:highlight w:val="none"/>
              </w:rPr>
              <w:t>1000≤Y＜5000</w:t>
            </w:r>
          </w:p>
        </w:tc>
        <w:tc>
          <w:tcPr>
            <w:tcW w:w="831" w:type="pct"/>
            <w:vAlign w:val="center"/>
          </w:tcPr>
          <w:p w14:paraId="15AD239A">
            <w:pPr>
              <w:jc w:val="center"/>
              <w:rPr>
                <w:rFonts w:ascii="宋体" w:hAnsi="宋体"/>
                <w:color w:val="auto"/>
                <w:sz w:val="18"/>
                <w:szCs w:val="18"/>
                <w:highlight w:val="none"/>
              </w:rPr>
            </w:pPr>
            <w:r>
              <w:rPr>
                <w:rFonts w:hint="eastAsia" w:ascii="宋体" w:hAnsi="宋体"/>
                <w:color w:val="auto"/>
                <w:sz w:val="18"/>
                <w:szCs w:val="18"/>
                <w:highlight w:val="none"/>
              </w:rPr>
              <w:t>Y＜1000</w:t>
            </w:r>
          </w:p>
        </w:tc>
      </w:tr>
      <w:tr w14:paraId="6D7C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BBB636A">
            <w:pPr>
              <w:jc w:val="center"/>
              <w:rPr>
                <w:rFonts w:ascii="宋体" w:hAnsi="宋体"/>
                <w:b/>
                <w:color w:val="auto"/>
                <w:sz w:val="18"/>
                <w:szCs w:val="18"/>
                <w:highlight w:val="none"/>
              </w:rPr>
            </w:pPr>
            <w:r>
              <w:rPr>
                <w:rFonts w:hint="eastAsia" w:ascii="宋体" w:hAnsi="宋体"/>
                <w:b/>
                <w:color w:val="auto"/>
                <w:sz w:val="18"/>
                <w:szCs w:val="18"/>
                <w:highlight w:val="none"/>
              </w:rPr>
              <w:t>零售业</w:t>
            </w:r>
          </w:p>
        </w:tc>
        <w:tc>
          <w:tcPr>
            <w:tcW w:w="785" w:type="pct"/>
            <w:vAlign w:val="center"/>
          </w:tcPr>
          <w:p w14:paraId="1EE1B6B9">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542B892F">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253AAFD6">
            <w:pPr>
              <w:jc w:val="center"/>
              <w:rPr>
                <w:rFonts w:ascii="宋体" w:hAnsi="宋体"/>
                <w:color w:val="auto"/>
                <w:sz w:val="18"/>
                <w:szCs w:val="18"/>
                <w:highlight w:val="none"/>
              </w:rPr>
            </w:pPr>
            <w:r>
              <w:rPr>
                <w:rFonts w:hint="eastAsia" w:ascii="宋体" w:hAnsi="宋体"/>
                <w:color w:val="auto"/>
                <w:sz w:val="18"/>
                <w:szCs w:val="18"/>
                <w:highlight w:val="none"/>
              </w:rPr>
              <w:t>50≤X＜300</w:t>
            </w:r>
          </w:p>
        </w:tc>
        <w:tc>
          <w:tcPr>
            <w:tcW w:w="834" w:type="pct"/>
            <w:vAlign w:val="center"/>
          </w:tcPr>
          <w:p w14:paraId="57785D76">
            <w:pPr>
              <w:jc w:val="center"/>
              <w:rPr>
                <w:rFonts w:ascii="宋体" w:hAnsi="宋体"/>
                <w:color w:val="auto"/>
                <w:sz w:val="18"/>
                <w:szCs w:val="18"/>
                <w:highlight w:val="none"/>
              </w:rPr>
            </w:pPr>
            <w:r>
              <w:rPr>
                <w:rFonts w:hint="eastAsia" w:ascii="宋体" w:hAnsi="宋体"/>
                <w:color w:val="auto"/>
                <w:sz w:val="18"/>
                <w:szCs w:val="18"/>
                <w:highlight w:val="none"/>
              </w:rPr>
              <w:t>10≤X＜50</w:t>
            </w:r>
          </w:p>
        </w:tc>
        <w:tc>
          <w:tcPr>
            <w:tcW w:w="831" w:type="pct"/>
            <w:vAlign w:val="center"/>
          </w:tcPr>
          <w:p w14:paraId="3FA664F7">
            <w:pP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2391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D78A2E3">
            <w:pPr>
              <w:jc w:val="center"/>
              <w:rPr>
                <w:rFonts w:ascii="宋体" w:hAnsi="宋体"/>
                <w:b/>
                <w:color w:val="auto"/>
                <w:sz w:val="18"/>
                <w:szCs w:val="18"/>
                <w:highlight w:val="none"/>
              </w:rPr>
            </w:pPr>
          </w:p>
        </w:tc>
        <w:tc>
          <w:tcPr>
            <w:tcW w:w="785" w:type="pct"/>
            <w:vAlign w:val="center"/>
          </w:tcPr>
          <w:p w14:paraId="280DC066">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329ACC0B">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7792844E">
            <w:pPr>
              <w:jc w:val="center"/>
              <w:rPr>
                <w:rFonts w:ascii="宋体" w:hAnsi="宋体"/>
                <w:color w:val="auto"/>
                <w:sz w:val="18"/>
                <w:szCs w:val="18"/>
                <w:highlight w:val="none"/>
              </w:rPr>
            </w:pPr>
            <w:r>
              <w:rPr>
                <w:rFonts w:hint="eastAsia" w:ascii="宋体" w:hAnsi="宋体"/>
                <w:color w:val="auto"/>
                <w:sz w:val="18"/>
                <w:szCs w:val="18"/>
                <w:highlight w:val="none"/>
              </w:rPr>
              <w:t>500≤Y＜20000</w:t>
            </w:r>
          </w:p>
        </w:tc>
        <w:tc>
          <w:tcPr>
            <w:tcW w:w="834" w:type="pct"/>
            <w:vAlign w:val="center"/>
          </w:tcPr>
          <w:p w14:paraId="4AEA9B06">
            <w:pPr>
              <w:jc w:val="center"/>
              <w:rPr>
                <w:rFonts w:ascii="宋体" w:hAnsi="宋体"/>
                <w:color w:val="auto"/>
                <w:sz w:val="18"/>
                <w:szCs w:val="18"/>
                <w:highlight w:val="none"/>
              </w:rPr>
            </w:pPr>
            <w:r>
              <w:rPr>
                <w:rFonts w:hint="eastAsia" w:ascii="宋体" w:hAnsi="宋体"/>
                <w:color w:val="auto"/>
                <w:sz w:val="18"/>
                <w:szCs w:val="18"/>
                <w:highlight w:val="none"/>
              </w:rPr>
              <w:t>100≤Y＜500</w:t>
            </w:r>
          </w:p>
        </w:tc>
        <w:tc>
          <w:tcPr>
            <w:tcW w:w="831" w:type="pct"/>
            <w:vAlign w:val="center"/>
          </w:tcPr>
          <w:p w14:paraId="254A043B">
            <w:pP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5A52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030788C">
            <w:pPr>
              <w:jc w:val="center"/>
              <w:rPr>
                <w:rFonts w:ascii="宋体" w:hAnsi="宋体"/>
                <w:b/>
                <w:color w:val="auto"/>
                <w:sz w:val="18"/>
                <w:szCs w:val="18"/>
                <w:highlight w:val="none"/>
              </w:rPr>
            </w:pPr>
            <w:r>
              <w:rPr>
                <w:rFonts w:hint="eastAsia" w:ascii="宋体" w:hAnsi="宋体"/>
                <w:b/>
                <w:color w:val="auto"/>
                <w:sz w:val="18"/>
                <w:szCs w:val="18"/>
                <w:highlight w:val="none"/>
              </w:rPr>
              <w:t>交通运输业</w:t>
            </w:r>
          </w:p>
        </w:tc>
        <w:tc>
          <w:tcPr>
            <w:tcW w:w="785" w:type="pct"/>
            <w:vAlign w:val="center"/>
          </w:tcPr>
          <w:p w14:paraId="2E8D5180">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7E7C6FA4">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06D3E61C">
            <w:pPr>
              <w:jc w:val="center"/>
              <w:rPr>
                <w:rFonts w:ascii="宋体" w:hAnsi="宋体"/>
                <w:color w:val="auto"/>
                <w:sz w:val="18"/>
                <w:szCs w:val="18"/>
                <w:highlight w:val="none"/>
              </w:rPr>
            </w:pPr>
            <w:r>
              <w:rPr>
                <w:rFonts w:hint="eastAsia" w:ascii="宋体" w:hAnsi="宋体"/>
                <w:color w:val="auto"/>
                <w:sz w:val="18"/>
                <w:szCs w:val="18"/>
                <w:highlight w:val="none"/>
              </w:rPr>
              <w:t>300≤X＜1000</w:t>
            </w:r>
          </w:p>
        </w:tc>
        <w:tc>
          <w:tcPr>
            <w:tcW w:w="834" w:type="pct"/>
            <w:vAlign w:val="center"/>
          </w:tcPr>
          <w:p w14:paraId="0A2F79A5">
            <w:pPr>
              <w:jc w:val="center"/>
              <w:rPr>
                <w:rFonts w:ascii="宋体" w:hAnsi="宋体"/>
                <w:color w:val="auto"/>
                <w:sz w:val="18"/>
                <w:szCs w:val="18"/>
                <w:highlight w:val="none"/>
              </w:rPr>
            </w:pPr>
            <w:r>
              <w:rPr>
                <w:rFonts w:hint="eastAsia" w:ascii="宋体" w:hAnsi="宋体"/>
                <w:color w:val="auto"/>
                <w:sz w:val="18"/>
                <w:szCs w:val="18"/>
                <w:highlight w:val="none"/>
              </w:rPr>
              <w:t>20≤X＜300</w:t>
            </w:r>
          </w:p>
        </w:tc>
        <w:tc>
          <w:tcPr>
            <w:tcW w:w="831" w:type="pct"/>
            <w:vAlign w:val="center"/>
          </w:tcPr>
          <w:p w14:paraId="5A5A6EA1">
            <w:pPr>
              <w:jc w:val="center"/>
              <w:rPr>
                <w:rFonts w:ascii="宋体" w:hAnsi="宋体"/>
                <w:color w:val="auto"/>
                <w:sz w:val="18"/>
                <w:szCs w:val="18"/>
                <w:highlight w:val="none"/>
              </w:rPr>
            </w:pPr>
            <w:r>
              <w:rPr>
                <w:rFonts w:hint="eastAsia" w:ascii="宋体" w:hAnsi="宋体"/>
                <w:color w:val="auto"/>
                <w:sz w:val="18"/>
                <w:szCs w:val="18"/>
                <w:highlight w:val="none"/>
              </w:rPr>
              <w:t>X＜20</w:t>
            </w:r>
          </w:p>
        </w:tc>
      </w:tr>
      <w:tr w14:paraId="39DE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D1F3E10">
            <w:pPr>
              <w:jc w:val="center"/>
              <w:rPr>
                <w:rFonts w:ascii="宋体" w:hAnsi="宋体"/>
                <w:b/>
                <w:color w:val="auto"/>
                <w:sz w:val="18"/>
                <w:szCs w:val="18"/>
                <w:highlight w:val="none"/>
              </w:rPr>
            </w:pPr>
          </w:p>
        </w:tc>
        <w:tc>
          <w:tcPr>
            <w:tcW w:w="785" w:type="pct"/>
            <w:vAlign w:val="center"/>
          </w:tcPr>
          <w:p w14:paraId="729CD0BD">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0500D634">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C263FF7">
            <w:pPr>
              <w:jc w:val="center"/>
              <w:rPr>
                <w:rFonts w:ascii="宋体" w:hAnsi="宋体"/>
                <w:color w:val="auto"/>
                <w:sz w:val="18"/>
                <w:szCs w:val="18"/>
                <w:highlight w:val="none"/>
              </w:rPr>
            </w:pPr>
            <w:r>
              <w:rPr>
                <w:rFonts w:hint="eastAsia" w:ascii="宋体" w:hAnsi="宋体"/>
                <w:color w:val="auto"/>
                <w:sz w:val="18"/>
                <w:szCs w:val="18"/>
                <w:highlight w:val="none"/>
              </w:rPr>
              <w:t>3000≤Y＜30000</w:t>
            </w:r>
          </w:p>
        </w:tc>
        <w:tc>
          <w:tcPr>
            <w:tcW w:w="834" w:type="pct"/>
            <w:vAlign w:val="center"/>
          </w:tcPr>
          <w:p w14:paraId="3270AD9D">
            <w:pPr>
              <w:jc w:val="center"/>
              <w:rPr>
                <w:rFonts w:ascii="宋体" w:hAnsi="宋体"/>
                <w:color w:val="auto"/>
                <w:sz w:val="18"/>
                <w:szCs w:val="18"/>
                <w:highlight w:val="none"/>
              </w:rPr>
            </w:pPr>
            <w:r>
              <w:rPr>
                <w:rFonts w:hint="eastAsia" w:ascii="宋体" w:hAnsi="宋体"/>
                <w:color w:val="auto"/>
                <w:sz w:val="18"/>
                <w:szCs w:val="18"/>
                <w:highlight w:val="none"/>
              </w:rPr>
              <w:t>200≤Y＜3000</w:t>
            </w:r>
          </w:p>
        </w:tc>
        <w:tc>
          <w:tcPr>
            <w:tcW w:w="831" w:type="pct"/>
            <w:vAlign w:val="center"/>
          </w:tcPr>
          <w:p w14:paraId="27C1336F">
            <w:pPr>
              <w:jc w:val="center"/>
              <w:rPr>
                <w:rFonts w:ascii="宋体" w:hAnsi="宋体"/>
                <w:color w:val="auto"/>
                <w:sz w:val="18"/>
                <w:szCs w:val="18"/>
                <w:highlight w:val="none"/>
              </w:rPr>
            </w:pPr>
            <w:r>
              <w:rPr>
                <w:rFonts w:hint="eastAsia" w:ascii="宋体" w:hAnsi="宋体"/>
                <w:color w:val="auto"/>
                <w:sz w:val="18"/>
                <w:szCs w:val="18"/>
                <w:highlight w:val="none"/>
              </w:rPr>
              <w:t>Y＜200</w:t>
            </w:r>
          </w:p>
        </w:tc>
      </w:tr>
      <w:tr w14:paraId="0712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6BDCB27">
            <w:pPr>
              <w:jc w:val="center"/>
              <w:rPr>
                <w:rFonts w:ascii="宋体" w:hAnsi="宋体"/>
                <w:b/>
                <w:color w:val="auto"/>
                <w:sz w:val="18"/>
                <w:szCs w:val="18"/>
                <w:highlight w:val="none"/>
              </w:rPr>
            </w:pPr>
            <w:r>
              <w:rPr>
                <w:rFonts w:hint="eastAsia" w:ascii="宋体" w:hAnsi="宋体"/>
                <w:b/>
                <w:color w:val="auto"/>
                <w:sz w:val="18"/>
                <w:szCs w:val="18"/>
                <w:highlight w:val="none"/>
              </w:rPr>
              <w:t>仓储业</w:t>
            </w:r>
          </w:p>
        </w:tc>
        <w:tc>
          <w:tcPr>
            <w:tcW w:w="785" w:type="pct"/>
            <w:vAlign w:val="center"/>
          </w:tcPr>
          <w:p w14:paraId="2A276B8A">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455554D7">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75A48F6C">
            <w:pPr>
              <w:jc w:val="center"/>
              <w:rPr>
                <w:rFonts w:ascii="宋体" w:hAnsi="宋体"/>
                <w:color w:val="auto"/>
                <w:sz w:val="18"/>
                <w:szCs w:val="18"/>
                <w:highlight w:val="none"/>
              </w:rPr>
            </w:pPr>
            <w:r>
              <w:rPr>
                <w:rFonts w:hint="eastAsia" w:ascii="宋体" w:hAnsi="宋体"/>
                <w:color w:val="auto"/>
                <w:sz w:val="18"/>
                <w:szCs w:val="18"/>
                <w:highlight w:val="none"/>
              </w:rPr>
              <w:t>100≤X＜200</w:t>
            </w:r>
          </w:p>
        </w:tc>
        <w:tc>
          <w:tcPr>
            <w:tcW w:w="834" w:type="pct"/>
            <w:vAlign w:val="center"/>
          </w:tcPr>
          <w:p w14:paraId="451F21D6">
            <w:pPr>
              <w:jc w:val="center"/>
              <w:rPr>
                <w:rFonts w:ascii="宋体" w:hAnsi="宋体"/>
                <w:color w:val="auto"/>
                <w:sz w:val="18"/>
                <w:szCs w:val="18"/>
                <w:highlight w:val="none"/>
              </w:rPr>
            </w:pPr>
            <w:r>
              <w:rPr>
                <w:rFonts w:hint="eastAsia" w:ascii="宋体" w:hAnsi="宋体"/>
                <w:color w:val="auto"/>
                <w:sz w:val="18"/>
                <w:szCs w:val="18"/>
                <w:highlight w:val="none"/>
              </w:rPr>
              <w:t>20≤X＜100</w:t>
            </w:r>
          </w:p>
        </w:tc>
        <w:tc>
          <w:tcPr>
            <w:tcW w:w="831" w:type="pct"/>
            <w:vAlign w:val="center"/>
          </w:tcPr>
          <w:p w14:paraId="5661F578">
            <w:pPr>
              <w:jc w:val="center"/>
              <w:rPr>
                <w:rFonts w:ascii="宋体" w:hAnsi="宋体"/>
                <w:color w:val="auto"/>
                <w:sz w:val="18"/>
                <w:szCs w:val="18"/>
                <w:highlight w:val="none"/>
              </w:rPr>
            </w:pPr>
            <w:r>
              <w:rPr>
                <w:rFonts w:hint="eastAsia" w:ascii="宋体" w:hAnsi="宋体"/>
                <w:color w:val="auto"/>
                <w:sz w:val="18"/>
                <w:szCs w:val="18"/>
                <w:highlight w:val="none"/>
              </w:rPr>
              <w:t>X＜20</w:t>
            </w:r>
          </w:p>
        </w:tc>
      </w:tr>
      <w:tr w14:paraId="2313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8E4500E">
            <w:pPr>
              <w:jc w:val="center"/>
              <w:rPr>
                <w:rFonts w:ascii="宋体" w:hAnsi="宋体"/>
                <w:b/>
                <w:color w:val="auto"/>
                <w:sz w:val="18"/>
                <w:szCs w:val="18"/>
                <w:highlight w:val="none"/>
              </w:rPr>
            </w:pPr>
          </w:p>
        </w:tc>
        <w:tc>
          <w:tcPr>
            <w:tcW w:w="785" w:type="pct"/>
            <w:vAlign w:val="center"/>
          </w:tcPr>
          <w:p w14:paraId="69E01162">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5407D6CF">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4BC8A6DA">
            <w:pPr>
              <w:jc w:val="center"/>
              <w:rPr>
                <w:rFonts w:ascii="宋体" w:hAnsi="宋体"/>
                <w:color w:val="auto"/>
                <w:sz w:val="18"/>
                <w:szCs w:val="18"/>
                <w:highlight w:val="none"/>
              </w:rPr>
            </w:pPr>
            <w:r>
              <w:rPr>
                <w:rFonts w:hint="eastAsia" w:ascii="宋体" w:hAnsi="宋体"/>
                <w:color w:val="auto"/>
                <w:sz w:val="18"/>
                <w:szCs w:val="18"/>
                <w:highlight w:val="none"/>
              </w:rPr>
              <w:t>1000≤Y＜30000</w:t>
            </w:r>
          </w:p>
        </w:tc>
        <w:tc>
          <w:tcPr>
            <w:tcW w:w="834" w:type="pct"/>
            <w:vAlign w:val="center"/>
          </w:tcPr>
          <w:p w14:paraId="6BB5E95C">
            <w:pPr>
              <w:jc w:val="center"/>
              <w:rPr>
                <w:rFonts w:ascii="宋体" w:hAnsi="宋体"/>
                <w:color w:val="auto"/>
                <w:sz w:val="18"/>
                <w:szCs w:val="18"/>
                <w:highlight w:val="none"/>
              </w:rPr>
            </w:pPr>
            <w:r>
              <w:rPr>
                <w:rFonts w:hint="eastAsia" w:ascii="宋体" w:hAnsi="宋体"/>
                <w:color w:val="auto"/>
                <w:sz w:val="18"/>
                <w:szCs w:val="18"/>
                <w:highlight w:val="none"/>
              </w:rPr>
              <w:t>100≤Y＜1000</w:t>
            </w:r>
          </w:p>
        </w:tc>
        <w:tc>
          <w:tcPr>
            <w:tcW w:w="831" w:type="pct"/>
            <w:vAlign w:val="center"/>
          </w:tcPr>
          <w:p w14:paraId="3CC66B67">
            <w:pP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5232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0D9BF34">
            <w:pPr>
              <w:jc w:val="center"/>
              <w:rPr>
                <w:rFonts w:ascii="宋体" w:hAnsi="宋体"/>
                <w:b/>
                <w:color w:val="auto"/>
                <w:sz w:val="18"/>
                <w:szCs w:val="18"/>
                <w:highlight w:val="none"/>
              </w:rPr>
            </w:pPr>
            <w:r>
              <w:rPr>
                <w:rFonts w:hint="eastAsia" w:ascii="宋体" w:hAnsi="宋体"/>
                <w:b/>
                <w:color w:val="auto"/>
                <w:sz w:val="18"/>
                <w:szCs w:val="18"/>
                <w:highlight w:val="none"/>
              </w:rPr>
              <w:t>邮政业</w:t>
            </w:r>
          </w:p>
        </w:tc>
        <w:tc>
          <w:tcPr>
            <w:tcW w:w="785" w:type="pct"/>
            <w:vAlign w:val="center"/>
          </w:tcPr>
          <w:p w14:paraId="2C88EC02">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1BD2D275">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01E0A228">
            <w:pPr>
              <w:jc w:val="center"/>
              <w:rPr>
                <w:rFonts w:ascii="宋体" w:hAnsi="宋体"/>
                <w:color w:val="auto"/>
                <w:sz w:val="18"/>
                <w:szCs w:val="18"/>
                <w:highlight w:val="none"/>
              </w:rPr>
            </w:pPr>
            <w:r>
              <w:rPr>
                <w:rFonts w:hint="eastAsia" w:ascii="宋体" w:hAnsi="宋体"/>
                <w:color w:val="auto"/>
                <w:sz w:val="18"/>
                <w:szCs w:val="18"/>
                <w:highlight w:val="none"/>
              </w:rPr>
              <w:t>300≤X＜1000</w:t>
            </w:r>
          </w:p>
        </w:tc>
        <w:tc>
          <w:tcPr>
            <w:tcW w:w="834" w:type="pct"/>
            <w:vAlign w:val="center"/>
          </w:tcPr>
          <w:p w14:paraId="21B98F3B">
            <w:pPr>
              <w:jc w:val="center"/>
              <w:rPr>
                <w:rFonts w:ascii="宋体" w:hAnsi="宋体"/>
                <w:color w:val="auto"/>
                <w:sz w:val="18"/>
                <w:szCs w:val="18"/>
                <w:highlight w:val="none"/>
              </w:rPr>
            </w:pPr>
            <w:r>
              <w:rPr>
                <w:rFonts w:hint="eastAsia" w:ascii="宋体" w:hAnsi="宋体"/>
                <w:color w:val="auto"/>
                <w:sz w:val="18"/>
                <w:szCs w:val="18"/>
                <w:highlight w:val="none"/>
              </w:rPr>
              <w:t>20≤X＜300</w:t>
            </w:r>
          </w:p>
        </w:tc>
        <w:tc>
          <w:tcPr>
            <w:tcW w:w="831" w:type="pct"/>
            <w:vAlign w:val="center"/>
          </w:tcPr>
          <w:p w14:paraId="66B894D6">
            <w:pPr>
              <w:jc w:val="center"/>
              <w:rPr>
                <w:rFonts w:ascii="宋体" w:hAnsi="宋体"/>
                <w:color w:val="auto"/>
                <w:sz w:val="18"/>
                <w:szCs w:val="18"/>
                <w:highlight w:val="none"/>
              </w:rPr>
            </w:pPr>
            <w:r>
              <w:rPr>
                <w:rFonts w:hint="eastAsia" w:ascii="宋体" w:hAnsi="宋体"/>
                <w:color w:val="auto"/>
                <w:sz w:val="18"/>
                <w:szCs w:val="18"/>
                <w:highlight w:val="none"/>
              </w:rPr>
              <w:t>X＜20</w:t>
            </w:r>
          </w:p>
        </w:tc>
      </w:tr>
      <w:tr w14:paraId="46AA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31878A9">
            <w:pPr>
              <w:jc w:val="center"/>
              <w:rPr>
                <w:rFonts w:ascii="宋体" w:hAnsi="宋体"/>
                <w:b/>
                <w:color w:val="auto"/>
                <w:sz w:val="18"/>
                <w:szCs w:val="18"/>
                <w:highlight w:val="none"/>
              </w:rPr>
            </w:pPr>
          </w:p>
        </w:tc>
        <w:tc>
          <w:tcPr>
            <w:tcW w:w="785" w:type="pct"/>
            <w:vAlign w:val="center"/>
          </w:tcPr>
          <w:p w14:paraId="5CD993A1">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22017616">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2D1BF85E">
            <w:pPr>
              <w:jc w:val="center"/>
              <w:rPr>
                <w:rFonts w:ascii="宋体" w:hAnsi="宋体"/>
                <w:color w:val="auto"/>
                <w:sz w:val="18"/>
                <w:szCs w:val="18"/>
                <w:highlight w:val="none"/>
              </w:rPr>
            </w:pPr>
            <w:r>
              <w:rPr>
                <w:rFonts w:hint="eastAsia" w:ascii="宋体" w:hAnsi="宋体"/>
                <w:color w:val="auto"/>
                <w:sz w:val="18"/>
                <w:szCs w:val="18"/>
                <w:highlight w:val="none"/>
              </w:rPr>
              <w:t>2000≤Y＜30000</w:t>
            </w:r>
          </w:p>
        </w:tc>
        <w:tc>
          <w:tcPr>
            <w:tcW w:w="834" w:type="pct"/>
            <w:vAlign w:val="center"/>
          </w:tcPr>
          <w:p w14:paraId="251407D7">
            <w:pPr>
              <w:jc w:val="center"/>
              <w:rPr>
                <w:rFonts w:ascii="宋体" w:hAnsi="宋体"/>
                <w:color w:val="auto"/>
                <w:sz w:val="18"/>
                <w:szCs w:val="18"/>
                <w:highlight w:val="none"/>
              </w:rPr>
            </w:pPr>
            <w:r>
              <w:rPr>
                <w:rFonts w:hint="eastAsia" w:ascii="宋体" w:hAnsi="宋体"/>
                <w:color w:val="auto"/>
                <w:sz w:val="18"/>
                <w:szCs w:val="18"/>
                <w:highlight w:val="none"/>
              </w:rPr>
              <w:t>100≤Y＜2000</w:t>
            </w:r>
          </w:p>
        </w:tc>
        <w:tc>
          <w:tcPr>
            <w:tcW w:w="831" w:type="pct"/>
            <w:vAlign w:val="center"/>
          </w:tcPr>
          <w:p w14:paraId="0C7D86D8">
            <w:pP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1243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0BD6B23">
            <w:pPr>
              <w:jc w:val="center"/>
              <w:rPr>
                <w:rFonts w:ascii="宋体" w:hAnsi="宋体"/>
                <w:b/>
                <w:color w:val="auto"/>
                <w:sz w:val="18"/>
                <w:szCs w:val="18"/>
                <w:highlight w:val="none"/>
              </w:rPr>
            </w:pPr>
            <w:r>
              <w:rPr>
                <w:rFonts w:hint="eastAsia" w:ascii="宋体" w:hAnsi="宋体"/>
                <w:b/>
                <w:color w:val="auto"/>
                <w:sz w:val="18"/>
                <w:szCs w:val="18"/>
                <w:highlight w:val="none"/>
              </w:rPr>
              <w:t>住宿业</w:t>
            </w:r>
          </w:p>
        </w:tc>
        <w:tc>
          <w:tcPr>
            <w:tcW w:w="785" w:type="pct"/>
            <w:vAlign w:val="center"/>
          </w:tcPr>
          <w:p w14:paraId="1DC3F083">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00EEA06B">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5D8CDFA4">
            <w:pP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4" w:type="pct"/>
            <w:vAlign w:val="center"/>
          </w:tcPr>
          <w:p w14:paraId="006C8E52">
            <w:pP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5F9C8268">
            <w:pP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4029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8565B54">
            <w:pPr>
              <w:jc w:val="center"/>
              <w:rPr>
                <w:rFonts w:ascii="宋体" w:hAnsi="宋体"/>
                <w:b/>
                <w:color w:val="auto"/>
                <w:sz w:val="18"/>
                <w:szCs w:val="18"/>
                <w:highlight w:val="none"/>
              </w:rPr>
            </w:pPr>
          </w:p>
        </w:tc>
        <w:tc>
          <w:tcPr>
            <w:tcW w:w="785" w:type="pct"/>
            <w:vAlign w:val="center"/>
          </w:tcPr>
          <w:p w14:paraId="33FA8A85">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2DA0E476">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10695C09">
            <w:pPr>
              <w:jc w:val="center"/>
              <w:rPr>
                <w:rFonts w:ascii="宋体" w:hAnsi="宋体"/>
                <w:color w:val="auto"/>
                <w:sz w:val="18"/>
                <w:szCs w:val="18"/>
                <w:highlight w:val="none"/>
              </w:rPr>
            </w:pPr>
            <w:r>
              <w:rPr>
                <w:rFonts w:hint="eastAsia" w:ascii="宋体" w:hAnsi="宋体"/>
                <w:color w:val="auto"/>
                <w:sz w:val="18"/>
                <w:szCs w:val="18"/>
                <w:highlight w:val="none"/>
              </w:rPr>
              <w:t>2000≤Y＜10000</w:t>
            </w:r>
          </w:p>
        </w:tc>
        <w:tc>
          <w:tcPr>
            <w:tcW w:w="834" w:type="pct"/>
            <w:vAlign w:val="center"/>
          </w:tcPr>
          <w:p w14:paraId="34FC7E97">
            <w:pPr>
              <w:jc w:val="center"/>
              <w:rPr>
                <w:rFonts w:ascii="宋体" w:hAnsi="宋体"/>
                <w:color w:val="auto"/>
                <w:sz w:val="18"/>
                <w:szCs w:val="18"/>
                <w:highlight w:val="none"/>
              </w:rPr>
            </w:pPr>
            <w:r>
              <w:rPr>
                <w:rFonts w:hint="eastAsia" w:ascii="宋体" w:hAnsi="宋体"/>
                <w:color w:val="auto"/>
                <w:sz w:val="18"/>
                <w:szCs w:val="18"/>
                <w:highlight w:val="none"/>
              </w:rPr>
              <w:t>100≤Y＜2000</w:t>
            </w:r>
          </w:p>
        </w:tc>
        <w:tc>
          <w:tcPr>
            <w:tcW w:w="831" w:type="pct"/>
            <w:vAlign w:val="center"/>
          </w:tcPr>
          <w:p w14:paraId="55913EF8">
            <w:pP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16C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81E3F26">
            <w:pPr>
              <w:jc w:val="center"/>
              <w:rPr>
                <w:rFonts w:ascii="宋体" w:hAnsi="宋体"/>
                <w:b/>
                <w:color w:val="auto"/>
                <w:sz w:val="18"/>
                <w:szCs w:val="18"/>
                <w:highlight w:val="none"/>
              </w:rPr>
            </w:pPr>
            <w:r>
              <w:rPr>
                <w:rFonts w:hint="eastAsia" w:ascii="宋体" w:hAnsi="宋体"/>
                <w:b/>
                <w:color w:val="auto"/>
                <w:sz w:val="18"/>
                <w:szCs w:val="18"/>
                <w:highlight w:val="none"/>
              </w:rPr>
              <w:t>餐饮业</w:t>
            </w:r>
          </w:p>
        </w:tc>
        <w:tc>
          <w:tcPr>
            <w:tcW w:w="785" w:type="pct"/>
            <w:vAlign w:val="center"/>
          </w:tcPr>
          <w:p w14:paraId="5B695A69">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73BE6487">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6A238EF1">
            <w:pP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4" w:type="pct"/>
            <w:vAlign w:val="center"/>
          </w:tcPr>
          <w:p w14:paraId="712FB626">
            <w:pP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4E6BC0A5">
            <w:pP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6068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E2D4C99">
            <w:pPr>
              <w:jc w:val="center"/>
              <w:rPr>
                <w:rFonts w:ascii="宋体" w:hAnsi="宋体"/>
                <w:b/>
                <w:color w:val="auto"/>
                <w:sz w:val="18"/>
                <w:szCs w:val="18"/>
                <w:highlight w:val="none"/>
              </w:rPr>
            </w:pPr>
          </w:p>
        </w:tc>
        <w:tc>
          <w:tcPr>
            <w:tcW w:w="785" w:type="pct"/>
            <w:vAlign w:val="center"/>
          </w:tcPr>
          <w:p w14:paraId="5AE075DA">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7016182A">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1AA9F9A6">
            <w:pPr>
              <w:jc w:val="center"/>
              <w:rPr>
                <w:rFonts w:ascii="宋体" w:hAnsi="宋体"/>
                <w:color w:val="auto"/>
                <w:sz w:val="18"/>
                <w:szCs w:val="18"/>
                <w:highlight w:val="none"/>
              </w:rPr>
            </w:pPr>
            <w:r>
              <w:rPr>
                <w:rFonts w:hint="eastAsia" w:ascii="宋体" w:hAnsi="宋体"/>
                <w:color w:val="auto"/>
                <w:sz w:val="18"/>
                <w:szCs w:val="18"/>
                <w:highlight w:val="none"/>
              </w:rPr>
              <w:t>2000≤Y＜10000</w:t>
            </w:r>
          </w:p>
        </w:tc>
        <w:tc>
          <w:tcPr>
            <w:tcW w:w="834" w:type="pct"/>
            <w:vAlign w:val="center"/>
          </w:tcPr>
          <w:p w14:paraId="05DB087C">
            <w:pPr>
              <w:jc w:val="center"/>
              <w:rPr>
                <w:rFonts w:ascii="宋体" w:hAnsi="宋体"/>
                <w:color w:val="auto"/>
                <w:sz w:val="18"/>
                <w:szCs w:val="18"/>
                <w:highlight w:val="none"/>
              </w:rPr>
            </w:pPr>
            <w:r>
              <w:rPr>
                <w:rFonts w:hint="eastAsia" w:ascii="宋体" w:hAnsi="宋体"/>
                <w:color w:val="auto"/>
                <w:sz w:val="18"/>
                <w:szCs w:val="18"/>
                <w:highlight w:val="none"/>
              </w:rPr>
              <w:t>100≤Y＜2000</w:t>
            </w:r>
          </w:p>
        </w:tc>
        <w:tc>
          <w:tcPr>
            <w:tcW w:w="831" w:type="pct"/>
            <w:vAlign w:val="center"/>
          </w:tcPr>
          <w:p w14:paraId="3EE132D9">
            <w:pP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0671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1F766B3">
            <w:pPr>
              <w:jc w:val="center"/>
              <w:rPr>
                <w:rFonts w:ascii="宋体" w:hAnsi="宋体"/>
                <w:b/>
                <w:color w:val="auto"/>
                <w:sz w:val="18"/>
                <w:szCs w:val="18"/>
                <w:highlight w:val="none"/>
              </w:rPr>
            </w:pPr>
            <w:r>
              <w:rPr>
                <w:rFonts w:hint="eastAsia" w:ascii="宋体" w:hAnsi="宋体"/>
                <w:b/>
                <w:color w:val="auto"/>
                <w:sz w:val="18"/>
                <w:szCs w:val="18"/>
                <w:highlight w:val="none"/>
              </w:rPr>
              <w:t>信息传输业</w:t>
            </w:r>
          </w:p>
        </w:tc>
        <w:tc>
          <w:tcPr>
            <w:tcW w:w="785" w:type="pct"/>
            <w:vAlign w:val="center"/>
          </w:tcPr>
          <w:p w14:paraId="2B2B9481">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41ECEA89">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38EE6329">
            <w:pPr>
              <w:jc w:val="center"/>
              <w:rPr>
                <w:rFonts w:ascii="宋体" w:hAnsi="宋体"/>
                <w:color w:val="auto"/>
                <w:sz w:val="18"/>
                <w:szCs w:val="18"/>
                <w:highlight w:val="none"/>
              </w:rPr>
            </w:pPr>
            <w:r>
              <w:rPr>
                <w:rFonts w:hint="eastAsia" w:ascii="宋体" w:hAnsi="宋体"/>
                <w:color w:val="auto"/>
                <w:sz w:val="18"/>
                <w:szCs w:val="18"/>
                <w:highlight w:val="none"/>
              </w:rPr>
              <w:t>100≤X＜2000</w:t>
            </w:r>
          </w:p>
        </w:tc>
        <w:tc>
          <w:tcPr>
            <w:tcW w:w="834" w:type="pct"/>
            <w:vAlign w:val="center"/>
          </w:tcPr>
          <w:p w14:paraId="2C5EEA1F">
            <w:pP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50487303">
            <w:pP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3C63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EC258D8">
            <w:pPr>
              <w:jc w:val="center"/>
              <w:rPr>
                <w:rFonts w:ascii="宋体" w:hAnsi="宋体"/>
                <w:b/>
                <w:color w:val="auto"/>
                <w:sz w:val="18"/>
                <w:szCs w:val="18"/>
                <w:highlight w:val="none"/>
              </w:rPr>
            </w:pPr>
          </w:p>
        </w:tc>
        <w:tc>
          <w:tcPr>
            <w:tcW w:w="785" w:type="pct"/>
            <w:vAlign w:val="center"/>
          </w:tcPr>
          <w:p w14:paraId="40D72AFD">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1999018E">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1DDD6FAB">
            <w:pPr>
              <w:jc w:val="center"/>
              <w:rPr>
                <w:rFonts w:ascii="宋体" w:hAnsi="宋体"/>
                <w:color w:val="auto"/>
                <w:sz w:val="18"/>
                <w:szCs w:val="18"/>
                <w:highlight w:val="none"/>
              </w:rPr>
            </w:pPr>
            <w:r>
              <w:rPr>
                <w:rFonts w:hint="eastAsia" w:ascii="宋体" w:hAnsi="宋体"/>
                <w:color w:val="auto"/>
                <w:sz w:val="18"/>
                <w:szCs w:val="18"/>
                <w:highlight w:val="none"/>
              </w:rPr>
              <w:t>1000≤Y＜100000</w:t>
            </w:r>
          </w:p>
        </w:tc>
        <w:tc>
          <w:tcPr>
            <w:tcW w:w="834" w:type="pct"/>
            <w:vAlign w:val="center"/>
          </w:tcPr>
          <w:p w14:paraId="5311A6BF">
            <w:pPr>
              <w:jc w:val="center"/>
              <w:rPr>
                <w:rFonts w:ascii="宋体" w:hAnsi="宋体"/>
                <w:color w:val="auto"/>
                <w:sz w:val="18"/>
                <w:szCs w:val="18"/>
                <w:highlight w:val="none"/>
              </w:rPr>
            </w:pPr>
            <w:r>
              <w:rPr>
                <w:rFonts w:hint="eastAsia" w:ascii="宋体" w:hAnsi="宋体"/>
                <w:color w:val="auto"/>
                <w:sz w:val="18"/>
                <w:szCs w:val="18"/>
                <w:highlight w:val="none"/>
              </w:rPr>
              <w:t>100≤Y＜1000</w:t>
            </w:r>
          </w:p>
        </w:tc>
        <w:tc>
          <w:tcPr>
            <w:tcW w:w="831" w:type="pct"/>
            <w:vAlign w:val="center"/>
          </w:tcPr>
          <w:p w14:paraId="6736CCFE">
            <w:pP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2CB2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260A4FE">
            <w:pPr>
              <w:jc w:val="center"/>
              <w:rPr>
                <w:rFonts w:ascii="宋体" w:hAnsi="宋体"/>
                <w:b/>
                <w:color w:val="auto"/>
                <w:sz w:val="18"/>
                <w:szCs w:val="18"/>
                <w:highlight w:val="none"/>
              </w:rPr>
            </w:pPr>
            <w:r>
              <w:rPr>
                <w:rFonts w:hint="eastAsia" w:ascii="宋体" w:hAnsi="宋体"/>
                <w:b/>
                <w:color w:val="auto"/>
                <w:sz w:val="18"/>
                <w:szCs w:val="18"/>
                <w:highlight w:val="none"/>
              </w:rPr>
              <w:t>软件和信息技术服务业</w:t>
            </w:r>
          </w:p>
        </w:tc>
        <w:tc>
          <w:tcPr>
            <w:tcW w:w="785" w:type="pct"/>
            <w:vAlign w:val="center"/>
          </w:tcPr>
          <w:p w14:paraId="10A68F59">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60D61276">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0F8F1D80">
            <w:pP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4" w:type="pct"/>
            <w:vAlign w:val="center"/>
          </w:tcPr>
          <w:p w14:paraId="006B68CF">
            <w:pP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33A06E3E">
            <w:pP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620E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842981B">
            <w:pPr>
              <w:jc w:val="center"/>
              <w:rPr>
                <w:rFonts w:ascii="宋体" w:hAnsi="宋体"/>
                <w:b/>
                <w:color w:val="auto"/>
                <w:sz w:val="18"/>
                <w:szCs w:val="18"/>
                <w:highlight w:val="none"/>
              </w:rPr>
            </w:pPr>
          </w:p>
        </w:tc>
        <w:tc>
          <w:tcPr>
            <w:tcW w:w="785" w:type="pct"/>
            <w:vAlign w:val="center"/>
          </w:tcPr>
          <w:p w14:paraId="3DD2113F">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3EEC8058">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12047D5F">
            <w:pPr>
              <w:jc w:val="center"/>
              <w:rPr>
                <w:rFonts w:ascii="宋体" w:hAnsi="宋体"/>
                <w:color w:val="auto"/>
                <w:sz w:val="18"/>
                <w:szCs w:val="18"/>
                <w:highlight w:val="none"/>
              </w:rPr>
            </w:pPr>
            <w:r>
              <w:rPr>
                <w:rFonts w:hint="eastAsia" w:ascii="宋体" w:hAnsi="宋体"/>
                <w:color w:val="auto"/>
                <w:sz w:val="18"/>
                <w:szCs w:val="18"/>
                <w:highlight w:val="none"/>
              </w:rPr>
              <w:t>1000≤Y＜10000</w:t>
            </w:r>
          </w:p>
        </w:tc>
        <w:tc>
          <w:tcPr>
            <w:tcW w:w="834" w:type="pct"/>
            <w:vAlign w:val="center"/>
          </w:tcPr>
          <w:p w14:paraId="514A7157">
            <w:pPr>
              <w:jc w:val="center"/>
              <w:rPr>
                <w:rFonts w:ascii="宋体" w:hAnsi="宋体"/>
                <w:color w:val="auto"/>
                <w:sz w:val="18"/>
                <w:szCs w:val="18"/>
                <w:highlight w:val="none"/>
              </w:rPr>
            </w:pPr>
            <w:r>
              <w:rPr>
                <w:rFonts w:hint="eastAsia" w:ascii="宋体" w:hAnsi="宋体"/>
                <w:color w:val="auto"/>
                <w:sz w:val="18"/>
                <w:szCs w:val="18"/>
                <w:highlight w:val="none"/>
              </w:rPr>
              <w:t>50≤Y＜1000</w:t>
            </w:r>
          </w:p>
        </w:tc>
        <w:tc>
          <w:tcPr>
            <w:tcW w:w="831" w:type="pct"/>
            <w:vAlign w:val="center"/>
          </w:tcPr>
          <w:p w14:paraId="2FEAE98D">
            <w:pPr>
              <w:jc w:val="center"/>
              <w:rPr>
                <w:rFonts w:ascii="宋体" w:hAnsi="宋体"/>
                <w:color w:val="auto"/>
                <w:sz w:val="18"/>
                <w:szCs w:val="18"/>
                <w:highlight w:val="none"/>
              </w:rPr>
            </w:pPr>
            <w:r>
              <w:rPr>
                <w:rFonts w:hint="eastAsia" w:ascii="宋体" w:hAnsi="宋体"/>
                <w:color w:val="auto"/>
                <w:sz w:val="18"/>
                <w:szCs w:val="18"/>
                <w:highlight w:val="none"/>
              </w:rPr>
              <w:t>Y＜50</w:t>
            </w:r>
          </w:p>
        </w:tc>
      </w:tr>
      <w:tr w14:paraId="6FEB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68F7270">
            <w:pPr>
              <w:jc w:val="center"/>
              <w:rPr>
                <w:rFonts w:ascii="宋体" w:hAnsi="宋体"/>
                <w:b/>
                <w:color w:val="auto"/>
                <w:sz w:val="18"/>
                <w:szCs w:val="18"/>
                <w:highlight w:val="none"/>
              </w:rPr>
            </w:pPr>
            <w:r>
              <w:rPr>
                <w:rFonts w:hint="eastAsia" w:ascii="宋体" w:hAnsi="宋体"/>
                <w:b/>
                <w:color w:val="auto"/>
                <w:sz w:val="18"/>
                <w:szCs w:val="18"/>
                <w:highlight w:val="none"/>
              </w:rPr>
              <w:t>房地产开发经营</w:t>
            </w:r>
          </w:p>
        </w:tc>
        <w:tc>
          <w:tcPr>
            <w:tcW w:w="785" w:type="pct"/>
            <w:vAlign w:val="center"/>
          </w:tcPr>
          <w:p w14:paraId="28262B2D">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5B5313D2">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1D2C3B27">
            <w:pPr>
              <w:jc w:val="center"/>
              <w:rPr>
                <w:rFonts w:ascii="宋体" w:hAnsi="宋体"/>
                <w:color w:val="auto"/>
                <w:sz w:val="18"/>
                <w:szCs w:val="18"/>
                <w:highlight w:val="none"/>
              </w:rPr>
            </w:pPr>
            <w:r>
              <w:rPr>
                <w:rFonts w:hint="eastAsia" w:ascii="宋体" w:hAnsi="宋体"/>
                <w:color w:val="auto"/>
                <w:sz w:val="18"/>
                <w:szCs w:val="18"/>
                <w:highlight w:val="none"/>
              </w:rPr>
              <w:t>1000≤Y＜200000</w:t>
            </w:r>
          </w:p>
        </w:tc>
        <w:tc>
          <w:tcPr>
            <w:tcW w:w="834" w:type="pct"/>
            <w:vAlign w:val="center"/>
          </w:tcPr>
          <w:p w14:paraId="44E6152B">
            <w:pPr>
              <w:jc w:val="center"/>
              <w:rPr>
                <w:rFonts w:ascii="宋体" w:hAnsi="宋体"/>
                <w:color w:val="auto"/>
                <w:sz w:val="18"/>
                <w:szCs w:val="18"/>
                <w:highlight w:val="none"/>
              </w:rPr>
            </w:pPr>
            <w:r>
              <w:rPr>
                <w:rFonts w:hint="eastAsia" w:ascii="宋体" w:hAnsi="宋体"/>
                <w:color w:val="auto"/>
                <w:sz w:val="18"/>
                <w:szCs w:val="18"/>
                <w:highlight w:val="none"/>
              </w:rPr>
              <w:t>100≤X＜1000</w:t>
            </w:r>
          </w:p>
        </w:tc>
        <w:tc>
          <w:tcPr>
            <w:tcW w:w="831" w:type="pct"/>
            <w:vAlign w:val="center"/>
          </w:tcPr>
          <w:p w14:paraId="49C6EFD5">
            <w:pPr>
              <w:jc w:val="center"/>
              <w:rPr>
                <w:rFonts w:ascii="宋体" w:hAnsi="宋体"/>
                <w:color w:val="auto"/>
                <w:sz w:val="18"/>
                <w:szCs w:val="18"/>
                <w:highlight w:val="none"/>
              </w:rPr>
            </w:pPr>
            <w:r>
              <w:rPr>
                <w:rFonts w:hint="eastAsia" w:ascii="宋体" w:hAnsi="宋体"/>
                <w:color w:val="auto"/>
                <w:sz w:val="18"/>
                <w:szCs w:val="18"/>
                <w:highlight w:val="none"/>
              </w:rPr>
              <w:t>X＜100</w:t>
            </w:r>
          </w:p>
        </w:tc>
      </w:tr>
      <w:tr w14:paraId="03C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C01F09A">
            <w:pPr>
              <w:jc w:val="center"/>
              <w:rPr>
                <w:rFonts w:ascii="宋体" w:hAnsi="宋体"/>
                <w:b/>
                <w:color w:val="auto"/>
                <w:sz w:val="18"/>
                <w:szCs w:val="18"/>
                <w:highlight w:val="none"/>
              </w:rPr>
            </w:pPr>
          </w:p>
        </w:tc>
        <w:tc>
          <w:tcPr>
            <w:tcW w:w="785" w:type="pct"/>
            <w:vAlign w:val="center"/>
          </w:tcPr>
          <w:p w14:paraId="3178232E">
            <w:pPr>
              <w:jc w:val="center"/>
              <w:rPr>
                <w:rFonts w:ascii="宋体" w:hAnsi="宋体"/>
                <w:color w:val="auto"/>
                <w:sz w:val="18"/>
                <w:szCs w:val="18"/>
                <w:highlight w:val="none"/>
              </w:rPr>
            </w:pPr>
            <w:r>
              <w:rPr>
                <w:rFonts w:hint="eastAsia" w:ascii="宋体" w:hAnsi="宋体"/>
                <w:color w:val="auto"/>
                <w:sz w:val="18"/>
                <w:szCs w:val="18"/>
                <w:highlight w:val="none"/>
              </w:rPr>
              <w:t>资产总额（Z）</w:t>
            </w:r>
          </w:p>
        </w:tc>
        <w:tc>
          <w:tcPr>
            <w:tcW w:w="834" w:type="pct"/>
            <w:vAlign w:val="center"/>
          </w:tcPr>
          <w:p w14:paraId="68EA7061">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4E61CD2">
            <w:pPr>
              <w:jc w:val="center"/>
              <w:rPr>
                <w:rFonts w:ascii="宋体" w:hAnsi="宋体"/>
                <w:color w:val="auto"/>
                <w:sz w:val="18"/>
                <w:szCs w:val="18"/>
                <w:highlight w:val="none"/>
              </w:rPr>
            </w:pPr>
            <w:r>
              <w:rPr>
                <w:rFonts w:hint="eastAsia" w:ascii="宋体" w:hAnsi="宋体"/>
                <w:color w:val="auto"/>
                <w:sz w:val="18"/>
                <w:szCs w:val="18"/>
                <w:highlight w:val="none"/>
              </w:rPr>
              <w:t>5000≤Z＜10000</w:t>
            </w:r>
          </w:p>
        </w:tc>
        <w:tc>
          <w:tcPr>
            <w:tcW w:w="834" w:type="pct"/>
            <w:vAlign w:val="center"/>
          </w:tcPr>
          <w:p w14:paraId="0AEC6721">
            <w:pPr>
              <w:jc w:val="center"/>
              <w:rPr>
                <w:rFonts w:ascii="宋体" w:hAnsi="宋体"/>
                <w:color w:val="auto"/>
                <w:sz w:val="18"/>
                <w:szCs w:val="18"/>
                <w:highlight w:val="none"/>
              </w:rPr>
            </w:pPr>
            <w:r>
              <w:rPr>
                <w:rFonts w:hint="eastAsia" w:ascii="宋体" w:hAnsi="宋体"/>
                <w:color w:val="auto"/>
                <w:sz w:val="18"/>
                <w:szCs w:val="18"/>
                <w:highlight w:val="none"/>
              </w:rPr>
              <w:t>2000≤Y＜5000</w:t>
            </w:r>
          </w:p>
        </w:tc>
        <w:tc>
          <w:tcPr>
            <w:tcW w:w="831" w:type="pct"/>
            <w:vAlign w:val="center"/>
          </w:tcPr>
          <w:p w14:paraId="2A3D115D">
            <w:pPr>
              <w:jc w:val="center"/>
              <w:rPr>
                <w:rFonts w:ascii="宋体" w:hAnsi="宋体"/>
                <w:color w:val="auto"/>
                <w:sz w:val="18"/>
                <w:szCs w:val="18"/>
                <w:highlight w:val="none"/>
              </w:rPr>
            </w:pPr>
            <w:r>
              <w:rPr>
                <w:rFonts w:hint="eastAsia" w:ascii="宋体" w:hAnsi="宋体"/>
                <w:color w:val="auto"/>
                <w:sz w:val="18"/>
                <w:szCs w:val="18"/>
                <w:highlight w:val="none"/>
              </w:rPr>
              <w:t>Y＜2000</w:t>
            </w:r>
          </w:p>
        </w:tc>
      </w:tr>
      <w:tr w14:paraId="279D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5C044BFE">
            <w:pPr>
              <w:jc w:val="center"/>
              <w:rPr>
                <w:rFonts w:ascii="宋体" w:hAnsi="宋体"/>
                <w:b/>
                <w:color w:val="auto"/>
                <w:sz w:val="18"/>
                <w:szCs w:val="18"/>
                <w:highlight w:val="none"/>
              </w:rPr>
            </w:pPr>
            <w:r>
              <w:rPr>
                <w:rFonts w:hint="eastAsia" w:ascii="宋体" w:hAnsi="宋体"/>
                <w:b/>
                <w:color w:val="auto"/>
                <w:sz w:val="18"/>
                <w:szCs w:val="18"/>
                <w:highlight w:val="none"/>
              </w:rPr>
              <w:t>物业管理</w:t>
            </w:r>
          </w:p>
        </w:tc>
        <w:tc>
          <w:tcPr>
            <w:tcW w:w="785" w:type="pct"/>
            <w:vAlign w:val="center"/>
          </w:tcPr>
          <w:p w14:paraId="2BE4485C">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6FB8B947">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1CA8BA0D">
            <w:pPr>
              <w:jc w:val="center"/>
              <w:rPr>
                <w:rFonts w:ascii="宋体" w:hAnsi="宋体"/>
                <w:color w:val="auto"/>
                <w:sz w:val="18"/>
                <w:szCs w:val="18"/>
                <w:highlight w:val="none"/>
              </w:rPr>
            </w:pPr>
            <w:r>
              <w:rPr>
                <w:rFonts w:hint="eastAsia" w:ascii="宋体" w:hAnsi="宋体"/>
                <w:color w:val="auto"/>
                <w:sz w:val="18"/>
                <w:szCs w:val="18"/>
                <w:highlight w:val="none"/>
              </w:rPr>
              <w:t>300≤X＜1000</w:t>
            </w:r>
          </w:p>
        </w:tc>
        <w:tc>
          <w:tcPr>
            <w:tcW w:w="834" w:type="pct"/>
            <w:vAlign w:val="center"/>
          </w:tcPr>
          <w:p w14:paraId="0FF655E0">
            <w:pP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1" w:type="pct"/>
            <w:vAlign w:val="center"/>
          </w:tcPr>
          <w:p w14:paraId="78491AFC">
            <w:pPr>
              <w:jc w:val="center"/>
              <w:rPr>
                <w:rFonts w:ascii="宋体" w:hAnsi="宋体"/>
                <w:color w:val="auto"/>
                <w:sz w:val="18"/>
                <w:szCs w:val="18"/>
                <w:highlight w:val="none"/>
              </w:rPr>
            </w:pPr>
            <w:r>
              <w:rPr>
                <w:rFonts w:hint="eastAsia" w:ascii="宋体" w:hAnsi="宋体"/>
                <w:color w:val="auto"/>
                <w:sz w:val="18"/>
                <w:szCs w:val="18"/>
                <w:highlight w:val="none"/>
              </w:rPr>
              <w:t>X＜100</w:t>
            </w:r>
          </w:p>
        </w:tc>
      </w:tr>
      <w:tr w14:paraId="093C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1F93CF7">
            <w:pPr>
              <w:jc w:val="center"/>
              <w:rPr>
                <w:rFonts w:ascii="宋体" w:hAnsi="宋体"/>
                <w:b/>
                <w:color w:val="auto"/>
                <w:sz w:val="18"/>
                <w:szCs w:val="18"/>
                <w:highlight w:val="none"/>
              </w:rPr>
            </w:pPr>
          </w:p>
        </w:tc>
        <w:tc>
          <w:tcPr>
            <w:tcW w:w="785" w:type="pct"/>
            <w:vAlign w:val="center"/>
          </w:tcPr>
          <w:p w14:paraId="61A4BB53">
            <w:pP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07B35910">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66C8299">
            <w:pPr>
              <w:jc w:val="center"/>
              <w:rPr>
                <w:rFonts w:ascii="宋体" w:hAnsi="宋体"/>
                <w:color w:val="auto"/>
                <w:sz w:val="18"/>
                <w:szCs w:val="18"/>
                <w:highlight w:val="none"/>
              </w:rPr>
            </w:pPr>
            <w:r>
              <w:rPr>
                <w:rFonts w:hint="eastAsia" w:ascii="宋体" w:hAnsi="宋体"/>
                <w:color w:val="auto"/>
                <w:sz w:val="18"/>
                <w:szCs w:val="18"/>
                <w:highlight w:val="none"/>
              </w:rPr>
              <w:t>1000≤Y＜5000</w:t>
            </w:r>
          </w:p>
        </w:tc>
        <w:tc>
          <w:tcPr>
            <w:tcW w:w="834" w:type="pct"/>
            <w:vAlign w:val="center"/>
          </w:tcPr>
          <w:p w14:paraId="0BDADB83">
            <w:pPr>
              <w:jc w:val="center"/>
              <w:rPr>
                <w:rFonts w:ascii="宋体" w:hAnsi="宋体"/>
                <w:color w:val="auto"/>
                <w:sz w:val="18"/>
                <w:szCs w:val="18"/>
                <w:highlight w:val="none"/>
              </w:rPr>
            </w:pPr>
            <w:r>
              <w:rPr>
                <w:rFonts w:hint="eastAsia" w:ascii="宋体" w:hAnsi="宋体"/>
                <w:color w:val="auto"/>
                <w:sz w:val="18"/>
                <w:szCs w:val="18"/>
                <w:highlight w:val="none"/>
              </w:rPr>
              <w:t>500≤Y＜1000</w:t>
            </w:r>
          </w:p>
        </w:tc>
        <w:tc>
          <w:tcPr>
            <w:tcW w:w="831" w:type="pct"/>
            <w:vAlign w:val="center"/>
          </w:tcPr>
          <w:p w14:paraId="6623DF58">
            <w:pPr>
              <w:jc w:val="center"/>
              <w:rPr>
                <w:rFonts w:ascii="宋体" w:hAnsi="宋体"/>
                <w:color w:val="auto"/>
                <w:sz w:val="18"/>
                <w:szCs w:val="18"/>
                <w:highlight w:val="none"/>
              </w:rPr>
            </w:pPr>
            <w:r>
              <w:rPr>
                <w:rFonts w:hint="eastAsia" w:ascii="宋体" w:hAnsi="宋体"/>
                <w:color w:val="auto"/>
                <w:sz w:val="18"/>
                <w:szCs w:val="18"/>
                <w:highlight w:val="none"/>
              </w:rPr>
              <w:t>Y＜500</w:t>
            </w:r>
          </w:p>
        </w:tc>
      </w:tr>
      <w:tr w14:paraId="3B5E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1BE1C1C">
            <w:pPr>
              <w:jc w:val="center"/>
              <w:rPr>
                <w:rFonts w:ascii="宋体" w:hAnsi="宋体"/>
                <w:b/>
                <w:color w:val="auto"/>
                <w:sz w:val="18"/>
                <w:szCs w:val="18"/>
                <w:highlight w:val="none"/>
              </w:rPr>
            </w:pPr>
            <w:r>
              <w:rPr>
                <w:rFonts w:hint="eastAsia" w:ascii="宋体" w:hAnsi="宋体"/>
                <w:b/>
                <w:color w:val="auto"/>
                <w:sz w:val="18"/>
                <w:szCs w:val="18"/>
                <w:highlight w:val="none"/>
              </w:rPr>
              <w:t>租赁和商务服务业</w:t>
            </w:r>
          </w:p>
        </w:tc>
        <w:tc>
          <w:tcPr>
            <w:tcW w:w="785" w:type="pct"/>
            <w:vAlign w:val="center"/>
          </w:tcPr>
          <w:p w14:paraId="55493B28">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756F5754">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4B761DA3">
            <w:pP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4" w:type="pct"/>
            <w:vAlign w:val="center"/>
          </w:tcPr>
          <w:p w14:paraId="0D5BD441">
            <w:pP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16EA7385">
            <w:pP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16F0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FBEC73B">
            <w:pPr>
              <w:jc w:val="center"/>
              <w:rPr>
                <w:rFonts w:ascii="宋体" w:hAnsi="宋体"/>
                <w:b/>
                <w:color w:val="auto"/>
                <w:sz w:val="18"/>
                <w:szCs w:val="18"/>
                <w:highlight w:val="none"/>
              </w:rPr>
            </w:pPr>
          </w:p>
        </w:tc>
        <w:tc>
          <w:tcPr>
            <w:tcW w:w="785" w:type="pct"/>
            <w:vAlign w:val="center"/>
          </w:tcPr>
          <w:p w14:paraId="44EDE8CB">
            <w:pPr>
              <w:jc w:val="center"/>
              <w:rPr>
                <w:rFonts w:ascii="宋体" w:hAnsi="宋体"/>
                <w:color w:val="auto"/>
                <w:sz w:val="18"/>
                <w:szCs w:val="18"/>
                <w:highlight w:val="none"/>
              </w:rPr>
            </w:pPr>
            <w:r>
              <w:rPr>
                <w:rFonts w:hint="eastAsia" w:ascii="宋体" w:hAnsi="宋体"/>
                <w:color w:val="auto"/>
                <w:sz w:val="18"/>
                <w:szCs w:val="18"/>
                <w:highlight w:val="none"/>
              </w:rPr>
              <w:t>资产总额（Z）</w:t>
            </w:r>
          </w:p>
        </w:tc>
        <w:tc>
          <w:tcPr>
            <w:tcW w:w="834" w:type="pct"/>
            <w:vAlign w:val="center"/>
          </w:tcPr>
          <w:p w14:paraId="76087CB9">
            <w:pP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3EA5C243">
            <w:pPr>
              <w:jc w:val="center"/>
              <w:rPr>
                <w:rFonts w:ascii="宋体" w:hAnsi="宋体"/>
                <w:color w:val="auto"/>
                <w:sz w:val="18"/>
                <w:szCs w:val="18"/>
                <w:highlight w:val="none"/>
              </w:rPr>
            </w:pPr>
            <w:r>
              <w:rPr>
                <w:rFonts w:hint="eastAsia" w:ascii="宋体" w:hAnsi="宋体"/>
                <w:color w:val="auto"/>
                <w:sz w:val="18"/>
                <w:szCs w:val="18"/>
                <w:highlight w:val="none"/>
              </w:rPr>
              <w:t>8000≤Z＜120000</w:t>
            </w:r>
          </w:p>
        </w:tc>
        <w:tc>
          <w:tcPr>
            <w:tcW w:w="834" w:type="pct"/>
            <w:vAlign w:val="center"/>
          </w:tcPr>
          <w:p w14:paraId="781A6452">
            <w:pPr>
              <w:jc w:val="center"/>
              <w:rPr>
                <w:rFonts w:ascii="宋体" w:hAnsi="宋体"/>
                <w:color w:val="auto"/>
                <w:sz w:val="18"/>
                <w:szCs w:val="18"/>
                <w:highlight w:val="none"/>
              </w:rPr>
            </w:pPr>
            <w:r>
              <w:rPr>
                <w:rFonts w:hint="eastAsia" w:ascii="宋体" w:hAnsi="宋体"/>
                <w:color w:val="auto"/>
                <w:sz w:val="18"/>
                <w:szCs w:val="18"/>
                <w:highlight w:val="none"/>
              </w:rPr>
              <w:t>100≤Z＜8000</w:t>
            </w:r>
          </w:p>
        </w:tc>
        <w:tc>
          <w:tcPr>
            <w:tcW w:w="831" w:type="pct"/>
            <w:vAlign w:val="center"/>
          </w:tcPr>
          <w:p w14:paraId="278791C8">
            <w:pP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63CB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1EA0B321">
            <w:pPr>
              <w:jc w:val="center"/>
              <w:rPr>
                <w:rFonts w:ascii="宋体" w:hAnsi="宋体"/>
                <w:b/>
                <w:color w:val="auto"/>
                <w:sz w:val="18"/>
                <w:szCs w:val="18"/>
                <w:highlight w:val="none"/>
              </w:rPr>
            </w:pPr>
            <w:r>
              <w:rPr>
                <w:rFonts w:hint="eastAsia" w:ascii="宋体" w:hAnsi="宋体"/>
                <w:b/>
                <w:color w:val="auto"/>
                <w:sz w:val="18"/>
                <w:szCs w:val="18"/>
                <w:highlight w:val="none"/>
              </w:rPr>
              <w:t>其他未列明行业</w:t>
            </w:r>
          </w:p>
        </w:tc>
        <w:tc>
          <w:tcPr>
            <w:tcW w:w="785" w:type="pct"/>
            <w:vAlign w:val="center"/>
          </w:tcPr>
          <w:p w14:paraId="1604B083">
            <w:pP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4CF45BEB">
            <w:pP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55772767">
            <w:pP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4" w:type="pct"/>
            <w:vAlign w:val="center"/>
          </w:tcPr>
          <w:p w14:paraId="572F7CDF">
            <w:pP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53D66AC6">
            <w:pPr>
              <w:jc w:val="center"/>
              <w:rPr>
                <w:rFonts w:ascii="宋体" w:hAnsi="宋体"/>
                <w:color w:val="auto"/>
                <w:sz w:val="18"/>
                <w:szCs w:val="18"/>
                <w:highlight w:val="none"/>
              </w:rPr>
            </w:pPr>
            <w:r>
              <w:rPr>
                <w:rFonts w:hint="eastAsia" w:ascii="宋体" w:hAnsi="宋体"/>
                <w:color w:val="auto"/>
                <w:sz w:val="18"/>
                <w:szCs w:val="18"/>
                <w:highlight w:val="none"/>
              </w:rPr>
              <w:t>X＜10</w:t>
            </w:r>
          </w:p>
        </w:tc>
      </w:tr>
    </w:tbl>
    <w:p w14:paraId="029C1836">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9598604">
      <w:pPr>
        <w:pStyle w:val="2"/>
        <w:jc w:val="center"/>
        <w:rPr>
          <w:rFonts w:ascii="宋体" w:hAnsi="宋体" w:eastAsia="宋体"/>
          <w:color w:val="auto"/>
          <w:highlight w:val="none"/>
        </w:rPr>
        <w:sectPr>
          <w:pgSz w:w="11906" w:h="16838"/>
          <w:pgMar w:top="1134" w:right="1134" w:bottom="1134" w:left="1134" w:header="851" w:footer="992" w:gutter="0"/>
          <w:cols w:space="425" w:num="1"/>
          <w:docGrid w:type="lines" w:linePitch="312" w:charSpace="0"/>
        </w:sectPr>
      </w:pPr>
    </w:p>
    <w:p w14:paraId="3A771C5A">
      <w:pPr>
        <w:pStyle w:val="2"/>
        <w:jc w:val="center"/>
        <w:rPr>
          <w:rFonts w:ascii="宋体" w:hAnsi="宋体" w:eastAsia="宋体"/>
          <w:color w:val="auto"/>
          <w:highlight w:val="none"/>
        </w:rPr>
      </w:pPr>
      <w:bookmarkStart w:id="17" w:name="_Toc197530112"/>
      <w:r>
        <w:rPr>
          <w:rFonts w:hint="eastAsia" w:ascii="宋体" w:hAnsi="宋体" w:eastAsia="宋体"/>
          <w:color w:val="auto"/>
          <w:highlight w:val="none"/>
        </w:rPr>
        <w:t>第四</w:t>
      </w:r>
      <w:r>
        <w:rPr>
          <w:rFonts w:hint="eastAsia" w:ascii="宋体" w:hAnsi="宋体" w:eastAsia="宋体"/>
          <w:color w:val="auto"/>
          <w:spacing w:val="100"/>
          <w:highlight w:val="none"/>
        </w:rPr>
        <w:t>章</w:t>
      </w:r>
      <w:r>
        <w:rPr>
          <w:rFonts w:hint="eastAsia" w:ascii="宋体" w:hAnsi="宋体" w:eastAsia="宋体"/>
          <w:color w:val="auto"/>
          <w:highlight w:val="none"/>
        </w:rPr>
        <w:t>评审程序、评审方法和评审标准</w:t>
      </w:r>
      <w:bookmarkEnd w:id="17"/>
    </w:p>
    <w:p w14:paraId="06876B76">
      <w:pPr>
        <w:pStyle w:val="3"/>
        <w:jc w:val="center"/>
        <w:rPr>
          <w:color w:val="auto"/>
          <w:highlight w:val="none"/>
        </w:rPr>
      </w:pPr>
      <w:bookmarkStart w:id="18" w:name="_Toc197530113"/>
      <w:r>
        <w:rPr>
          <w:rFonts w:hint="eastAsia"/>
          <w:color w:val="auto"/>
          <w:highlight w:val="none"/>
        </w:rPr>
        <w:t>一、评审程序和评审方法</w:t>
      </w:r>
      <w:bookmarkEnd w:id="18"/>
    </w:p>
    <w:p w14:paraId="14323B4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1.资格审查</w:t>
      </w:r>
    </w:p>
    <w:p w14:paraId="6618C9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1.1响应文件开启后，磋商小组依法对供应商的资格证明文件进行审查。</w:t>
      </w:r>
    </w:p>
    <w:p w14:paraId="5FE851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注：磋商小组在资格审查结束前，对供应商进行信用查询。</w:t>
      </w:r>
    </w:p>
    <w:p w14:paraId="6E97E1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（1）查询渠道：广西政府采购云平台“信用中国”网站（www.creditchina.gov.cn）、中国政府采购网（www.ccgp.gov.cn）链接入口。</w:t>
      </w:r>
    </w:p>
    <w:p w14:paraId="53C1EAA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（2）信用查询截止时点：资格审查结束前。</w:t>
      </w:r>
    </w:p>
    <w:p w14:paraId="5153E83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（3）查询记录和证据留存方式：在查询网站中直接查询，截图另存为电子文档作为评审资料保存。</w:t>
      </w:r>
    </w:p>
    <w:p w14:paraId="42F582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eastAsia="宋体"/>
          <w:color w:val="auto"/>
          <w:szCs w:val="21"/>
          <w:highlight w:val="none"/>
          <w:lang w:eastAsia="zh-CN"/>
        </w:rPr>
        <w:t>本项目（</w:t>
      </w:r>
      <w:r>
        <w:rPr>
          <w:rFonts w:hint="eastAsia" w:ascii="宋体" w:hAnsi="宋体"/>
          <w:color w:val="auto"/>
          <w:szCs w:val="21"/>
          <w:highlight w:val="none"/>
          <w:lang w:eastAsia="zh-CN"/>
        </w:rPr>
        <w:t>☑</w:t>
      </w:r>
      <w:r>
        <w:rPr>
          <w:rFonts w:hint="eastAsia" w:ascii="宋体" w:hAnsi="宋体" w:eastAsia="宋体"/>
          <w:color w:val="auto"/>
          <w:szCs w:val="21"/>
          <w:highlight w:val="none"/>
          <w:lang w:eastAsia="zh-CN"/>
        </w:rPr>
        <w:t>不接受</w:t>
      </w:r>
      <w:r>
        <w:rPr>
          <w:rFonts w:hint="eastAsia" w:ascii="宋体" w:hAnsi="宋体"/>
          <w:color w:val="auto"/>
          <w:szCs w:val="21"/>
          <w:highlight w:val="none"/>
          <w:lang w:eastAsia="zh-CN"/>
        </w:rPr>
        <w:t>□接受）</w:t>
      </w:r>
      <w:r>
        <w:rPr>
          <w:rFonts w:hint="eastAsia" w:ascii="宋体" w:hAnsi="宋体" w:eastAsia="宋体"/>
          <w:color w:val="auto"/>
          <w:szCs w:val="21"/>
          <w:highlight w:val="none"/>
          <w:lang w:eastAsia="zh-CN"/>
        </w:rPr>
        <w:t>联合体投标；</w:t>
      </w:r>
      <w:r>
        <w:rPr>
          <w:rFonts w:hint="eastAsia" w:ascii="宋体" w:hAnsi="宋体"/>
          <w:color w:val="auto"/>
          <w:szCs w:val="21"/>
          <w:highlight w:val="none"/>
          <w:lang w:eastAsia="zh-CN"/>
        </w:rPr>
        <w:t>接受联合体投标时，</w:t>
      </w:r>
      <w:r>
        <w:rPr>
          <w:rFonts w:hint="eastAsia" w:ascii="宋体" w:hAnsi="宋体" w:eastAsia="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eastAsia="宋体"/>
          <w:color w:val="auto"/>
          <w:szCs w:val="21"/>
          <w:highlight w:val="none"/>
        </w:rPr>
        <w:t>。</w:t>
      </w:r>
    </w:p>
    <w:p w14:paraId="64D0CE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1.2资格审查标准为本磋商文件中载明对供应商资格要求的条件。资格审查采用合格制，凡符合磋商文件规定的供应商资格要求的响应文件均通过资格审查。</w:t>
      </w:r>
    </w:p>
    <w:p w14:paraId="3994078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1.3供应商有下列情形之一的，资格审查不通过，其响应文件按无效处理：</w:t>
      </w:r>
    </w:p>
    <w:p w14:paraId="7EF278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（1）不具备磋商文件中规定的资格要求的；</w:t>
      </w:r>
    </w:p>
    <w:p w14:paraId="3713FC3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（2）未按磋商文件规定的方式获取本磋商文件的；</w:t>
      </w:r>
    </w:p>
    <w:p w14:paraId="14C0D2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（3）响应文件的资格证明文件缺少任一项“供应商须知前附表”资格证明文件规定的“必须提供”的文件资料的；</w:t>
      </w:r>
    </w:p>
    <w:p w14:paraId="4464F5F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（4）响应文件中的资格证明文件出现任一项不符合“供应商须知前附表”资格证明文件规定的“必须提供”的文件资料要求或者无效的；</w:t>
      </w:r>
    </w:p>
    <w:p w14:paraId="703CF49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6D8072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1.4通过资格审查的合格供应商不足3家的，不得进入符合性审查环节，应当重新开展采购活动。</w:t>
      </w:r>
    </w:p>
    <w:p w14:paraId="73BCB35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2.符合性审查</w:t>
      </w:r>
    </w:p>
    <w:p w14:paraId="2939C0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2.1磋商小组对通过资格审查的合格供应商的响应文件的竞争性磋商报价、商务、技术等实质性要求进行符合性审查，以确定其是否满足磋商文件的实质性要求。</w:t>
      </w:r>
    </w:p>
    <w:p w14:paraId="278CF85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1F5A6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5BDCCC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408B3C5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2.4首次响应文件报价出现前后不一致的，按照下列规定修正：</w:t>
      </w:r>
    </w:p>
    <w:p w14:paraId="3896F11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（1）响应文件中报价表内容与响应文件中相应内容不一致的，以报价表为准；</w:t>
      </w:r>
    </w:p>
    <w:p w14:paraId="11AB88C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（2）大写金额和小写金额不一致的，以大写金额为准；</w:t>
      </w:r>
    </w:p>
    <w:p w14:paraId="7CABCF9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（3）单价金额小数点或者百分比有明显错位的，以报价表的总价为准，并修改单价；</w:t>
      </w:r>
    </w:p>
    <w:p w14:paraId="66482A7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（4）总价金额与按单价汇总金额不一致的，以单价金额计算结果为准。</w:t>
      </w:r>
    </w:p>
    <w:p w14:paraId="799160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同时出现两种以上不一致的，按照以上（1）-（4）规定的顺序逐条进行修正。修正后的报价经供应商确认后产生约束力，供应商不确认的，其响应文件按无效处理。</w:t>
      </w:r>
    </w:p>
    <w:p w14:paraId="591D0B9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2.5商务技术报价评审</w:t>
      </w:r>
    </w:p>
    <w:p w14:paraId="4A5251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在评审时，如发现下列情形之一的，将被视为响应文件无效处理：</w:t>
      </w:r>
    </w:p>
    <w:p w14:paraId="531A38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（1）商务技术评审</w:t>
      </w:r>
    </w:p>
    <w:p w14:paraId="2FE875C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1）响应文件未按磋商文件要求签署、盖章的；</w:t>
      </w:r>
    </w:p>
    <w:p w14:paraId="03FC003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2）委托代理人未能出具有效身份证或者出具的身份证与授权委托书中的信息不符的；</w:t>
      </w:r>
    </w:p>
    <w:p w14:paraId="75A0B6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3）缴纳的磋商保证金无效的或者未按照磋商文件的规定缴纳磋商保证金的；</w:t>
      </w:r>
    </w:p>
    <w:p w14:paraId="318E4C9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3B1C38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5）商务要求允许负偏离的条款数超过“供应商须知前附表”规定项数的；</w:t>
      </w:r>
    </w:p>
    <w:p w14:paraId="44B47B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6）未对竞争性磋商有效期作出响应或者响应文件承诺的竞争性磋商有效期不满足磋商文件要求的；</w:t>
      </w:r>
    </w:p>
    <w:p w14:paraId="5AF8C4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7）响应文件的实质性内容未使用中文表述、使用计量单位不符合磋商文件要求的；</w:t>
      </w:r>
    </w:p>
    <w:p w14:paraId="149F241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8）响应文件中的文件资料因填写不齐全或者内容虚假或者出现其他情形而导致被磋商小组认定无效的；</w:t>
      </w:r>
    </w:p>
    <w:p w14:paraId="3837E2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9）响应文件含有采购人不能接受的附加条件的；</w:t>
      </w:r>
    </w:p>
    <w:p w14:paraId="52F209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10）属于“供应商须知正文”第7.5条供应商相互串通参加竞争性磋商情形的；</w:t>
      </w:r>
    </w:p>
    <w:p w14:paraId="2A5415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11）技术要求允许负偏离的条款数超过“供应商须知前附表”规定项数的；</w:t>
      </w:r>
    </w:p>
    <w:p w14:paraId="76D5D7E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12）虚假竞争性磋商，或者出现其他情形而导致被磋商小组认定无效的；</w:t>
      </w:r>
    </w:p>
    <w:p w14:paraId="04C999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13）磋商文件未载明允许提供备选（替代）竞争性磋商方案或明确不允许提供备选（替代）竞争性磋商方案时，供应商提供了备选（替代）竞争性磋商方案的；</w:t>
      </w:r>
    </w:p>
    <w:p w14:paraId="4516A8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14）响应文件标注的项目名称或者项目编号与磋商文件标注的项目名称或者项目编号不一致的；</w:t>
      </w:r>
    </w:p>
    <w:p w14:paraId="114CE9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15）竞争性磋商文件明确不允许分包，响应文件拟分包的；</w:t>
      </w:r>
    </w:p>
    <w:p w14:paraId="4EA71A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16）未响应磋商文件实质性要求的；</w:t>
      </w:r>
    </w:p>
    <w:p w14:paraId="7BB3B7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17）法律、法规和磋商文件规定的其他无效情形。</w:t>
      </w:r>
    </w:p>
    <w:p w14:paraId="389BF5C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（2）报价评审</w:t>
      </w:r>
    </w:p>
    <w:p w14:paraId="52305E0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1）响应文件未提供“供应商须知前附表”报价文件中规定的“竞争性磋商报价表”；</w:t>
      </w:r>
    </w:p>
    <w:p w14:paraId="24934B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2）未采用人民币报价或者未按照磋商文件标明的币种报价；</w:t>
      </w:r>
    </w:p>
    <w:p w14:paraId="41C7CA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未就所参加竞争性磋商分标进行报价或者存在漏项报价；供应商未就所参加竞争性磋商分标的单项内容作唯一报价；供应商未就所参加竞争性磋商分标的全部内容作完整唯一报价；供应商响应文件中存在有选择、有条件报价的（磋商文件允许有备选方案或者其他约定的除外）；</w:t>
      </w:r>
    </w:p>
    <w:p w14:paraId="289E57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竞争性磋商报价（包含首次报价、最后报价）超过所参加竞争性磋商分标规定的采购预算金额或者最高限价的（如本项目公布了最高限价）；竞争性磋商报价（包含首次报价、最后报价）超过磋商文件分项采购预算金额或者最高限价的（如本项目公布了最高限价）；</w:t>
      </w:r>
    </w:p>
    <w:p w14:paraId="5D81EFC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修正后的报价，供应商不确认的；或者经供应商确认修正后的竞争性磋商报价（包含首次报价、最后报价）超过所参加竞争性磋商分标规定的采购预算金额或者最高限价（如本项目公布了最高限价）；或者经供应商确认修正后竞争性磋商报价（包含首次报价、最后报价）超过磋商文件分项采购预算金额或者最高限价的（如本项目公布了最高限价）。</w:t>
      </w:r>
    </w:p>
    <w:p w14:paraId="5CD93847">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6）响应文件响应的标的数量及单位与竞争性磋商采购文件要求实质性不一致的。</w:t>
      </w:r>
    </w:p>
    <w:p w14:paraId="47ADBA87">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）报价超过有效报价范围的；</w:t>
      </w:r>
      <w:bookmarkStart w:id="19" w:name="_Hlk188371373"/>
    </w:p>
    <w:p w14:paraId="6C2BA92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8）竞标函附录的承诺</w:t>
      </w:r>
      <w:bookmarkStart w:id="20" w:name="_Hlk188372203"/>
      <w:r>
        <w:rPr>
          <w:rFonts w:hint="eastAsia" w:ascii="宋体" w:hAnsi="宋体" w:eastAsia="宋体"/>
          <w:color w:val="auto"/>
          <w:szCs w:val="21"/>
          <w:highlight w:val="none"/>
        </w:rPr>
        <w:t>不</w:t>
      </w:r>
      <w:bookmarkEnd w:id="20"/>
      <w:r>
        <w:rPr>
          <w:rFonts w:hint="eastAsia" w:ascii="宋体" w:hAnsi="宋体" w:eastAsia="宋体"/>
          <w:color w:val="auto"/>
          <w:szCs w:val="21"/>
          <w:highlight w:val="none"/>
        </w:rPr>
        <w:t>符合磋商文件的规定</w:t>
      </w:r>
      <w:bookmarkEnd w:id="19"/>
      <w:r>
        <w:rPr>
          <w:rFonts w:hint="eastAsia" w:ascii="宋体" w:hAnsi="宋体" w:eastAsia="宋体"/>
          <w:color w:val="auto"/>
          <w:szCs w:val="21"/>
          <w:highlight w:val="none"/>
          <w:lang w:eastAsia="zh-CN"/>
        </w:rPr>
        <w:t>。</w:t>
      </w:r>
    </w:p>
    <w:p w14:paraId="1450ED7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2.6磋商小组对响应文件进行评审，未实质性响应磋商文件的响应文件按无效处理，磋商小组应当将资格和符合性不通过的情况告知有关供应商。</w:t>
      </w:r>
    </w:p>
    <w:p w14:paraId="7FB290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2.7通过符合性审查的合格供应商不足3家的，不得进入磋商环节，应当重新开展采购活动。</w:t>
      </w:r>
    </w:p>
    <w:p w14:paraId="005A6C4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3.磋商程序</w:t>
      </w:r>
    </w:p>
    <w:p w14:paraId="27F998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2D554D2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C7E48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3.3对磋商文件作出的实质性变动是磋商文件的有效组成部分，由磋商小组及时以电子澄清函形式同时通知所有参加磋商的供应商。</w:t>
      </w:r>
    </w:p>
    <w:p w14:paraId="53B06D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267C19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3.5磋商中，磋商的任何一方不得透露与磋商有关的其他供应商的技术资料、价格和其他信息。</w:t>
      </w:r>
    </w:p>
    <w:p w14:paraId="517BACD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3.6采购代理机构对磋商过程和磋商内容进行记录。</w:t>
      </w:r>
    </w:p>
    <w:p w14:paraId="10A31A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C4E1B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3.8除本章第3.7条规定的情形外，对磋商过程提交的响应文件进行有效性、完整性和响应程度审查，通过审查的合格供应商不足3家的，应当重新开展采购活动。</w:t>
      </w:r>
    </w:p>
    <w:p w14:paraId="3B76201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4.最后报价</w:t>
      </w:r>
    </w:p>
    <w:p w14:paraId="3DBAAEE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磋商文件能够详细列明采购标的的技术、服务要求的，磋商结束后，磋商小组应当要求所有继续参加磋商的供应商在规定时间内在广西政府采购云平台开标大厅提交加盖供应商电子签章的最后报价，除本章第3.7、4.3条规定的情形外，提交最后报价的供应商不得少于3家，否则应当重新开展采购活动。</w:t>
      </w:r>
    </w:p>
    <w:p w14:paraId="3DD5DB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4.2磋商文件不能详细列明采购标的的技术、服务要求，需经磋商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505AF3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4.3最后报价是供应商响应文件的有效组成部分。</w:t>
      </w:r>
    </w:p>
    <w:p w14:paraId="4C4E27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6D50C1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4.4已经提交响应文件的供应商，在提交最后报价之前，可以根据磋商情况退出磋商，退出磋商的供应商的响应文件按无效处理。采购人、采购代理机构将退还退出磋商的供应商的保证金。</w:t>
      </w:r>
    </w:p>
    <w:p w14:paraId="4E1D99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4.5供应商未在规定时间内提交最后报价的，视同退出磋商，其响应文件按无效处理。</w:t>
      </w:r>
    </w:p>
    <w:p w14:paraId="60888AA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4.6最后报价统一开启后，磋商小组对最后报价进行有效性、完整性和响应程度的审查。</w:t>
      </w:r>
    </w:p>
    <w:p w14:paraId="713B6E8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4.7最后报价出现前后不一致的，按照本章第2.4条的规定修正。</w:t>
      </w:r>
    </w:p>
    <w:p w14:paraId="100BE6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4.8修正后的报价出现下列情形的，按无效响应处理：</w:t>
      </w:r>
    </w:p>
    <w:p w14:paraId="338F90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（1）供应商不确认的（全流程电子化评标采取在线确认）；</w:t>
      </w:r>
    </w:p>
    <w:p w14:paraId="25B8F7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（2）经供应商确认修正后的竞争性磋商报价（包含首次报价、最后报价）超过所参加竞争性磋商分标规定的采购预算金额或者最高限价的（如本项目公布了最高限价）；</w:t>
      </w:r>
    </w:p>
    <w:p w14:paraId="43FD88F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4.9经供应商确认修正后的最后报价作为评审及签订合同的依据。</w:t>
      </w:r>
    </w:p>
    <w:p w14:paraId="707BE3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4.10供应商出现最后报价按无效响应处理或者响应文件按无效处理时，磋商小组应当告知有关供应商。</w:t>
      </w:r>
    </w:p>
    <w:p w14:paraId="5BCD4D4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4.11最后报价结束后，磋商小组不得再与供应商进行任何形式的商谈。</w:t>
      </w:r>
    </w:p>
    <w:p w14:paraId="6E19AFE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5.比较与评价</w:t>
      </w:r>
    </w:p>
    <w:p w14:paraId="6A7ECD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5.1评审方法：综合评分法。</w:t>
      </w:r>
    </w:p>
    <w:p w14:paraId="1D9E562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5.2经磋商确定最终采购需求和提交最后报价的供应商后，由磋商小组采用综合评分法对提交最后报价的供应商的响应文件和最后报价进行综合评分。</w:t>
      </w:r>
    </w:p>
    <w:p w14:paraId="5E5D02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磋商小组认为供应商的报价明显低于其他通过符合性审查供应商的报价，有可能影响产品质量或者不能诚信履约的，应当要求其在评审现场合理的时间内线上或线下提供书面说明，必要时提交相关证明材料；供应商不能证明其报价合理性的，磋商小组将其作为无效响应处理。</w:t>
      </w:r>
    </w:p>
    <w:p w14:paraId="314014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5.3评审时，磋商小组各成员应当独立对每个有效响应的文件进行评价、打分，然后汇总每个供应商每项评分因素的得分。</w:t>
      </w:r>
    </w:p>
    <w:p w14:paraId="025245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（1）磋商小组按照磋商文件中规定的评审标准计算各供应商的报价得分。项目评审过程中，不得去掉最后报价中的最高报价和最低报价。</w:t>
      </w:r>
    </w:p>
    <w:p w14:paraId="2941532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（2）各供应商的得分为磋商小组所有成员的有效评分的算术平均数。</w:t>
      </w:r>
    </w:p>
    <w:p w14:paraId="4A210C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5.4评审报价为供应商的最后报价进行政策性扣除后的价格，评审报价只是作为评审时使用。最终成交供应商的成交金额等于最后报价（如有修正，以确认修正后的最后报价为准）。</w:t>
      </w:r>
    </w:p>
    <w:p w14:paraId="70E717C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6.成交供应商推荐原则</w:t>
      </w:r>
    </w:p>
    <w:p w14:paraId="6C88072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得分由高到低排序）。评审得分、最后报价（不计算价格折扣）、技术得分、商务得分均相同的，由磋商小组随机抽取推荐。</w:t>
      </w:r>
    </w:p>
    <w:p w14:paraId="398675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472083">
      <w:pPr>
        <w:pStyle w:val="3"/>
        <w:jc w:val="center"/>
        <w:rPr>
          <w:rFonts w:hint="eastAsia"/>
          <w:color w:val="auto"/>
          <w:highlight w:val="none"/>
        </w:rPr>
      </w:pPr>
      <w:bookmarkStart w:id="21" w:name="_Toc197530114"/>
      <w:r>
        <w:rPr>
          <w:rFonts w:hint="eastAsia"/>
          <w:color w:val="auto"/>
          <w:highlight w:val="none"/>
        </w:rPr>
        <w:t>二、评审标准</w:t>
      </w:r>
      <w:bookmarkEnd w:id="21"/>
    </w:p>
    <w:p w14:paraId="0AA7FF76">
      <w:pPr>
        <w:spacing w:line="360" w:lineRule="auto"/>
        <w:jc w:val="center"/>
        <w:rPr>
          <w:color w:val="auto"/>
          <w:highlight w:val="none"/>
        </w:rPr>
      </w:pPr>
      <w:r>
        <w:rPr>
          <w:rFonts w:hint="eastAsia" w:ascii="宋体" w:hAnsi="宋体"/>
          <w:b/>
          <w:color w:val="auto"/>
          <w:sz w:val="24"/>
          <w:highlight w:val="none"/>
        </w:rPr>
        <w:t>（适用于1分标、2分标）</w:t>
      </w:r>
    </w:p>
    <w:p w14:paraId="21B7390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7.评审依据：磋商小组以磋商响应文件为评审依据，对供应商的报价、技术、商务等方面内容按百分制打分。（计分方法按四舍五入取至百分位）</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393"/>
        <w:gridCol w:w="7146"/>
      </w:tblGrid>
      <w:tr w14:paraId="085F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0D1389B4">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408" w:type="dxa"/>
            <w:vAlign w:val="center"/>
          </w:tcPr>
          <w:p w14:paraId="41966ECB">
            <w:pPr>
              <w:spacing w:line="360" w:lineRule="auto"/>
              <w:jc w:val="center"/>
              <w:rPr>
                <w:rFonts w:ascii="宋体" w:hAnsi="宋体"/>
                <w:b/>
                <w:color w:val="auto"/>
                <w:szCs w:val="21"/>
                <w:highlight w:val="none"/>
              </w:rPr>
            </w:pPr>
            <w:r>
              <w:rPr>
                <w:rFonts w:hint="eastAsia" w:ascii="宋体" w:hAnsi="宋体"/>
                <w:b/>
                <w:color w:val="auto"/>
                <w:szCs w:val="21"/>
                <w:highlight w:val="none"/>
              </w:rPr>
              <w:t>评审因素</w:t>
            </w:r>
          </w:p>
        </w:tc>
        <w:tc>
          <w:tcPr>
            <w:tcW w:w="7257" w:type="dxa"/>
            <w:vAlign w:val="center"/>
          </w:tcPr>
          <w:p w14:paraId="4325489F">
            <w:pPr>
              <w:spacing w:line="360" w:lineRule="auto"/>
              <w:jc w:val="center"/>
              <w:rPr>
                <w:rFonts w:ascii="宋体" w:hAnsi="宋体"/>
                <w:b/>
                <w:color w:val="auto"/>
                <w:szCs w:val="21"/>
                <w:highlight w:val="none"/>
              </w:rPr>
            </w:pPr>
            <w:r>
              <w:rPr>
                <w:rFonts w:hint="eastAsia" w:ascii="宋体" w:hAnsi="宋体"/>
                <w:b/>
                <w:color w:val="auto"/>
                <w:szCs w:val="21"/>
                <w:highlight w:val="none"/>
              </w:rPr>
              <w:t>评审标准</w:t>
            </w:r>
          </w:p>
        </w:tc>
      </w:tr>
      <w:tr w14:paraId="75C1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61D40C9F">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408" w:type="dxa"/>
            <w:vAlign w:val="center"/>
          </w:tcPr>
          <w:p w14:paraId="26046B7B">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价格分</w:t>
            </w:r>
          </w:p>
          <w:p w14:paraId="1EF518D0">
            <w:pPr>
              <w:spacing w:line="360" w:lineRule="auto"/>
              <w:jc w:val="center"/>
              <w:rPr>
                <w:rFonts w:ascii="宋体" w:hAnsi="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50</w:t>
            </w:r>
            <w:r>
              <w:rPr>
                <w:rFonts w:hint="eastAsia" w:ascii="宋体" w:hAnsi="宋体" w:eastAsia="宋体"/>
                <w:color w:val="auto"/>
                <w:szCs w:val="21"/>
                <w:highlight w:val="none"/>
              </w:rPr>
              <w:t>分）</w:t>
            </w:r>
          </w:p>
        </w:tc>
        <w:tc>
          <w:tcPr>
            <w:tcW w:w="7257" w:type="dxa"/>
            <w:vAlign w:val="center"/>
          </w:tcPr>
          <w:p w14:paraId="3BC5B05D">
            <w:pPr>
              <w:spacing w:line="360" w:lineRule="auto"/>
              <w:jc w:val="left"/>
              <w:rPr>
                <w:rFonts w:ascii="宋体" w:hAnsi="宋体" w:eastAsia="宋体"/>
                <w:color w:val="auto"/>
                <w:szCs w:val="21"/>
                <w:highlight w:val="none"/>
              </w:rPr>
            </w:pPr>
            <w:bookmarkStart w:id="22" w:name="OLE_LINK4"/>
            <w:bookmarkStart w:id="23" w:name="OLE_LINK17"/>
            <w:bookmarkStart w:id="24" w:name="OLE_LINK3"/>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报价范围：0≤下浮系数＜100%。</w:t>
            </w:r>
          </w:p>
          <w:p w14:paraId="2A0BC098">
            <w:pPr>
              <w:spacing w:line="360" w:lineRule="auto"/>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评审报价为供应商的（1-最后报价下浮系数）进行政策性扣除后的价格，评审报价只是作为评审时使用。最终成交供应商的成交下浮系数等于最后报价下浮系数（如有修正，以确认修正后的最后报价下浮系数为准）。</w:t>
            </w:r>
          </w:p>
          <w:p w14:paraId="1FE854C6">
            <w:pPr>
              <w:spacing w:line="360" w:lineRule="auto"/>
              <w:jc w:val="left"/>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.政府采购政策性扣除计算方法：</w:t>
            </w:r>
          </w:p>
          <w:p w14:paraId="2F08E35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按照《政府采购促进中小企业发展管理办法》（财库〔2020〕46号）的规定，供应商在其响应文件中提供《中小企业声明函》，且工程全部由符合政策要求的小型、微型企业承接的，对其评审报价给予5%的扣除。（以供应商按第六章“响应文件格式”要求提供的《中小企业声明函》为评审依据）</w:t>
            </w:r>
          </w:p>
          <w:p w14:paraId="0305FE96">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80477A4">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E6E9C6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（4）政策性扣除计算方法。</w:t>
            </w:r>
          </w:p>
          <w:p w14:paraId="74740E3C">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工程全部由符合政策要求的小型、微型企业承接的，扣除后的价格为评审报价，即评审报价=（1-最后报价下浮系数）×（1</w:t>
            </w:r>
            <w:r>
              <w:rPr>
                <w:rFonts w:ascii="宋体" w:hAnsi="宋体" w:eastAsia="宋体"/>
                <w:color w:val="auto"/>
                <w:szCs w:val="21"/>
                <w:highlight w:val="none"/>
              </w:rPr>
              <w:t>-</w:t>
            </w:r>
            <w:r>
              <w:rPr>
                <w:rFonts w:hint="eastAsia" w:ascii="宋体" w:hAnsi="宋体" w:eastAsia="宋体"/>
                <w:color w:val="auto"/>
                <w:szCs w:val="21"/>
                <w:highlight w:val="none"/>
              </w:rPr>
              <w:t>5%）。除上述情况外，评审报价=（1</w:t>
            </w:r>
            <w:r>
              <w:rPr>
                <w:rFonts w:ascii="宋体" w:hAnsi="宋体" w:eastAsia="宋体"/>
                <w:color w:val="auto"/>
                <w:szCs w:val="21"/>
                <w:highlight w:val="none"/>
              </w:rPr>
              <w:t>-</w:t>
            </w:r>
            <w:r>
              <w:rPr>
                <w:rFonts w:hint="eastAsia" w:ascii="宋体" w:hAnsi="宋体" w:eastAsia="宋体"/>
                <w:color w:val="auto"/>
                <w:szCs w:val="21"/>
                <w:highlight w:val="none"/>
              </w:rPr>
              <w:t>最后报价下浮系数）。</w:t>
            </w:r>
          </w:p>
          <w:p w14:paraId="235311C1">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（5）以进入比较与评价环节的最低的评审报价为基准报价，基准报价得分为满分</w:t>
            </w:r>
            <w:r>
              <w:rPr>
                <w:rFonts w:hint="eastAsia" w:ascii="宋体" w:hAnsi="宋体" w:eastAsia="宋体"/>
                <w:color w:val="auto"/>
                <w:szCs w:val="21"/>
                <w:highlight w:val="none"/>
                <w:lang w:val="en-US" w:eastAsia="zh-CN"/>
              </w:rPr>
              <w:t>50</w:t>
            </w:r>
            <w:r>
              <w:rPr>
                <w:rFonts w:hint="eastAsia" w:ascii="宋体" w:hAnsi="宋体" w:eastAsia="宋体"/>
                <w:color w:val="auto"/>
                <w:szCs w:val="21"/>
                <w:highlight w:val="none"/>
              </w:rPr>
              <w:t>分。</w:t>
            </w:r>
          </w:p>
          <w:p w14:paraId="44DCD9A0">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（6）价格分计算公式：</w:t>
            </w:r>
          </w:p>
          <w:p w14:paraId="6795B806">
            <w:pPr>
              <w:spacing w:line="360" w:lineRule="auto"/>
              <w:jc w:val="left"/>
              <w:rPr>
                <w:rFonts w:ascii="宋体" w:hAnsi="宋体"/>
                <w:color w:val="auto"/>
                <w:szCs w:val="21"/>
                <w:highlight w:val="none"/>
              </w:rPr>
            </w:pPr>
            <w:r>
              <w:rPr>
                <w:rFonts w:hint="eastAsia" w:ascii="宋体" w:hAnsi="宋体" w:eastAsia="宋体"/>
                <w:color w:val="auto"/>
                <w:szCs w:val="21"/>
                <w:highlight w:val="none"/>
              </w:rPr>
              <w:t>某供应商价格分=基准报价/评审报价×</w:t>
            </w:r>
            <w:r>
              <w:rPr>
                <w:rFonts w:hint="eastAsia" w:ascii="宋体" w:hAnsi="宋体" w:eastAsia="宋体"/>
                <w:color w:val="auto"/>
                <w:szCs w:val="21"/>
                <w:highlight w:val="none"/>
                <w:lang w:val="en-US" w:eastAsia="zh-CN"/>
              </w:rPr>
              <w:t>50</w:t>
            </w:r>
            <w:r>
              <w:rPr>
                <w:rFonts w:hint="eastAsia" w:ascii="宋体" w:hAnsi="宋体" w:eastAsia="宋体"/>
                <w:color w:val="auto"/>
                <w:szCs w:val="21"/>
                <w:highlight w:val="none"/>
              </w:rPr>
              <w:t>分</w:t>
            </w:r>
            <w:bookmarkEnd w:id="22"/>
            <w:bookmarkEnd w:id="23"/>
            <w:bookmarkEnd w:id="24"/>
          </w:p>
        </w:tc>
      </w:tr>
      <w:tr w14:paraId="6EB8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20A6B5D5">
            <w:pPr>
              <w:spacing w:line="360" w:lineRule="auto"/>
              <w:jc w:val="center"/>
              <w:rPr>
                <w:rFonts w:ascii="宋体" w:hAnsi="宋体"/>
                <w:b/>
                <w:color w:val="auto"/>
                <w:szCs w:val="21"/>
                <w:highlight w:val="none"/>
              </w:rPr>
            </w:pPr>
            <w:r>
              <w:rPr>
                <w:rFonts w:hint="eastAsia" w:ascii="宋体" w:hAnsi="宋体"/>
                <w:b/>
                <w:color w:val="auto"/>
                <w:szCs w:val="21"/>
                <w:highlight w:val="none"/>
              </w:rPr>
              <w:t>2</w:t>
            </w:r>
          </w:p>
        </w:tc>
        <w:tc>
          <w:tcPr>
            <w:tcW w:w="1408" w:type="dxa"/>
            <w:vAlign w:val="center"/>
          </w:tcPr>
          <w:p w14:paraId="60394374">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技术分</w:t>
            </w:r>
          </w:p>
          <w:p w14:paraId="369A7955">
            <w:pPr>
              <w:spacing w:line="360" w:lineRule="auto"/>
              <w:jc w:val="center"/>
              <w:rPr>
                <w:rFonts w:ascii="宋体" w:hAnsi="宋体"/>
                <w:b/>
                <w:color w:val="auto"/>
                <w:szCs w:val="21"/>
                <w:highlight w:val="none"/>
              </w:rPr>
            </w:pPr>
            <w:r>
              <w:rPr>
                <w:rFonts w:hint="eastAsia" w:ascii="宋体" w:hAnsi="宋体"/>
                <w:b/>
                <w:color w:val="auto"/>
                <w:szCs w:val="21"/>
                <w:highlight w:val="none"/>
              </w:rPr>
              <w:t>（35分）</w:t>
            </w:r>
          </w:p>
        </w:tc>
        <w:tc>
          <w:tcPr>
            <w:tcW w:w="7257" w:type="dxa"/>
            <w:vAlign w:val="center"/>
          </w:tcPr>
          <w:p w14:paraId="5F2D7A42">
            <w:pPr>
              <w:spacing w:line="360" w:lineRule="auto"/>
              <w:jc w:val="center"/>
              <w:rPr>
                <w:rFonts w:ascii="宋体" w:hAnsi="宋体"/>
                <w:b/>
                <w:color w:val="auto"/>
                <w:szCs w:val="21"/>
                <w:highlight w:val="none"/>
              </w:rPr>
            </w:pPr>
            <w:r>
              <w:rPr>
                <w:rFonts w:hint="eastAsia" w:ascii="宋体" w:hAnsi="宋体"/>
                <w:b/>
                <w:color w:val="auto"/>
                <w:szCs w:val="21"/>
                <w:highlight w:val="none"/>
              </w:rPr>
              <w:t>评审标准（技术分中未提供相应资料的，该部分分值不得分）</w:t>
            </w:r>
          </w:p>
        </w:tc>
      </w:tr>
      <w:tr w14:paraId="254B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21D62989">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1408" w:type="dxa"/>
            <w:vAlign w:val="center"/>
          </w:tcPr>
          <w:p w14:paraId="3004336E">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项目经理（项目负责人）情况（</w:t>
            </w:r>
            <w:r>
              <w:rPr>
                <w:rFonts w:ascii="宋体" w:hAnsi="宋体"/>
                <w:color w:val="auto"/>
                <w:szCs w:val="21"/>
                <w:highlight w:val="none"/>
              </w:rPr>
              <w:t>3</w:t>
            </w:r>
            <w:r>
              <w:rPr>
                <w:rFonts w:hint="eastAsia" w:ascii="宋体" w:hAnsi="宋体"/>
                <w:color w:val="auto"/>
                <w:szCs w:val="21"/>
                <w:highlight w:val="none"/>
              </w:rPr>
              <w:t>分）</w:t>
            </w:r>
          </w:p>
        </w:tc>
        <w:tc>
          <w:tcPr>
            <w:tcW w:w="7257" w:type="dxa"/>
            <w:vAlign w:val="center"/>
          </w:tcPr>
          <w:p w14:paraId="0D800FEC">
            <w:pPr>
              <w:spacing w:line="360" w:lineRule="auto"/>
              <w:jc w:val="left"/>
              <w:rPr>
                <w:rFonts w:hint="eastAsia" w:ascii="宋体" w:hAnsi="宋体"/>
                <w:color w:val="auto"/>
                <w:szCs w:val="21"/>
                <w:highlight w:val="none"/>
              </w:rPr>
            </w:pPr>
            <w:r>
              <w:rPr>
                <w:rFonts w:hint="eastAsia" w:ascii="宋体" w:hAnsi="宋体"/>
                <w:color w:val="auto"/>
                <w:szCs w:val="21"/>
                <w:highlight w:val="none"/>
              </w:rPr>
              <w:t>（1）拟投入的项目经理（项目负责人）具有建筑工程类专业中级工程师职称的，得1分，具有建筑工程类专业高级工程师及以上职称的，得2分。满分2分。</w:t>
            </w:r>
          </w:p>
          <w:p w14:paraId="04EF952F">
            <w:pPr>
              <w:spacing w:line="360" w:lineRule="auto"/>
              <w:jc w:val="left"/>
              <w:rPr>
                <w:rFonts w:hint="eastAsia" w:ascii="宋体" w:hAnsi="宋体"/>
                <w:color w:val="auto"/>
                <w:szCs w:val="21"/>
                <w:highlight w:val="none"/>
              </w:rPr>
            </w:pPr>
            <w:r>
              <w:rPr>
                <w:rFonts w:hint="eastAsia" w:ascii="宋体" w:hAnsi="宋体"/>
                <w:color w:val="auto"/>
                <w:szCs w:val="21"/>
                <w:highlight w:val="none"/>
              </w:rPr>
              <w:t>（2）拟投入项目经理（项目负责人）自2022年5月1日（以竣工验收时间为准）以来担任过已完成的质量合格的房屋修缮工程项目经理（或项目负责人）职务的，得1分。满分1分。</w:t>
            </w:r>
          </w:p>
          <w:p w14:paraId="472BDA1F">
            <w:pPr>
              <w:spacing w:line="360" w:lineRule="auto"/>
              <w:jc w:val="left"/>
              <w:rPr>
                <w:rFonts w:ascii="宋体" w:hAnsi="宋体"/>
                <w:color w:val="auto"/>
                <w:szCs w:val="21"/>
                <w:highlight w:val="none"/>
              </w:rPr>
            </w:pPr>
            <w:r>
              <w:rPr>
                <w:rFonts w:hint="eastAsia" w:ascii="宋体" w:hAnsi="宋体"/>
                <w:color w:val="auto"/>
                <w:szCs w:val="21"/>
                <w:highlight w:val="none"/>
              </w:rPr>
              <w:t>注：供应商应在响应文件中提供职称证书、劳动合同、业绩合同及竣工验收证明材料复印件并加盖供应商单位电子公章，供应商提供虚假材料谋取成交的，取消成交资格，并依法承担相应责任。不提供或不按以上要求提供的不予以计分。</w:t>
            </w:r>
          </w:p>
          <w:p w14:paraId="2C35C174">
            <w:pPr>
              <w:spacing w:line="360" w:lineRule="auto"/>
              <w:jc w:val="left"/>
              <w:rPr>
                <w:rFonts w:hint="eastAsia" w:ascii="宋体" w:hAnsi="宋体"/>
                <w:color w:val="auto"/>
                <w:szCs w:val="21"/>
                <w:highlight w:val="none"/>
              </w:rPr>
            </w:pPr>
            <w:r>
              <w:rPr>
                <w:rFonts w:hint="eastAsia" w:ascii="宋体" w:hAnsi="宋体"/>
                <w:color w:val="auto"/>
                <w:szCs w:val="21"/>
                <w:highlight w:val="none"/>
              </w:rPr>
              <w:t>响应文件中拟投入的人员须如实投入到项目实施中并按时到岗，未经采购人同意不允许更换相关人员，否则将视为供应商违约。</w:t>
            </w:r>
          </w:p>
        </w:tc>
      </w:tr>
      <w:tr w14:paraId="2EF6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07BA9EA6">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p>
        </w:tc>
        <w:tc>
          <w:tcPr>
            <w:tcW w:w="1408" w:type="dxa"/>
            <w:vAlign w:val="center"/>
          </w:tcPr>
          <w:p w14:paraId="1D64F836">
            <w:pPr>
              <w:spacing w:line="360" w:lineRule="auto"/>
              <w:jc w:val="center"/>
              <w:rPr>
                <w:rFonts w:hint="eastAsia" w:ascii="宋体" w:hAnsi="宋体"/>
                <w:color w:val="auto"/>
                <w:szCs w:val="21"/>
                <w:highlight w:val="none"/>
              </w:rPr>
            </w:pPr>
            <w:r>
              <w:rPr>
                <w:rFonts w:hint="eastAsia" w:ascii="宋体" w:hAnsi="宋体"/>
                <w:color w:val="auto"/>
                <w:szCs w:val="21"/>
                <w:highlight w:val="none"/>
              </w:rPr>
              <w:t>技术负责人情况（3分）</w:t>
            </w:r>
          </w:p>
        </w:tc>
        <w:tc>
          <w:tcPr>
            <w:tcW w:w="7257" w:type="dxa"/>
            <w:vAlign w:val="center"/>
          </w:tcPr>
          <w:p w14:paraId="5AFE33AC">
            <w:pPr>
              <w:spacing w:line="360" w:lineRule="auto"/>
              <w:rPr>
                <w:rFonts w:hint="eastAsia" w:ascii="宋体" w:hAnsi="宋体"/>
                <w:color w:val="auto"/>
                <w:szCs w:val="21"/>
                <w:highlight w:val="none"/>
              </w:rPr>
            </w:pPr>
            <w:r>
              <w:rPr>
                <w:rFonts w:hint="eastAsia" w:ascii="宋体" w:hAnsi="宋体"/>
                <w:color w:val="auto"/>
                <w:szCs w:val="21"/>
                <w:highlight w:val="none"/>
              </w:rPr>
              <w:t>（1）拟投入的技术负责人具有建筑工程类专业中级工程师职称的，得1分，具有建筑工程类专业高级工程师及以上职称的，得2分。满分2分。</w:t>
            </w:r>
          </w:p>
          <w:p w14:paraId="65113795">
            <w:pPr>
              <w:spacing w:line="360" w:lineRule="auto"/>
              <w:rPr>
                <w:rFonts w:hint="eastAsia" w:ascii="宋体" w:hAnsi="宋体"/>
                <w:color w:val="auto"/>
                <w:szCs w:val="21"/>
                <w:highlight w:val="none"/>
              </w:rPr>
            </w:pPr>
            <w:r>
              <w:rPr>
                <w:rFonts w:hint="eastAsia" w:ascii="宋体" w:hAnsi="宋体"/>
                <w:color w:val="auto"/>
                <w:szCs w:val="21"/>
                <w:highlight w:val="none"/>
              </w:rPr>
              <w:t>（2）拟投入技术负责人自2022年5月1日（以竣工验收时间为准）以来担任过已完成的质量合格的房屋修缮工程技术负责人（或项目经理）职务的，得1分，满分1分。</w:t>
            </w:r>
          </w:p>
          <w:p w14:paraId="072EA5F2">
            <w:pPr>
              <w:spacing w:line="360" w:lineRule="auto"/>
              <w:rPr>
                <w:rFonts w:ascii="宋体" w:hAnsi="宋体"/>
                <w:color w:val="auto"/>
                <w:szCs w:val="21"/>
                <w:highlight w:val="none"/>
              </w:rPr>
            </w:pPr>
            <w:r>
              <w:rPr>
                <w:rFonts w:hint="eastAsia" w:ascii="宋体" w:hAnsi="宋体"/>
                <w:color w:val="auto"/>
                <w:szCs w:val="21"/>
                <w:highlight w:val="none"/>
              </w:rPr>
              <w:t>注：供应商应在响应文件中提供职称证书、劳动合同、业绩合同及竣工验收证明材料复印件并加盖供应商单位电子公章，供应商提供虚假材料谋取成交的，取消成交资格，并依法承担相应责任。不提供或不按以上要求提供的不予以计分。</w:t>
            </w:r>
          </w:p>
          <w:p w14:paraId="4592E20B">
            <w:pPr>
              <w:spacing w:line="360" w:lineRule="auto"/>
              <w:rPr>
                <w:rFonts w:hint="eastAsia" w:ascii="宋体" w:hAnsi="宋体"/>
                <w:color w:val="auto"/>
                <w:szCs w:val="21"/>
                <w:highlight w:val="none"/>
              </w:rPr>
            </w:pPr>
            <w:r>
              <w:rPr>
                <w:rFonts w:hint="eastAsia" w:ascii="宋体" w:hAnsi="宋体"/>
                <w:color w:val="auto"/>
                <w:szCs w:val="21"/>
                <w:highlight w:val="none"/>
              </w:rPr>
              <w:t>响应文件中拟投入的人员须如实投入到项目实施中并按时到岗，未经采购人同意不允许更换相关人员，否则将视为供应商违约。</w:t>
            </w:r>
          </w:p>
        </w:tc>
      </w:tr>
      <w:tr w14:paraId="0E09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4EF06FD9">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.3</w:t>
            </w:r>
          </w:p>
        </w:tc>
        <w:tc>
          <w:tcPr>
            <w:tcW w:w="1408" w:type="dxa"/>
            <w:vAlign w:val="center"/>
          </w:tcPr>
          <w:p w14:paraId="78FFB005">
            <w:pPr>
              <w:spacing w:line="360" w:lineRule="exact"/>
              <w:jc w:val="center"/>
              <w:rPr>
                <w:rFonts w:hint="eastAsia" w:ascii="宋体" w:hAnsi="宋体"/>
                <w:color w:val="auto"/>
                <w:szCs w:val="21"/>
                <w:highlight w:val="none"/>
              </w:rPr>
            </w:pPr>
            <w:r>
              <w:rPr>
                <w:rFonts w:hint="eastAsia" w:ascii="宋体" w:hAnsi="宋体" w:cs="宋体"/>
                <w:color w:val="auto"/>
                <w:szCs w:val="21"/>
                <w:highlight w:val="none"/>
              </w:rPr>
              <w:t>项目组成员（</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7257" w:type="dxa"/>
            <w:vAlign w:val="top"/>
          </w:tcPr>
          <w:p w14:paraId="751C4C39">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基本要求：人员齐备，且具备相关施工现场专业人员职业培训合格证书（施工员、质量员、材料员应具有有效的相应施工现场专业人员职业培训合格证书，专职安全生产管理人员需具有有效建筑施工企业三类人员C证，且拟投入的项目管理人员符合国家及广西壮族自治区的规定） </w:t>
            </w:r>
          </w:p>
          <w:p w14:paraId="7965C868">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优（4分）：专业配套的人员具备相关岗位证书，拟派安全员（不少于1人）须具备安全生产考核合格证，且拟投入的项目管理人员符合国家及广西壮族自治区的规定。其中：配备的施工员2名及以上；配备的质量员2名及以上；配备的材料员1名及以上，配备的注册二级（及以上）造价师1名及以上。 </w:t>
            </w:r>
          </w:p>
          <w:p w14:paraId="4F842FFB">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良（3分）：专业配套的人员具备相关岗位证书，拟派安全员（不少于1人）须具备安全生产考核合格证，且拟投入的项目管理人员符合国家及广西壮族自治区的规定。其中：配备的施工员2名及以上；配备的质量员2名及以上；配备的材料员1名及以上。</w:t>
            </w:r>
          </w:p>
          <w:p w14:paraId="488584EA">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中（2分）：专业配套的人员具备相关岗位证书，拟派安全员（不少于1人）须具备安全生产考核合格证，且拟投入的项目管理人员符合国家及广西壮族自治区的规定。其中：配备的施工员2名及以上；配备的质量员1名及以上；配备的材料员1名及以上。</w:t>
            </w:r>
          </w:p>
          <w:p w14:paraId="5A649A80">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般（1分）：专业配套的人员具备相关岗位证书，拟派安全员（不少于1人）须具备安全生产考核合格证，且拟投入的项目管理人员符合国家及广西壮族自治区的规定。其中：配备的施工员1名及以上；配备的质量员1名及以上；配备的材料员1名及以上。</w:t>
            </w:r>
          </w:p>
          <w:p w14:paraId="5C6D8A48">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差（0分）：人员配备不满足本项评审内容的“一般”档次要求。</w:t>
            </w:r>
          </w:p>
          <w:p w14:paraId="3C96D8E3">
            <w:pPr>
              <w:pStyle w:val="15"/>
              <w:spacing w:line="400" w:lineRule="exact"/>
              <w:rPr>
                <w:rFonts w:hint="eastAsia" w:ascii="宋体" w:hAnsi="宋体"/>
                <w:color w:val="auto"/>
                <w:szCs w:val="21"/>
                <w:highlight w:val="none"/>
              </w:rPr>
            </w:pPr>
            <w:r>
              <w:rPr>
                <w:rFonts w:hint="eastAsia" w:ascii="宋体" w:hAnsi="宋体" w:cs="宋体"/>
                <w:color w:val="auto"/>
                <w:szCs w:val="21"/>
                <w:highlight w:val="none"/>
                <w:lang w:val="en-US" w:eastAsia="zh-CN"/>
              </w:rPr>
              <w:t>注：供应商应在响应文件中提供上述人员的证书、劳动合同复印件并加盖供应商单位电子公章，供应商提供虚假材料谋取成交的，取消成交资格，并依法承担相应责任。不提供或不按以上要求提供的不予以计分。</w:t>
            </w:r>
          </w:p>
        </w:tc>
      </w:tr>
      <w:tr w14:paraId="0735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624BF46E">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p>
        </w:tc>
        <w:tc>
          <w:tcPr>
            <w:tcW w:w="1408" w:type="dxa"/>
            <w:vAlign w:val="center"/>
          </w:tcPr>
          <w:p w14:paraId="16ED124E">
            <w:pPr>
              <w:spacing w:line="400" w:lineRule="exact"/>
              <w:jc w:val="center"/>
              <w:rPr>
                <w:rFonts w:hint="eastAsia" w:ascii="宋体" w:hAnsi="宋体"/>
                <w:color w:val="auto"/>
                <w:szCs w:val="21"/>
                <w:highlight w:val="none"/>
              </w:rPr>
            </w:pPr>
            <w:r>
              <w:rPr>
                <w:rFonts w:hint="eastAsia" w:ascii="宋体" w:hAnsi="宋体" w:cs="宋体"/>
                <w:color w:val="auto"/>
                <w:szCs w:val="21"/>
                <w:highlight w:val="none"/>
              </w:rPr>
              <w:t>主要施工方法（</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7257" w:type="dxa"/>
            <w:vAlign w:val="center"/>
          </w:tcPr>
          <w:p w14:paraId="0908CFD6">
            <w:pPr>
              <w:pStyle w:val="15"/>
              <w:spacing w:line="400" w:lineRule="exact"/>
              <w:rPr>
                <w:rFonts w:ascii="宋体" w:hAnsi="宋体" w:cs="宋体"/>
                <w:color w:val="auto"/>
                <w:szCs w:val="21"/>
                <w:highlight w:val="none"/>
                <w:lang w:val="en-US" w:eastAsia="zh-CN"/>
              </w:rPr>
            </w:pPr>
            <w:r>
              <w:rPr>
                <w:rFonts w:hint="eastAsia" w:ascii="宋体" w:hAnsi="宋体" w:cs="宋体"/>
                <w:color w:val="auto"/>
                <w:szCs w:val="21"/>
                <w:highlight w:val="none"/>
                <w:lang w:val="en-US" w:eastAsia="zh-CN"/>
              </w:rPr>
              <w:t>针对供应商提供的主要施工方法【(1)工程施工：①拆除工程 ②装饰工程 ③安装工程 ④防水工程；(2)主要物资计划；(3)项目的重点难点；(4)供应商针对本项目特点提出的其它施工方法】按以下标准计分：</w:t>
            </w:r>
          </w:p>
          <w:p w14:paraId="5B0FF361">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优（6分）：对各主要分部施工工程分别进行了具体的施工技术方案的阐述，提供的各主要分部施工方法符合项目实际，能指导具体施工并确保施工质量和施工安全。有主要建筑材料（钢制防盗门、铝合金窗、墙地砖等）的资源稳定供应的保证措施，完全满足施工需要。针对本工程的特点，阐述本工程的重点和难点，解决重点和难点问题的方法和措施科学合理。</w:t>
            </w:r>
          </w:p>
          <w:p w14:paraId="74ED9C80">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良（4.5分）：对各主要分部施工工程分别进行了具体的施工技术方案的阐述，提供的各主要分部施工方法符合项目实际，能指导具体施工并确保施工质量和施工安全。有主要建筑材料（钢制防盗门、铝合金窗、墙地砖等）稳定供应的保证措施，满足施工需要。</w:t>
            </w:r>
          </w:p>
          <w:p w14:paraId="38BB5D5F">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中（3分）：对各主要分部施工工程分别进行了具体的施工技术方案的阐述，提供的各主要分部施工方法符合项目实际，能指导具体施工并确保施工质量和施工安全。</w:t>
            </w:r>
          </w:p>
          <w:p w14:paraId="3B3396D4">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一般（1.5分）：提供的主要施工方法符合项目实际，但未能针对各主要分部施工配有全面的施工技术方案。</w:t>
            </w:r>
          </w:p>
          <w:p w14:paraId="765C8704">
            <w:pPr>
              <w:pStyle w:val="15"/>
              <w:spacing w:line="400" w:lineRule="exact"/>
              <w:rPr>
                <w:rFonts w:hint="eastAsia" w:ascii="宋体" w:hAnsi="宋体"/>
                <w:color w:val="auto"/>
                <w:szCs w:val="21"/>
                <w:highlight w:val="none"/>
              </w:rPr>
            </w:pPr>
            <w:r>
              <w:rPr>
                <w:rFonts w:hint="eastAsia" w:ascii="宋体" w:hAnsi="宋体" w:cs="宋体"/>
                <w:color w:val="auto"/>
                <w:szCs w:val="21"/>
                <w:highlight w:val="none"/>
                <w:lang w:val="en-US" w:eastAsia="zh-CN"/>
              </w:rPr>
              <w:t>差（0分）：未提供此项内容，或提供的方案不能满足施工的需要。</w:t>
            </w:r>
          </w:p>
        </w:tc>
      </w:tr>
      <w:tr w14:paraId="05FC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44A7C127">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p>
        </w:tc>
        <w:tc>
          <w:tcPr>
            <w:tcW w:w="1408" w:type="dxa"/>
            <w:vAlign w:val="center"/>
          </w:tcPr>
          <w:p w14:paraId="4D88C68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确保工程质量的技术组织措施</w:t>
            </w:r>
          </w:p>
          <w:p w14:paraId="72A9D97F">
            <w:pPr>
              <w:spacing w:line="360" w:lineRule="exact"/>
              <w:jc w:val="center"/>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7257" w:type="dxa"/>
            <w:vAlign w:val="top"/>
          </w:tcPr>
          <w:p w14:paraId="7C884C91">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针对供应商提供的确保工程质量的技术组织措施【①质量技术管理班子和制度；②关键材料(钢制防盗门、铝合金窗、墙地砖等)质量控制内容；③材料组织计划；④供应商针对本项目特点提出的其它确保工程质量的技术组织措施】按以下标准计分：</w:t>
            </w:r>
          </w:p>
          <w:p w14:paraId="1B77CC0C">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优（6分）：有专门的质量技术管理班子和制度，且人员配备合理，制度健全。主要工序有质量技术保证措施和手段，自控体系完整，能有效保证技术质量，完全能达到承诺的质量标准。有主要建筑材料（钢制防盗门、铝合金窗、墙地砖等）质量保证措施确保施工质量，对材料的环保要求的把控措施。有投入的施工材料组织计划且计划周密，并根据本项目的特点提出其它有针对性的确保工程质量的技术组织措施，满足施工需要。</w:t>
            </w:r>
          </w:p>
          <w:p w14:paraId="2339F6A9">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良（4.5分）：有专门的质量技术管理班子和制度，且人员配备基本合理，制度较健全。主要工序有较好的质量技术保证措施和手段，基本能有效保证技术质量，提供的自控体系较完整。有主要建筑材料（钢制防盗门、铝合金窗、墙地砖等）质量保证措施确保施工质量。</w:t>
            </w:r>
          </w:p>
          <w:p w14:paraId="6088EB8E">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中（3分）：有专门的质量技术管理班子和制度，有人员配备，制度健全。有主要工序的质量技术保证措施和手段及自控体系，能保证技术质量，达到承诺的质量标准。</w:t>
            </w:r>
          </w:p>
          <w:p w14:paraId="0E04C995">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一般（1.5分）：有专门的质量技术管理班子和制度但质量技术管理班子和制度不健全，主要工序无质量技术保证措施和手段，自控体系不完整，不能有效保证承诺的技术质量。</w:t>
            </w:r>
          </w:p>
          <w:p w14:paraId="782B17F8">
            <w:pPr>
              <w:pStyle w:val="15"/>
              <w:spacing w:line="400" w:lineRule="exact"/>
              <w:rPr>
                <w:rFonts w:hint="eastAsia" w:ascii="宋体" w:hAnsi="宋体"/>
                <w:color w:val="auto"/>
                <w:szCs w:val="21"/>
                <w:highlight w:val="none"/>
              </w:rPr>
            </w:pPr>
            <w:r>
              <w:rPr>
                <w:rFonts w:hint="eastAsia" w:ascii="宋体" w:hAnsi="宋体" w:cs="宋体"/>
                <w:color w:val="auto"/>
                <w:szCs w:val="21"/>
                <w:highlight w:val="none"/>
                <w:lang w:val="en-US" w:eastAsia="zh-CN"/>
              </w:rPr>
              <w:t>差（0分）：未提供此项内容。</w:t>
            </w:r>
          </w:p>
        </w:tc>
      </w:tr>
      <w:tr w14:paraId="65B0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0BEB03C9">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p>
        </w:tc>
        <w:tc>
          <w:tcPr>
            <w:tcW w:w="1408" w:type="dxa"/>
            <w:vAlign w:val="center"/>
          </w:tcPr>
          <w:p w14:paraId="6EF779E5">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确保安全生产的技术组织措施</w:t>
            </w:r>
          </w:p>
          <w:p w14:paraId="51FCDF74">
            <w:pPr>
              <w:spacing w:line="400" w:lineRule="exact"/>
              <w:jc w:val="center"/>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7257" w:type="dxa"/>
            <w:vAlign w:val="center"/>
          </w:tcPr>
          <w:p w14:paraId="62C2716C">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针对供应商提供的确保安全生产的技术组织措施【①安全管理制度和人员；②安全技术措施；③防火、救援等应急措施；④确保文明施工的技术组织措施；⑤环保等相关措施；⑥供应商针对本项目其他特点提出其它确保安全生产的技术组织措施】按以下标准计分：</w:t>
            </w:r>
          </w:p>
          <w:p w14:paraId="5648BA32">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优（6 分）：保证安全生产的技术措施有专门的安全管理人员和制度，且人员配备合理，制度健全，各道工序安全技术措施有针对性，确保工程质量的技术组织措施符合实际且满足有关安全技术标准要求。现场防火、应急救援、社会治安安全措施得力，能针对本工程项目场地和施工特点提出全面得力的确保文明施工的技术组织措施、环境保护措施，且措施内容达到《建筑施工安全生产检查标准》（JGJ59-2011）合格标准并符合《广西壮族自治区建筑工程文明施工导则》要求，各项措施科学、具体、有效，有具体实现现场文明施工目标的承诺。</w:t>
            </w:r>
          </w:p>
          <w:p w14:paraId="1D3DAC81">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良（4.5分）：保证安全生产的技术措施有专门的安全管理人员和制度，且人员配备和制度健全，阐述了可行的有针对性的各道工序安全技术措施，确保工程质量的技术组织措施符合实际且满足有关安全技术标准要求，措施可行且考虑周全。提供可行的有关于现场防火、应急救援、社会治安安全的措施。提出可行的确保文明施工的技术组织措施、环境保护措施，且措施内容达到《建筑施工安全生产检查标准》（JGJ59-2011）合格标准并符合《广西壮族自治区建筑工程文明施工导则》要求。</w:t>
            </w:r>
          </w:p>
          <w:p w14:paraId="4CFE6D22">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中（3分）：保证安全生产的技术措施有专门的安全管理人员和制度，且人员配备和制度合理，阐述了各道工序安全技术措施但缺乏针对性，确保工程质量的技术组织措符合实际且满足有关安全技术标准要求且措施可行。</w:t>
            </w:r>
          </w:p>
          <w:p w14:paraId="3B558964">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一般（1.5分）：保证安全生产的技术措施有专门的安全管理人员和制度，各道工序安全技术措施阐述不完整，确保工程质量的技术组织措施满足有关安全技术标准要求但措施考虑欠周全。</w:t>
            </w:r>
          </w:p>
          <w:p w14:paraId="11EF68CE">
            <w:pPr>
              <w:pStyle w:val="15"/>
              <w:spacing w:line="400" w:lineRule="exact"/>
              <w:rPr>
                <w:rFonts w:hint="eastAsia" w:ascii="宋体" w:hAnsi="宋体"/>
                <w:color w:val="auto"/>
                <w:szCs w:val="21"/>
                <w:highlight w:val="none"/>
              </w:rPr>
            </w:pPr>
            <w:r>
              <w:rPr>
                <w:rFonts w:hint="eastAsia" w:ascii="宋体" w:hAnsi="宋体" w:cs="宋体"/>
                <w:color w:val="auto"/>
                <w:szCs w:val="21"/>
                <w:highlight w:val="none"/>
                <w:lang w:val="en-US" w:eastAsia="zh-CN"/>
              </w:rPr>
              <w:t>差（0分）：未提供此项内容，或提供的方案不能满足施工的需要。</w:t>
            </w:r>
          </w:p>
        </w:tc>
      </w:tr>
      <w:tr w14:paraId="6836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48649D1E">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p>
        </w:tc>
        <w:tc>
          <w:tcPr>
            <w:tcW w:w="1408" w:type="dxa"/>
            <w:vAlign w:val="center"/>
          </w:tcPr>
          <w:p w14:paraId="56EC5260">
            <w:pPr>
              <w:spacing w:line="400" w:lineRule="exact"/>
              <w:jc w:val="center"/>
              <w:rPr>
                <w:rFonts w:hint="eastAsia" w:ascii="宋体" w:hAnsi="宋体"/>
                <w:color w:val="auto"/>
                <w:szCs w:val="21"/>
                <w:highlight w:val="none"/>
              </w:rPr>
            </w:pPr>
            <w:r>
              <w:rPr>
                <w:rFonts w:hint="eastAsia" w:ascii="宋体" w:hAnsi="宋体" w:cs="宋体"/>
                <w:color w:val="auto"/>
                <w:szCs w:val="21"/>
                <w:highlight w:val="none"/>
              </w:rPr>
              <w:t>确保工期的技术组织措施（</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c>
          <w:tcPr>
            <w:tcW w:w="7257" w:type="dxa"/>
            <w:vAlign w:val="center"/>
          </w:tcPr>
          <w:p w14:paraId="46FBB846">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针对供应商提供的确保工期的技术组织措施【①工期保障措施；②施工进度计划；③施工进度图（表）；④劳动力计划；⑤供应商针对本项目特点提出其它确保工期的其它技术组织措施】按以下标准计分：</w:t>
            </w:r>
          </w:p>
          <w:p w14:paraId="12450889">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优（7分）：保证工期的施工组织措施方案中在施工工艺、施工方法、材料选用、劳动力安排、技术等方面有保证工期的具体措施且措施得当，并承诺施工工期50</w:t>
            </w:r>
            <w:r>
              <w:rPr>
                <w:rFonts w:hint="eastAsia" w:ascii="宋体" w:hAnsi="宋体"/>
                <w:color w:val="auto"/>
                <w:szCs w:val="21"/>
                <w:highlight w:val="none"/>
              </w:rPr>
              <w:t>日历天</w:t>
            </w:r>
            <w:r>
              <w:rPr>
                <w:rFonts w:hint="eastAsia" w:ascii="宋体" w:hAnsi="宋体" w:cs="宋体"/>
                <w:color w:val="auto"/>
                <w:szCs w:val="21"/>
                <w:highlight w:val="none"/>
                <w:lang w:val="en-US" w:eastAsia="zh-CN"/>
              </w:rPr>
              <w:t>内（含50</w:t>
            </w:r>
            <w:r>
              <w:rPr>
                <w:rFonts w:hint="eastAsia" w:ascii="宋体" w:hAnsi="宋体"/>
                <w:color w:val="auto"/>
                <w:szCs w:val="21"/>
                <w:highlight w:val="none"/>
              </w:rPr>
              <w:t>日历天</w:t>
            </w:r>
            <w:r>
              <w:rPr>
                <w:rFonts w:hint="eastAsia" w:ascii="宋体" w:hAnsi="宋体" w:cs="宋体"/>
                <w:color w:val="auto"/>
                <w:szCs w:val="21"/>
                <w:highlight w:val="none"/>
                <w:lang w:val="en-US" w:eastAsia="zh-CN"/>
              </w:rPr>
              <w:t>）竣工验收。有控制工期的施工进度计划。有施工总进度表或施工网络图，各项计划图表编制完善，安排科学合理，符合本项目施工实际要求。有具体周密的劳动力安排计划，能保障供应商承诺的工期。</w:t>
            </w:r>
          </w:p>
          <w:p w14:paraId="314CF6E5">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良（5分）：保证工期的施工组织措施方案中在施工工艺、施工方法、材料选用、劳动力安排、技术等方面有保证工期的具体措施且措施可行，并承诺施工工期52</w:t>
            </w:r>
            <w:r>
              <w:rPr>
                <w:rFonts w:hint="eastAsia" w:ascii="宋体" w:hAnsi="宋体"/>
                <w:color w:val="auto"/>
                <w:szCs w:val="21"/>
                <w:highlight w:val="none"/>
              </w:rPr>
              <w:t>日历天</w:t>
            </w:r>
            <w:r>
              <w:rPr>
                <w:rFonts w:hint="eastAsia" w:ascii="宋体" w:hAnsi="宋体" w:cs="宋体"/>
                <w:color w:val="auto"/>
                <w:szCs w:val="21"/>
                <w:highlight w:val="none"/>
                <w:lang w:val="en-US" w:eastAsia="zh-CN"/>
              </w:rPr>
              <w:t>内（含52</w:t>
            </w:r>
            <w:r>
              <w:rPr>
                <w:rFonts w:hint="eastAsia" w:ascii="宋体" w:hAnsi="宋体"/>
                <w:color w:val="auto"/>
                <w:szCs w:val="21"/>
                <w:highlight w:val="none"/>
              </w:rPr>
              <w:t>日历天</w:t>
            </w:r>
            <w:r>
              <w:rPr>
                <w:rFonts w:hint="eastAsia" w:ascii="宋体" w:hAnsi="宋体" w:cs="宋体"/>
                <w:color w:val="auto"/>
                <w:szCs w:val="21"/>
                <w:highlight w:val="none"/>
                <w:lang w:val="en-US" w:eastAsia="zh-CN"/>
              </w:rPr>
              <w:t>）竣工验收。有控制工期的施工进度计划，有施工总进度表或施工网络图，对供应商承诺的工期有一定的保障。</w:t>
            </w:r>
          </w:p>
          <w:p w14:paraId="4A33CE69">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中（3分）：保证工期的施工组织措施方案中在施工工艺、施工方法、材料选用、劳动力安排、技术等方面有具体措施，且有控制工期的施工进度计划，但考虑欠周全。</w:t>
            </w:r>
          </w:p>
          <w:p w14:paraId="78979D9A">
            <w:pPr>
              <w:pStyle w:val="15"/>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一般（1分）：保证工期的施工组织措施方案中有施工工艺、施工方法、劳动力安排等方面有具体实施措施但未提供控制工期的施工进度计划。</w:t>
            </w:r>
          </w:p>
          <w:p w14:paraId="466CC58A">
            <w:pPr>
              <w:pStyle w:val="15"/>
              <w:spacing w:line="400" w:lineRule="exact"/>
              <w:rPr>
                <w:rFonts w:hint="eastAsia" w:ascii="宋体" w:hAnsi="宋体"/>
                <w:color w:val="auto"/>
                <w:szCs w:val="21"/>
                <w:highlight w:val="none"/>
              </w:rPr>
            </w:pPr>
            <w:r>
              <w:rPr>
                <w:rFonts w:hint="eastAsia" w:ascii="宋体" w:hAnsi="宋体" w:cs="宋体"/>
                <w:color w:val="auto"/>
                <w:szCs w:val="21"/>
                <w:highlight w:val="none"/>
                <w:lang w:val="en-US" w:eastAsia="zh-CN"/>
              </w:rPr>
              <w:t>差（0分）：未提供此项内容，或提供的方案不能满足施工的需要。</w:t>
            </w:r>
          </w:p>
        </w:tc>
      </w:tr>
      <w:tr w14:paraId="7468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53E6C4BB">
            <w:pPr>
              <w:spacing w:line="360" w:lineRule="auto"/>
              <w:jc w:val="center"/>
              <w:rPr>
                <w:rFonts w:ascii="宋体" w:hAnsi="宋体"/>
                <w:b/>
                <w:color w:val="auto"/>
                <w:szCs w:val="21"/>
                <w:highlight w:val="none"/>
              </w:rPr>
            </w:pPr>
            <w:bookmarkStart w:id="25" w:name="_Hlk195532109"/>
            <w:r>
              <w:rPr>
                <w:rFonts w:hint="eastAsia" w:ascii="宋体" w:hAnsi="宋体"/>
                <w:b/>
                <w:color w:val="auto"/>
                <w:szCs w:val="21"/>
                <w:highlight w:val="none"/>
              </w:rPr>
              <w:t>3</w:t>
            </w:r>
          </w:p>
        </w:tc>
        <w:tc>
          <w:tcPr>
            <w:tcW w:w="1408" w:type="dxa"/>
            <w:vAlign w:val="center"/>
          </w:tcPr>
          <w:p w14:paraId="2D63C92E">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商务分</w:t>
            </w:r>
          </w:p>
          <w:p w14:paraId="57160B4E">
            <w:pPr>
              <w:spacing w:line="360" w:lineRule="auto"/>
              <w:jc w:val="center"/>
              <w:rPr>
                <w:rFonts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15</w:t>
            </w:r>
            <w:r>
              <w:rPr>
                <w:rFonts w:hint="eastAsia" w:ascii="宋体" w:hAnsi="宋体"/>
                <w:b/>
                <w:color w:val="auto"/>
                <w:szCs w:val="21"/>
                <w:highlight w:val="none"/>
              </w:rPr>
              <w:t>分）</w:t>
            </w:r>
          </w:p>
        </w:tc>
        <w:tc>
          <w:tcPr>
            <w:tcW w:w="7257" w:type="dxa"/>
            <w:vAlign w:val="center"/>
          </w:tcPr>
          <w:p w14:paraId="03BC9338">
            <w:pPr>
              <w:spacing w:line="360" w:lineRule="auto"/>
              <w:jc w:val="center"/>
              <w:rPr>
                <w:rFonts w:ascii="宋体" w:hAnsi="宋体"/>
                <w:b/>
                <w:color w:val="auto"/>
                <w:szCs w:val="21"/>
                <w:highlight w:val="none"/>
              </w:rPr>
            </w:pPr>
            <w:r>
              <w:rPr>
                <w:rFonts w:hint="eastAsia" w:ascii="宋体" w:hAnsi="宋体"/>
                <w:b/>
                <w:color w:val="auto"/>
                <w:szCs w:val="21"/>
                <w:highlight w:val="none"/>
                <w:lang w:val="en-US" w:eastAsia="zh-CN"/>
              </w:rPr>
              <w:t>评审标准</w:t>
            </w:r>
          </w:p>
        </w:tc>
      </w:tr>
      <w:tr w14:paraId="1B8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14:paraId="3F3F1C73">
            <w:pPr>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p>
        </w:tc>
        <w:tc>
          <w:tcPr>
            <w:tcW w:w="1408" w:type="dxa"/>
            <w:vAlign w:val="center"/>
          </w:tcPr>
          <w:p w14:paraId="62B60BF6">
            <w:pPr>
              <w:spacing w:line="360" w:lineRule="auto"/>
              <w:jc w:val="center"/>
              <w:rPr>
                <w:rFonts w:hint="eastAsia" w:ascii="宋体" w:hAnsi="宋体"/>
                <w:color w:val="auto"/>
                <w:szCs w:val="21"/>
                <w:highlight w:val="none"/>
              </w:rPr>
            </w:pPr>
            <w:r>
              <w:rPr>
                <w:rFonts w:hint="eastAsia" w:ascii="宋体" w:hAnsi="宋体"/>
                <w:color w:val="auto"/>
                <w:szCs w:val="21"/>
                <w:highlight w:val="none"/>
              </w:rPr>
              <w:t>企业业绩</w:t>
            </w:r>
          </w:p>
          <w:p w14:paraId="73333301">
            <w:pPr>
              <w:spacing w:line="360" w:lineRule="auto"/>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7257" w:type="dxa"/>
            <w:vAlign w:val="center"/>
          </w:tcPr>
          <w:p w14:paraId="2D235B53">
            <w:pPr>
              <w:spacing w:line="360" w:lineRule="auto"/>
              <w:jc w:val="left"/>
              <w:rPr>
                <w:rFonts w:hint="eastAsia" w:ascii="宋体" w:hAnsi="宋体"/>
                <w:color w:val="auto"/>
                <w:szCs w:val="21"/>
                <w:highlight w:val="none"/>
              </w:rPr>
            </w:pPr>
            <w:r>
              <w:rPr>
                <w:rFonts w:hint="eastAsia" w:ascii="宋体" w:hAnsi="宋体"/>
                <w:color w:val="auto"/>
                <w:szCs w:val="21"/>
                <w:highlight w:val="none"/>
              </w:rPr>
              <w:t>供应商2022年5月1日以来承建过类似的房屋修缮工程项目的，每有一个得1</w:t>
            </w:r>
            <w:r>
              <w:rPr>
                <w:rFonts w:hint="eastAsia" w:ascii="宋体" w:hAnsi="宋体"/>
                <w:color w:val="auto"/>
                <w:szCs w:val="21"/>
                <w:highlight w:val="none"/>
                <w:lang w:val="en-US" w:eastAsia="zh-CN"/>
              </w:rPr>
              <w:t>.5</w:t>
            </w:r>
            <w:r>
              <w:rPr>
                <w:rFonts w:hint="eastAsia" w:ascii="宋体" w:hAnsi="宋体"/>
                <w:color w:val="auto"/>
                <w:szCs w:val="21"/>
                <w:highlight w:val="none"/>
              </w:rPr>
              <w:t>分，此项满分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p w14:paraId="2BC40F53">
            <w:pPr>
              <w:spacing w:line="360" w:lineRule="auto"/>
              <w:jc w:val="left"/>
              <w:rPr>
                <w:rFonts w:ascii="宋体" w:hAnsi="宋体"/>
                <w:color w:val="auto"/>
                <w:szCs w:val="21"/>
                <w:highlight w:val="none"/>
              </w:rPr>
            </w:pPr>
            <w:r>
              <w:rPr>
                <w:rFonts w:hint="eastAsia" w:ascii="宋体" w:hAnsi="宋体"/>
                <w:color w:val="auto"/>
                <w:szCs w:val="21"/>
                <w:highlight w:val="none"/>
              </w:rPr>
              <w:t>注：响应文件中提供中标（成交）通知书或合同协议书或竣工验收报告复印件并加盖供应商单位电子公章，供应商提供虚假材料谋取成交的，取消成交资格，并依法承担相应责任。不提供或不按以上要求提供的不予以计分。</w:t>
            </w:r>
          </w:p>
        </w:tc>
      </w:tr>
      <w:bookmarkEnd w:id="25"/>
      <w:tr w14:paraId="3CCB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6" w:type="dxa"/>
            <w:gridSpan w:val="3"/>
            <w:vAlign w:val="center"/>
          </w:tcPr>
          <w:p w14:paraId="0115CFA1">
            <w:pPr>
              <w:spacing w:line="360" w:lineRule="auto"/>
              <w:jc w:val="center"/>
              <w:rPr>
                <w:rFonts w:ascii="宋体" w:hAnsi="宋体"/>
                <w:b/>
                <w:color w:val="auto"/>
                <w:szCs w:val="21"/>
                <w:highlight w:val="none"/>
              </w:rPr>
            </w:pPr>
            <w:r>
              <w:rPr>
                <w:rFonts w:hint="eastAsia" w:ascii="宋体" w:hAnsi="宋体"/>
                <w:b/>
                <w:color w:val="auto"/>
                <w:szCs w:val="21"/>
                <w:highlight w:val="none"/>
              </w:rPr>
              <w:t>总得分</w:t>
            </w:r>
            <w:r>
              <w:rPr>
                <w:rFonts w:ascii="宋体" w:hAnsi="宋体"/>
                <w:b/>
                <w:color w:val="auto"/>
                <w:szCs w:val="21"/>
                <w:highlight w:val="none"/>
              </w:rPr>
              <w:t>100分＝1＋2+3项得分</w:t>
            </w:r>
          </w:p>
        </w:tc>
      </w:tr>
      <w:tr w14:paraId="6159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6" w:type="dxa"/>
            <w:gridSpan w:val="3"/>
            <w:vAlign w:val="center"/>
          </w:tcPr>
          <w:p w14:paraId="4F4843C9">
            <w:pPr>
              <w:spacing w:line="360" w:lineRule="auto"/>
              <w:jc w:val="left"/>
              <w:rPr>
                <w:rFonts w:hint="eastAsia" w:ascii="宋体" w:hAnsi="宋体"/>
                <w:b/>
                <w:color w:val="auto"/>
                <w:szCs w:val="21"/>
                <w:highlight w:val="none"/>
              </w:rPr>
            </w:pPr>
            <w:r>
              <w:rPr>
                <w:rFonts w:hint="eastAsia" w:ascii="宋体" w:hAnsi="宋体"/>
                <w:b/>
                <w:bCs/>
                <w:color w:val="auto"/>
                <w:szCs w:val="21"/>
                <w:highlight w:val="none"/>
                <w:lang w:val="zh-TW"/>
              </w:rPr>
              <w:t>特别说明：</w:t>
            </w:r>
            <w:r>
              <w:rPr>
                <w:rFonts w:hint="eastAsia" w:ascii="宋体" w:hAnsi="宋体"/>
                <w:color w:val="auto"/>
                <w:szCs w:val="21"/>
                <w:highlight w:val="none"/>
                <w:lang w:val="zh-TW"/>
              </w:rPr>
              <w:t>为保证项目完成的时间和质量，供应商可以参与一个或多个分标的竞标，但只允许成交一个分标，如在</w:t>
            </w:r>
            <w:r>
              <w:rPr>
                <w:rFonts w:hint="eastAsia" w:ascii="宋体" w:hAnsi="宋体"/>
                <w:color w:val="auto"/>
                <w:szCs w:val="21"/>
                <w:highlight w:val="none"/>
              </w:rPr>
              <w:t>1</w:t>
            </w:r>
            <w:r>
              <w:rPr>
                <w:rFonts w:hint="eastAsia" w:ascii="宋体" w:hAnsi="宋体"/>
                <w:color w:val="auto"/>
                <w:szCs w:val="21"/>
                <w:highlight w:val="none"/>
                <w:lang w:val="zh-TW"/>
              </w:rPr>
              <w:t>分标评审中为第一成交候选人，则不成为</w:t>
            </w:r>
            <w:r>
              <w:rPr>
                <w:rFonts w:hint="eastAsia" w:ascii="宋体" w:hAnsi="宋体"/>
                <w:color w:val="auto"/>
                <w:szCs w:val="21"/>
                <w:highlight w:val="none"/>
              </w:rPr>
              <w:t>2</w:t>
            </w:r>
            <w:r>
              <w:rPr>
                <w:rFonts w:hint="eastAsia" w:ascii="宋体" w:hAnsi="宋体"/>
                <w:color w:val="auto"/>
                <w:szCs w:val="21"/>
                <w:highlight w:val="none"/>
                <w:lang w:val="zh-TW"/>
              </w:rPr>
              <w:t>分标的成交候选人。</w:t>
            </w:r>
          </w:p>
        </w:tc>
      </w:tr>
    </w:tbl>
    <w:p w14:paraId="4CCD3695">
      <w:pPr>
        <w:spacing w:line="360" w:lineRule="auto"/>
        <w:ind w:firstLine="420" w:firstLineChars="200"/>
        <w:rPr>
          <w:rFonts w:ascii="宋体" w:hAnsi="宋体" w:eastAsia="宋体"/>
          <w:color w:val="auto"/>
          <w:szCs w:val="21"/>
          <w:highlight w:val="none"/>
        </w:rPr>
      </w:pPr>
    </w:p>
    <w:p w14:paraId="009BDA96">
      <w:pPr>
        <w:pStyle w:val="2"/>
        <w:jc w:val="center"/>
        <w:rPr>
          <w:rFonts w:ascii="宋体" w:hAnsi="宋体" w:eastAsia="宋体"/>
          <w:color w:val="auto"/>
          <w:highlight w:val="none"/>
        </w:rPr>
      </w:pPr>
      <w:bookmarkStart w:id="26" w:name="_Toc197530115"/>
      <w:r>
        <w:rPr>
          <w:rFonts w:hint="eastAsia" w:ascii="宋体" w:hAnsi="宋体" w:eastAsia="宋体"/>
          <w:color w:val="auto"/>
          <w:highlight w:val="none"/>
        </w:rPr>
        <w:t>第五</w:t>
      </w:r>
      <w:r>
        <w:rPr>
          <w:rFonts w:hint="eastAsia" w:ascii="宋体" w:hAnsi="宋体" w:eastAsia="宋体"/>
          <w:color w:val="auto"/>
          <w:spacing w:val="100"/>
          <w:highlight w:val="none"/>
        </w:rPr>
        <w:t>章</w:t>
      </w:r>
      <w:r>
        <w:rPr>
          <w:rFonts w:hint="eastAsia" w:ascii="宋体" w:hAnsi="宋体" w:eastAsia="宋体"/>
          <w:color w:val="auto"/>
          <w:highlight w:val="none"/>
        </w:rPr>
        <w:t>工程量清单、招标控制价及图纸</w:t>
      </w:r>
      <w:bookmarkEnd w:id="26"/>
    </w:p>
    <w:p w14:paraId="761D6450">
      <w:pPr>
        <w:spacing w:line="360" w:lineRule="auto"/>
        <w:ind w:firstLine="420" w:firstLineChars="200"/>
        <w:rPr>
          <w:rFonts w:ascii="宋体" w:hAnsi="宋体" w:eastAsia="宋体"/>
          <w:color w:val="auto"/>
          <w:szCs w:val="21"/>
          <w:highlight w:val="none"/>
        </w:rPr>
      </w:pPr>
      <w:bookmarkStart w:id="27" w:name="OLE_LINK59"/>
      <w:bookmarkStart w:id="28" w:name="OLE_LINK65"/>
      <w:r>
        <w:rPr>
          <w:rFonts w:hint="eastAsia" w:ascii="宋体" w:hAnsi="宋体" w:eastAsia="宋体"/>
          <w:color w:val="auto"/>
          <w:szCs w:val="21"/>
          <w:highlight w:val="none"/>
        </w:rPr>
        <w:t>1.工程量清单编制说明</w:t>
      </w:r>
    </w:p>
    <w:p w14:paraId="609E37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本工程量清单依据《建设工程工程量清单计价规范（GB50500-2013）广西实施细则》（以下简称“《计价规范》”）、《工程量清单计算规范（GB50854～50862-2013）》及广西实施细则（修订本）（以下简称“《计算规范》”）、《关于建筑业实施营业税改征增值税后广西壮族自治区建设工程计价依据调整的通知》（桂建标〔2016〕17号）、磋商文件、施工图等编制。计算规范中没有的清单项目，应在本章第1.4款约定。</w:t>
      </w:r>
    </w:p>
    <w:p w14:paraId="30BB07C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1.2工程量清单应与供应商须知、合同协议条款、合同的通用条款、合同专用条款、技术规范及图纸等文件一起结合使用。</w:t>
      </w:r>
    </w:p>
    <w:p w14:paraId="1226B34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1.3工程量清单是磋商文件的组成部分，是工程量清单计价的基础，作为编制最高限价、竞争性磋商报价、计算或调整工程量、索赔等的依据之一。</w:t>
      </w:r>
    </w:p>
    <w:p w14:paraId="71B8EE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1.4补充清单项目的特征、计量单位、工程量计算规则及工作内容说明如下：无。</w:t>
      </w:r>
    </w:p>
    <w:p w14:paraId="5EAB55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1.5《允许调整主要材料和工程设备一览表》（表-22，表格编号为计价规范相应表格编号，下同）作为项目实施过程中材料和设备价格风险调整依据。</w:t>
      </w:r>
    </w:p>
    <w:p w14:paraId="6DF7FF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1.6本工程暂列金额：共元（人民币）作为合同签订时尚未确定或者不可预见但施工中可能发生的费用。</w:t>
      </w:r>
    </w:p>
    <w:p w14:paraId="5E0DC19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1.7本工程发包人提供的材料和设备详见《发包人提供的主要材料和工程设备一览表》（表-21）。</w:t>
      </w:r>
    </w:p>
    <w:p w14:paraId="50C9DB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1.8本工程部分材料和设备在招标时作为暂估价计列，结算按实调整，具体内容详见《材料（工程设备）暂估单价及调整表》（表12-2）。</w:t>
      </w:r>
    </w:p>
    <w:p w14:paraId="6AF22A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1.9招标时暂估专业工程的价款属于暂估价，结算按实调整，具体内容详见《专业工程暂估价及结算价表》（表12-3）。</w:t>
      </w:r>
    </w:p>
    <w:p w14:paraId="675AF94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1.10本工程量清单编码处标注“*”号的清单项目作为主要清单项目，需要供应商提供《主要清单项目工料机分析表》（表-10）。</w:t>
      </w:r>
    </w:p>
    <w:p w14:paraId="281AAE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1.11其它需要说明的问题：无。</w:t>
      </w:r>
    </w:p>
    <w:p w14:paraId="2295FEF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工程量清单与磋商文件同时发布。一般计税法建设工程的工程量清单表格按《关于建筑业实施营业税改征增值税后广西壮族自治区建设工程计价依据调整的通知》（桂建标〔2016〕17号）附件“增值税一般计税方法工程计价表”要求提供；简易计税法建设工程按照《计价规范》要求的表格提供，但规费和税费要按照《关于建筑业实施营业税改征增值税后广西壮族自治区建设工程计价依据调整的通知》（桂建标〔2016〕17号）要求调整，具体包括：</w:t>
      </w:r>
    </w:p>
    <w:p w14:paraId="6F6292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1.1招标工程量清单（封-1）</w:t>
      </w:r>
    </w:p>
    <w:p w14:paraId="339B641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1.2招标工程量清单（封扉-1）</w:t>
      </w:r>
    </w:p>
    <w:p w14:paraId="6B5B785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1.3总说明（表-01）</w:t>
      </w:r>
    </w:p>
    <w:p w14:paraId="2F2434A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1.4建设项目投标报价汇总表（表-02）</w:t>
      </w:r>
    </w:p>
    <w:p w14:paraId="1B0430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1.5单项工程投标报价汇总表（表-03）</w:t>
      </w:r>
    </w:p>
    <w:p w14:paraId="0AC3807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1.6单位工程投标报价汇总表（表-04）</w:t>
      </w:r>
    </w:p>
    <w:p w14:paraId="092378F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1.7分部分项工程和单价措施项目清单与计价表（表-08）</w:t>
      </w:r>
    </w:p>
    <w:p w14:paraId="30E591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1.8总价措施项目清单与计价表（表-11）</w:t>
      </w:r>
    </w:p>
    <w:p w14:paraId="720AA9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1.9其他项目清单与计价汇总表（表-12）</w:t>
      </w:r>
    </w:p>
    <w:p w14:paraId="1E1CEA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1.10暂列金额明细表（表12-1）</w:t>
      </w:r>
    </w:p>
    <w:p w14:paraId="5652A7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1.11材料（工程设备）暂估单价及调整表（表12-2）</w:t>
      </w:r>
    </w:p>
    <w:p w14:paraId="3BFF69C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1.12专业工程暂估价及结算价表（表12-3）</w:t>
      </w:r>
    </w:p>
    <w:p w14:paraId="50891D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1.13计日工表（表12-4）</w:t>
      </w:r>
    </w:p>
    <w:p w14:paraId="373BCD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1.14总承包服务费计价表（表12-5）</w:t>
      </w:r>
    </w:p>
    <w:p w14:paraId="0C39F4C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1.15税前项目清单与计价表（表-14）</w:t>
      </w:r>
    </w:p>
    <w:p w14:paraId="266F9B0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1.16规费、增值税计价表（表-15）</w:t>
      </w:r>
    </w:p>
    <w:p w14:paraId="229B52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1.17发包人提供主要材料和工程设备一览表（表-21）</w:t>
      </w:r>
    </w:p>
    <w:p w14:paraId="3BBCCF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1.18允许调整主要材料和工程设备一览表（适用于造价信息差额调整法）（表-22）</w:t>
      </w:r>
    </w:p>
    <w:p w14:paraId="557E222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1.19允许调整主要材料和工程设备一览表（适用于价格指数差额调整法）（表-23）</w:t>
      </w:r>
    </w:p>
    <w:p w14:paraId="62F2059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1.20本工程材料和工程设备一览表（表-24）</w:t>
      </w:r>
    </w:p>
    <w:p w14:paraId="79CD6B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如本工程在合同中约定采用造价信息价差调整法，1.18允许调整主要材料和工程设备一览表（适用于造价信息差额调整法）（表-22）载明的主要材料和工程设备为本工程允许调整材料和工程设备，工程量清单必须提供该表格，并应载明允许调整材料和工程设备名称型号规格、单位、风险系数、基准单价等内容，且不能提供空白表。</w:t>
      </w:r>
    </w:p>
    <w:p w14:paraId="58A646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以下表格视工程实际需要选用，如该工程不发生如下表格相关项目和费用，所编制工程量清单则不需列入相应表格：</w:t>
      </w:r>
    </w:p>
    <w:p w14:paraId="7DE19B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①建设项目投标报价汇总表（表-02）</w:t>
      </w:r>
    </w:p>
    <w:p w14:paraId="53063C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②暂列金额明细表（表12-1）</w:t>
      </w:r>
    </w:p>
    <w:p w14:paraId="314A1C5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③材料（工程设备）暂估单价及调整表（表12-2）</w:t>
      </w:r>
    </w:p>
    <w:p w14:paraId="032ED6A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④专业工程暂估价表（表12-3）</w:t>
      </w:r>
    </w:p>
    <w:p w14:paraId="36EEA23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⑤计日工表（表12-4）</w:t>
      </w:r>
    </w:p>
    <w:p w14:paraId="7BD1B2A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⑥总承包服务费计价表（表12-5）</w:t>
      </w:r>
    </w:p>
    <w:p w14:paraId="36BFBA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⑦税前项目清单与计价表（表-14）</w:t>
      </w:r>
    </w:p>
    <w:p w14:paraId="74753B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⑧允许调整主要材料和工程设备一览表（适用于价格指数差额调整法）（表-23）</w:t>
      </w:r>
    </w:p>
    <w:p w14:paraId="5073A5F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2.最高限价编制说明</w:t>
      </w:r>
    </w:p>
    <w:p w14:paraId="7FB207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2.1最高限价编制依据：</w:t>
      </w:r>
    </w:p>
    <w:p w14:paraId="6BCD60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（1）《计价规范》及《计算规范》、《关于建筑业实施营业税改征增值税后广西壮族自治区建设工程计价依据调整的通知》（桂建标〔2016〕17号）等；</w:t>
      </w:r>
    </w:p>
    <w:p w14:paraId="410442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（2）自治区住房城乡建设行政主管部门颁发的计价定额及有关规定：</w:t>
      </w:r>
    </w:p>
    <w:p w14:paraId="5B77B8E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1）《建设工程工程量清单计价规范》（GB50500-</w:t>
      </w:r>
      <w:r>
        <w:rPr>
          <w:rFonts w:hint="eastAsia" w:ascii="宋体" w:hAnsi="宋体" w:eastAsia="宋体"/>
          <w:color w:val="auto"/>
          <w:szCs w:val="21"/>
          <w:highlight w:val="none"/>
          <w:lang w:val="en-US" w:eastAsia="zh-CN"/>
        </w:rPr>
        <w:t>2013</w:t>
      </w:r>
      <w:r>
        <w:rPr>
          <w:rFonts w:hint="eastAsia" w:ascii="宋体" w:hAnsi="宋体" w:eastAsia="宋体"/>
          <w:color w:val="auto"/>
          <w:szCs w:val="21"/>
          <w:highlight w:val="none"/>
        </w:rPr>
        <w:t>）；</w:t>
      </w:r>
    </w:p>
    <w:p w14:paraId="1AFD940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2）《&lt;建设工程工程量清单计价规范》（GB50500-2013）&gt;广西壮族自治区实施细则》；</w:t>
      </w:r>
    </w:p>
    <w:p w14:paraId="0D2441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3）《建设工程工程量计算规范》（GB50854～50862-2013）；</w:t>
      </w:r>
    </w:p>
    <w:p w14:paraId="42EB389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4）《建设工程工程量计算规范（GB50854～50862-2013）广西壮族自治区实施细则（修订本）》；</w:t>
      </w:r>
    </w:p>
    <w:p w14:paraId="54E6C3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5）2024年《广西壮族自治区建筑装饰装修工程消耗量定额》；</w:t>
      </w:r>
    </w:p>
    <w:p w14:paraId="33D7E3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6）2024年《广西壮族自治区建筑拆除工程消耗量定额》；</w:t>
      </w:r>
    </w:p>
    <w:p w14:paraId="7C355B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7）2023年《广西壮族自治区安装工程消耗量定额》；</w:t>
      </w:r>
    </w:p>
    <w:p w14:paraId="4006CB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8）2013年《广西壮族自治区安装拆除工程消耗量定额》及其配套费用定额。</w:t>
      </w:r>
    </w:p>
    <w:p w14:paraId="25FF3EE7">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eastAsia="宋体"/>
          <w:color w:val="auto"/>
          <w:szCs w:val="21"/>
          <w:highlight w:val="none"/>
        </w:rPr>
        <w:t>）2016年《广西壮族自治区建设工程费用定额》；</w:t>
      </w:r>
    </w:p>
    <w:p w14:paraId="4C1CF344">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eastAsia="宋体"/>
          <w:color w:val="auto"/>
          <w:szCs w:val="21"/>
          <w:highlight w:val="none"/>
        </w:rPr>
        <w:t>）2018年《广西壮族自治区工程建设其他费用定额》；</w:t>
      </w:r>
    </w:p>
    <w:p w14:paraId="0DAD5F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1</w:t>
      </w:r>
      <w:r>
        <w:rPr>
          <w:rFonts w:hint="eastAsia" w:ascii="宋体" w:hAnsi="宋体" w:eastAsia="宋体"/>
          <w:color w:val="auto"/>
          <w:szCs w:val="21"/>
          <w:highlight w:val="none"/>
        </w:rPr>
        <w:t>《自治区住房城乡建设厅关于建筑业实施营业税改征增值税后广西壮族自治区建设工程计价依据调整的通知》（桂建标[2016]17号文）；</w:t>
      </w:r>
    </w:p>
    <w:p w14:paraId="4F2C1B8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2</w:t>
      </w:r>
      <w:r>
        <w:rPr>
          <w:rFonts w:hint="eastAsia" w:ascii="宋体" w:hAnsi="宋体" w:eastAsia="宋体"/>
          <w:color w:val="auto"/>
          <w:szCs w:val="21"/>
          <w:highlight w:val="none"/>
        </w:rPr>
        <w:t>）《自治区住房城乡建设厅关于调整建设工程计价增值税税率的通知》（桂建标[2019]12号文）；</w:t>
      </w:r>
    </w:p>
    <w:p w14:paraId="6A27E4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3</w:t>
      </w:r>
      <w:r>
        <w:rPr>
          <w:rFonts w:hint="eastAsia" w:ascii="宋体" w:hAnsi="宋体" w:eastAsia="宋体"/>
          <w:color w:val="auto"/>
          <w:szCs w:val="21"/>
          <w:highlight w:val="none"/>
        </w:rPr>
        <w:t>）《自治区住房城乡建设厅关于调整建设工程定额人工费及有关费率的通知》（桂建标[2023]7号）；</w:t>
      </w:r>
    </w:p>
    <w:p w14:paraId="3E97ED7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4）</w:t>
      </w:r>
      <w:r>
        <w:rPr>
          <w:rFonts w:hint="eastAsia" w:ascii="宋体" w:hAnsi="宋体" w:eastAsia="宋体"/>
          <w:color w:val="auto"/>
          <w:szCs w:val="21"/>
          <w:highlight w:val="none"/>
        </w:rPr>
        <w:t>《自治区住房城乡建设厅关于印发广西壮族自治区房屋建筑和市政基础设施工程安装生产责任保险计价规定的通知》（桂建发〔2023〕6号）；</w:t>
      </w:r>
    </w:p>
    <w:p w14:paraId="1762C0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5</w:t>
      </w:r>
      <w:r>
        <w:rPr>
          <w:rFonts w:hint="eastAsia" w:ascii="宋体" w:hAnsi="宋体" w:eastAsia="宋体"/>
          <w:color w:val="auto"/>
          <w:szCs w:val="21"/>
          <w:highlight w:val="none"/>
        </w:rPr>
        <w:t>）现行相关的标准、规范、技术资料；</w:t>
      </w:r>
    </w:p>
    <w:p w14:paraId="427CC2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6</w:t>
      </w:r>
      <w:r>
        <w:rPr>
          <w:rFonts w:hint="eastAsia" w:ascii="宋体" w:hAnsi="宋体" w:eastAsia="宋体"/>
          <w:color w:val="auto"/>
          <w:szCs w:val="21"/>
          <w:highlight w:val="none"/>
        </w:rPr>
        <w:t>）本工程施工图纸。</w:t>
      </w:r>
    </w:p>
    <w:p w14:paraId="47465A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（3）建设工程设计文件及相关资料：详见施工图纸。</w:t>
      </w:r>
    </w:p>
    <w:p w14:paraId="710D4B1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（4）本工程磋商文件及工程量清单；</w:t>
      </w:r>
    </w:p>
    <w:p w14:paraId="26065F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（5）与建设项目相关的标准、规范、技术资料；</w:t>
      </w:r>
    </w:p>
    <w:p w14:paraId="5D9399E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（6）施工现场情况、工程特点及常规施工方案；</w:t>
      </w:r>
    </w:p>
    <w:p w14:paraId="0284B86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（7）材料价格信息：材料价格按《南宁建设工程造价信息》202</w:t>
      </w:r>
      <w:r>
        <w:rPr>
          <w:rFonts w:ascii="宋体" w:hAnsi="宋体" w:eastAsia="宋体"/>
          <w:color w:val="auto"/>
          <w:szCs w:val="21"/>
          <w:highlight w:val="none"/>
        </w:rPr>
        <w:t>5</w:t>
      </w:r>
      <w:r>
        <w:rPr>
          <w:rFonts w:hint="eastAsia" w:ascii="宋体" w:hAnsi="宋体" w:eastAsia="宋体"/>
          <w:color w:val="auto"/>
          <w:szCs w:val="21"/>
          <w:highlight w:val="none"/>
        </w:rPr>
        <w:t>第</w:t>
      </w:r>
      <w:r>
        <w:rPr>
          <w:rFonts w:ascii="宋体" w:hAnsi="宋体" w:eastAsia="宋体"/>
          <w:color w:val="auto"/>
          <w:szCs w:val="21"/>
          <w:highlight w:val="none"/>
        </w:rPr>
        <w:t>2</w:t>
      </w:r>
      <w:r>
        <w:rPr>
          <w:rFonts w:hint="eastAsia" w:ascii="宋体" w:hAnsi="宋体" w:eastAsia="宋体"/>
          <w:color w:val="auto"/>
          <w:szCs w:val="21"/>
          <w:highlight w:val="none"/>
        </w:rPr>
        <w:t>期（下半月刊）计取，南宁市没有发布价格信息的材料参考其它市信息价或市场询价。</w:t>
      </w:r>
    </w:p>
    <w:p w14:paraId="38A3B7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2.2分部分项及单价措施项目综合单价应包括磋商文件中采购人要求供应商所承担的风险内容及其范围（幅度）产生的风险费用。</w:t>
      </w:r>
    </w:p>
    <w:p w14:paraId="7BD16E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2.3总价措施项目应根据拟定的磋商文件和常规施工方案按《计价规范》和《计算规范》规定编制。</w:t>
      </w:r>
    </w:p>
    <w:p w14:paraId="2C90E2E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2.4其他项目费应按下列规定报价：</w:t>
      </w:r>
    </w:p>
    <w:p w14:paraId="4D5EA1E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（1）暂列金额应按工程量清单中列出的金额填写；</w:t>
      </w:r>
    </w:p>
    <w:p w14:paraId="4275BB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（2）材料、工程设备暂估价应按工程量清单中列出的单价计入综合单价；</w:t>
      </w:r>
    </w:p>
    <w:p w14:paraId="39A48B1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（3）专业工程暂估价应按工程量清单中列出的金额填写，安全生产责任保险费暂估价应按工程量清单中列出的金额填写；</w:t>
      </w:r>
    </w:p>
    <w:p w14:paraId="787884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（4）计日工应按工程量清单中列出的项目和数量，根据工程特点和有关计价依据确定的综合单价计算；</w:t>
      </w:r>
    </w:p>
    <w:p w14:paraId="4896F5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2.5规费和增值税应按规定确定，作为不可竞争费用。</w:t>
      </w:r>
    </w:p>
    <w:p w14:paraId="6243C2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其它需要说明的问题：安全生产责任保险费按《自治区住房城乡建设厅关于印发广西壮族自治区房屋建筑和市政基础设施工程安全生产责任保险计价规定的通知》（桂建发〔2023〕6号）计算，工程结算时，由发承包双方根据工程实际情况确认的安全生产责任保险费进行结算。</w:t>
      </w:r>
    </w:p>
    <w:p w14:paraId="5C99B159">
      <w:pPr>
        <w:spacing w:line="360" w:lineRule="auto"/>
        <w:ind w:firstLine="420" w:firstLineChars="200"/>
        <w:rPr>
          <w:rFonts w:ascii="宋体" w:hAnsi="宋体" w:eastAsia="宋体"/>
          <w:b/>
          <w:color w:val="auto"/>
          <w:szCs w:val="21"/>
          <w:highlight w:val="none"/>
        </w:rPr>
      </w:pPr>
      <w:r>
        <w:rPr>
          <w:rFonts w:hint="eastAsia" w:ascii="宋体" w:hAnsi="宋体" w:eastAsia="宋体"/>
          <w:color w:val="auto"/>
          <w:szCs w:val="21"/>
          <w:highlight w:val="none"/>
        </w:rPr>
        <w:t>3.最高限价和图纸（另册）</w:t>
      </w:r>
      <w:bookmarkEnd w:id="27"/>
      <w:bookmarkEnd w:id="28"/>
    </w:p>
    <w:p w14:paraId="0F358677">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1374429F">
      <w:pPr>
        <w:pStyle w:val="2"/>
        <w:jc w:val="center"/>
        <w:rPr>
          <w:rFonts w:ascii="宋体" w:hAnsi="宋体" w:eastAsia="宋体"/>
          <w:color w:val="auto"/>
          <w:highlight w:val="none"/>
        </w:rPr>
      </w:pPr>
      <w:bookmarkStart w:id="29" w:name="_Toc197530116"/>
      <w:r>
        <w:rPr>
          <w:rFonts w:hint="eastAsia" w:ascii="宋体" w:hAnsi="宋体" w:eastAsia="宋体"/>
          <w:color w:val="auto"/>
          <w:highlight w:val="none"/>
        </w:rPr>
        <w:t>第六</w:t>
      </w:r>
      <w:r>
        <w:rPr>
          <w:rFonts w:hint="eastAsia" w:ascii="宋体" w:hAnsi="宋体" w:eastAsia="宋体"/>
          <w:color w:val="auto"/>
          <w:spacing w:val="100"/>
          <w:highlight w:val="none"/>
        </w:rPr>
        <w:t>章</w:t>
      </w:r>
      <w:r>
        <w:rPr>
          <w:rFonts w:hint="eastAsia" w:ascii="宋体" w:hAnsi="宋体" w:eastAsia="宋体"/>
          <w:color w:val="auto"/>
          <w:highlight w:val="none"/>
        </w:rPr>
        <w:t>响应文件格式</w:t>
      </w:r>
      <w:bookmarkEnd w:id="29"/>
    </w:p>
    <w:p w14:paraId="6E2C9ADC">
      <w:pPr>
        <w:pStyle w:val="3"/>
        <w:jc w:val="center"/>
        <w:rPr>
          <w:color w:val="auto"/>
          <w:highlight w:val="none"/>
        </w:rPr>
      </w:pPr>
      <w:bookmarkStart w:id="30" w:name="_Toc197530117"/>
      <w:r>
        <w:rPr>
          <w:rFonts w:hint="eastAsia"/>
          <w:color w:val="auto"/>
          <w:highlight w:val="none"/>
        </w:rPr>
        <w:t>一、资格证明文件格式</w:t>
      </w:r>
      <w:bookmarkEnd w:id="30"/>
    </w:p>
    <w:p w14:paraId="403DE69A">
      <w:pPr>
        <w:spacing w:line="360" w:lineRule="auto"/>
        <w:ind w:firstLine="420" w:firstLineChars="200"/>
        <w:rPr>
          <w:rFonts w:ascii="宋体" w:hAnsi="宋体" w:eastAsia="宋体"/>
          <w:color w:val="auto"/>
          <w:szCs w:val="21"/>
          <w:highlight w:val="none"/>
        </w:rPr>
      </w:pPr>
    </w:p>
    <w:p w14:paraId="21C48561">
      <w:pPr>
        <w:spacing w:line="360" w:lineRule="auto"/>
        <w:ind w:firstLine="420" w:firstLineChars="200"/>
        <w:rPr>
          <w:rFonts w:ascii="宋体" w:hAnsi="宋体" w:eastAsia="宋体"/>
          <w:color w:val="auto"/>
          <w:szCs w:val="21"/>
          <w:highlight w:val="none"/>
        </w:rPr>
      </w:pPr>
    </w:p>
    <w:p w14:paraId="0B3D8F24">
      <w:pP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资格证明文件（封面）</w:t>
      </w:r>
    </w:p>
    <w:p w14:paraId="53A914B2">
      <w:pPr>
        <w:spacing w:line="360" w:lineRule="auto"/>
        <w:ind w:firstLine="420" w:firstLineChars="200"/>
        <w:rPr>
          <w:rFonts w:ascii="宋体" w:hAnsi="宋体" w:eastAsia="宋体"/>
          <w:color w:val="auto"/>
          <w:szCs w:val="21"/>
          <w:highlight w:val="none"/>
        </w:rPr>
      </w:pPr>
    </w:p>
    <w:p w14:paraId="188BC87C">
      <w:pPr>
        <w:spacing w:line="360" w:lineRule="auto"/>
        <w:ind w:firstLine="420" w:firstLineChars="200"/>
        <w:rPr>
          <w:rFonts w:ascii="宋体" w:hAnsi="宋体" w:eastAsia="宋体"/>
          <w:color w:val="auto"/>
          <w:szCs w:val="21"/>
          <w:highlight w:val="none"/>
        </w:rPr>
      </w:pPr>
    </w:p>
    <w:p w14:paraId="4596EC07">
      <w:pPr>
        <w:spacing w:line="360" w:lineRule="auto"/>
        <w:ind w:firstLine="420" w:firstLineChars="200"/>
        <w:rPr>
          <w:rFonts w:ascii="宋体" w:hAnsi="宋体" w:eastAsia="宋体"/>
          <w:color w:val="auto"/>
          <w:szCs w:val="21"/>
          <w:highlight w:val="none"/>
        </w:rPr>
      </w:pPr>
    </w:p>
    <w:p w14:paraId="49E99E1C">
      <w:pPr>
        <w:spacing w:line="360" w:lineRule="auto"/>
        <w:ind w:firstLine="420" w:firstLineChars="200"/>
        <w:rPr>
          <w:rFonts w:ascii="宋体" w:hAnsi="宋体" w:eastAsia="宋体"/>
          <w:color w:val="auto"/>
          <w:szCs w:val="21"/>
          <w:highlight w:val="none"/>
        </w:rPr>
      </w:pPr>
    </w:p>
    <w:p w14:paraId="226382A6">
      <w:pPr>
        <w:spacing w:line="360" w:lineRule="auto"/>
        <w:ind w:firstLine="420" w:firstLineChars="200"/>
        <w:rPr>
          <w:rFonts w:ascii="宋体" w:hAnsi="宋体" w:eastAsia="宋体"/>
          <w:color w:val="auto"/>
          <w:szCs w:val="21"/>
          <w:highlight w:val="none"/>
        </w:rPr>
      </w:pPr>
    </w:p>
    <w:p w14:paraId="5E97D20D">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w:t>
      </w:r>
    </w:p>
    <w:p w14:paraId="01621BF6">
      <w:pPr>
        <w:spacing w:line="360" w:lineRule="auto"/>
        <w:ind w:firstLine="420" w:firstLineChars="200"/>
        <w:rPr>
          <w:rFonts w:ascii="宋体" w:hAnsi="宋体" w:eastAsia="宋体"/>
          <w:color w:val="auto"/>
          <w:szCs w:val="21"/>
          <w:highlight w:val="none"/>
        </w:rPr>
      </w:pPr>
    </w:p>
    <w:p w14:paraId="2BD75AAD">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w:t>
      </w:r>
    </w:p>
    <w:p w14:paraId="7FBE5C10">
      <w:pPr>
        <w:spacing w:line="360" w:lineRule="auto"/>
        <w:ind w:firstLine="420" w:firstLineChars="200"/>
        <w:rPr>
          <w:rFonts w:ascii="宋体" w:hAnsi="宋体" w:eastAsia="宋体"/>
          <w:color w:val="auto"/>
          <w:szCs w:val="21"/>
          <w:highlight w:val="none"/>
        </w:rPr>
      </w:pPr>
    </w:p>
    <w:p w14:paraId="44DEC683">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31727904">
      <w:pPr>
        <w:spacing w:line="360" w:lineRule="auto"/>
        <w:ind w:firstLine="420" w:firstLineChars="200"/>
        <w:rPr>
          <w:rFonts w:ascii="宋体" w:hAnsi="宋体" w:eastAsia="宋体"/>
          <w:color w:val="auto"/>
          <w:szCs w:val="21"/>
          <w:highlight w:val="none"/>
        </w:rPr>
      </w:pPr>
    </w:p>
    <w:p w14:paraId="0F9957BC">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08C79381">
      <w:pPr>
        <w:spacing w:line="360" w:lineRule="auto"/>
        <w:ind w:firstLine="640" w:firstLineChars="200"/>
        <w:rPr>
          <w:rFonts w:ascii="宋体" w:hAnsi="宋体" w:eastAsia="宋体"/>
          <w:color w:val="auto"/>
          <w:sz w:val="32"/>
          <w:szCs w:val="32"/>
          <w:highlight w:val="none"/>
        </w:rPr>
      </w:pPr>
    </w:p>
    <w:p w14:paraId="6B7264EC">
      <w:pPr>
        <w:spacing w:line="360" w:lineRule="auto"/>
        <w:ind w:firstLine="420" w:firstLineChars="200"/>
        <w:rPr>
          <w:rFonts w:ascii="宋体" w:hAnsi="宋体" w:eastAsia="宋体"/>
          <w:color w:val="auto"/>
          <w:szCs w:val="21"/>
          <w:highlight w:val="none"/>
        </w:rPr>
      </w:pPr>
    </w:p>
    <w:p w14:paraId="1E96A042">
      <w:pPr>
        <w:spacing w:line="360" w:lineRule="auto"/>
        <w:ind w:firstLine="420" w:firstLineChars="200"/>
        <w:rPr>
          <w:rFonts w:ascii="宋体" w:hAnsi="宋体" w:eastAsia="宋体"/>
          <w:color w:val="auto"/>
          <w:szCs w:val="21"/>
          <w:highlight w:val="none"/>
        </w:rPr>
      </w:pPr>
    </w:p>
    <w:p w14:paraId="138EB475">
      <w:pPr>
        <w:spacing w:line="360" w:lineRule="auto"/>
        <w:ind w:firstLine="420" w:firstLineChars="200"/>
        <w:rPr>
          <w:rFonts w:ascii="宋体" w:hAnsi="宋体" w:eastAsia="宋体"/>
          <w:color w:val="auto"/>
          <w:szCs w:val="21"/>
          <w:highlight w:val="none"/>
        </w:rPr>
      </w:pPr>
    </w:p>
    <w:p w14:paraId="64ADB3FC">
      <w:pPr>
        <w:spacing w:line="360" w:lineRule="auto"/>
        <w:jc w:val="center"/>
        <w:rPr>
          <w:rFonts w:ascii="宋体" w:hAnsi="宋体" w:eastAsia="宋体" w:cs="Times New Roman"/>
          <w:color w:val="auto"/>
          <w:sz w:val="32"/>
          <w:szCs w:val="32"/>
          <w:highlight w:val="none"/>
        </w:rPr>
      </w:pP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年</w:t>
      </w: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月</w:t>
      </w: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日</w:t>
      </w:r>
    </w:p>
    <w:p w14:paraId="76DEAF53">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57F8E8C1">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资格证明文件目录</w:t>
      </w:r>
    </w:p>
    <w:p w14:paraId="030619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根据磋商文件规定及供应商提供的材料自行编写目录（部分格式后附）。</w:t>
      </w:r>
    </w:p>
    <w:p w14:paraId="1C128724">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0DD72C67">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（一）供应商为法人或者其他组织的，提供营业执照等证明文件复印件（如营业执照或者事业单位法人证书或者执业许可证等）</w:t>
      </w:r>
    </w:p>
    <w:p w14:paraId="12CF1801">
      <w:pPr>
        <w:spacing w:line="360" w:lineRule="auto"/>
        <w:ind w:firstLine="420" w:firstLineChars="200"/>
        <w:rPr>
          <w:rFonts w:ascii="宋体" w:hAnsi="宋体" w:eastAsia="宋体"/>
          <w:color w:val="auto"/>
          <w:szCs w:val="21"/>
          <w:highlight w:val="none"/>
        </w:rPr>
      </w:pPr>
    </w:p>
    <w:p w14:paraId="2DD894C3">
      <w:pPr>
        <w:spacing w:line="360" w:lineRule="auto"/>
        <w:ind w:firstLine="420" w:firstLineChars="200"/>
        <w:rPr>
          <w:rFonts w:ascii="宋体" w:hAnsi="宋体" w:eastAsia="宋体"/>
          <w:color w:val="auto"/>
          <w:szCs w:val="21"/>
          <w:highlight w:val="none"/>
        </w:rPr>
      </w:pPr>
    </w:p>
    <w:p w14:paraId="68CFD1BB">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（二）符合参与政府采购活动的资格条件依法缴纳税收、社会保障资金等方面的材料</w:t>
      </w:r>
    </w:p>
    <w:p w14:paraId="07ADEB6C">
      <w:pPr>
        <w:spacing w:line="360" w:lineRule="auto"/>
        <w:ind w:firstLine="420" w:firstLineChars="200"/>
        <w:rPr>
          <w:rFonts w:ascii="宋体" w:hAnsi="宋体" w:eastAsia="宋体"/>
          <w:color w:val="auto"/>
          <w:szCs w:val="21"/>
          <w:highlight w:val="none"/>
        </w:rPr>
      </w:pPr>
    </w:p>
    <w:p w14:paraId="362D44B5">
      <w:pPr>
        <w:spacing w:line="360" w:lineRule="auto"/>
        <w:ind w:firstLine="420" w:firstLineChars="200"/>
        <w:rPr>
          <w:rFonts w:ascii="宋体" w:hAnsi="宋体" w:eastAsia="宋体"/>
          <w:color w:val="auto"/>
          <w:szCs w:val="21"/>
          <w:highlight w:val="none"/>
        </w:rPr>
      </w:pPr>
    </w:p>
    <w:p w14:paraId="01B1AF9F">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（三）财务状况报告方面的材料</w:t>
      </w:r>
    </w:p>
    <w:p w14:paraId="18AB0E67">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3.1财务状况报告</w:t>
      </w:r>
    </w:p>
    <w:p w14:paraId="017D3699">
      <w:pPr>
        <w:spacing w:line="360" w:lineRule="auto"/>
        <w:jc w:val="center"/>
        <w:rPr>
          <w:rFonts w:hint="eastAsia" w:ascii="宋体" w:hAnsi="宋体" w:eastAsia="宋体" w:cs="Times New Roman"/>
          <w:b/>
          <w:color w:val="auto"/>
          <w:sz w:val="32"/>
          <w:szCs w:val="32"/>
          <w:highlight w:val="none"/>
        </w:rPr>
      </w:pPr>
    </w:p>
    <w:p w14:paraId="7BF4B3E0">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3.2财务状况承诺书</w:t>
      </w:r>
    </w:p>
    <w:p w14:paraId="24DAC7EC">
      <w:pPr>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我公司郑重承诺：承诺合同履行过程中，由于账户问题导致工程款无法按时支付的，由我公司负责。</w:t>
      </w:r>
    </w:p>
    <w:p w14:paraId="5413EFB8">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法定代表人（签字或者盖章或者电子签名）：</w:t>
      </w:r>
    </w:p>
    <w:p w14:paraId="1AFA161A">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6202E58">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499127D7">
      <w:pPr>
        <w:spacing w:line="360" w:lineRule="auto"/>
        <w:ind w:firstLine="420" w:firstLineChars="200"/>
        <w:rPr>
          <w:rFonts w:ascii="宋体" w:hAnsi="宋体" w:eastAsia="宋体"/>
          <w:color w:val="auto"/>
          <w:szCs w:val="21"/>
          <w:highlight w:val="none"/>
        </w:rPr>
      </w:pPr>
    </w:p>
    <w:p w14:paraId="75543C44">
      <w:pPr>
        <w:spacing w:line="360" w:lineRule="auto"/>
        <w:ind w:firstLine="420" w:firstLineChars="200"/>
        <w:rPr>
          <w:rFonts w:ascii="宋体" w:hAnsi="宋体" w:eastAsia="宋体"/>
          <w:color w:val="auto"/>
          <w:szCs w:val="21"/>
          <w:highlight w:val="none"/>
        </w:rPr>
      </w:pPr>
    </w:p>
    <w:p w14:paraId="3B98EC0C">
      <w:pPr>
        <w:spacing w:line="360" w:lineRule="auto"/>
        <w:ind w:firstLine="420" w:firstLineChars="200"/>
        <w:rPr>
          <w:rFonts w:ascii="宋体" w:hAnsi="宋体" w:eastAsia="宋体"/>
          <w:color w:val="auto"/>
          <w:szCs w:val="21"/>
          <w:highlight w:val="none"/>
        </w:rPr>
      </w:pPr>
    </w:p>
    <w:p w14:paraId="74A45F33">
      <w:pPr>
        <w:spacing w:line="360" w:lineRule="auto"/>
        <w:jc w:val="center"/>
        <w:rPr>
          <w:rFonts w:ascii="宋体" w:hAnsi="宋体" w:eastAsia="宋体" w:cs="Times New Roman"/>
          <w:b/>
          <w:color w:val="auto"/>
          <w:sz w:val="32"/>
          <w:szCs w:val="32"/>
          <w:highlight w:val="none"/>
        </w:rPr>
        <w:sectPr>
          <w:pgSz w:w="11906" w:h="16838"/>
          <w:pgMar w:top="1134" w:right="1134" w:bottom="1134" w:left="1134" w:header="851" w:footer="992" w:gutter="0"/>
          <w:cols w:space="425" w:num="1"/>
          <w:docGrid w:type="lines" w:linePitch="312" w:charSpace="0"/>
        </w:sectPr>
      </w:pPr>
    </w:p>
    <w:p w14:paraId="60E5155F">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（四）供应商直接控股股东信息表</w:t>
      </w:r>
    </w:p>
    <w:p w14:paraId="4F71C271">
      <w:pPr>
        <w:spacing w:line="360" w:lineRule="auto"/>
        <w:ind w:firstLine="420" w:firstLineChars="200"/>
        <w:rPr>
          <w:rFonts w:ascii="宋体" w:hAnsi="宋体" w:eastAsia="宋体"/>
          <w:color w:val="auto"/>
          <w:szCs w:val="21"/>
          <w:highlight w:val="none"/>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80"/>
        <w:gridCol w:w="1449"/>
        <w:gridCol w:w="3917"/>
        <w:gridCol w:w="1144"/>
      </w:tblGrid>
      <w:tr w14:paraId="74AB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A3D363A">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361" w:type="pct"/>
          </w:tcPr>
          <w:p w14:paraId="79562C5A">
            <w:pPr>
              <w:spacing w:line="360" w:lineRule="auto"/>
              <w:jc w:val="center"/>
              <w:rPr>
                <w:rFonts w:ascii="宋体" w:hAnsi="宋体"/>
                <w:b/>
                <w:color w:val="auto"/>
                <w:szCs w:val="21"/>
                <w:highlight w:val="none"/>
              </w:rPr>
            </w:pPr>
            <w:r>
              <w:rPr>
                <w:rFonts w:hint="eastAsia" w:ascii="宋体" w:hAnsi="宋体"/>
                <w:b/>
                <w:color w:val="auto"/>
                <w:szCs w:val="21"/>
                <w:highlight w:val="none"/>
              </w:rPr>
              <w:t>直接控股股东名称</w:t>
            </w:r>
          </w:p>
        </w:tc>
        <w:tc>
          <w:tcPr>
            <w:tcW w:w="736" w:type="pct"/>
          </w:tcPr>
          <w:p w14:paraId="79F07E5D">
            <w:pPr>
              <w:spacing w:line="360" w:lineRule="auto"/>
              <w:jc w:val="center"/>
              <w:rPr>
                <w:rFonts w:ascii="宋体" w:hAnsi="宋体"/>
                <w:b/>
                <w:color w:val="auto"/>
                <w:szCs w:val="21"/>
                <w:highlight w:val="none"/>
              </w:rPr>
            </w:pPr>
            <w:r>
              <w:rPr>
                <w:rFonts w:hint="eastAsia" w:ascii="宋体" w:hAnsi="宋体"/>
                <w:b/>
                <w:color w:val="auto"/>
                <w:szCs w:val="21"/>
                <w:highlight w:val="none"/>
              </w:rPr>
              <w:t>出资比例</w:t>
            </w:r>
          </w:p>
        </w:tc>
        <w:tc>
          <w:tcPr>
            <w:tcW w:w="1989" w:type="pct"/>
          </w:tcPr>
          <w:p w14:paraId="1A2CB7CA">
            <w:pPr>
              <w:spacing w:line="360" w:lineRule="auto"/>
              <w:jc w:val="center"/>
              <w:rPr>
                <w:rFonts w:ascii="宋体" w:hAnsi="宋体"/>
                <w:b/>
                <w:color w:val="auto"/>
                <w:szCs w:val="21"/>
                <w:highlight w:val="none"/>
              </w:rPr>
            </w:pPr>
            <w:r>
              <w:rPr>
                <w:rFonts w:hint="eastAsia" w:ascii="宋体" w:hAnsi="宋体"/>
                <w:b/>
                <w:color w:val="auto"/>
                <w:szCs w:val="21"/>
                <w:highlight w:val="none"/>
              </w:rPr>
              <w:t>身份证号码或者统一社会信用代码</w:t>
            </w:r>
          </w:p>
        </w:tc>
        <w:tc>
          <w:tcPr>
            <w:tcW w:w="581" w:type="pct"/>
          </w:tcPr>
          <w:p w14:paraId="4093798E">
            <w:pPr>
              <w:spacing w:line="360" w:lineRule="auto"/>
              <w:jc w:val="center"/>
              <w:rPr>
                <w:rFonts w:ascii="宋体" w:hAnsi="宋体"/>
                <w:b/>
                <w:color w:val="auto"/>
                <w:szCs w:val="21"/>
                <w:highlight w:val="none"/>
              </w:rPr>
            </w:pPr>
            <w:r>
              <w:rPr>
                <w:rFonts w:hint="eastAsia" w:ascii="宋体" w:hAnsi="宋体"/>
                <w:b/>
                <w:color w:val="auto"/>
                <w:szCs w:val="21"/>
                <w:highlight w:val="none"/>
              </w:rPr>
              <w:t>备注</w:t>
            </w:r>
          </w:p>
        </w:tc>
      </w:tr>
      <w:tr w14:paraId="2011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02F604C">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61" w:type="pct"/>
          </w:tcPr>
          <w:p w14:paraId="148E2E63">
            <w:pPr>
              <w:spacing w:line="360" w:lineRule="auto"/>
              <w:jc w:val="center"/>
              <w:rPr>
                <w:rFonts w:ascii="宋体" w:hAnsi="宋体"/>
                <w:color w:val="auto"/>
                <w:szCs w:val="21"/>
                <w:highlight w:val="none"/>
              </w:rPr>
            </w:pPr>
          </w:p>
        </w:tc>
        <w:tc>
          <w:tcPr>
            <w:tcW w:w="736" w:type="pct"/>
          </w:tcPr>
          <w:p w14:paraId="2D963939">
            <w:pPr>
              <w:spacing w:line="360" w:lineRule="auto"/>
              <w:jc w:val="center"/>
              <w:rPr>
                <w:rFonts w:ascii="宋体" w:hAnsi="宋体"/>
                <w:color w:val="auto"/>
                <w:szCs w:val="21"/>
                <w:highlight w:val="none"/>
              </w:rPr>
            </w:pPr>
          </w:p>
        </w:tc>
        <w:tc>
          <w:tcPr>
            <w:tcW w:w="1989" w:type="pct"/>
          </w:tcPr>
          <w:p w14:paraId="771E0E74">
            <w:pPr>
              <w:spacing w:line="360" w:lineRule="auto"/>
              <w:jc w:val="center"/>
              <w:rPr>
                <w:rFonts w:ascii="宋体" w:hAnsi="宋体"/>
                <w:color w:val="auto"/>
                <w:szCs w:val="21"/>
                <w:highlight w:val="none"/>
              </w:rPr>
            </w:pPr>
          </w:p>
        </w:tc>
        <w:tc>
          <w:tcPr>
            <w:tcW w:w="581" w:type="pct"/>
          </w:tcPr>
          <w:p w14:paraId="571D74AC">
            <w:pPr>
              <w:spacing w:line="360" w:lineRule="auto"/>
              <w:jc w:val="center"/>
              <w:rPr>
                <w:rFonts w:ascii="宋体" w:hAnsi="宋体"/>
                <w:color w:val="auto"/>
                <w:szCs w:val="21"/>
                <w:highlight w:val="none"/>
              </w:rPr>
            </w:pPr>
          </w:p>
        </w:tc>
      </w:tr>
      <w:tr w14:paraId="73A7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4047D11">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361" w:type="pct"/>
          </w:tcPr>
          <w:p w14:paraId="1B3ECF2B">
            <w:pPr>
              <w:spacing w:line="360" w:lineRule="auto"/>
              <w:jc w:val="center"/>
              <w:rPr>
                <w:rFonts w:ascii="宋体" w:hAnsi="宋体"/>
                <w:color w:val="auto"/>
                <w:szCs w:val="21"/>
                <w:highlight w:val="none"/>
              </w:rPr>
            </w:pPr>
          </w:p>
        </w:tc>
        <w:tc>
          <w:tcPr>
            <w:tcW w:w="736" w:type="pct"/>
          </w:tcPr>
          <w:p w14:paraId="539E5DDE">
            <w:pPr>
              <w:spacing w:line="360" w:lineRule="auto"/>
              <w:jc w:val="center"/>
              <w:rPr>
                <w:rFonts w:ascii="宋体" w:hAnsi="宋体"/>
                <w:color w:val="auto"/>
                <w:szCs w:val="21"/>
                <w:highlight w:val="none"/>
              </w:rPr>
            </w:pPr>
          </w:p>
        </w:tc>
        <w:tc>
          <w:tcPr>
            <w:tcW w:w="1989" w:type="pct"/>
          </w:tcPr>
          <w:p w14:paraId="7D83DECB">
            <w:pPr>
              <w:spacing w:line="360" w:lineRule="auto"/>
              <w:jc w:val="center"/>
              <w:rPr>
                <w:rFonts w:ascii="宋体" w:hAnsi="宋体"/>
                <w:color w:val="auto"/>
                <w:szCs w:val="21"/>
                <w:highlight w:val="none"/>
              </w:rPr>
            </w:pPr>
          </w:p>
        </w:tc>
        <w:tc>
          <w:tcPr>
            <w:tcW w:w="581" w:type="pct"/>
          </w:tcPr>
          <w:p w14:paraId="47070715">
            <w:pPr>
              <w:spacing w:line="360" w:lineRule="auto"/>
              <w:jc w:val="center"/>
              <w:rPr>
                <w:rFonts w:ascii="宋体" w:hAnsi="宋体"/>
                <w:color w:val="auto"/>
                <w:szCs w:val="21"/>
                <w:highlight w:val="none"/>
              </w:rPr>
            </w:pPr>
          </w:p>
        </w:tc>
      </w:tr>
      <w:tr w14:paraId="02B4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0012D144">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361" w:type="pct"/>
          </w:tcPr>
          <w:p w14:paraId="6CF2D3E0">
            <w:pPr>
              <w:spacing w:line="360" w:lineRule="auto"/>
              <w:jc w:val="center"/>
              <w:rPr>
                <w:rFonts w:ascii="宋体" w:hAnsi="宋体"/>
                <w:color w:val="auto"/>
                <w:szCs w:val="21"/>
                <w:highlight w:val="none"/>
              </w:rPr>
            </w:pPr>
          </w:p>
        </w:tc>
        <w:tc>
          <w:tcPr>
            <w:tcW w:w="736" w:type="pct"/>
          </w:tcPr>
          <w:p w14:paraId="3AB71EBB">
            <w:pPr>
              <w:spacing w:line="360" w:lineRule="auto"/>
              <w:jc w:val="center"/>
              <w:rPr>
                <w:rFonts w:ascii="宋体" w:hAnsi="宋体"/>
                <w:color w:val="auto"/>
                <w:szCs w:val="21"/>
                <w:highlight w:val="none"/>
              </w:rPr>
            </w:pPr>
          </w:p>
        </w:tc>
        <w:tc>
          <w:tcPr>
            <w:tcW w:w="1989" w:type="pct"/>
          </w:tcPr>
          <w:p w14:paraId="1E22B1D8">
            <w:pPr>
              <w:spacing w:line="360" w:lineRule="auto"/>
              <w:jc w:val="center"/>
              <w:rPr>
                <w:rFonts w:ascii="宋体" w:hAnsi="宋体"/>
                <w:color w:val="auto"/>
                <w:szCs w:val="21"/>
                <w:highlight w:val="none"/>
              </w:rPr>
            </w:pPr>
          </w:p>
        </w:tc>
        <w:tc>
          <w:tcPr>
            <w:tcW w:w="581" w:type="pct"/>
          </w:tcPr>
          <w:p w14:paraId="340D7101">
            <w:pPr>
              <w:spacing w:line="360" w:lineRule="auto"/>
              <w:jc w:val="center"/>
              <w:rPr>
                <w:rFonts w:ascii="宋体" w:hAnsi="宋体"/>
                <w:color w:val="auto"/>
                <w:szCs w:val="21"/>
                <w:highlight w:val="none"/>
              </w:rPr>
            </w:pPr>
          </w:p>
        </w:tc>
      </w:tr>
      <w:tr w14:paraId="1A53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74447287">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361" w:type="pct"/>
          </w:tcPr>
          <w:p w14:paraId="00EAA733">
            <w:pPr>
              <w:spacing w:line="360" w:lineRule="auto"/>
              <w:jc w:val="center"/>
              <w:rPr>
                <w:rFonts w:ascii="宋体" w:hAnsi="宋体"/>
                <w:color w:val="auto"/>
                <w:szCs w:val="21"/>
                <w:highlight w:val="none"/>
              </w:rPr>
            </w:pPr>
          </w:p>
        </w:tc>
        <w:tc>
          <w:tcPr>
            <w:tcW w:w="736" w:type="pct"/>
          </w:tcPr>
          <w:p w14:paraId="451D0733">
            <w:pPr>
              <w:spacing w:line="360" w:lineRule="auto"/>
              <w:jc w:val="center"/>
              <w:rPr>
                <w:rFonts w:ascii="宋体" w:hAnsi="宋体"/>
                <w:color w:val="auto"/>
                <w:szCs w:val="21"/>
                <w:highlight w:val="none"/>
              </w:rPr>
            </w:pPr>
          </w:p>
        </w:tc>
        <w:tc>
          <w:tcPr>
            <w:tcW w:w="1989" w:type="pct"/>
          </w:tcPr>
          <w:p w14:paraId="05AA07CC">
            <w:pPr>
              <w:spacing w:line="360" w:lineRule="auto"/>
              <w:jc w:val="center"/>
              <w:rPr>
                <w:rFonts w:ascii="宋体" w:hAnsi="宋体"/>
                <w:color w:val="auto"/>
                <w:szCs w:val="21"/>
                <w:highlight w:val="none"/>
              </w:rPr>
            </w:pPr>
          </w:p>
        </w:tc>
        <w:tc>
          <w:tcPr>
            <w:tcW w:w="581" w:type="pct"/>
          </w:tcPr>
          <w:p w14:paraId="66F9DB00">
            <w:pPr>
              <w:spacing w:line="360" w:lineRule="auto"/>
              <w:jc w:val="center"/>
              <w:rPr>
                <w:rFonts w:ascii="宋体" w:hAnsi="宋体"/>
                <w:color w:val="auto"/>
                <w:szCs w:val="21"/>
                <w:highlight w:val="none"/>
              </w:rPr>
            </w:pPr>
          </w:p>
        </w:tc>
      </w:tr>
    </w:tbl>
    <w:p w14:paraId="0D1D8F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42150A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C48E37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2.本表所指的控股关系仅限于直接控股关系，不包括间接的控股关系。公司实际控制人与公司之间的关系不属于本表所指的直接控股关系。</w:t>
      </w:r>
    </w:p>
    <w:p w14:paraId="534A8B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3.供应商不存在直接控股股东的，则填“无”。</w:t>
      </w:r>
    </w:p>
    <w:p w14:paraId="6DE49C5C">
      <w:pPr>
        <w:spacing w:line="360" w:lineRule="auto"/>
        <w:ind w:firstLine="420" w:firstLineChars="200"/>
        <w:rPr>
          <w:rFonts w:ascii="宋体" w:hAnsi="宋体" w:eastAsia="宋体"/>
          <w:color w:val="auto"/>
          <w:szCs w:val="21"/>
          <w:highlight w:val="none"/>
        </w:rPr>
      </w:pPr>
    </w:p>
    <w:p w14:paraId="764F7805">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1BC48BB">
      <w:pPr>
        <w:spacing w:line="360" w:lineRule="auto"/>
        <w:ind w:firstLine="420" w:firstLineChars="200"/>
        <w:jc w:val="right"/>
        <w:rPr>
          <w:rFonts w:ascii="宋体" w:hAnsi="宋体" w:eastAsia="宋体"/>
          <w:color w:val="auto"/>
          <w:sz w:val="28"/>
          <w:szCs w:val="28"/>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0F3F23F3">
      <w:pPr>
        <w:spacing w:line="360" w:lineRule="auto"/>
        <w:ind w:firstLine="420" w:firstLineChars="200"/>
        <w:rPr>
          <w:rFonts w:ascii="宋体" w:hAnsi="宋体" w:eastAsia="宋体"/>
          <w:color w:val="auto"/>
          <w:szCs w:val="21"/>
          <w:highlight w:val="none"/>
        </w:rPr>
      </w:pPr>
    </w:p>
    <w:p w14:paraId="0452D7FB">
      <w:pPr>
        <w:spacing w:line="360" w:lineRule="auto"/>
        <w:jc w:val="center"/>
        <w:rPr>
          <w:rFonts w:ascii="宋体" w:hAnsi="宋体" w:eastAsia="宋体" w:cs="Times New Roman"/>
          <w:b/>
          <w:color w:val="auto"/>
          <w:sz w:val="32"/>
          <w:szCs w:val="32"/>
          <w:highlight w:val="none"/>
        </w:rPr>
        <w:sectPr>
          <w:pgSz w:w="11906" w:h="16838"/>
          <w:pgMar w:top="1134" w:right="1134" w:bottom="1134" w:left="1134" w:header="851" w:footer="992" w:gutter="0"/>
          <w:cols w:space="425" w:num="1"/>
          <w:docGrid w:type="lines" w:linePitch="312" w:charSpace="0"/>
        </w:sectPr>
      </w:pPr>
    </w:p>
    <w:p w14:paraId="79345C39">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（五）供应商直接管理关系信息表</w:t>
      </w:r>
    </w:p>
    <w:p w14:paraId="68C2DEB5">
      <w:pPr>
        <w:spacing w:line="360" w:lineRule="auto"/>
        <w:ind w:firstLine="420" w:firstLineChars="200"/>
        <w:rPr>
          <w:rFonts w:ascii="宋体" w:hAnsi="宋体" w:eastAsia="宋体"/>
          <w:color w:val="auto"/>
          <w:szCs w:val="21"/>
          <w:highlight w:val="none"/>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61"/>
        <w:gridCol w:w="2461"/>
        <w:gridCol w:w="2461"/>
      </w:tblGrid>
      <w:tr w14:paraId="2985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6E6A417">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250" w:type="pct"/>
          </w:tcPr>
          <w:p w14:paraId="2931D422">
            <w:pPr>
              <w:spacing w:line="360" w:lineRule="auto"/>
              <w:jc w:val="center"/>
              <w:rPr>
                <w:rFonts w:ascii="宋体" w:hAnsi="宋体"/>
                <w:b/>
                <w:color w:val="auto"/>
                <w:szCs w:val="21"/>
                <w:highlight w:val="none"/>
              </w:rPr>
            </w:pPr>
            <w:r>
              <w:rPr>
                <w:rFonts w:hint="eastAsia" w:ascii="宋体" w:hAnsi="宋体"/>
                <w:b/>
                <w:color w:val="auto"/>
                <w:szCs w:val="21"/>
                <w:highlight w:val="none"/>
              </w:rPr>
              <w:t>直接管理关系单位名称</w:t>
            </w:r>
          </w:p>
        </w:tc>
        <w:tc>
          <w:tcPr>
            <w:tcW w:w="1250" w:type="pct"/>
          </w:tcPr>
          <w:p w14:paraId="77A3E4A7">
            <w:pPr>
              <w:spacing w:line="360" w:lineRule="auto"/>
              <w:jc w:val="center"/>
              <w:rPr>
                <w:rFonts w:ascii="宋体" w:hAnsi="宋体"/>
                <w:b/>
                <w:color w:val="auto"/>
                <w:szCs w:val="21"/>
                <w:highlight w:val="none"/>
              </w:rPr>
            </w:pPr>
            <w:r>
              <w:rPr>
                <w:rFonts w:hint="eastAsia" w:ascii="宋体" w:hAnsi="宋体"/>
                <w:b/>
                <w:color w:val="auto"/>
                <w:szCs w:val="21"/>
                <w:highlight w:val="none"/>
              </w:rPr>
              <w:t>统一社会信用代码</w:t>
            </w:r>
          </w:p>
        </w:tc>
        <w:tc>
          <w:tcPr>
            <w:tcW w:w="1250" w:type="pct"/>
          </w:tcPr>
          <w:p w14:paraId="6587E5BC">
            <w:pPr>
              <w:spacing w:line="360" w:lineRule="auto"/>
              <w:jc w:val="center"/>
              <w:rPr>
                <w:rFonts w:ascii="宋体" w:hAnsi="宋体"/>
                <w:b/>
                <w:color w:val="auto"/>
                <w:szCs w:val="21"/>
                <w:highlight w:val="none"/>
              </w:rPr>
            </w:pPr>
            <w:r>
              <w:rPr>
                <w:rFonts w:hint="eastAsia" w:ascii="宋体" w:hAnsi="宋体"/>
                <w:b/>
                <w:color w:val="auto"/>
                <w:szCs w:val="21"/>
                <w:highlight w:val="none"/>
              </w:rPr>
              <w:t>备注</w:t>
            </w:r>
          </w:p>
        </w:tc>
      </w:tr>
      <w:tr w14:paraId="06CE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7759031B">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50" w:type="pct"/>
          </w:tcPr>
          <w:p w14:paraId="2CD9275C">
            <w:pPr>
              <w:spacing w:line="360" w:lineRule="auto"/>
              <w:jc w:val="center"/>
              <w:rPr>
                <w:rFonts w:ascii="宋体" w:hAnsi="宋体"/>
                <w:color w:val="auto"/>
                <w:szCs w:val="21"/>
                <w:highlight w:val="none"/>
              </w:rPr>
            </w:pPr>
          </w:p>
        </w:tc>
        <w:tc>
          <w:tcPr>
            <w:tcW w:w="1250" w:type="pct"/>
          </w:tcPr>
          <w:p w14:paraId="21C7B456">
            <w:pPr>
              <w:spacing w:line="360" w:lineRule="auto"/>
              <w:jc w:val="center"/>
              <w:rPr>
                <w:rFonts w:ascii="宋体" w:hAnsi="宋体"/>
                <w:color w:val="auto"/>
                <w:szCs w:val="21"/>
                <w:highlight w:val="none"/>
              </w:rPr>
            </w:pPr>
          </w:p>
        </w:tc>
        <w:tc>
          <w:tcPr>
            <w:tcW w:w="1250" w:type="pct"/>
          </w:tcPr>
          <w:p w14:paraId="055E1EC3">
            <w:pPr>
              <w:spacing w:line="360" w:lineRule="auto"/>
              <w:jc w:val="center"/>
              <w:rPr>
                <w:rFonts w:ascii="宋体" w:hAnsi="宋体"/>
                <w:color w:val="auto"/>
                <w:szCs w:val="21"/>
                <w:highlight w:val="none"/>
              </w:rPr>
            </w:pPr>
          </w:p>
        </w:tc>
      </w:tr>
      <w:tr w14:paraId="314B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84D34C0">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50" w:type="pct"/>
          </w:tcPr>
          <w:p w14:paraId="54ED92B9">
            <w:pPr>
              <w:spacing w:line="360" w:lineRule="auto"/>
              <w:jc w:val="center"/>
              <w:rPr>
                <w:rFonts w:ascii="宋体" w:hAnsi="宋体"/>
                <w:color w:val="auto"/>
                <w:szCs w:val="21"/>
                <w:highlight w:val="none"/>
              </w:rPr>
            </w:pPr>
          </w:p>
        </w:tc>
        <w:tc>
          <w:tcPr>
            <w:tcW w:w="1250" w:type="pct"/>
          </w:tcPr>
          <w:p w14:paraId="3922AF67">
            <w:pPr>
              <w:spacing w:line="360" w:lineRule="auto"/>
              <w:jc w:val="center"/>
              <w:rPr>
                <w:rFonts w:ascii="宋体" w:hAnsi="宋体"/>
                <w:color w:val="auto"/>
                <w:szCs w:val="21"/>
                <w:highlight w:val="none"/>
              </w:rPr>
            </w:pPr>
          </w:p>
        </w:tc>
        <w:tc>
          <w:tcPr>
            <w:tcW w:w="1250" w:type="pct"/>
          </w:tcPr>
          <w:p w14:paraId="02AFE75A">
            <w:pPr>
              <w:spacing w:line="360" w:lineRule="auto"/>
              <w:jc w:val="center"/>
              <w:rPr>
                <w:rFonts w:ascii="宋体" w:hAnsi="宋体"/>
                <w:color w:val="auto"/>
                <w:szCs w:val="21"/>
                <w:highlight w:val="none"/>
              </w:rPr>
            </w:pPr>
          </w:p>
        </w:tc>
      </w:tr>
      <w:tr w14:paraId="74C2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27786E84">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50" w:type="pct"/>
          </w:tcPr>
          <w:p w14:paraId="52348DE7">
            <w:pPr>
              <w:spacing w:line="360" w:lineRule="auto"/>
              <w:jc w:val="center"/>
              <w:rPr>
                <w:rFonts w:ascii="宋体" w:hAnsi="宋体"/>
                <w:color w:val="auto"/>
                <w:szCs w:val="21"/>
                <w:highlight w:val="none"/>
              </w:rPr>
            </w:pPr>
          </w:p>
        </w:tc>
        <w:tc>
          <w:tcPr>
            <w:tcW w:w="1250" w:type="pct"/>
          </w:tcPr>
          <w:p w14:paraId="4534A97D">
            <w:pPr>
              <w:spacing w:line="360" w:lineRule="auto"/>
              <w:jc w:val="center"/>
              <w:rPr>
                <w:rFonts w:ascii="宋体" w:hAnsi="宋体"/>
                <w:color w:val="auto"/>
                <w:szCs w:val="21"/>
                <w:highlight w:val="none"/>
              </w:rPr>
            </w:pPr>
          </w:p>
        </w:tc>
        <w:tc>
          <w:tcPr>
            <w:tcW w:w="1250" w:type="pct"/>
          </w:tcPr>
          <w:p w14:paraId="105700B2">
            <w:pPr>
              <w:spacing w:line="360" w:lineRule="auto"/>
              <w:jc w:val="center"/>
              <w:rPr>
                <w:rFonts w:ascii="宋体" w:hAnsi="宋体"/>
                <w:color w:val="auto"/>
                <w:szCs w:val="21"/>
                <w:highlight w:val="none"/>
              </w:rPr>
            </w:pPr>
          </w:p>
        </w:tc>
      </w:tr>
      <w:tr w14:paraId="4F30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6247DBB8">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250" w:type="pct"/>
          </w:tcPr>
          <w:p w14:paraId="79C5105C">
            <w:pPr>
              <w:spacing w:line="360" w:lineRule="auto"/>
              <w:jc w:val="center"/>
              <w:rPr>
                <w:rFonts w:ascii="宋体" w:hAnsi="宋体"/>
                <w:color w:val="auto"/>
                <w:szCs w:val="21"/>
                <w:highlight w:val="none"/>
              </w:rPr>
            </w:pPr>
          </w:p>
        </w:tc>
        <w:tc>
          <w:tcPr>
            <w:tcW w:w="1250" w:type="pct"/>
          </w:tcPr>
          <w:p w14:paraId="1811968E">
            <w:pPr>
              <w:spacing w:line="360" w:lineRule="auto"/>
              <w:jc w:val="center"/>
              <w:rPr>
                <w:rFonts w:ascii="宋体" w:hAnsi="宋体"/>
                <w:color w:val="auto"/>
                <w:szCs w:val="21"/>
                <w:highlight w:val="none"/>
              </w:rPr>
            </w:pPr>
          </w:p>
        </w:tc>
        <w:tc>
          <w:tcPr>
            <w:tcW w:w="1250" w:type="pct"/>
          </w:tcPr>
          <w:p w14:paraId="75C9863F">
            <w:pPr>
              <w:spacing w:line="360" w:lineRule="auto"/>
              <w:jc w:val="center"/>
              <w:rPr>
                <w:rFonts w:ascii="宋体" w:hAnsi="宋体"/>
                <w:color w:val="auto"/>
                <w:szCs w:val="21"/>
                <w:highlight w:val="none"/>
              </w:rPr>
            </w:pPr>
          </w:p>
        </w:tc>
      </w:tr>
    </w:tbl>
    <w:p w14:paraId="02BE375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565DFC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1.管理关系：是指不具有出资持股关系的其他单位之间存在的管理与被管理关系，如一些上下级关系的事业单位和团体组织。</w:t>
      </w:r>
    </w:p>
    <w:p w14:paraId="6EA679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2.本表所指的管理关系仅限于直接管理关系，不包括间接的管理关系。</w:t>
      </w:r>
    </w:p>
    <w:p w14:paraId="038F7FC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3.供应商不存在直接管理关系的，则填“无”。</w:t>
      </w:r>
    </w:p>
    <w:p w14:paraId="33251D1A">
      <w:pPr>
        <w:spacing w:line="360" w:lineRule="auto"/>
        <w:ind w:firstLine="420" w:firstLineChars="200"/>
        <w:rPr>
          <w:rFonts w:ascii="宋体" w:hAnsi="宋体" w:eastAsia="宋体"/>
          <w:color w:val="auto"/>
          <w:szCs w:val="21"/>
          <w:highlight w:val="none"/>
        </w:rPr>
      </w:pPr>
    </w:p>
    <w:p w14:paraId="31DA504E">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1F477C5B">
      <w:pPr>
        <w:spacing w:line="360" w:lineRule="auto"/>
        <w:ind w:firstLine="420" w:firstLineChars="200"/>
        <w:jc w:val="right"/>
        <w:rPr>
          <w:rFonts w:ascii="宋体" w:hAnsi="宋体" w:eastAsia="宋体"/>
          <w:color w:val="auto"/>
          <w:sz w:val="28"/>
          <w:szCs w:val="28"/>
          <w:highlight w:val="none"/>
        </w:rPr>
      </w:pPr>
      <w:r>
        <w:rPr>
          <w:rFonts w:hint="eastAsia" w:ascii="宋体" w:hAnsi="宋体" w:eastAsia="宋体"/>
          <w:color w:val="auto"/>
          <w:szCs w:val="21"/>
          <w:highlight w:val="none"/>
        </w:rPr>
        <w:t>日期：</w:t>
      </w:r>
      <w:r>
        <w:rPr>
          <w:rFonts w:ascii="宋体" w:hAnsi="宋体" w:eastAsia="宋体" w:cs="Times New Roman"/>
          <w:color w:val="auto"/>
          <w:szCs w:val="21"/>
          <w:highlight w:val="none"/>
        </w:rPr>
        <w:t>___</w:t>
      </w:r>
      <w:r>
        <w:rPr>
          <w:rFonts w:hint="eastAsia" w:ascii="宋体" w:hAnsi="宋体" w:eastAsia="宋体"/>
          <w:color w:val="auto"/>
          <w:szCs w:val="21"/>
          <w:highlight w:val="none"/>
        </w:rPr>
        <w:t>年</w:t>
      </w:r>
      <w:r>
        <w:rPr>
          <w:rFonts w:ascii="宋体" w:hAnsi="宋体" w:eastAsia="宋体" w:cs="Times New Roman"/>
          <w:color w:val="auto"/>
          <w:szCs w:val="21"/>
          <w:highlight w:val="none"/>
        </w:rPr>
        <w:t>___</w:t>
      </w:r>
      <w:r>
        <w:rPr>
          <w:rFonts w:hint="eastAsia" w:ascii="宋体" w:hAnsi="宋体" w:eastAsia="宋体"/>
          <w:color w:val="auto"/>
          <w:szCs w:val="21"/>
          <w:highlight w:val="none"/>
        </w:rPr>
        <w:t>月</w:t>
      </w:r>
      <w:r>
        <w:rPr>
          <w:rFonts w:ascii="宋体" w:hAnsi="宋体" w:eastAsia="宋体" w:cs="Times New Roman"/>
          <w:color w:val="auto"/>
          <w:szCs w:val="21"/>
          <w:highlight w:val="none"/>
        </w:rPr>
        <w:t>___</w:t>
      </w:r>
      <w:r>
        <w:rPr>
          <w:rFonts w:hint="eastAsia" w:ascii="宋体" w:hAnsi="宋体" w:eastAsia="宋体"/>
          <w:color w:val="auto"/>
          <w:szCs w:val="21"/>
          <w:highlight w:val="none"/>
        </w:rPr>
        <w:t>日</w:t>
      </w:r>
    </w:p>
    <w:p w14:paraId="147A757F">
      <w:pPr>
        <w:spacing w:line="360" w:lineRule="auto"/>
        <w:ind w:firstLine="560" w:firstLineChars="200"/>
        <w:jc w:val="right"/>
        <w:rPr>
          <w:rFonts w:ascii="宋体" w:hAnsi="宋体" w:eastAsia="宋体"/>
          <w:color w:val="auto"/>
          <w:sz w:val="28"/>
          <w:szCs w:val="28"/>
          <w:highlight w:val="none"/>
        </w:rPr>
        <w:sectPr>
          <w:pgSz w:w="11906" w:h="16838"/>
          <w:pgMar w:top="1134" w:right="1134" w:bottom="1134" w:left="1134" w:header="851" w:footer="992" w:gutter="0"/>
          <w:cols w:space="425" w:num="1"/>
          <w:docGrid w:type="lines" w:linePitch="312" w:charSpace="0"/>
        </w:sectPr>
      </w:pPr>
    </w:p>
    <w:p w14:paraId="1AE95DE1">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（六）竞标声明</w:t>
      </w:r>
    </w:p>
    <w:p w14:paraId="7178B5C6">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竞标声明</w:t>
      </w:r>
    </w:p>
    <w:p w14:paraId="3EE27394">
      <w:pPr>
        <w:spacing w:line="360" w:lineRule="auto"/>
        <w:ind w:firstLine="420" w:firstLineChars="200"/>
        <w:rPr>
          <w:rFonts w:ascii="宋体" w:hAnsi="宋体" w:eastAsia="宋体"/>
          <w:color w:val="auto"/>
          <w:szCs w:val="21"/>
          <w:highlight w:val="none"/>
        </w:rPr>
      </w:pPr>
    </w:p>
    <w:p w14:paraId="1078B7FB">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（采购人名称）：</w:t>
      </w:r>
    </w:p>
    <w:p w14:paraId="0236C9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w:t>
      </w:r>
      <w:r>
        <w:rPr>
          <w:rFonts w:hint="eastAsia" w:ascii="宋体" w:hAnsi="宋体" w:eastAsia="宋体"/>
          <w:color w:val="auto"/>
          <w:szCs w:val="21"/>
          <w:highlight w:val="none"/>
          <w:u w:val="single"/>
        </w:rPr>
        <w:t>（供应商名称）</w:t>
      </w:r>
      <w:r>
        <w:rPr>
          <w:rFonts w:hint="eastAsia" w:ascii="宋体" w:hAnsi="宋体" w:eastAsia="宋体"/>
          <w:color w:val="auto"/>
          <w:szCs w:val="21"/>
          <w:highlight w:val="none"/>
        </w:rPr>
        <w:t>系中华人民共和国合法供应商，经营地址</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w:t>
      </w:r>
    </w:p>
    <w:p w14:paraId="0ACB489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我方愿意参加贵方组织的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项目的竞争性磋商，为便于贵方公正、择优地确定成交供应商及其竞标产品和服务，我方就本次竞争性磋商有关事项郑重声明如下：</w:t>
      </w:r>
    </w:p>
    <w:p w14:paraId="33ACBF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1.我方向贵方提交的所有响应文件、资料都是准确的和真实的。</w:t>
      </w:r>
    </w:p>
    <w:p w14:paraId="05375DC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8163D1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3.在此，我方宣布同意如下：</w:t>
      </w:r>
    </w:p>
    <w:p w14:paraId="483201E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（1）将按磋商文件的约定履行合同责任和义务；</w:t>
      </w:r>
    </w:p>
    <w:p w14:paraId="418067D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（2）已详细审查全部磋商文件，包括澄清或者更正公告（如有）；</w:t>
      </w:r>
    </w:p>
    <w:p w14:paraId="761C8A4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（3）同意提供按照贵方可能要求的与磋商有关的一切数据或者资料；</w:t>
      </w:r>
    </w:p>
    <w:p w14:paraId="3FF1CA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（4）响应磋商文件规定的竞争性磋商有效期。</w:t>
      </w:r>
    </w:p>
    <w:p w14:paraId="39F4F16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4.我方承诺符合《中华人民共和国政府采购法》第二十二条规定：</w:t>
      </w:r>
    </w:p>
    <w:p w14:paraId="04DE806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（1）具有独立承担民事责任的能力；</w:t>
      </w:r>
    </w:p>
    <w:p w14:paraId="66F16D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（2）具有良好的商业信誉和健全的财务会计制度；</w:t>
      </w:r>
    </w:p>
    <w:p w14:paraId="5713DE6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（3）具有履行合同所必需的设备和专业技术能力；</w:t>
      </w:r>
    </w:p>
    <w:p w14:paraId="304777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（4）有依法缴纳税收和社会保障资金的良好记录；</w:t>
      </w:r>
    </w:p>
    <w:p w14:paraId="40BB579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（5）参加政府采购活动前三年内，在经营活动中没有重大违法记录；</w:t>
      </w:r>
    </w:p>
    <w:p w14:paraId="6E1B50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（6）法律、行政法规规定的其他条件。</w:t>
      </w:r>
    </w:p>
    <w:p w14:paraId="28F133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850233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562C2C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□我方本次响应文件内容中未涉及商业秘密；</w:t>
      </w:r>
    </w:p>
    <w:p w14:paraId="78D80E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□我方本次响应文件涉及商业秘密的内容有：</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w:t>
      </w:r>
    </w:p>
    <w:p w14:paraId="13B366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7.与本磋商有关的一切正式往来信函请寄：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邮政编号：</w:t>
      </w:r>
      <w:r>
        <w:rPr>
          <w:rFonts w:ascii="Times New Roman" w:hAnsi="Times New Roman" w:eastAsia="宋体" w:cs="Times New Roman"/>
          <w:color w:val="auto"/>
          <w:szCs w:val="21"/>
          <w:highlight w:val="none"/>
          <w:u w:val="single"/>
        </w:rPr>
        <w:t xml:space="preserve">      </w:t>
      </w:r>
    </w:p>
    <w:p w14:paraId="647DB06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电话/传真：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电子函件：</w:t>
      </w:r>
      <w:r>
        <w:rPr>
          <w:rFonts w:ascii="Times New Roman" w:hAnsi="Times New Roman" w:eastAsia="宋体" w:cs="Times New Roman"/>
          <w:color w:val="auto"/>
          <w:szCs w:val="21"/>
          <w:highlight w:val="none"/>
          <w:u w:val="single"/>
        </w:rPr>
        <w:t xml:space="preserve">      </w:t>
      </w:r>
    </w:p>
    <w:p w14:paraId="44E55F3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开户银行：</w:t>
      </w:r>
      <w:r>
        <w:rPr>
          <w:rFonts w:ascii="Times New Roman" w:hAnsi="Times New Roman" w:eastAsia="宋体" w:cs="Times New Roman"/>
          <w:color w:val="auto"/>
          <w:szCs w:val="21"/>
          <w:highlight w:val="none"/>
          <w:u w:val="single"/>
        </w:rPr>
        <w:t xml:space="preserve">      </w:t>
      </w:r>
      <w:r>
        <w:rPr>
          <w:rFonts w:hint="eastAsia" w:ascii="宋体" w:hAnsi="宋体"/>
          <w:color w:val="auto"/>
          <w:szCs w:val="21"/>
          <w:highlight w:val="none"/>
        </w:rPr>
        <w:t>账号</w:t>
      </w:r>
      <w:r>
        <w:rPr>
          <w:rFonts w:hint="eastAsia" w:ascii="宋体" w:hAnsi="宋体" w:eastAsia="宋体"/>
          <w:color w:val="auto"/>
          <w:szCs w:val="21"/>
          <w:highlight w:val="none"/>
        </w:rPr>
        <w:t>：</w:t>
      </w:r>
      <w:r>
        <w:rPr>
          <w:rFonts w:ascii="Times New Roman" w:hAnsi="Times New Roman" w:eastAsia="宋体" w:cs="Times New Roman"/>
          <w:color w:val="auto"/>
          <w:szCs w:val="21"/>
          <w:highlight w:val="none"/>
          <w:u w:val="single"/>
        </w:rPr>
        <w:t xml:space="preserve">      </w:t>
      </w:r>
    </w:p>
    <w:p w14:paraId="2E83C91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8.我方若竞争性磋商成功，除非发生不可抗力，承诺与采购人及时签订《合同书》。如果放弃，自愿按照本文件之《供应商须知正文》第29.3条的要求承担法律责任和失信惩戒。</w:t>
      </w:r>
    </w:p>
    <w:p w14:paraId="10C5F2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9.以上事项如有虚假或者隐瞒，我方愿意承担一切后果，并不再寻求任何旨在减轻或者免除法律责任的辩解。</w:t>
      </w:r>
    </w:p>
    <w:p w14:paraId="14EBC0B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特此承诺。</w:t>
      </w:r>
    </w:p>
    <w:p w14:paraId="334C23A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注：如为联合体参加竞争性磋商，盖章处须加盖联合体牵头人公章并由联合体牵头人法定代表人分别签字或者盖章或者电子签名，否则其响应文件按无效响应处理。</w:t>
      </w:r>
    </w:p>
    <w:p w14:paraId="0B00F0AD">
      <w:pPr>
        <w:spacing w:line="360" w:lineRule="auto"/>
        <w:ind w:firstLine="420" w:firstLineChars="200"/>
        <w:rPr>
          <w:rFonts w:ascii="宋体" w:hAnsi="宋体" w:eastAsia="宋体"/>
          <w:color w:val="auto"/>
          <w:szCs w:val="21"/>
          <w:highlight w:val="none"/>
        </w:rPr>
      </w:pPr>
    </w:p>
    <w:p w14:paraId="3E1DCE00">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法定代表人（签字或者盖章或者电子签名）：</w:t>
      </w:r>
    </w:p>
    <w:p w14:paraId="1874B5D6">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070926E">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09AE6EF0">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03E2B306">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（七）竞争性磋商公告对应的特定资格要求设置供应商提供的资格证明材料</w:t>
      </w:r>
    </w:p>
    <w:p w14:paraId="06DB1804">
      <w:pPr>
        <w:spacing w:line="360" w:lineRule="auto"/>
        <w:ind w:firstLine="643" w:firstLineChars="200"/>
        <w:rPr>
          <w:rFonts w:ascii="宋体" w:hAnsi="宋体" w:eastAsia="宋体"/>
          <w:b/>
          <w:color w:val="auto"/>
          <w:sz w:val="32"/>
          <w:szCs w:val="32"/>
          <w:highlight w:val="none"/>
        </w:rPr>
      </w:pPr>
    </w:p>
    <w:p w14:paraId="1E34FF9D">
      <w:pPr>
        <w:spacing w:line="360" w:lineRule="auto"/>
        <w:ind w:firstLine="643" w:firstLineChars="200"/>
        <w:rPr>
          <w:rFonts w:ascii="宋体" w:hAnsi="宋体" w:eastAsia="宋体"/>
          <w:b/>
          <w:color w:val="auto"/>
          <w:sz w:val="32"/>
          <w:szCs w:val="32"/>
          <w:highlight w:val="none"/>
        </w:rPr>
        <w:sectPr>
          <w:pgSz w:w="11906" w:h="16838"/>
          <w:pgMar w:top="1440" w:right="1134" w:bottom="1440" w:left="1418" w:header="851" w:footer="992" w:gutter="0"/>
          <w:cols w:space="425" w:num="1"/>
          <w:docGrid w:type="lines" w:linePitch="312" w:charSpace="0"/>
        </w:sectPr>
      </w:pPr>
    </w:p>
    <w:p w14:paraId="723ED950">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（八）联合体参加竞争性磋商协议书（如有）</w:t>
      </w:r>
    </w:p>
    <w:p w14:paraId="7023C380">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联合体参加竞争性磋商协议书（格式）</w:t>
      </w:r>
    </w:p>
    <w:p w14:paraId="27100601">
      <w:pPr>
        <w:spacing w:line="360" w:lineRule="auto"/>
        <w:ind w:firstLine="420" w:firstLineChars="200"/>
        <w:rPr>
          <w:rFonts w:ascii="宋体" w:hAnsi="宋体" w:eastAsia="宋体"/>
          <w:color w:val="auto"/>
          <w:szCs w:val="21"/>
          <w:highlight w:val="none"/>
        </w:rPr>
      </w:pPr>
    </w:p>
    <w:p w14:paraId="2CC31B9F">
      <w:pPr>
        <w:spacing w:line="360" w:lineRule="auto"/>
        <w:ind w:firstLine="420" w:firstLineChars="200"/>
        <w:rPr>
          <w:rFonts w:ascii="宋体" w:hAnsi="宋体" w:eastAsia="宋体"/>
          <w:color w:val="auto"/>
          <w:szCs w:val="21"/>
          <w:highlight w:val="none"/>
        </w:rPr>
      </w:pP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（所有成员单位名称）自愿组成联合体，共同参加</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组织的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（项目编号：</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）竞争性磋商采购。现就联合体竞争性磋商事宜订立如下协议：</w:t>
      </w:r>
    </w:p>
    <w:p w14:paraId="540772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（某成员单位名称）为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（联合体名称）牵头人。</w:t>
      </w:r>
    </w:p>
    <w:p w14:paraId="3CC5A2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联合体各成员授权牵头人代表联合体参加竞争性磋商活动，签署文件及对文件的盖章，提交和接收相关的资料、信息及指示，进行合同磋商活动，负责合同实施阶段的组织和协调工作，以及处理与本竞争性磋商项目有关的一切事宜。</w:t>
      </w:r>
    </w:p>
    <w:p w14:paraId="0504105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07F34F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4.联合体各成员单位内部的职责分工如下：</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w:t>
      </w:r>
    </w:p>
    <w:p w14:paraId="1C431A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5.本联合体中，</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（某成员单位名称）为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（请填写：中型、小型、微型）企业，其协议合同金额占联合体协议合同总金额的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%。【如联合体成员中有小型、微型企业的，请填写此条，否则无需填写；如联合体成员中有多个小型、微型企业的，请逐一列出。】</w:t>
      </w:r>
    </w:p>
    <w:p w14:paraId="5556A50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6.本协议书自所有成员单位法定代表人或者其委托代理人签字或者盖单位章之日起生效，合同履行完毕后自动失效。</w:t>
      </w:r>
    </w:p>
    <w:p w14:paraId="78057E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7.本协议书一式</w:t>
      </w:r>
      <w:bookmarkStart w:id="31" w:name="OLE_LINK16"/>
      <w:bookmarkStart w:id="32" w:name="OLE_LINK15"/>
      <w:r>
        <w:rPr>
          <w:rFonts w:ascii="Times New Roman" w:hAnsi="Times New Roman" w:eastAsia="宋体" w:cs="Times New Roman"/>
          <w:color w:val="auto"/>
          <w:szCs w:val="21"/>
          <w:highlight w:val="none"/>
          <w:u w:val="single"/>
        </w:rPr>
        <w:t xml:space="preserve">      </w:t>
      </w:r>
      <w:bookmarkEnd w:id="31"/>
      <w:bookmarkEnd w:id="32"/>
      <w:r>
        <w:rPr>
          <w:rFonts w:hint="eastAsia" w:ascii="宋体" w:hAnsi="宋体" w:eastAsia="宋体"/>
          <w:color w:val="auto"/>
          <w:szCs w:val="21"/>
          <w:highlight w:val="none"/>
        </w:rPr>
        <w:t>份，联合体成员和采购人各执壹份。</w:t>
      </w:r>
    </w:p>
    <w:p w14:paraId="05DC15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注：本协议书由法定代表人签字的，应附法定代表人身份证明；本协议书由委托代理人签字的，应附法定代表人授权委托书。</w:t>
      </w:r>
    </w:p>
    <w:p w14:paraId="6728AE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牵头人名称：</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（盖单位公章或者电子签章）</w:t>
      </w:r>
    </w:p>
    <w:p w14:paraId="1EB140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（签字或者电子签名）</w:t>
      </w:r>
    </w:p>
    <w:p w14:paraId="1104C01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成员一名称：</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（盖单位公章或者电子签章）</w:t>
      </w:r>
    </w:p>
    <w:p w14:paraId="7E4974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（签字或者电子签名）</w:t>
      </w:r>
    </w:p>
    <w:p w14:paraId="630B917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成员二名称：</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（盖单位公章或者电子签章）</w:t>
      </w:r>
    </w:p>
    <w:p w14:paraId="4DD841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（签字或者电子签名）</w:t>
      </w:r>
    </w:p>
    <w:p w14:paraId="7C519E3F">
      <w:pPr>
        <w:spacing w:line="360" w:lineRule="auto"/>
        <w:ind w:firstLine="420" w:firstLineChars="200"/>
        <w:rPr>
          <w:rFonts w:ascii="宋体" w:hAnsi="宋体" w:eastAsia="宋体"/>
          <w:color w:val="auto"/>
          <w:szCs w:val="21"/>
          <w:highlight w:val="none"/>
        </w:rPr>
      </w:pPr>
    </w:p>
    <w:p w14:paraId="6230DFEE">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080B8FD8">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3E9A17E7">
      <w:pPr>
        <w:pStyle w:val="3"/>
        <w:jc w:val="center"/>
        <w:rPr>
          <w:color w:val="auto"/>
          <w:highlight w:val="none"/>
        </w:rPr>
      </w:pPr>
      <w:bookmarkStart w:id="33" w:name="_Toc197530118"/>
      <w:r>
        <w:rPr>
          <w:rFonts w:hint="eastAsia"/>
          <w:color w:val="auto"/>
          <w:highlight w:val="none"/>
        </w:rPr>
        <w:t>二、报价文件格式</w:t>
      </w:r>
      <w:bookmarkEnd w:id="33"/>
    </w:p>
    <w:p w14:paraId="3893C8DE">
      <w:pPr>
        <w:spacing w:line="360" w:lineRule="auto"/>
        <w:ind w:firstLine="420" w:firstLineChars="200"/>
        <w:rPr>
          <w:rFonts w:ascii="宋体" w:hAnsi="宋体" w:eastAsia="宋体"/>
          <w:color w:val="auto"/>
          <w:szCs w:val="21"/>
          <w:highlight w:val="none"/>
        </w:rPr>
      </w:pPr>
    </w:p>
    <w:p w14:paraId="188DBF39">
      <w:pPr>
        <w:spacing w:line="360" w:lineRule="auto"/>
        <w:ind w:firstLine="420" w:firstLineChars="200"/>
        <w:rPr>
          <w:rFonts w:ascii="宋体" w:hAnsi="宋体" w:eastAsia="宋体"/>
          <w:color w:val="auto"/>
          <w:szCs w:val="21"/>
          <w:highlight w:val="none"/>
        </w:rPr>
      </w:pPr>
    </w:p>
    <w:p w14:paraId="10EDA7A1">
      <w:pPr>
        <w:spacing w:line="360" w:lineRule="auto"/>
        <w:ind w:firstLine="420" w:firstLineChars="200"/>
        <w:rPr>
          <w:rFonts w:ascii="宋体" w:hAnsi="宋体" w:eastAsia="宋体"/>
          <w:color w:val="auto"/>
          <w:szCs w:val="21"/>
          <w:highlight w:val="none"/>
        </w:rPr>
      </w:pPr>
    </w:p>
    <w:p w14:paraId="08448EA1">
      <w:pP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报价文件（封面）</w:t>
      </w:r>
    </w:p>
    <w:p w14:paraId="4920605F">
      <w:pPr>
        <w:spacing w:line="360" w:lineRule="auto"/>
        <w:ind w:firstLine="420" w:firstLineChars="200"/>
        <w:rPr>
          <w:rFonts w:ascii="宋体" w:hAnsi="宋体" w:eastAsia="宋体"/>
          <w:color w:val="auto"/>
          <w:szCs w:val="21"/>
          <w:highlight w:val="none"/>
        </w:rPr>
      </w:pPr>
    </w:p>
    <w:p w14:paraId="7A1E0AF4">
      <w:pPr>
        <w:spacing w:line="360" w:lineRule="auto"/>
        <w:ind w:firstLine="420" w:firstLineChars="200"/>
        <w:rPr>
          <w:rFonts w:ascii="宋体" w:hAnsi="宋体" w:eastAsia="宋体"/>
          <w:color w:val="auto"/>
          <w:szCs w:val="21"/>
          <w:highlight w:val="none"/>
        </w:rPr>
      </w:pPr>
    </w:p>
    <w:p w14:paraId="6D9728CD">
      <w:pPr>
        <w:spacing w:line="360" w:lineRule="auto"/>
        <w:ind w:firstLine="420" w:firstLineChars="200"/>
        <w:rPr>
          <w:rFonts w:ascii="宋体" w:hAnsi="宋体" w:eastAsia="宋体"/>
          <w:color w:val="auto"/>
          <w:szCs w:val="21"/>
          <w:highlight w:val="none"/>
        </w:rPr>
      </w:pPr>
    </w:p>
    <w:p w14:paraId="5B052B8B">
      <w:pPr>
        <w:spacing w:line="360" w:lineRule="auto"/>
        <w:ind w:firstLine="420" w:firstLineChars="200"/>
        <w:rPr>
          <w:rFonts w:ascii="宋体" w:hAnsi="宋体" w:eastAsia="宋体"/>
          <w:color w:val="auto"/>
          <w:szCs w:val="21"/>
          <w:highlight w:val="none"/>
        </w:rPr>
      </w:pPr>
    </w:p>
    <w:p w14:paraId="70646310">
      <w:pPr>
        <w:spacing w:line="360" w:lineRule="auto"/>
        <w:ind w:firstLine="420" w:firstLineChars="200"/>
        <w:rPr>
          <w:rFonts w:ascii="宋体" w:hAnsi="宋体" w:eastAsia="宋体"/>
          <w:color w:val="auto"/>
          <w:szCs w:val="21"/>
          <w:highlight w:val="none"/>
        </w:rPr>
      </w:pPr>
    </w:p>
    <w:p w14:paraId="56394869">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w:t>
      </w:r>
    </w:p>
    <w:p w14:paraId="6E9BB7B0">
      <w:pPr>
        <w:spacing w:line="360" w:lineRule="auto"/>
        <w:ind w:firstLine="420" w:firstLineChars="200"/>
        <w:rPr>
          <w:rFonts w:ascii="宋体" w:hAnsi="宋体" w:eastAsia="宋体"/>
          <w:color w:val="auto"/>
          <w:szCs w:val="21"/>
          <w:highlight w:val="none"/>
        </w:rPr>
      </w:pPr>
    </w:p>
    <w:p w14:paraId="66E2C914">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w:t>
      </w:r>
    </w:p>
    <w:p w14:paraId="25490512">
      <w:pPr>
        <w:spacing w:line="360" w:lineRule="auto"/>
        <w:ind w:firstLine="420" w:firstLineChars="200"/>
        <w:rPr>
          <w:rFonts w:ascii="宋体" w:hAnsi="宋体" w:eastAsia="宋体"/>
          <w:color w:val="auto"/>
          <w:szCs w:val="21"/>
          <w:highlight w:val="none"/>
        </w:rPr>
      </w:pPr>
    </w:p>
    <w:p w14:paraId="7D54403A">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2430F638">
      <w:pPr>
        <w:spacing w:line="360" w:lineRule="auto"/>
        <w:ind w:firstLine="420" w:firstLineChars="200"/>
        <w:rPr>
          <w:rFonts w:ascii="宋体" w:hAnsi="宋体" w:eastAsia="宋体"/>
          <w:color w:val="auto"/>
          <w:szCs w:val="21"/>
          <w:highlight w:val="none"/>
        </w:rPr>
      </w:pPr>
    </w:p>
    <w:p w14:paraId="056293A5">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31C6D77E">
      <w:pPr>
        <w:spacing w:line="360" w:lineRule="auto"/>
        <w:ind w:firstLine="420" w:firstLineChars="200"/>
        <w:rPr>
          <w:rFonts w:ascii="宋体" w:hAnsi="宋体" w:eastAsia="宋体"/>
          <w:color w:val="auto"/>
          <w:szCs w:val="21"/>
          <w:highlight w:val="none"/>
        </w:rPr>
      </w:pPr>
    </w:p>
    <w:p w14:paraId="3445B93E">
      <w:pPr>
        <w:spacing w:line="360" w:lineRule="auto"/>
        <w:ind w:firstLine="420" w:firstLineChars="200"/>
        <w:rPr>
          <w:rFonts w:ascii="宋体" w:hAnsi="宋体" w:eastAsia="宋体"/>
          <w:color w:val="auto"/>
          <w:szCs w:val="21"/>
          <w:highlight w:val="none"/>
        </w:rPr>
      </w:pPr>
    </w:p>
    <w:p w14:paraId="71E04966">
      <w:pPr>
        <w:spacing w:line="360" w:lineRule="auto"/>
        <w:ind w:firstLine="420" w:firstLineChars="200"/>
        <w:rPr>
          <w:rFonts w:ascii="宋体" w:hAnsi="宋体" w:eastAsia="宋体"/>
          <w:color w:val="auto"/>
          <w:szCs w:val="21"/>
          <w:highlight w:val="none"/>
        </w:rPr>
      </w:pPr>
    </w:p>
    <w:p w14:paraId="446CD201">
      <w:pP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年</w:t>
      </w: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月</w:t>
      </w: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日</w:t>
      </w:r>
    </w:p>
    <w:p w14:paraId="1DC14542">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1A8AC71A">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报价文件目录</w:t>
      </w:r>
    </w:p>
    <w:p w14:paraId="5904E6E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根据磋商文件规定及供应商提供的材料自行编写目录（部分格式后附），竞标人不得对采购人的</w:t>
      </w:r>
      <w:r>
        <w:rPr>
          <w:rFonts w:hint="eastAsia" w:ascii="宋体" w:hAnsi="宋体" w:eastAsia="宋体"/>
          <w:color w:val="auto"/>
          <w:szCs w:val="21"/>
          <w:highlight w:val="none"/>
          <w:u w:val="single"/>
        </w:rPr>
        <w:t>固定</w:t>
      </w:r>
      <w:r>
        <w:rPr>
          <w:rFonts w:hint="eastAsia" w:ascii="宋体" w:hAnsi="宋体" w:eastAsia="宋体"/>
          <w:color w:val="auto"/>
          <w:szCs w:val="21"/>
          <w:highlight w:val="none"/>
        </w:rPr>
        <w:t>综合单价进行修改。</w:t>
      </w:r>
    </w:p>
    <w:p w14:paraId="2C1BA13C">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3B0548CC">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（一）竞标函及竞标函附录</w:t>
      </w:r>
    </w:p>
    <w:p w14:paraId="54C69752">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竞标函</w:t>
      </w:r>
    </w:p>
    <w:p w14:paraId="61A7FD21">
      <w:pPr>
        <w:spacing w:line="360" w:lineRule="auto"/>
        <w:rPr>
          <w:rFonts w:ascii="宋体" w:hAnsi="宋体" w:eastAsia="宋体"/>
          <w:color w:val="auto"/>
          <w:szCs w:val="21"/>
          <w:highlight w:val="none"/>
        </w:rPr>
      </w:pP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（采购人名称）：</w:t>
      </w:r>
    </w:p>
    <w:p w14:paraId="04A6BAC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1.我方已仔细研究了</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（项目名称/项目编号）磋商文件的全部内容，愿意以下浮系数</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w:t>
      </w:r>
      <w:r>
        <w:rPr>
          <w:rFonts w:hint="eastAsia" w:ascii="宋体" w:hAnsi="宋体" w:eastAsia="宋体"/>
          <w:color w:val="auto"/>
          <w:szCs w:val="21"/>
          <w:highlight w:val="none"/>
        </w:rPr>
        <w:t>的竞争性磋商报价，工期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日历天，按合同约定实施和完成承包工程，修补工程中的任何缺陷，工程质量达到</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w:t>
      </w:r>
    </w:p>
    <w:p w14:paraId="0B5710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2.我方承认竞争性磋商报价表是我方竞争性磋商函的组成部分。</w:t>
      </w:r>
    </w:p>
    <w:p w14:paraId="261FB8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3.如我方成交：</w:t>
      </w:r>
    </w:p>
    <w:p w14:paraId="29FD23C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（1）我方承诺在收到成交通知书后，在成交通知书规定的期限内与你方签订合同。</w:t>
      </w:r>
    </w:p>
    <w:p w14:paraId="6F51B1E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（2）在签订合同时不向你方提出附加条件。</w:t>
      </w:r>
    </w:p>
    <w:p w14:paraId="2C23B2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（3）我方承诺按照磋商文件规定向你方递交履约担保。</w:t>
      </w:r>
    </w:p>
    <w:p w14:paraId="70923D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（4）我方承诺在合同约定的期限内完成并移交全部合同工程。</w:t>
      </w:r>
    </w:p>
    <w:p w14:paraId="3543AB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（5）我方已认真阅读你方审定的招标控制价，认可你方发布的招标控制价，并同意本项目依据招标控制价中相应清单单价乘以（1-成交下浮系数）进行结算。</w:t>
      </w:r>
    </w:p>
    <w:p w14:paraId="001AB1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4.在合同书正式签署生效之前，本竞争性磋商函连同你方的成交通知书将构成我们双方之间共同遵守的文件，对双方具有约束力。</w:t>
      </w:r>
    </w:p>
    <w:p w14:paraId="1B1EE9F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（其他补充说明）。</w:t>
      </w:r>
    </w:p>
    <w:p w14:paraId="0C0200A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与本磋商有关的一切正式往来信函请寄：</w:t>
      </w:r>
    </w:p>
    <w:p w14:paraId="43DF9B5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u w:val="single"/>
        </w:rPr>
        <w:t xml:space="preserve">      </w:t>
      </w:r>
    </w:p>
    <w:p w14:paraId="745784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电话：</w:t>
      </w:r>
      <w:r>
        <w:rPr>
          <w:rFonts w:ascii="Times New Roman" w:hAnsi="Times New Roman" w:eastAsia="宋体" w:cs="Times New Roman"/>
          <w:color w:val="auto"/>
          <w:szCs w:val="21"/>
          <w:highlight w:val="none"/>
          <w:u w:val="single"/>
        </w:rPr>
        <w:t xml:space="preserve">      </w:t>
      </w:r>
    </w:p>
    <w:p w14:paraId="5C7A03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传真：</w:t>
      </w:r>
      <w:r>
        <w:rPr>
          <w:rFonts w:ascii="Times New Roman" w:hAnsi="Times New Roman" w:eastAsia="宋体" w:cs="Times New Roman"/>
          <w:color w:val="auto"/>
          <w:szCs w:val="21"/>
          <w:highlight w:val="none"/>
          <w:u w:val="single"/>
        </w:rPr>
        <w:t xml:space="preserve">      </w:t>
      </w:r>
    </w:p>
    <w:p w14:paraId="4FF303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邮政编码：</w:t>
      </w:r>
      <w:r>
        <w:rPr>
          <w:rFonts w:ascii="Times New Roman" w:hAnsi="Times New Roman" w:eastAsia="宋体" w:cs="Times New Roman"/>
          <w:color w:val="auto"/>
          <w:szCs w:val="21"/>
          <w:highlight w:val="none"/>
          <w:u w:val="single"/>
        </w:rPr>
        <w:t xml:space="preserve">      </w:t>
      </w:r>
    </w:p>
    <w:p w14:paraId="38CC24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开户名称：</w:t>
      </w:r>
      <w:r>
        <w:rPr>
          <w:rFonts w:ascii="Times New Roman" w:hAnsi="Times New Roman" w:eastAsia="宋体" w:cs="Times New Roman"/>
          <w:color w:val="auto"/>
          <w:szCs w:val="21"/>
          <w:highlight w:val="none"/>
          <w:u w:val="single"/>
        </w:rPr>
        <w:t xml:space="preserve">      </w:t>
      </w:r>
    </w:p>
    <w:p w14:paraId="0AB3DE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开户银行：</w:t>
      </w:r>
      <w:r>
        <w:rPr>
          <w:rFonts w:ascii="Times New Roman" w:hAnsi="Times New Roman" w:eastAsia="宋体" w:cs="Times New Roman"/>
          <w:color w:val="auto"/>
          <w:szCs w:val="21"/>
          <w:highlight w:val="none"/>
          <w:u w:val="single"/>
        </w:rPr>
        <w:t xml:space="preserve">      </w:t>
      </w:r>
    </w:p>
    <w:p w14:paraId="316B66C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银行账号：</w:t>
      </w:r>
      <w:r>
        <w:rPr>
          <w:rFonts w:ascii="Times New Roman" w:hAnsi="Times New Roman" w:eastAsia="宋体" w:cs="Times New Roman"/>
          <w:color w:val="auto"/>
          <w:szCs w:val="21"/>
          <w:highlight w:val="none"/>
          <w:u w:val="single"/>
        </w:rPr>
        <w:t xml:space="preserve">      </w:t>
      </w:r>
    </w:p>
    <w:p w14:paraId="0052EC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特此承诺。</w:t>
      </w:r>
    </w:p>
    <w:p w14:paraId="0852A49A">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58169A8">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62F2A580">
      <w:pPr>
        <w:spacing w:line="360" w:lineRule="auto"/>
        <w:ind w:firstLine="420" w:firstLineChars="200"/>
        <w:jc w:val="right"/>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797CE76E">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竞标函附录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1295"/>
        <w:gridCol w:w="3028"/>
        <w:gridCol w:w="2332"/>
      </w:tblGrid>
      <w:tr w14:paraId="1DD5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2F0B478">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1985" w:type="dxa"/>
            <w:vAlign w:val="center"/>
          </w:tcPr>
          <w:p w14:paraId="4748407A">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条款内容</w:t>
            </w:r>
          </w:p>
        </w:tc>
        <w:tc>
          <w:tcPr>
            <w:tcW w:w="1295" w:type="dxa"/>
            <w:vAlign w:val="center"/>
          </w:tcPr>
          <w:p w14:paraId="39DE5CD7">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合同条款号</w:t>
            </w:r>
          </w:p>
        </w:tc>
        <w:tc>
          <w:tcPr>
            <w:tcW w:w="3028" w:type="dxa"/>
            <w:vAlign w:val="center"/>
          </w:tcPr>
          <w:p w14:paraId="229C79C0">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约定内容</w:t>
            </w:r>
          </w:p>
        </w:tc>
        <w:tc>
          <w:tcPr>
            <w:tcW w:w="2332" w:type="dxa"/>
            <w:vAlign w:val="center"/>
          </w:tcPr>
          <w:p w14:paraId="67F785D3">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供应商响应情况</w:t>
            </w:r>
          </w:p>
        </w:tc>
      </w:tr>
      <w:tr w14:paraId="7F89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36535F9">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985" w:type="dxa"/>
            <w:vAlign w:val="center"/>
          </w:tcPr>
          <w:p w14:paraId="4CD4629B">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项目经理</w:t>
            </w:r>
          </w:p>
        </w:tc>
        <w:tc>
          <w:tcPr>
            <w:tcW w:w="1295" w:type="dxa"/>
            <w:vAlign w:val="center"/>
          </w:tcPr>
          <w:p w14:paraId="0AD7A349">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专用条款</w:t>
            </w:r>
          </w:p>
        </w:tc>
        <w:tc>
          <w:tcPr>
            <w:tcW w:w="3028" w:type="dxa"/>
            <w:vAlign w:val="center"/>
          </w:tcPr>
          <w:p w14:paraId="0D9FEC3B">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姓名：</w:t>
            </w:r>
          </w:p>
        </w:tc>
        <w:tc>
          <w:tcPr>
            <w:tcW w:w="2332" w:type="dxa"/>
            <w:vAlign w:val="center"/>
          </w:tcPr>
          <w:p w14:paraId="4B365C90">
            <w:pPr>
              <w:spacing w:line="360" w:lineRule="auto"/>
              <w:jc w:val="center"/>
              <w:rPr>
                <w:rFonts w:hint="eastAsia" w:ascii="宋体" w:hAnsi="宋体"/>
                <w:color w:val="auto"/>
                <w:szCs w:val="21"/>
                <w:highlight w:val="none"/>
              </w:rPr>
            </w:pPr>
          </w:p>
        </w:tc>
      </w:tr>
      <w:tr w14:paraId="54B9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820C937">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985" w:type="dxa"/>
            <w:vAlign w:val="center"/>
          </w:tcPr>
          <w:p w14:paraId="4CD430E6">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lang w:val="en-US" w:eastAsia="zh-CN"/>
              </w:rPr>
              <w:t>竞</w:t>
            </w:r>
            <w:r>
              <w:rPr>
                <w:rFonts w:hint="eastAsia" w:ascii="宋体" w:hAnsi="宋体" w:eastAsia="宋体"/>
                <w:color w:val="auto"/>
                <w:szCs w:val="21"/>
                <w:highlight w:val="none"/>
              </w:rPr>
              <w:t>标有效期</w:t>
            </w:r>
          </w:p>
        </w:tc>
        <w:tc>
          <w:tcPr>
            <w:tcW w:w="1295" w:type="dxa"/>
            <w:vAlign w:val="center"/>
          </w:tcPr>
          <w:p w14:paraId="0364D34E">
            <w:pPr>
              <w:spacing w:line="360" w:lineRule="auto"/>
              <w:jc w:val="center"/>
              <w:rPr>
                <w:rFonts w:hint="eastAsia" w:ascii="宋体" w:hAnsi="宋体"/>
                <w:color w:val="auto"/>
                <w:szCs w:val="21"/>
                <w:highlight w:val="none"/>
              </w:rPr>
            </w:pPr>
          </w:p>
        </w:tc>
        <w:tc>
          <w:tcPr>
            <w:tcW w:w="3028" w:type="dxa"/>
            <w:vAlign w:val="center"/>
          </w:tcPr>
          <w:p w14:paraId="4E0B1274">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自首次响应文件提交截止之日起120日</w:t>
            </w:r>
          </w:p>
        </w:tc>
        <w:tc>
          <w:tcPr>
            <w:tcW w:w="2332" w:type="dxa"/>
            <w:vAlign w:val="center"/>
          </w:tcPr>
          <w:p w14:paraId="19CFD20C">
            <w:pPr>
              <w:spacing w:line="360" w:lineRule="auto"/>
              <w:jc w:val="center"/>
              <w:rPr>
                <w:rFonts w:hint="eastAsia" w:ascii="宋体" w:hAnsi="宋体"/>
                <w:color w:val="auto"/>
                <w:szCs w:val="21"/>
                <w:highlight w:val="none"/>
              </w:rPr>
            </w:pPr>
          </w:p>
        </w:tc>
      </w:tr>
      <w:tr w14:paraId="7EBB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6AEE658">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985" w:type="dxa"/>
            <w:vAlign w:val="center"/>
          </w:tcPr>
          <w:p w14:paraId="2EC7A226">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工期</w:t>
            </w:r>
          </w:p>
        </w:tc>
        <w:tc>
          <w:tcPr>
            <w:tcW w:w="1295" w:type="dxa"/>
            <w:vAlign w:val="center"/>
          </w:tcPr>
          <w:p w14:paraId="3BA46019">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专用条款</w:t>
            </w:r>
          </w:p>
        </w:tc>
        <w:tc>
          <w:tcPr>
            <w:tcW w:w="3028" w:type="dxa"/>
            <w:vAlign w:val="center"/>
          </w:tcPr>
          <w:p w14:paraId="2C07862F">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lang w:val="en-US" w:eastAsia="zh-CN"/>
              </w:rPr>
              <w:t>55</w:t>
            </w:r>
            <w:r>
              <w:rPr>
                <w:rFonts w:hint="eastAsia" w:ascii="宋体" w:hAnsi="宋体" w:eastAsia="宋体"/>
                <w:color w:val="auto"/>
                <w:szCs w:val="21"/>
                <w:highlight w:val="none"/>
              </w:rPr>
              <w:t>日历天</w:t>
            </w:r>
          </w:p>
        </w:tc>
        <w:tc>
          <w:tcPr>
            <w:tcW w:w="2332" w:type="dxa"/>
            <w:vAlign w:val="center"/>
          </w:tcPr>
          <w:p w14:paraId="37B39084">
            <w:pPr>
              <w:spacing w:line="360" w:lineRule="auto"/>
              <w:jc w:val="center"/>
              <w:rPr>
                <w:rFonts w:hint="eastAsia" w:ascii="宋体" w:hAnsi="宋体"/>
                <w:color w:val="auto"/>
                <w:szCs w:val="21"/>
                <w:highlight w:val="none"/>
              </w:rPr>
            </w:pPr>
          </w:p>
        </w:tc>
      </w:tr>
      <w:tr w14:paraId="69AC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B126C1A">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1985" w:type="dxa"/>
            <w:vAlign w:val="center"/>
          </w:tcPr>
          <w:p w14:paraId="5CC9E3C1">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缺陷责任期</w:t>
            </w:r>
          </w:p>
        </w:tc>
        <w:tc>
          <w:tcPr>
            <w:tcW w:w="1295" w:type="dxa"/>
            <w:vAlign w:val="center"/>
          </w:tcPr>
          <w:p w14:paraId="483359CD">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专用条款</w:t>
            </w:r>
          </w:p>
        </w:tc>
        <w:tc>
          <w:tcPr>
            <w:tcW w:w="3028" w:type="dxa"/>
            <w:vAlign w:val="center"/>
          </w:tcPr>
          <w:p w14:paraId="7508DC85">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24个月</w:t>
            </w:r>
          </w:p>
        </w:tc>
        <w:tc>
          <w:tcPr>
            <w:tcW w:w="2332" w:type="dxa"/>
            <w:vAlign w:val="center"/>
          </w:tcPr>
          <w:p w14:paraId="7000CC5B">
            <w:pPr>
              <w:spacing w:line="360" w:lineRule="auto"/>
              <w:jc w:val="center"/>
              <w:rPr>
                <w:rFonts w:hint="eastAsia" w:ascii="宋体" w:hAnsi="宋体"/>
                <w:color w:val="auto"/>
                <w:szCs w:val="21"/>
                <w:highlight w:val="none"/>
              </w:rPr>
            </w:pPr>
          </w:p>
        </w:tc>
      </w:tr>
      <w:tr w14:paraId="1F34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018E2C8">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1985" w:type="dxa"/>
            <w:vAlign w:val="center"/>
          </w:tcPr>
          <w:p w14:paraId="75C0E586">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承包人履约担保金额</w:t>
            </w:r>
          </w:p>
        </w:tc>
        <w:tc>
          <w:tcPr>
            <w:tcW w:w="1295" w:type="dxa"/>
            <w:vAlign w:val="center"/>
          </w:tcPr>
          <w:p w14:paraId="043241D7">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专用条款</w:t>
            </w:r>
          </w:p>
        </w:tc>
        <w:tc>
          <w:tcPr>
            <w:tcW w:w="3028" w:type="dxa"/>
            <w:vAlign w:val="center"/>
          </w:tcPr>
          <w:p w14:paraId="171487D6">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合同价款扣除发包人材料设备价款、暂估专业工程、暂列金额后的2%</w:t>
            </w:r>
          </w:p>
        </w:tc>
        <w:tc>
          <w:tcPr>
            <w:tcW w:w="2332" w:type="dxa"/>
            <w:vAlign w:val="center"/>
          </w:tcPr>
          <w:p w14:paraId="09ABCF19">
            <w:pPr>
              <w:spacing w:line="360" w:lineRule="auto"/>
              <w:jc w:val="center"/>
              <w:rPr>
                <w:rFonts w:hint="eastAsia" w:ascii="宋体" w:hAnsi="宋体"/>
                <w:color w:val="auto"/>
                <w:szCs w:val="21"/>
                <w:highlight w:val="none"/>
              </w:rPr>
            </w:pPr>
          </w:p>
        </w:tc>
      </w:tr>
      <w:tr w14:paraId="585E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21C2C7C">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1985" w:type="dxa"/>
            <w:vAlign w:val="center"/>
          </w:tcPr>
          <w:p w14:paraId="4DE359A7">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分包</w:t>
            </w:r>
          </w:p>
        </w:tc>
        <w:tc>
          <w:tcPr>
            <w:tcW w:w="1295" w:type="dxa"/>
            <w:vAlign w:val="center"/>
          </w:tcPr>
          <w:p w14:paraId="25F335E2">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专用条款</w:t>
            </w:r>
          </w:p>
        </w:tc>
        <w:tc>
          <w:tcPr>
            <w:tcW w:w="3028" w:type="dxa"/>
            <w:vAlign w:val="center"/>
          </w:tcPr>
          <w:p w14:paraId="7E66ED40">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见分包项目情况表</w:t>
            </w:r>
          </w:p>
        </w:tc>
        <w:tc>
          <w:tcPr>
            <w:tcW w:w="2332" w:type="dxa"/>
            <w:vAlign w:val="center"/>
          </w:tcPr>
          <w:p w14:paraId="4DA89B66">
            <w:pPr>
              <w:spacing w:line="360" w:lineRule="auto"/>
              <w:jc w:val="center"/>
              <w:rPr>
                <w:rFonts w:hint="eastAsia" w:ascii="宋体" w:hAnsi="宋体"/>
                <w:color w:val="auto"/>
                <w:szCs w:val="21"/>
                <w:highlight w:val="none"/>
              </w:rPr>
            </w:pPr>
          </w:p>
        </w:tc>
      </w:tr>
      <w:tr w14:paraId="272F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8D4406B">
            <w:pPr>
              <w:spacing w:line="360" w:lineRule="auto"/>
              <w:jc w:val="center"/>
              <w:rPr>
                <w:rFonts w:hint="eastAsia" w:ascii="宋体" w:hAnsi="宋体"/>
                <w:color w:val="auto"/>
                <w:szCs w:val="21"/>
                <w:highlight w:val="none"/>
              </w:rPr>
            </w:pPr>
            <w:r>
              <w:rPr>
                <w:rFonts w:hint="eastAsia" w:ascii="宋体" w:hAnsi="宋体"/>
                <w:color w:val="auto"/>
                <w:szCs w:val="21"/>
                <w:highlight w:val="none"/>
              </w:rPr>
              <w:t>7</w:t>
            </w:r>
          </w:p>
        </w:tc>
        <w:tc>
          <w:tcPr>
            <w:tcW w:w="1985" w:type="dxa"/>
            <w:vAlign w:val="center"/>
          </w:tcPr>
          <w:p w14:paraId="41B818AC">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逾期竣工违约金</w:t>
            </w:r>
          </w:p>
        </w:tc>
        <w:tc>
          <w:tcPr>
            <w:tcW w:w="1295" w:type="dxa"/>
            <w:vAlign w:val="center"/>
          </w:tcPr>
          <w:p w14:paraId="4E97431E">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专用条款</w:t>
            </w:r>
          </w:p>
        </w:tc>
        <w:tc>
          <w:tcPr>
            <w:tcW w:w="3028" w:type="dxa"/>
            <w:vAlign w:val="center"/>
          </w:tcPr>
          <w:p w14:paraId="1BF6BE6D">
            <w:pPr>
              <w:spacing w:line="360" w:lineRule="auto"/>
              <w:jc w:val="center"/>
              <w:rPr>
                <w:rFonts w:hint="eastAsia" w:ascii="宋体" w:hAnsi="宋体"/>
                <w:color w:val="auto"/>
                <w:szCs w:val="21"/>
                <w:highlight w:val="none"/>
              </w:rPr>
            </w:pPr>
            <w:r>
              <w:rPr>
                <w:rFonts w:hint="eastAsia" w:ascii="宋体" w:hAnsi="宋体" w:eastAsia="宋体"/>
                <w:color w:val="auto"/>
                <w:szCs w:val="21"/>
                <w:highlight w:val="none"/>
              </w:rPr>
              <w:t>每天违约金数额为合同价款的万分之肆</w:t>
            </w:r>
          </w:p>
        </w:tc>
        <w:tc>
          <w:tcPr>
            <w:tcW w:w="2332" w:type="dxa"/>
            <w:vAlign w:val="center"/>
          </w:tcPr>
          <w:p w14:paraId="63F41DFB">
            <w:pPr>
              <w:spacing w:line="360" w:lineRule="auto"/>
              <w:jc w:val="center"/>
              <w:rPr>
                <w:rFonts w:hint="eastAsia" w:ascii="宋体" w:hAnsi="宋体"/>
                <w:color w:val="auto"/>
                <w:szCs w:val="21"/>
                <w:highlight w:val="none"/>
              </w:rPr>
            </w:pPr>
          </w:p>
        </w:tc>
      </w:tr>
      <w:tr w14:paraId="72B5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70CE3FE">
            <w:pPr>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1985" w:type="dxa"/>
            <w:vAlign w:val="center"/>
          </w:tcPr>
          <w:p w14:paraId="649349F5">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逾期竣工违约金最高限额</w:t>
            </w:r>
          </w:p>
        </w:tc>
        <w:tc>
          <w:tcPr>
            <w:tcW w:w="1295" w:type="dxa"/>
            <w:vAlign w:val="center"/>
          </w:tcPr>
          <w:p w14:paraId="01892F2C">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专用条款</w:t>
            </w:r>
          </w:p>
        </w:tc>
        <w:tc>
          <w:tcPr>
            <w:tcW w:w="3028" w:type="dxa"/>
            <w:vAlign w:val="center"/>
          </w:tcPr>
          <w:p w14:paraId="06E3656F">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不超过合同价的10%</w:t>
            </w:r>
          </w:p>
        </w:tc>
        <w:tc>
          <w:tcPr>
            <w:tcW w:w="2332" w:type="dxa"/>
            <w:vAlign w:val="center"/>
          </w:tcPr>
          <w:p w14:paraId="5CB6FA83">
            <w:pPr>
              <w:spacing w:line="360" w:lineRule="auto"/>
              <w:jc w:val="center"/>
              <w:rPr>
                <w:rFonts w:hint="eastAsia" w:ascii="宋体" w:hAnsi="宋体"/>
                <w:color w:val="auto"/>
                <w:szCs w:val="21"/>
                <w:highlight w:val="none"/>
              </w:rPr>
            </w:pPr>
          </w:p>
        </w:tc>
      </w:tr>
      <w:tr w14:paraId="2C32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61A8D90">
            <w:pPr>
              <w:spacing w:line="360" w:lineRule="auto"/>
              <w:jc w:val="center"/>
              <w:rPr>
                <w:rFonts w:hint="eastAsia" w:ascii="宋体" w:hAnsi="宋体"/>
                <w:color w:val="auto"/>
                <w:szCs w:val="21"/>
                <w:highlight w:val="none"/>
              </w:rPr>
            </w:pPr>
            <w:r>
              <w:rPr>
                <w:rFonts w:hint="eastAsia" w:ascii="宋体" w:hAnsi="宋体"/>
                <w:color w:val="auto"/>
                <w:szCs w:val="21"/>
                <w:highlight w:val="none"/>
              </w:rPr>
              <w:t>9</w:t>
            </w:r>
          </w:p>
        </w:tc>
        <w:tc>
          <w:tcPr>
            <w:tcW w:w="1985" w:type="dxa"/>
            <w:vAlign w:val="center"/>
          </w:tcPr>
          <w:p w14:paraId="53B5A893">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质量标准</w:t>
            </w:r>
          </w:p>
        </w:tc>
        <w:tc>
          <w:tcPr>
            <w:tcW w:w="1295" w:type="dxa"/>
            <w:vAlign w:val="center"/>
          </w:tcPr>
          <w:p w14:paraId="7B10F261">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专用条款</w:t>
            </w:r>
          </w:p>
        </w:tc>
        <w:tc>
          <w:tcPr>
            <w:tcW w:w="3028" w:type="dxa"/>
            <w:vAlign w:val="center"/>
          </w:tcPr>
          <w:p w14:paraId="542F716B">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合格</w:t>
            </w:r>
          </w:p>
        </w:tc>
        <w:tc>
          <w:tcPr>
            <w:tcW w:w="2332" w:type="dxa"/>
            <w:vAlign w:val="center"/>
          </w:tcPr>
          <w:p w14:paraId="3B1EEB37">
            <w:pPr>
              <w:spacing w:line="360" w:lineRule="auto"/>
              <w:jc w:val="center"/>
              <w:rPr>
                <w:rFonts w:hint="eastAsia" w:ascii="宋体" w:hAnsi="宋体"/>
                <w:color w:val="auto"/>
                <w:szCs w:val="21"/>
                <w:highlight w:val="none"/>
              </w:rPr>
            </w:pPr>
          </w:p>
        </w:tc>
      </w:tr>
      <w:tr w14:paraId="5557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6C62A9C">
            <w:pPr>
              <w:spacing w:line="360" w:lineRule="auto"/>
              <w:jc w:val="center"/>
              <w:rPr>
                <w:rFonts w:hint="eastAsia" w:ascii="宋体" w:hAnsi="宋体"/>
                <w:color w:val="auto"/>
                <w:szCs w:val="21"/>
                <w:highlight w:val="none"/>
              </w:rPr>
            </w:pPr>
            <w:r>
              <w:rPr>
                <w:rFonts w:hint="eastAsia" w:ascii="宋体" w:hAnsi="宋体"/>
                <w:color w:val="auto"/>
                <w:szCs w:val="21"/>
                <w:highlight w:val="none"/>
              </w:rPr>
              <w:t>10</w:t>
            </w:r>
          </w:p>
        </w:tc>
        <w:tc>
          <w:tcPr>
            <w:tcW w:w="1985" w:type="dxa"/>
            <w:vAlign w:val="center"/>
          </w:tcPr>
          <w:p w14:paraId="6B5D837A">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预付款额度</w:t>
            </w:r>
          </w:p>
        </w:tc>
        <w:tc>
          <w:tcPr>
            <w:tcW w:w="1295" w:type="dxa"/>
            <w:vAlign w:val="center"/>
          </w:tcPr>
          <w:p w14:paraId="7D89D33B">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专用条款</w:t>
            </w:r>
          </w:p>
        </w:tc>
        <w:tc>
          <w:tcPr>
            <w:tcW w:w="3028" w:type="dxa"/>
            <w:vAlign w:val="center"/>
          </w:tcPr>
          <w:p w14:paraId="2B797EA3">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无预付款</w:t>
            </w:r>
          </w:p>
        </w:tc>
        <w:tc>
          <w:tcPr>
            <w:tcW w:w="2332" w:type="dxa"/>
            <w:vAlign w:val="center"/>
          </w:tcPr>
          <w:p w14:paraId="6EFC04F6">
            <w:pPr>
              <w:spacing w:line="360" w:lineRule="auto"/>
              <w:jc w:val="center"/>
              <w:rPr>
                <w:rFonts w:hint="eastAsia" w:ascii="宋体" w:hAnsi="宋体"/>
                <w:color w:val="auto"/>
                <w:szCs w:val="21"/>
                <w:highlight w:val="none"/>
              </w:rPr>
            </w:pPr>
          </w:p>
        </w:tc>
      </w:tr>
      <w:tr w14:paraId="4F64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D183CF6">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85" w:type="dxa"/>
            <w:vAlign w:val="center"/>
          </w:tcPr>
          <w:p w14:paraId="35E78C0C">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质量保证金额度</w:t>
            </w:r>
          </w:p>
        </w:tc>
        <w:tc>
          <w:tcPr>
            <w:tcW w:w="1295" w:type="dxa"/>
            <w:vAlign w:val="center"/>
          </w:tcPr>
          <w:p w14:paraId="0EF48AAB">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专用条款</w:t>
            </w:r>
          </w:p>
        </w:tc>
        <w:tc>
          <w:tcPr>
            <w:tcW w:w="3028" w:type="dxa"/>
            <w:vAlign w:val="center"/>
          </w:tcPr>
          <w:p w14:paraId="56788196">
            <w:pP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工程价款结算总额的3%</w:t>
            </w:r>
          </w:p>
        </w:tc>
        <w:tc>
          <w:tcPr>
            <w:tcW w:w="2332" w:type="dxa"/>
            <w:vAlign w:val="center"/>
          </w:tcPr>
          <w:p w14:paraId="68102B8F">
            <w:pPr>
              <w:spacing w:line="360" w:lineRule="auto"/>
              <w:jc w:val="center"/>
              <w:rPr>
                <w:rFonts w:hint="eastAsia" w:ascii="宋体" w:hAnsi="宋体"/>
                <w:color w:val="auto"/>
                <w:szCs w:val="21"/>
                <w:highlight w:val="none"/>
              </w:rPr>
            </w:pPr>
          </w:p>
        </w:tc>
      </w:tr>
      <w:tr w14:paraId="67B9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A091E81">
            <w:pPr>
              <w:spacing w:line="360" w:lineRule="auto"/>
              <w:jc w:val="center"/>
              <w:rPr>
                <w:rFonts w:hint="eastAsia" w:ascii="宋体" w:hAnsi="宋体"/>
                <w:color w:val="auto"/>
                <w:szCs w:val="21"/>
                <w:highlight w:val="none"/>
              </w:rPr>
            </w:pPr>
            <w:r>
              <w:rPr>
                <w:rFonts w:ascii="宋体" w:hAnsi="宋体"/>
                <w:color w:val="auto"/>
                <w:szCs w:val="21"/>
                <w:highlight w:val="none"/>
              </w:rPr>
              <w:t>…</w:t>
            </w:r>
          </w:p>
        </w:tc>
        <w:tc>
          <w:tcPr>
            <w:tcW w:w="1985" w:type="dxa"/>
            <w:vAlign w:val="center"/>
          </w:tcPr>
          <w:p w14:paraId="0AE41FB8">
            <w:pPr>
              <w:spacing w:line="360" w:lineRule="auto"/>
              <w:jc w:val="center"/>
              <w:rPr>
                <w:rFonts w:hint="eastAsia" w:ascii="宋体" w:hAnsi="宋体" w:eastAsia="宋体"/>
                <w:color w:val="auto"/>
                <w:szCs w:val="21"/>
                <w:highlight w:val="none"/>
              </w:rPr>
            </w:pPr>
            <w:r>
              <w:rPr>
                <w:rFonts w:ascii="宋体" w:hAnsi="宋体" w:eastAsia="宋体"/>
                <w:color w:val="auto"/>
                <w:szCs w:val="21"/>
                <w:highlight w:val="none"/>
              </w:rPr>
              <w:t>…</w:t>
            </w:r>
          </w:p>
        </w:tc>
        <w:tc>
          <w:tcPr>
            <w:tcW w:w="1295" w:type="dxa"/>
            <w:vAlign w:val="center"/>
          </w:tcPr>
          <w:p w14:paraId="6CA19C0D">
            <w:pPr>
              <w:spacing w:line="360" w:lineRule="auto"/>
              <w:jc w:val="center"/>
              <w:rPr>
                <w:rFonts w:hint="eastAsia" w:ascii="宋体" w:hAnsi="宋体" w:eastAsia="宋体"/>
                <w:color w:val="auto"/>
                <w:szCs w:val="21"/>
                <w:highlight w:val="none"/>
              </w:rPr>
            </w:pPr>
          </w:p>
        </w:tc>
        <w:tc>
          <w:tcPr>
            <w:tcW w:w="3028" w:type="dxa"/>
            <w:vAlign w:val="center"/>
          </w:tcPr>
          <w:p w14:paraId="0EEC8022">
            <w:pPr>
              <w:spacing w:line="360" w:lineRule="auto"/>
              <w:jc w:val="left"/>
              <w:rPr>
                <w:rFonts w:hint="eastAsia" w:ascii="宋体" w:hAnsi="宋体" w:eastAsia="宋体"/>
                <w:color w:val="auto"/>
                <w:szCs w:val="21"/>
                <w:highlight w:val="none"/>
              </w:rPr>
            </w:pPr>
          </w:p>
        </w:tc>
        <w:tc>
          <w:tcPr>
            <w:tcW w:w="2332" w:type="dxa"/>
            <w:vAlign w:val="center"/>
          </w:tcPr>
          <w:p w14:paraId="21FC50ED">
            <w:pPr>
              <w:spacing w:line="360" w:lineRule="auto"/>
              <w:jc w:val="center"/>
              <w:rPr>
                <w:rFonts w:hint="eastAsia" w:ascii="宋体" w:hAnsi="宋体"/>
                <w:color w:val="auto"/>
                <w:szCs w:val="21"/>
                <w:highlight w:val="none"/>
              </w:rPr>
            </w:pPr>
          </w:p>
        </w:tc>
      </w:tr>
      <w:tr w14:paraId="52CD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481B1A50">
            <w:pPr>
              <w:spacing w:line="360" w:lineRule="auto"/>
              <w:jc w:val="left"/>
              <w:rPr>
                <w:rFonts w:hint="eastAsia" w:ascii="宋体" w:hAnsi="宋体"/>
                <w:color w:val="auto"/>
                <w:szCs w:val="21"/>
                <w:highlight w:val="none"/>
              </w:rPr>
            </w:pPr>
            <w:r>
              <w:rPr>
                <w:rFonts w:hint="eastAsia" w:ascii="宋体" w:hAnsi="宋体"/>
                <w:color w:val="auto"/>
                <w:szCs w:val="21"/>
                <w:highlight w:val="none"/>
              </w:rPr>
              <w:t>说明：供应商在响应磋商文件中规定的实质性要求和条件的基础上，可做出其他有利于采购人的承诺。此类承诺可在本表中予以补充填写。</w:t>
            </w:r>
          </w:p>
        </w:tc>
      </w:tr>
    </w:tbl>
    <w:p w14:paraId="684119AD">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法定代表人或者委托代理人（签字或者电子签名）：</w:t>
      </w:r>
    </w:p>
    <w:p w14:paraId="2483031A">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11ABC95">
      <w:pP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09C18C8E">
      <w:pPr>
        <w:pStyle w:val="3"/>
        <w:jc w:val="center"/>
        <w:rPr>
          <w:color w:val="auto"/>
          <w:highlight w:val="none"/>
        </w:rPr>
        <w:sectPr>
          <w:pgSz w:w="11906" w:h="16838"/>
          <w:pgMar w:top="1440" w:right="1134" w:bottom="1440" w:left="1418" w:header="851" w:footer="992" w:gutter="0"/>
          <w:cols w:space="425" w:num="1"/>
          <w:docGrid w:type="lines" w:linePitch="312" w:charSpace="0"/>
        </w:sectPr>
      </w:pPr>
    </w:p>
    <w:p w14:paraId="34E2330E">
      <w:pPr>
        <w:pStyle w:val="12"/>
        <w:overflowPunct w:val="0"/>
        <w:spacing w:line="520" w:lineRule="exact"/>
        <w:ind w:firstLine="0"/>
        <w:jc w:val="center"/>
        <w:rPr>
          <w:rFonts w:ascii="宋体" w:hAnsi="宋体" w:cs="方正小标宋简体"/>
          <w:b/>
          <w:color w:val="auto"/>
          <w:sz w:val="32"/>
          <w:szCs w:val="32"/>
          <w:highlight w:val="none"/>
        </w:rPr>
      </w:pPr>
      <w:r>
        <w:rPr>
          <w:rFonts w:hint="eastAsia" w:ascii="宋体" w:hAnsi="宋体"/>
          <w:b/>
          <w:color w:val="auto"/>
          <w:sz w:val="32"/>
          <w:szCs w:val="32"/>
          <w:highlight w:val="none"/>
        </w:rPr>
        <w:t>（</w:t>
      </w:r>
      <w:r>
        <w:rPr>
          <w:rFonts w:hint="eastAsia" w:ascii="宋体" w:hAnsi="宋体" w:cs="方正小标宋简体"/>
          <w:b/>
          <w:color w:val="auto"/>
          <w:sz w:val="32"/>
          <w:szCs w:val="32"/>
          <w:highlight w:val="none"/>
        </w:rPr>
        <w:t>二</w:t>
      </w:r>
      <w:r>
        <w:rPr>
          <w:rFonts w:hint="eastAsia" w:ascii="宋体" w:hAnsi="宋体"/>
          <w:b/>
          <w:color w:val="auto"/>
          <w:sz w:val="32"/>
          <w:szCs w:val="32"/>
          <w:highlight w:val="none"/>
        </w:rPr>
        <w:t>）</w:t>
      </w:r>
      <w:r>
        <w:rPr>
          <w:rFonts w:hint="eastAsia" w:ascii="宋体" w:hAnsi="宋体" w:cs="方正小标宋简体"/>
          <w:b/>
          <w:color w:val="auto"/>
          <w:sz w:val="32"/>
          <w:szCs w:val="32"/>
          <w:highlight w:val="none"/>
        </w:rPr>
        <w:t>竞争性磋商报价表</w:t>
      </w:r>
    </w:p>
    <w:p w14:paraId="64CD750D">
      <w:pPr>
        <w:spacing w:line="360" w:lineRule="auto"/>
        <w:ind w:firstLine="420" w:firstLineChars="200"/>
        <w:rPr>
          <w:rFonts w:ascii="宋体" w:hAnsi="宋体" w:eastAsia="宋体"/>
          <w:color w:val="auto"/>
          <w:szCs w:val="21"/>
          <w:highlight w:val="none"/>
        </w:rPr>
      </w:pPr>
    </w:p>
    <w:p w14:paraId="3910732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项目名称：</w:t>
      </w:r>
    </w:p>
    <w:p w14:paraId="471F5E1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项目编号：</w:t>
      </w:r>
    </w:p>
    <w:p w14:paraId="196868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分标（如有）：</w:t>
      </w:r>
    </w:p>
    <w:p w14:paraId="556C853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供应商名称：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276"/>
        <w:gridCol w:w="2126"/>
        <w:gridCol w:w="2127"/>
        <w:gridCol w:w="993"/>
      </w:tblGrid>
      <w:tr w14:paraId="1D6F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F3EE47F">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17" w:type="dxa"/>
            <w:vAlign w:val="center"/>
          </w:tcPr>
          <w:p w14:paraId="6AD0B659">
            <w:pPr>
              <w:spacing w:line="360" w:lineRule="auto"/>
              <w:jc w:val="center"/>
              <w:rPr>
                <w:rFonts w:ascii="宋体" w:hAnsi="宋体"/>
                <w:color w:val="auto"/>
                <w:szCs w:val="21"/>
                <w:highlight w:val="none"/>
              </w:rPr>
            </w:pPr>
            <w:r>
              <w:rPr>
                <w:rFonts w:hint="eastAsia" w:ascii="宋体" w:hAnsi="宋体"/>
                <w:color w:val="auto"/>
                <w:szCs w:val="21"/>
                <w:highlight w:val="none"/>
              </w:rPr>
              <w:t>标的名称</w:t>
            </w:r>
          </w:p>
        </w:tc>
        <w:tc>
          <w:tcPr>
            <w:tcW w:w="1276" w:type="dxa"/>
            <w:vAlign w:val="center"/>
          </w:tcPr>
          <w:p w14:paraId="63F068D8">
            <w:pPr>
              <w:spacing w:line="360" w:lineRule="auto"/>
              <w:jc w:val="center"/>
              <w:rPr>
                <w:rFonts w:ascii="宋体" w:hAnsi="宋体"/>
                <w:color w:val="auto"/>
                <w:szCs w:val="21"/>
                <w:highlight w:val="none"/>
              </w:rPr>
            </w:pPr>
            <w:r>
              <w:rPr>
                <w:rFonts w:hint="eastAsia" w:ascii="宋体" w:hAnsi="宋体"/>
                <w:color w:val="auto"/>
                <w:szCs w:val="21"/>
                <w:highlight w:val="none"/>
              </w:rPr>
              <w:t>数量及单位</w:t>
            </w:r>
          </w:p>
        </w:tc>
        <w:tc>
          <w:tcPr>
            <w:tcW w:w="2126" w:type="dxa"/>
            <w:vAlign w:val="center"/>
          </w:tcPr>
          <w:p w14:paraId="18F311B2">
            <w:pPr>
              <w:spacing w:line="360" w:lineRule="auto"/>
              <w:jc w:val="center"/>
              <w:rPr>
                <w:rFonts w:ascii="宋体" w:hAnsi="宋体"/>
                <w:color w:val="auto"/>
                <w:szCs w:val="21"/>
                <w:highlight w:val="none"/>
              </w:rPr>
            </w:pPr>
            <w:r>
              <w:rPr>
                <w:rFonts w:hint="eastAsia" w:ascii="宋体" w:hAnsi="宋体"/>
                <w:color w:val="auto"/>
                <w:szCs w:val="21"/>
                <w:highlight w:val="none"/>
              </w:rPr>
              <w:t>报价（元/人民币）</w:t>
            </w:r>
          </w:p>
        </w:tc>
        <w:tc>
          <w:tcPr>
            <w:tcW w:w="2127" w:type="dxa"/>
          </w:tcPr>
          <w:p w14:paraId="3FFA8A5E">
            <w:pPr>
              <w:spacing w:line="360" w:lineRule="auto"/>
              <w:jc w:val="center"/>
              <w:rPr>
                <w:rFonts w:ascii="宋体" w:hAnsi="宋体"/>
                <w:color w:val="auto"/>
                <w:szCs w:val="21"/>
                <w:highlight w:val="none"/>
              </w:rPr>
            </w:pPr>
            <w:r>
              <w:rPr>
                <w:rFonts w:hint="eastAsia" w:ascii="宋体" w:hAnsi="宋体"/>
                <w:color w:val="auto"/>
                <w:szCs w:val="21"/>
                <w:highlight w:val="none"/>
              </w:rPr>
              <w:t>下浮系数（%）</w:t>
            </w:r>
          </w:p>
        </w:tc>
        <w:tc>
          <w:tcPr>
            <w:tcW w:w="993" w:type="dxa"/>
            <w:vAlign w:val="center"/>
          </w:tcPr>
          <w:p w14:paraId="099B148A">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700A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EFA85CD">
            <w:pPr>
              <w:spacing w:line="360" w:lineRule="auto"/>
              <w:jc w:val="center"/>
              <w:rPr>
                <w:rFonts w:ascii="宋体" w:hAnsi="宋体"/>
                <w:color w:val="auto"/>
                <w:szCs w:val="21"/>
                <w:highlight w:val="none"/>
              </w:rPr>
            </w:pPr>
            <w:r>
              <w:rPr>
                <w:rFonts w:ascii="宋体" w:hAnsi="宋体"/>
                <w:color w:val="auto"/>
                <w:szCs w:val="21"/>
                <w:highlight w:val="none"/>
              </w:rPr>
              <w:t>1</w:t>
            </w:r>
          </w:p>
        </w:tc>
        <w:tc>
          <w:tcPr>
            <w:tcW w:w="1417" w:type="dxa"/>
            <w:vAlign w:val="center"/>
          </w:tcPr>
          <w:p w14:paraId="4BEBE46F">
            <w:pPr>
              <w:spacing w:line="360" w:lineRule="auto"/>
              <w:jc w:val="center"/>
              <w:rPr>
                <w:rFonts w:ascii="宋体" w:hAnsi="宋体"/>
                <w:color w:val="auto"/>
                <w:szCs w:val="21"/>
                <w:highlight w:val="none"/>
              </w:rPr>
            </w:pPr>
          </w:p>
        </w:tc>
        <w:tc>
          <w:tcPr>
            <w:tcW w:w="1276" w:type="dxa"/>
            <w:vAlign w:val="center"/>
          </w:tcPr>
          <w:p w14:paraId="33A763CC">
            <w:pPr>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2126" w:type="dxa"/>
            <w:vAlign w:val="center"/>
          </w:tcPr>
          <w:p w14:paraId="37AC4B0C">
            <w:pPr>
              <w:spacing w:line="360" w:lineRule="auto"/>
              <w:jc w:val="center"/>
              <w:rPr>
                <w:rFonts w:ascii="宋体" w:hAnsi="宋体"/>
                <w:color w:val="auto"/>
                <w:szCs w:val="21"/>
                <w:highlight w:val="none"/>
              </w:rPr>
            </w:pPr>
          </w:p>
        </w:tc>
        <w:tc>
          <w:tcPr>
            <w:tcW w:w="2127" w:type="dxa"/>
          </w:tcPr>
          <w:p w14:paraId="67C7DF34">
            <w:pPr>
              <w:spacing w:line="360" w:lineRule="auto"/>
              <w:jc w:val="center"/>
              <w:rPr>
                <w:rFonts w:ascii="宋体" w:hAnsi="宋体"/>
                <w:color w:val="auto"/>
                <w:szCs w:val="21"/>
                <w:highlight w:val="none"/>
              </w:rPr>
            </w:pPr>
          </w:p>
        </w:tc>
        <w:tc>
          <w:tcPr>
            <w:tcW w:w="993" w:type="dxa"/>
            <w:vAlign w:val="center"/>
          </w:tcPr>
          <w:p w14:paraId="79CAB18B">
            <w:pPr>
              <w:spacing w:line="360" w:lineRule="auto"/>
              <w:jc w:val="center"/>
              <w:rPr>
                <w:rFonts w:ascii="宋体" w:hAnsi="宋体"/>
                <w:color w:val="auto"/>
                <w:szCs w:val="21"/>
                <w:highlight w:val="none"/>
              </w:rPr>
            </w:pPr>
          </w:p>
        </w:tc>
      </w:tr>
    </w:tbl>
    <w:p w14:paraId="4D547D7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3D5D84C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1.供应商的报价表必须加盖供应商电子签章并由法定代表人或者委托代理人签字或者电子签名。</w:t>
      </w:r>
    </w:p>
    <w:p w14:paraId="47BAFA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2.报价一经涂改，应在涂改处加盖供应商公章或者加盖电子签章或者由法定代表人或者授权委托人签字（或者电子签名）。</w:t>
      </w:r>
    </w:p>
    <w:p w14:paraId="6B2787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3.如为联合体参加竞争性磋商，“供应商名称”处必须列明联合体各方名称，标注联合体牵头人名称。</w:t>
      </w:r>
    </w:p>
    <w:p w14:paraId="6697D5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4.如为联合体参加竞争性磋商，盖章处须加盖联合体牵头人公章。</w:t>
      </w:r>
    </w:p>
    <w:p w14:paraId="69DF3C1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5.如有多分标，分别列明各分标的报价表。</w:t>
      </w:r>
    </w:p>
    <w:p w14:paraId="34116359">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法定代表人或者委托代理人（签字或者电子签名）：</w:t>
      </w:r>
    </w:p>
    <w:p w14:paraId="1A1D2620">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B4C5677">
      <w:pP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6A9DFFF3">
      <w:pPr>
        <w:pStyle w:val="3"/>
        <w:jc w:val="center"/>
        <w:rPr>
          <w:color w:val="auto"/>
          <w:highlight w:val="none"/>
        </w:rPr>
        <w:sectPr>
          <w:pgSz w:w="11906" w:h="16838"/>
          <w:pgMar w:top="1440" w:right="1134" w:bottom="1440" w:left="1418" w:header="851" w:footer="992" w:gutter="0"/>
          <w:cols w:space="425" w:num="1"/>
          <w:docGrid w:type="lines" w:linePitch="312" w:charSpace="0"/>
        </w:sectPr>
      </w:pPr>
    </w:p>
    <w:p w14:paraId="4A70FCB2">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（三）中小企业声明函（工程）</w:t>
      </w:r>
    </w:p>
    <w:p w14:paraId="6B9B1652">
      <w:pPr>
        <w:spacing w:line="360" w:lineRule="auto"/>
        <w:ind w:firstLine="420" w:firstLineChars="200"/>
        <w:rPr>
          <w:rFonts w:ascii="宋体" w:hAnsi="宋体" w:eastAsia="宋体"/>
          <w:color w:val="auto"/>
          <w:szCs w:val="21"/>
          <w:highlight w:val="none"/>
        </w:rPr>
      </w:pPr>
    </w:p>
    <w:p w14:paraId="37B449F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本公司（联合体）郑重声明，根据《政府采购促进中小企业发展管理办法》（财库﹝2020﹞46号）的规定，本公司（联合体）参加</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（单位名称）的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（项目名称）采购活动，工程的施工单位全部为符合政策要求的中小企业。相关企业（含联合体中的中小企业、签订分包意向协议的中小企业）的具体情况如下：</w:t>
      </w:r>
    </w:p>
    <w:p w14:paraId="1A8569A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（标的名称），属于</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（采购文件中明确的所属行业）；承建企业为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（企业名称），从业人员</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人，营业收入为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万元，资产总额为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万元，属于</w:t>
      </w:r>
      <w:r>
        <w:rPr>
          <w:rFonts w:hint="eastAsia" w:ascii="宋体" w:hAnsi="宋体" w:eastAsia="宋体"/>
          <w:color w:val="auto"/>
          <w:szCs w:val="21"/>
          <w:highlight w:val="none"/>
          <w:u w:val="single"/>
        </w:rPr>
        <w:t>（中型企业、小型企业、微型企业）</w:t>
      </w:r>
      <w:r>
        <w:rPr>
          <w:rFonts w:hint="eastAsia" w:ascii="宋体" w:hAnsi="宋体" w:eastAsia="宋体"/>
          <w:color w:val="auto"/>
          <w:szCs w:val="21"/>
          <w:highlight w:val="none"/>
        </w:rPr>
        <w:t>；</w:t>
      </w:r>
    </w:p>
    <w:p w14:paraId="0B333A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（标的名称），属于</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（采购文件中明确的所属行业）；承建企业为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（企业名称），从业人员</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人，营业收入为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万元，资产总额为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万元，属于</w:t>
      </w:r>
      <w:r>
        <w:rPr>
          <w:rFonts w:hint="eastAsia" w:ascii="宋体" w:hAnsi="宋体" w:eastAsia="宋体"/>
          <w:color w:val="auto"/>
          <w:szCs w:val="21"/>
          <w:highlight w:val="none"/>
          <w:u w:val="single"/>
        </w:rPr>
        <w:t>（中型企业、小型企业、微型企业）</w:t>
      </w:r>
      <w:r>
        <w:rPr>
          <w:rFonts w:hint="eastAsia" w:ascii="宋体" w:hAnsi="宋体" w:eastAsia="宋体"/>
          <w:color w:val="auto"/>
          <w:szCs w:val="21"/>
          <w:highlight w:val="none"/>
        </w:rPr>
        <w:t>；</w:t>
      </w:r>
    </w:p>
    <w:p w14:paraId="4751A2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21DC76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以上企业，不属于大企业的分支机构，不存在控股股东为大企业的情形，也不存在与大企业的负责人为同一人的情形。</w:t>
      </w:r>
    </w:p>
    <w:p w14:paraId="21C8C6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本企业对上述声明内容的真实性负责。如有虚假，将依法承担相应责任。</w:t>
      </w:r>
    </w:p>
    <w:p w14:paraId="2E6436F9">
      <w:pPr>
        <w:spacing w:line="360" w:lineRule="auto"/>
        <w:ind w:firstLine="420" w:firstLineChars="200"/>
        <w:rPr>
          <w:rFonts w:ascii="宋体" w:hAnsi="宋体" w:eastAsia="宋体"/>
          <w:color w:val="auto"/>
          <w:szCs w:val="21"/>
          <w:highlight w:val="none"/>
        </w:rPr>
      </w:pPr>
    </w:p>
    <w:p w14:paraId="559DC765">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20F75ED6">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4CFDF5DB">
      <w:pPr>
        <w:spacing w:line="360" w:lineRule="auto"/>
        <w:ind w:firstLine="420" w:firstLineChars="200"/>
        <w:rPr>
          <w:rFonts w:ascii="宋体" w:hAnsi="宋体" w:eastAsia="宋体"/>
          <w:color w:val="auto"/>
          <w:szCs w:val="21"/>
          <w:highlight w:val="none"/>
        </w:rPr>
      </w:pPr>
    </w:p>
    <w:p w14:paraId="45CDC2A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1B15052">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0A63107E">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（四）残疾人福利性单位声明函</w:t>
      </w:r>
    </w:p>
    <w:p w14:paraId="157C55D2">
      <w:pPr>
        <w:spacing w:line="360" w:lineRule="auto"/>
        <w:ind w:firstLine="420" w:firstLineChars="200"/>
        <w:rPr>
          <w:rFonts w:ascii="宋体" w:hAnsi="宋体" w:eastAsia="宋体"/>
          <w:color w:val="auto"/>
          <w:szCs w:val="21"/>
          <w:highlight w:val="none"/>
        </w:rPr>
      </w:pPr>
    </w:p>
    <w:p w14:paraId="5DF50B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单位的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CC932F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本单位对上述声明的真实性负责。如有虚假，将依法承担相应责任。</w:t>
      </w:r>
    </w:p>
    <w:p w14:paraId="6DB5374C">
      <w:pPr>
        <w:spacing w:line="360" w:lineRule="auto"/>
        <w:ind w:firstLine="420" w:firstLineChars="200"/>
        <w:rPr>
          <w:rFonts w:ascii="宋体" w:hAnsi="宋体" w:eastAsia="宋体"/>
          <w:color w:val="auto"/>
          <w:szCs w:val="21"/>
          <w:highlight w:val="none"/>
        </w:rPr>
      </w:pPr>
    </w:p>
    <w:p w14:paraId="5C174B54">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04B1C4F0">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bookmarkStart w:id="34" w:name="OLE_LINK19"/>
      <w:bookmarkStart w:id="35" w:name="OLE_LINK20"/>
      <w:r>
        <w:rPr>
          <w:rFonts w:ascii="Times New Roman" w:hAnsi="Times New Roman" w:eastAsia="宋体" w:cs="Times New Roman"/>
          <w:color w:val="auto"/>
          <w:szCs w:val="21"/>
          <w:highlight w:val="none"/>
          <w:u w:val="single"/>
        </w:rPr>
        <w:t xml:space="preserve">   </w:t>
      </w:r>
      <w:bookmarkEnd w:id="34"/>
      <w:bookmarkEnd w:id="35"/>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32DCE27C">
      <w:pPr>
        <w:spacing w:line="360" w:lineRule="auto"/>
        <w:ind w:firstLine="420" w:firstLineChars="200"/>
        <w:rPr>
          <w:rFonts w:ascii="宋体" w:hAnsi="宋体" w:eastAsia="宋体"/>
          <w:color w:val="auto"/>
          <w:szCs w:val="21"/>
          <w:highlight w:val="none"/>
        </w:rPr>
      </w:pPr>
    </w:p>
    <w:p w14:paraId="5EE98A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407FFAC6">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08C45F44">
      <w:pPr>
        <w:pStyle w:val="3"/>
        <w:jc w:val="center"/>
        <w:rPr>
          <w:color w:val="auto"/>
          <w:highlight w:val="none"/>
        </w:rPr>
      </w:pPr>
      <w:bookmarkStart w:id="36" w:name="_Toc197530119"/>
      <w:r>
        <w:rPr>
          <w:rFonts w:hint="eastAsia"/>
          <w:color w:val="auto"/>
          <w:highlight w:val="none"/>
        </w:rPr>
        <w:t>三、商务技术文件格式</w:t>
      </w:r>
      <w:bookmarkEnd w:id="36"/>
    </w:p>
    <w:p w14:paraId="7087654E">
      <w:pPr>
        <w:spacing w:line="360" w:lineRule="auto"/>
        <w:ind w:firstLine="420" w:firstLineChars="200"/>
        <w:rPr>
          <w:rFonts w:ascii="宋体" w:hAnsi="宋体" w:eastAsia="宋体"/>
          <w:color w:val="auto"/>
          <w:szCs w:val="21"/>
          <w:highlight w:val="none"/>
        </w:rPr>
      </w:pPr>
    </w:p>
    <w:p w14:paraId="1546449E">
      <w:pPr>
        <w:spacing w:line="360" w:lineRule="auto"/>
        <w:ind w:firstLine="420" w:firstLineChars="200"/>
        <w:rPr>
          <w:rFonts w:ascii="宋体" w:hAnsi="宋体" w:eastAsia="宋体"/>
          <w:color w:val="auto"/>
          <w:szCs w:val="21"/>
          <w:highlight w:val="none"/>
        </w:rPr>
      </w:pPr>
    </w:p>
    <w:p w14:paraId="43C32ECD">
      <w:pP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商务技术文件（封面）</w:t>
      </w:r>
    </w:p>
    <w:p w14:paraId="31E73A4D">
      <w:pPr>
        <w:spacing w:line="360" w:lineRule="auto"/>
        <w:ind w:firstLine="420" w:firstLineChars="200"/>
        <w:rPr>
          <w:rFonts w:ascii="宋体" w:hAnsi="宋体" w:eastAsia="宋体"/>
          <w:color w:val="auto"/>
          <w:szCs w:val="21"/>
          <w:highlight w:val="none"/>
        </w:rPr>
      </w:pPr>
    </w:p>
    <w:p w14:paraId="0EB46EEC">
      <w:pPr>
        <w:spacing w:line="360" w:lineRule="auto"/>
        <w:ind w:firstLine="420" w:firstLineChars="200"/>
        <w:rPr>
          <w:rFonts w:ascii="宋体" w:hAnsi="宋体" w:eastAsia="宋体"/>
          <w:color w:val="auto"/>
          <w:szCs w:val="21"/>
          <w:highlight w:val="none"/>
        </w:rPr>
      </w:pPr>
    </w:p>
    <w:p w14:paraId="3B100A22">
      <w:pPr>
        <w:spacing w:line="360" w:lineRule="auto"/>
        <w:ind w:firstLine="420" w:firstLineChars="200"/>
        <w:rPr>
          <w:rFonts w:ascii="宋体" w:hAnsi="宋体" w:eastAsia="宋体"/>
          <w:color w:val="auto"/>
          <w:szCs w:val="21"/>
          <w:highlight w:val="none"/>
        </w:rPr>
      </w:pPr>
    </w:p>
    <w:p w14:paraId="71618F3E">
      <w:pPr>
        <w:spacing w:line="360" w:lineRule="auto"/>
        <w:ind w:firstLine="420" w:firstLineChars="200"/>
        <w:rPr>
          <w:rFonts w:ascii="宋体" w:hAnsi="宋体" w:eastAsia="宋体"/>
          <w:color w:val="auto"/>
          <w:szCs w:val="21"/>
          <w:highlight w:val="none"/>
        </w:rPr>
      </w:pPr>
    </w:p>
    <w:p w14:paraId="46C13602">
      <w:pPr>
        <w:spacing w:line="360" w:lineRule="auto"/>
        <w:ind w:firstLine="420" w:firstLineChars="200"/>
        <w:rPr>
          <w:rFonts w:ascii="宋体" w:hAnsi="宋体" w:eastAsia="宋体"/>
          <w:color w:val="auto"/>
          <w:szCs w:val="21"/>
          <w:highlight w:val="none"/>
        </w:rPr>
      </w:pPr>
    </w:p>
    <w:p w14:paraId="7D41C78F">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w:t>
      </w:r>
    </w:p>
    <w:p w14:paraId="5F91BB2C">
      <w:pPr>
        <w:spacing w:line="360" w:lineRule="auto"/>
        <w:ind w:firstLine="420" w:firstLineChars="200"/>
        <w:rPr>
          <w:rFonts w:ascii="宋体" w:hAnsi="宋体" w:eastAsia="宋体"/>
          <w:color w:val="auto"/>
          <w:szCs w:val="21"/>
          <w:highlight w:val="none"/>
        </w:rPr>
      </w:pPr>
    </w:p>
    <w:p w14:paraId="74C67B7F">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w:t>
      </w:r>
    </w:p>
    <w:p w14:paraId="7D7CA248">
      <w:pPr>
        <w:spacing w:line="360" w:lineRule="auto"/>
        <w:ind w:firstLine="420" w:firstLineChars="200"/>
        <w:rPr>
          <w:rFonts w:ascii="宋体" w:hAnsi="宋体" w:eastAsia="宋体"/>
          <w:color w:val="auto"/>
          <w:szCs w:val="21"/>
          <w:highlight w:val="none"/>
        </w:rPr>
      </w:pPr>
    </w:p>
    <w:p w14:paraId="316A9AC5">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61C03FB8">
      <w:pPr>
        <w:spacing w:line="360" w:lineRule="auto"/>
        <w:ind w:firstLine="420" w:firstLineChars="200"/>
        <w:rPr>
          <w:rFonts w:ascii="宋体" w:hAnsi="宋体" w:eastAsia="宋体"/>
          <w:color w:val="auto"/>
          <w:szCs w:val="21"/>
          <w:highlight w:val="none"/>
        </w:rPr>
      </w:pPr>
    </w:p>
    <w:p w14:paraId="275972FA">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2D9CA156">
      <w:pPr>
        <w:spacing w:line="360" w:lineRule="auto"/>
        <w:ind w:firstLine="420" w:firstLineChars="200"/>
        <w:rPr>
          <w:rFonts w:ascii="宋体" w:hAnsi="宋体" w:eastAsia="宋体"/>
          <w:color w:val="auto"/>
          <w:szCs w:val="21"/>
          <w:highlight w:val="none"/>
        </w:rPr>
      </w:pPr>
    </w:p>
    <w:p w14:paraId="6CE622C7">
      <w:pPr>
        <w:spacing w:line="360" w:lineRule="auto"/>
        <w:ind w:firstLine="420" w:firstLineChars="200"/>
        <w:rPr>
          <w:rFonts w:ascii="宋体" w:hAnsi="宋体" w:eastAsia="宋体"/>
          <w:color w:val="auto"/>
          <w:szCs w:val="21"/>
          <w:highlight w:val="none"/>
        </w:rPr>
      </w:pPr>
    </w:p>
    <w:p w14:paraId="53D11185">
      <w:pPr>
        <w:spacing w:line="360" w:lineRule="auto"/>
        <w:ind w:firstLine="420" w:firstLineChars="200"/>
        <w:rPr>
          <w:rFonts w:ascii="宋体" w:hAnsi="宋体" w:eastAsia="宋体"/>
          <w:color w:val="auto"/>
          <w:szCs w:val="21"/>
          <w:highlight w:val="none"/>
        </w:rPr>
      </w:pPr>
    </w:p>
    <w:p w14:paraId="169A0472">
      <w:pP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u w:val="single"/>
        </w:rPr>
        <w:t xml:space="preserve">   </w:t>
      </w:r>
      <w:r>
        <w:rPr>
          <w:rFonts w:hint="eastAsia" w:ascii="宋体" w:hAnsi="宋体" w:eastAsia="宋体"/>
          <w:color w:val="auto"/>
          <w:sz w:val="32"/>
          <w:szCs w:val="32"/>
          <w:highlight w:val="none"/>
        </w:rPr>
        <w:t>年</w:t>
      </w:r>
      <w:r>
        <w:rPr>
          <w:rFonts w:ascii="宋体" w:hAnsi="宋体" w:eastAsia="宋体" w:cs="Times New Roman"/>
          <w:color w:val="auto"/>
          <w:sz w:val="32"/>
          <w:szCs w:val="32"/>
          <w:highlight w:val="none"/>
          <w:u w:val="single"/>
        </w:rPr>
        <w:t xml:space="preserve">   </w:t>
      </w:r>
      <w:r>
        <w:rPr>
          <w:rFonts w:hint="eastAsia" w:ascii="宋体" w:hAnsi="宋体" w:eastAsia="宋体"/>
          <w:color w:val="auto"/>
          <w:sz w:val="32"/>
          <w:szCs w:val="32"/>
          <w:highlight w:val="none"/>
        </w:rPr>
        <w:t>月</w:t>
      </w:r>
      <w:r>
        <w:rPr>
          <w:rFonts w:ascii="宋体" w:hAnsi="宋体" w:eastAsia="宋体" w:cs="Times New Roman"/>
          <w:color w:val="auto"/>
          <w:sz w:val="32"/>
          <w:szCs w:val="32"/>
          <w:highlight w:val="none"/>
          <w:u w:val="single"/>
        </w:rPr>
        <w:t xml:space="preserve">   </w:t>
      </w:r>
      <w:r>
        <w:rPr>
          <w:rFonts w:hint="eastAsia" w:ascii="宋体" w:hAnsi="宋体" w:eastAsia="宋体"/>
          <w:color w:val="auto"/>
          <w:sz w:val="32"/>
          <w:szCs w:val="32"/>
          <w:highlight w:val="none"/>
        </w:rPr>
        <w:t>日</w:t>
      </w:r>
    </w:p>
    <w:p w14:paraId="2DA936D2">
      <w:pPr>
        <w:spacing w:line="360" w:lineRule="auto"/>
        <w:jc w:val="center"/>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4FA8F2FA">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商务技术文件目录</w:t>
      </w:r>
    </w:p>
    <w:p w14:paraId="1F7E2EC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根据磋商文件规定及供应商提供的材料自行编写目录（部分格式后附）。</w:t>
      </w:r>
    </w:p>
    <w:p w14:paraId="46D42BA1">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549A9BF3">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（一）无串通参加竞争性磋商行为的承诺函</w:t>
      </w:r>
    </w:p>
    <w:p w14:paraId="4A5D98A9">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无串通参加竞争性磋商行为的承诺函</w:t>
      </w:r>
    </w:p>
    <w:p w14:paraId="03B66E01">
      <w:pPr>
        <w:spacing w:line="360" w:lineRule="auto"/>
        <w:ind w:firstLine="420" w:firstLineChars="200"/>
        <w:rPr>
          <w:rFonts w:ascii="宋体" w:hAnsi="宋体" w:eastAsia="宋体"/>
          <w:color w:val="auto"/>
          <w:szCs w:val="21"/>
          <w:highlight w:val="none"/>
        </w:rPr>
      </w:pPr>
    </w:p>
    <w:p w14:paraId="08A6D15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一、我方承诺无下列相互串通竞争性磋商的情形：</w:t>
      </w:r>
    </w:p>
    <w:p w14:paraId="02B9BA3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1.不同供应商的响应文件由同一单位或者个人编制；</w:t>
      </w:r>
    </w:p>
    <w:p w14:paraId="2A28BD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2.不同供应商委托同一单位或者个人办理竞争性磋商事宜；</w:t>
      </w:r>
    </w:p>
    <w:p w14:paraId="77FA86D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3.不同供应商的响应文件载明的项目管理员为同一个人；</w:t>
      </w:r>
    </w:p>
    <w:p w14:paraId="611468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4.不同供应商的响应文件异常一致或者竞争性磋商报价呈规律性差异；</w:t>
      </w:r>
    </w:p>
    <w:p w14:paraId="66FDF59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5.不同供应商的响应文件相互混装；</w:t>
      </w:r>
    </w:p>
    <w:p w14:paraId="37C4C3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6.不同供应商的磋商保证金从同一单位或者个人账户转出。</w:t>
      </w:r>
    </w:p>
    <w:p w14:paraId="128D178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二、我方承诺无下列恶意串通的情形：</w:t>
      </w:r>
    </w:p>
    <w:p w14:paraId="49CCBD4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1.供应商直接或者间接从采购人或者采购代理机构处获得其他供应商的相关信息并修改其响应文件；</w:t>
      </w:r>
    </w:p>
    <w:p w14:paraId="4E865D2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2.供应商按照采购人或者采购代理机构的授意撤换、修改响应文件；</w:t>
      </w:r>
    </w:p>
    <w:p w14:paraId="13B188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3.供应商之间协商报价、技术方案等响应文件的实质性内容；</w:t>
      </w:r>
    </w:p>
    <w:p w14:paraId="1CC99C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4.属于同一集团、协会、商会等组织成员的供应商按照该组织要求协同参加政府采购活动；</w:t>
      </w:r>
    </w:p>
    <w:p w14:paraId="7D84A0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5.供应商之间事先约定一致抬高或者压低竞争性磋商报价，或者在竞争性磋商项目中事先约定轮流以高价位或者低价位成交，或者事先约定由某一特定供应商成交，然后再参加竞争性磋商；</w:t>
      </w:r>
    </w:p>
    <w:p w14:paraId="64097B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6.供应商之间商定部分供应商放弃参加政府采购活动或者放弃成交；</w:t>
      </w:r>
    </w:p>
    <w:p w14:paraId="5AD6F4F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7.供应商与采购人或者采购代理机构之间、供应商相互之间，为谋求特定供应商成交或者排斥其他供应商的其他串通行为。</w:t>
      </w:r>
    </w:p>
    <w:p w14:paraId="037FBE63">
      <w:pPr>
        <w:spacing w:line="360" w:lineRule="auto"/>
        <w:ind w:firstLine="420" w:firstLineChars="200"/>
        <w:rPr>
          <w:rFonts w:ascii="宋体" w:hAnsi="宋体" w:eastAsia="宋体"/>
          <w:color w:val="auto"/>
          <w:szCs w:val="21"/>
          <w:highlight w:val="none"/>
        </w:rPr>
      </w:pPr>
    </w:p>
    <w:p w14:paraId="56B7809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以上情形一经核查属实，我方愿意承担一切后果，并不再寻求任何旨在减轻或者免除法律责任的辩解。</w:t>
      </w:r>
    </w:p>
    <w:p w14:paraId="58CD8D54">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0B3B33E">
      <w:pP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68F048A8">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65204DE3">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（二）法定代表人身份证明书</w:t>
      </w:r>
    </w:p>
    <w:p w14:paraId="2358FD25">
      <w:pPr>
        <w:spacing w:line="360" w:lineRule="auto"/>
        <w:ind w:firstLine="420" w:firstLineChars="200"/>
        <w:rPr>
          <w:rFonts w:ascii="宋体" w:hAnsi="宋体" w:eastAsia="宋体"/>
          <w:color w:val="auto"/>
          <w:szCs w:val="21"/>
          <w:highlight w:val="none"/>
        </w:rPr>
      </w:pPr>
    </w:p>
    <w:p w14:paraId="27F43BB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供应商名称：</w:t>
      </w:r>
      <w:r>
        <w:rPr>
          <w:rFonts w:ascii="Times New Roman" w:hAnsi="Times New Roman" w:eastAsia="宋体" w:cs="Times New Roman"/>
          <w:color w:val="auto"/>
          <w:szCs w:val="21"/>
          <w:highlight w:val="none"/>
        </w:rPr>
        <w:t>____________________________________________________________________________</w:t>
      </w:r>
    </w:p>
    <w:p w14:paraId="5FA311E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__________________________________________________________________________________</w:t>
      </w:r>
    </w:p>
    <w:p w14:paraId="0DF296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姓名：</w:t>
      </w:r>
      <w:r>
        <w:rPr>
          <w:rFonts w:ascii="Times New Roman" w:hAnsi="Times New Roman" w:eastAsia="宋体" w:cs="Times New Roman"/>
          <w:color w:val="auto"/>
          <w:szCs w:val="21"/>
          <w:highlight w:val="none"/>
        </w:rPr>
        <w:t>_______________________________________</w:t>
      </w:r>
      <w:r>
        <w:rPr>
          <w:rFonts w:hint="eastAsia" w:ascii="宋体" w:hAnsi="宋体" w:eastAsia="宋体"/>
          <w:color w:val="auto"/>
          <w:szCs w:val="21"/>
          <w:highlight w:val="none"/>
        </w:rPr>
        <w:t>性别：</w:t>
      </w:r>
      <w:r>
        <w:rPr>
          <w:rFonts w:ascii="Times New Roman" w:hAnsi="Times New Roman" w:eastAsia="宋体" w:cs="Times New Roman"/>
          <w:color w:val="auto"/>
          <w:szCs w:val="21"/>
          <w:highlight w:val="none"/>
        </w:rPr>
        <w:t>______________________________________</w:t>
      </w:r>
    </w:p>
    <w:p w14:paraId="2E8550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年龄：</w:t>
      </w:r>
      <w:r>
        <w:rPr>
          <w:rFonts w:ascii="Times New Roman" w:hAnsi="Times New Roman" w:eastAsia="宋体" w:cs="Times New Roman"/>
          <w:color w:val="auto"/>
          <w:szCs w:val="21"/>
          <w:highlight w:val="none"/>
        </w:rPr>
        <w:t>_______________________________________</w:t>
      </w:r>
      <w:r>
        <w:rPr>
          <w:rFonts w:hint="eastAsia" w:ascii="宋体" w:hAnsi="宋体" w:eastAsia="宋体"/>
          <w:color w:val="auto"/>
          <w:szCs w:val="21"/>
          <w:highlight w:val="none"/>
        </w:rPr>
        <w:t>职务：</w:t>
      </w:r>
      <w:r>
        <w:rPr>
          <w:rFonts w:ascii="Times New Roman" w:hAnsi="Times New Roman" w:eastAsia="宋体" w:cs="Times New Roman"/>
          <w:color w:val="auto"/>
          <w:szCs w:val="21"/>
          <w:highlight w:val="none"/>
        </w:rPr>
        <w:t>______________________________________</w:t>
      </w:r>
    </w:p>
    <w:p w14:paraId="4B768BF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身份证号码：</w:t>
      </w:r>
      <w:r>
        <w:rPr>
          <w:rFonts w:ascii="Times New Roman" w:hAnsi="Times New Roman" w:eastAsia="宋体" w:cs="Times New Roman"/>
          <w:color w:val="auto"/>
          <w:szCs w:val="21"/>
          <w:highlight w:val="none"/>
        </w:rPr>
        <w:t>____________________________________________________________________________</w:t>
      </w:r>
    </w:p>
    <w:p w14:paraId="1DE47C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系</w:t>
      </w:r>
      <w:r>
        <w:rPr>
          <w:rFonts w:hint="eastAsia" w:ascii="宋体" w:hAnsi="宋体" w:eastAsia="宋体"/>
          <w:color w:val="auto"/>
          <w:szCs w:val="21"/>
          <w:highlight w:val="none"/>
          <w:u w:val="single"/>
        </w:rPr>
        <w:t>（供应商名称）</w:t>
      </w:r>
      <w:r>
        <w:rPr>
          <w:rFonts w:hint="eastAsia" w:ascii="宋体" w:hAnsi="宋体" w:eastAsia="宋体"/>
          <w:color w:val="auto"/>
          <w:szCs w:val="21"/>
          <w:highlight w:val="none"/>
        </w:rPr>
        <w:t>的法定代表人。</w:t>
      </w:r>
    </w:p>
    <w:p w14:paraId="619706F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特此证明。</w:t>
      </w:r>
    </w:p>
    <w:p w14:paraId="79F34C61">
      <w:pPr>
        <w:spacing w:line="360" w:lineRule="auto"/>
        <w:ind w:firstLine="420" w:firstLineChars="200"/>
        <w:rPr>
          <w:rFonts w:ascii="宋体" w:hAnsi="宋体" w:eastAsia="宋体"/>
          <w:color w:val="auto"/>
          <w:szCs w:val="21"/>
          <w:highlight w:val="none"/>
        </w:rPr>
      </w:pPr>
    </w:p>
    <w:p w14:paraId="05C621D9">
      <w:pPr>
        <w:spacing w:line="360" w:lineRule="auto"/>
        <w:ind w:firstLine="420" w:firstLineChars="200"/>
        <w:rPr>
          <w:rFonts w:ascii="宋体" w:hAnsi="宋体" w:eastAsia="宋体"/>
          <w:color w:val="auto"/>
          <w:szCs w:val="21"/>
          <w:highlight w:val="none"/>
        </w:rPr>
      </w:pPr>
    </w:p>
    <w:p w14:paraId="1D0D3802">
      <w:pPr>
        <w:spacing w:line="360" w:lineRule="auto"/>
        <w:ind w:firstLine="420" w:firstLineChars="200"/>
        <w:rPr>
          <w:rFonts w:ascii="宋体" w:hAnsi="宋体" w:eastAsia="宋体"/>
          <w:color w:val="auto"/>
          <w:szCs w:val="21"/>
          <w:highlight w:val="none"/>
        </w:rPr>
      </w:pPr>
    </w:p>
    <w:p w14:paraId="1F2A64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附件：法定代表人有效身份证正反面复印件</w:t>
      </w:r>
    </w:p>
    <w:p w14:paraId="38669EF7">
      <w:pPr>
        <w:spacing w:line="360" w:lineRule="auto"/>
        <w:ind w:firstLine="420" w:firstLineChars="200"/>
        <w:rPr>
          <w:rFonts w:ascii="宋体" w:hAnsi="宋体" w:eastAsia="宋体"/>
          <w:color w:val="auto"/>
          <w:szCs w:val="21"/>
          <w:highlight w:val="none"/>
        </w:rPr>
      </w:pPr>
    </w:p>
    <w:p w14:paraId="53ED4571">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08DE67A">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6ECFBBC5">
      <w:pPr>
        <w:spacing w:line="360" w:lineRule="auto"/>
        <w:ind w:firstLine="420" w:firstLineChars="200"/>
        <w:rPr>
          <w:rFonts w:ascii="宋体" w:hAnsi="宋体" w:eastAsia="宋体"/>
          <w:color w:val="auto"/>
          <w:szCs w:val="21"/>
          <w:highlight w:val="none"/>
        </w:rPr>
      </w:pPr>
    </w:p>
    <w:p w14:paraId="326372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注：1.自然人竞标的无需提供，联合体竞标的只需牵头人出具。</w:t>
      </w:r>
    </w:p>
    <w:p w14:paraId="2C2D3F32">
      <w:pPr>
        <w:spacing w:line="360" w:lineRule="auto"/>
        <w:ind w:firstLine="420" w:firstLineChars="200"/>
        <w:rPr>
          <w:rFonts w:ascii="宋体" w:hAnsi="宋体" w:eastAsia="宋体"/>
          <w:color w:val="auto"/>
          <w:szCs w:val="21"/>
          <w:highlight w:val="none"/>
        </w:rPr>
      </w:pPr>
    </w:p>
    <w:p w14:paraId="5EDE23B3">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0B0C6F4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附件：</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7ABA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7714F9A9">
            <w:pPr>
              <w:spacing w:line="360" w:lineRule="auto"/>
              <w:jc w:val="left"/>
              <w:rPr>
                <w:rFonts w:ascii="宋体" w:hAnsi="宋体"/>
                <w:b/>
                <w:color w:val="auto"/>
                <w:szCs w:val="21"/>
                <w:highlight w:val="none"/>
              </w:rPr>
            </w:pPr>
            <w:r>
              <w:rPr>
                <w:rFonts w:hint="eastAsia" w:ascii="宋体" w:hAnsi="宋体"/>
                <w:b/>
                <w:color w:val="auto"/>
                <w:szCs w:val="21"/>
                <w:highlight w:val="none"/>
              </w:rPr>
              <w:t>法定代表身份证复印件粘贴处（正、反面）</w:t>
            </w:r>
          </w:p>
        </w:tc>
      </w:tr>
    </w:tbl>
    <w:p w14:paraId="68BA3DD4">
      <w:pPr>
        <w:spacing w:line="360" w:lineRule="auto"/>
        <w:jc w:val="center"/>
        <w:rPr>
          <w:rFonts w:ascii="宋体" w:hAnsi="宋体" w:eastAsia="宋体"/>
          <w:color w:val="auto"/>
          <w:szCs w:val="21"/>
          <w:highlight w:val="none"/>
        </w:rPr>
      </w:pPr>
    </w:p>
    <w:p w14:paraId="4BE2E8F9">
      <w:pPr>
        <w:spacing w:line="360" w:lineRule="auto"/>
        <w:jc w:val="center"/>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5B107511">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（三）授权委托书（非联合体参加竞争性磋商格式）</w:t>
      </w:r>
    </w:p>
    <w:p w14:paraId="2167FA80">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2D01B480">
      <w:pPr>
        <w:spacing w:line="360" w:lineRule="auto"/>
        <w:ind w:firstLine="420" w:firstLineChars="200"/>
        <w:rPr>
          <w:rFonts w:ascii="宋体" w:hAnsi="宋体" w:eastAsia="宋体"/>
          <w:color w:val="auto"/>
          <w:szCs w:val="21"/>
          <w:highlight w:val="none"/>
        </w:rPr>
      </w:pPr>
    </w:p>
    <w:p w14:paraId="35766E96">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（采购人名称）：</w:t>
      </w:r>
    </w:p>
    <w:p w14:paraId="1B7D536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（姓名）系</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（供应商名称）的（□法定代表人/□负责人），现授权</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（姓名）以我方的名义参加</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项目的竞争性磋商活动，并代表我方全权办理针对上述项目的所有采购程序和环节的具体事务和签署相关文件。</w:t>
      </w:r>
    </w:p>
    <w:p w14:paraId="31F540E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我方对委托代理人的签字或者电子签名事项负全部责任。</w:t>
      </w:r>
    </w:p>
    <w:p w14:paraId="28C7B7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本授权书自签署之日起生效，在撤销授权的书面通知以前，本授权书一直有效。委托代理人在授权书有效期内签署的所有文件不因授权的撤销而失效。</w:t>
      </w:r>
    </w:p>
    <w:p w14:paraId="10D2FFC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委托代理人无转委托权，特此委托。</w:t>
      </w:r>
    </w:p>
    <w:p w14:paraId="09ABFC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附：法定代表人身份证明书及委托代理人有效身份证正反面复印件</w:t>
      </w:r>
    </w:p>
    <w:p w14:paraId="260BD161">
      <w:pPr>
        <w:spacing w:line="360" w:lineRule="auto"/>
        <w:ind w:firstLine="420" w:firstLineChars="200"/>
        <w:rPr>
          <w:rFonts w:ascii="宋体" w:hAnsi="宋体" w:eastAsia="宋体"/>
          <w:color w:val="auto"/>
          <w:szCs w:val="21"/>
          <w:highlight w:val="none"/>
        </w:rPr>
      </w:pPr>
    </w:p>
    <w:p w14:paraId="2E6C2D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委托代理人（签字或者电子签名）：</w:t>
      </w:r>
    </w:p>
    <w:p w14:paraId="07103D1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委托代理人身份证号码：</w:t>
      </w:r>
    </w:p>
    <w:p w14:paraId="1503D96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法定代表人（签字或者盖章或者电子签名）：</w:t>
      </w:r>
    </w:p>
    <w:p w14:paraId="4FB8BDB4">
      <w:pPr>
        <w:spacing w:line="360" w:lineRule="auto"/>
        <w:ind w:firstLine="420" w:firstLineChars="200"/>
        <w:rPr>
          <w:rFonts w:ascii="宋体" w:hAnsi="宋体" w:eastAsia="宋体"/>
          <w:color w:val="auto"/>
          <w:szCs w:val="21"/>
          <w:highlight w:val="none"/>
        </w:rPr>
      </w:pPr>
    </w:p>
    <w:p w14:paraId="7D528871">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2494006">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2F2A1274">
      <w:pPr>
        <w:spacing w:line="360" w:lineRule="auto"/>
        <w:ind w:firstLine="420" w:firstLineChars="200"/>
        <w:rPr>
          <w:rFonts w:ascii="宋体" w:hAnsi="宋体" w:eastAsia="宋体"/>
          <w:color w:val="auto"/>
          <w:szCs w:val="21"/>
          <w:highlight w:val="none"/>
        </w:rPr>
      </w:pPr>
    </w:p>
    <w:p w14:paraId="7C12B1A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注：1.法定代表人必须在授权委托书上签字或盖章，委托代理人必须在授权委托书上签字或盖章。</w:t>
      </w:r>
    </w:p>
    <w:p w14:paraId="743702E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7735A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3.法人、其他组织竞标时“我方”是指“我单位”，自然人竞标时“我方”是指“本人”。</w:t>
      </w:r>
    </w:p>
    <w:p w14:paraId="61522A7F">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28353A75">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（三）授权委托书（联合体参加竞争性磋商格式）</w:t>
      </w:r>
    </w:p>
    <w:p w14:paraId="1D1058B2">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1727755D">
      <w:pPr>
        <w:spacing w:line="360" w:lineRule="auto"/>
        <w:ind w:firstLine="420" w:firstLineChars="200"/>
        <w:rPr>
          <w:rFonts w:ascii="宋体" w:hAnsi="宋体" w:eastAsia="宋体"/>
          <w:color w:val="auto"/>
          <w:szCs w:val="21"/>
          <w:highlight w:val="none"/>
        </w:rPr>
      </w:pPr>
    </w:p>
    <w:p w14:paraId="5FCE3C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本授权委托书声明：根据</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（牵头人名称）与</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（联合体其他成员名称）签订的《联合体参加竞争性磋商协议书》的内容，</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（牵头人名称）的法定代表人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（姓名）现授权</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（姓名）为联合委托代理人，并代表我方全权办理针对上述项目的所有采购程序和环节的具体事务和签署相关文件。</w:t>
      </w:r>
    </w:p>
    <w:p w14:paraId="05ECA68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我方对委托代理人的签字或者电子签名事项负全部责任。</w:t>
      </w:r>
    </w:p>
    <w:p w14:paraId="62BC43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本授权书自签署之日起生效，在撤销授权的书面通知以前，本授权书一直有效。委托代理人在授权书有效期内签署的所有文件不因授权的撤销而失效。</w:t>
      </w:r>
    </w:p>
    <w:p w14:paraId="6B71D9F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委托代理人无转委托权，特此委托。</w:t>
      </w:r>
    </w:p>
    <w:p w14:paraId="09C4EB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附：法定代表人身份证明书及委托代理人有效身份证正反面复印件</w:t>
      </w:r>
    </w:p>
    <w:p w14:paraId="62989FFF">
      <w:pPr>
        <w:spacing w:line="360" w:lineRule="auto"/>
        <w:ind w:firstLine="420" w:firstLineChars="200"/>
        <w:rPr>
          <w:rFonts w:ascii="宋体" w:hAnsi="宋体" w:eastAsia="宋体"/>
          <w:color w:val="auto"/>
          <w:szCs w:val="21"/>
          <w:highlight w:val="none"/>
        </w:rPr>
      </w:pPr>
    </w:p>
    <w:p w14:paraId="143EF45F">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牵头人法定代表人（签字或盖章）：</w:t>
      </w:r>
    </w:p>
    <w:p w14:paraId="4E31A838">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牵头人（电子签章）：</w:t>
      </w:r>
    </w:p>
    <w:p w14:paraId="620F3FAA">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7E0A35FE">
      <w:pPr>
        <w:spacing w:line="360" w:lineRule="auto"/>
        <w:ind w:firstLine="420" w:firstLineChars="200"/>
        <w:rPr>
          <w:rFonts w:ascii="宋体" w:hAnsi="宋体" w:eastAsia="宋体"/>
          <w:color w:val="auto"/>
          <w:szCs w:val="21"/>
          <w:highlight w:val="none"/>
        </w:rPr>
      </w:pPr>
    </w:p>
    <w:p w14:paraId="68C65E49">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被授权人（签字）：</w:t>
      </w:r>
    </w:p>
    <w:p w14:paraId="1D1C1108">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58C612B5">
      <w:pPr>
        <w:spacing w:line="360" w:lineRule="auto"/>
        <w:ind w:firstLine="420" w:firstLineChars="200"/>
        <w:rPr>
          <w:rFonts w:ascii="宋体" w:hAnsi="宋体" w:eastAsia="宋体"/>
          <w:color w:val="auto"/>
          <w:szCs w:val="21"/>
          <w:highlight w:val="none"/>
        </w:rPr>
      </w:pPr>
    </w:p>
    <w:p w14:paraId="41C889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注：1.法定代表人必须在授权委托书上签字或盖章，委托代理人必须在授权委托书上签字或盖章。</w:t>
      </w:r>
    </w:p>
    <w:p w14:paraId="454D65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2.本授权委托书应由联合体牵头人的法定代表人按上述规定签署。</w:t>
      </w:r>
    </w:p>
    <w:p w14:paraId="45475A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D6EFD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4.法人、其他组织竞标时“我方”是指“我单位”，自然人竞标时“我方”是指“本人”。</w:t>
      </w:r>
    </w:p>
    <w:p w14:paraId="05FB8494">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1D19CB6E">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（四）磋商保证金缴纳凭证</w:t>
      </w:r>
    </w:p>
    <w:p w14:paraId="019DEE24">
      <w:pPr>
        <w:spacing w:line="360" w:lineRule="auto"/>
        <w:jc w:val="center"/>
        <w:rPr>
          <w:rFonts w:ascii="宋体" w:hAnsi="宋体" w:eastAsia="宋体" w:cs="Times New Roman"/>
          <w:b/>
          <w:color w:val="auto"/>
          <w:sz w:val="32"/>
          <w:szCs w:val="32"/>
          <w:highlight w:val="none"/>
        </w:rPr>
      </w:pPr>
    </w:p>
    <w:p w14:paraId="279EAD3D">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（五）建筑材料和设备节能环保要求承诺书</w:t>
      </w:r>
    </w:p>
    <w:p w14:paraId="078629C6">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我方承诺，一旦成交，我方保证严格执行《财政部 国家发展改革委关于印发《节能产品政府采购实施意见》的通知》（财库〔2004〕185号）、《财政部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如我方在该项目的承包中出现未按规定执行的情形，我方愿意按照相关规定接受采购人及有关行政主管部门的处罚，愿意承担一切后果，并不再寻求任何旨在减轻或者免除法律责任的辩解。</w:t>
      </w:r>
    </w:p>
    <w:p w14:paraId="58D42C8F">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EBE5745">
      <w:pP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4726CC6E">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6B079A79">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（六）总工程量承诺书</w:t>
      </w:r>
    </w:p>
    <w:p w14:paraId="071116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格式自拟</w:t>
      </w:r>
      <w:r>
        <w:rPr>
          <w:rFonts w:ascii="宋体" w:hAnsi="宋体" w:eastAsia="宋体"/>
          <w:color w:val="auto"/>
          <w:szCs w:val="21"/>
          <w:highlight w:val="none"/>
        </w:rPr>
        <w:t>。</w:t>
      </w:r>
    </w:p>
    <w:p w14:paraId="359AB614">
      <w:pPr>
        <w:spacing w:line="360" w:lineRule="auto"/>
        <w:jc w:val="center"/>
        <w:rPr>
          <w:rFonts w:hint="eastAsia" w:ascii="宋体" w:hAnsi="宋体" w:eastAsia="宋体" w:cs="Times New Roman"/>
          <w:b/>
          <w:color w:val="auto"/>
          <w:sz w:val="32"/>
          <w:szCs w:val="32"/>
          <w:highlight w:val="none"/>
        </w:rPr>
      </w:pPr>
    </w:p>
    <w:p w14:paraId="22C590E1">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（七）商务条款偏离表</w:t>
      </w:r>
    </w:p>
    <w:p w14:paraId="1053CB41">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（注：按采购需求具体条款修改）</w:t>
      </w:r>
    </w:p>
    <w:p w14:paraId="79A92E7A">
      <w:pPr>
        <w:spacing w:line="360" w:lineRule="auto"/>
        <w:ind w:firstLine="420" w:firstLineChars="200"/>
        <w:rPr>
          <w:rFonts w:ascii="宋体" w:hAnsi="宋体" w:eastAsia="宋体"/>
          <w:color w:val="auto"/>
          <w:szCs w:val="21"/>
          <w:highlight w:val="none"/>
        </w:rPr>
      </w:pPr>
    </w:p>
    <w:p w14:paraId="6A68E6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项目编号：</w:t>
      </w:r>
    </w:p>
    <w:p w14:paraId="556B65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项目名称：</w:t>
      </w:r>
    </w:p>
    <w:p w14:paraId="141DB78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分标号：</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481"/>
        <w:gridCol w:w="2756"/>
        <w:gridCol w:w="2884"/>
      </w:tblGrid>
      <w:tr w14:paraId="5FD9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53155AE0">
            <w:pPr>
              <w:jc w:val="center"/>
              <w:rPr>
                <w:rFonts w:ascii="宋体" w:hAnsi="宋体"/>
                <w:color w:val="auto"/>
                <w:szCs w:val="21"/>
                <w:highlight w:val="none"/>
              </w:rPr>
            </w:pPr>
            <w:r>
              <w:rPr>
                <w:rFonts w:hint="eastAsia" w:ascii="宋体" w:hAnsi="宋体"/>
                <w:color w:val="auto"/>
                <w:szCs w:val="21"/>
                <w:highlight w:val="none"/>
              </w:rPr>
              <w:t>项号</w:t>
            </w:r>
          </w:p>
        </w:tc>
        <w:tc>
          <w:tcPr>
            <w:tcW w:w="1768" w:type="pct"/>
            <w:vAlign w:val="center"/>
          </w:tcPr>
          <w:p w14:paraId="754C381C">
            <w:pPr>
              <w:jc w:val="center"/>
              <w:rPr>
                <w:rFonts w:ascii="宋体" w:hAnsi="宋体"/>
                <w:color w:val="auto"/>
                <w:szCs w:val="21"/>
                <w:highlight w:val="none"/>
              </w:rPr>
            </w:pPr>
            <w:r>
              <w:rPr>
                <w:rFonts w:hint="eastAsia" w:ascii="宋体" w:hAnsi="宋体"/>
                <w:color w:val="auto"/>
                <w:szCs w:val="21"/>
                <w:highlight w:val="none"/>
              </w:rPr>
              <w:t>竞争性磋商采购文件的商务要求</w:t>
            </w:r>
          </w:p>
        </w:tc>
        <w:tc>
          <w:tcPr>
            <w:tcW w:w="1400" w:type="pct"/>
            <w:vAlign w:val="center"/>
          </w:tcPr>
          <w:p w14:paraId="08118A3A">
            <w:pPr>
              <w:jc w:val="center"/>
              <w:rPr>
                <w:rFonts w:ascii="宋体" w:hAnsi="宋体"/>
                <w:color w:val="auto"/>
                <w:szCs w:val="21"/>
                <w:highlight w:val="none"/>
              </w:rPr>
            </w:pPr>
            <w:r>
              <w:rPr>
                <w:rFonts w:hint="eastAsia" w:ascii="宋体" w:hAnsi="宋体"/>
                <w:color w:val="auto"/>
                <w:szCs w:val="21"/>
                <w:highlight w:val="none"/>
              </w:rPr>
              <w:t>响应文件的承诺</w:t>
            </w:r>
          </w:p>
        </w:tc>
        <w:tc>
          <w:tcPr>
            <w:tcW w:w="1465" w:type="pct"/>
            <w:vAlign w:val="center"/>
          </w:tcPr>
          <w:p w14:paraId="23F096E2">
            <w:pPr>
              <w:jc w:val="center"/>
              <w:rPr>
                <w:rFonts w:ascii="宋体" w:hAnsi="宋体"/>
                <w:color w:val="auto"/>
                <w:szCs w:val="21"/>
                <w:highlight w:val="none"/>
              </w:rPr>
            </w:pPr>
            <w:r>
              <w:rPr>
                <w:rFonts w:hint="eastAsia" w:ascii="宋体" w:hAnsi="宋体"/>
                <w:color w:val="auto"/>
                <w:szCs w:val="21"/>
                <w:highlight w:val="none"/>
              </w:rPr>
              <w:t>偏离说明</w:t>
            </w:r>
          </w:p>
        </w:tc>
      </w:tr>
      <w:tr w14:paraId="5F1E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276DB8F6">
            <w:pPr>
              <w:jc w:val="center"/>
              <w:rPr>
                <w:rFonts w:ascii="宋体" w:hAnsi="宋体"/>
                <w:color w:val="auto"/>
                <w:szCs w:val="21"/>
                <w:highlight w:val="none"/>
              </w:rPr>
            </w:pPr>
            <w:r>
              <w:rPr>
                <w:rFonts w:hint="eastAsia" w:ascii="宋体" w:hAnsi="宋体"/>
                <w:color w:val="auto"/>
                <w:szCs w:val="21"/>
                <w:highlight w:val="none"/>
              </w:rPr>
              <w:t>一</w:t>
            </w:r>
          </w:p>
        </w:tc>
        <w:tc>
          <w:tcPr>
            <w:tcW w:w="1768" w:type="pct"/>
            <w:vAlign w:val="center"/>
          </w:tcPr>
          <w:p w14:paraId="375D888A">
            <w:pPr>
              <w:jc w:val="left"/>
              <w:rPr>
                <w:rFonts w:ascii="宋体" w:hAnsi="宋体"/>
                <w:color w:val="auto"/>
                <w:szCs w:val="21"/>
                <w:highlight w:val="none"/>
              </w:rPr>
            </w:pPr>
            <w:r>
              <w:rPr>
                <w:rFonts w:hint="eastAsia" w:ascii="宋体" w:hAnsi="宋体"/>
                <w:color w:val="auto"/>
                <w:szCs w:val="21"/>
                <w:highlight w:val="none"/>
              </w:rPr>
              <w:t>1……</w:t>
            </w:r>
          </w:p>
          <w:p w14:paraId="1A4BE170">
            <w:pPr>
              <w:jc w:val="left"/>
              <w:rPr>
                <w:rFonts w:ascii="宋体" w:hAnsi="宋体"/>
                <w:color w:val="auto"/>
                <w:szCs w:val="21"/>
                <w:highlight w:val="none"/>
              </w:rPr>
            </w:pPr>
            <w:r>
              <w:rPr>
                <w:rFonts w:ascii="宋体" w:hAnsi="宋体"/>
                <w:color w:val="auto"/>
                <w:szCs w:val="21"/>
                <w:highlight w:val="none"/>
              </w:rPr>
              <w:t>2……</w:t>
            </w:r>
          </w:p>
          <w:p w14:paraId="6C144E37">
            <w:pPr>
              <w:jc w:val="left"/>
              <w:rPr>
                <w:rFonts w:ascii="宋体" w:hAnsi="宋体"/>
                <w:color w:val="auto"/>
                <w:szCs w:val="21"/>
                <w:highlight w:val="none"/>
              </w:rPr>
            </w:pPr>
            <w:r>
              <w:rPr>
                <w:rFonts w:ascii="宋体" w:hAnsi="宋体"/>
                <w:color w:val="auto"/>
                <w:szCs w:val="21"/>
                <w:highlight w:val="none"/>
              </w:rPr>
              <w:t>3……</w:t>
            </w:r>
          </w:p>
          <w:p w14:paraId="62098D96">
            <w:pPr>
              <w:jc w:val="left"/>
              <w:rPr>
                <w:rFonts w:ascii="宋体" w:hAnsi="宋体"/>
                <w:color w:val="auto"/>
                <w:szCs w:val="21"/>
                <w:highlight w:val="none"/>
              </w:rPr>
            </w:pPr>
            <w:r>
              <w:rPr>
                <w:rFonts w:hint="eastAsia" w:ascii="宋体" w:hAnsi="宋体"/>
                <w:color w:val="auto"/>
                <w:szCs w:val="21"/>
                <w:highlight w:val="none"/>
              </w:rPr>
              <w:t>……</w:t>
            </w:r>
          </w:p>
        </w:tc>
        <w:tc>
          <w:tcPr>
            <w:tcW w:w="1400" w:type="pct"/>
            <w:vAlign w:val="center"/>
          </w:tcPr>
          <w:p w14:paraId="2389AC34">
            <w:pPr>
              <w:jc w:val="left"/>
              <w:rPr>
                <w:rFonts w:ascii="宋体" w:hAnsi="宋体"/>
                <w:color w:val="auto"/>
                <w:szCs w:val="21"/>
                <w:highlight w:val="none"/>
              </w:rPr>
            </w:pPr>
            <w:r>
              <w:rPr>
                <w:rFonts w:hint="eastAsia" w:ascii="宋体" w:hAnsi="宋体"/>
                <w:color w:val="auto"/>
                <w:szCs w:val="21"/>
                <w:highlight w:val="none"/>
              </w:rPr>
              <w:t>1……</w:t>
            </w:r>
          </w:p>
          <w:p w14:paraId="73A01244">
            <w:pPr>
              <w:jc w:val="left"/>
              <w:rPr>
                <w:rFonts w:ascii="宋体" w:hAnsi="宋体"/>
                <w:color w:val="auto"/>
                <w:szCs w:val="21"/>
                <w:highlight w:val="none"/>
              </w:rPr>
            </w:pPr>
            <w:r>
              <w:rPr>
                <w:rFonts w:ascii="宋体" w:hAnsi="宋体"/>
                <w:color w:val="auto"/>
                <w:szCs w:val="21"/>
                <w:highlight w:val="none"/>
              </w:rPr>
              <w:t>2……</w:t>
            </w:r>
          </w:p>
          <w:p w14:paraId="5EE9B090">
            <w:pPr>
              <w:jc w:val="left"/>
              <w:rPr>
                <w:rFonts w:ascii="宋体" w:hAnsi="宋体"/>
                <w:color w:val="auto"/>
                <w:szCs w:val="21"/>
                <w:highlight w:val="none"/>
              </w:rPr>
            </w:pPr>
            <w:r>
              <w:rPr>
                <w:rFonts w:ascii="宋体" w:hAnsi="宋体"/>
                <w:color w:val="auto"/>
                <w:szCs w:val="21"/>
                <w:highlight w:val="none"/>
              </w:rPr>
              <w:t>3……</w:t>
            </w:r>
          </w:p>
          <w:p w14:paraId="462779E0">
            <w:pPr>
              <w:jc w:val="left"/>
              <w:rPr>
                <w:rFonts w:ascii="宋体" w:hAnsi="宋体"/>
                <w:color w:val="auto"/>
                <w:szCs w:val="21"/>
                <w:highlight w:val="none"/>
              </w:rPr>
            </w:pPr>
            <w:r>
              <w:rPr>
                <w:rFonts w:hint="eastAsia" w:ascii="宋体" w:hAnsi="宋体"/>
                <w:color w:val="auto"/>
                <w:szCs w:val="21"/>
                <w:highlight w:val="none"/>
              </w:rPr>
              <w:t>……</w:t>
            </w:r>
          </w:p>
        </w:tc>
        <w:tc>
          <w:tcPr>
            <w:tcW w:w="1465" w:type="pct"/>
            <w:vAlign w:val="center"/>
          </w:tcPr>
          <w:p w14:paraId="737B5FFD">
            <w:pPr>
              <w:jc w:val="center"/>
              <w:rPr>
                <w:rFonts w:ascii="宋体" w:hAnsi="宋体"/>
                <w:color w:val="auto"/>
                <w:szCs w:val="21"/>
                <w:highlight w:val="none"/>
              </w:rPr>
            </w:pPr>
          </w:p>
        </w:tc>
      </w:tr>
      <w:tr w14:paraId="6DB5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28F17576">
            <w:pPr>
              <w:jc w:val="center"/>
              <w:rPr>
                <w:rFonts w:ascii="宋体" w:hAnsi="宋体"/>
                <w:color w:val="auto"/>
                <w:szCs w:val="21"/>
                <w:highlight w:val="none"/>
              </w:rPr>
            </w:pPr>
            <w:r>
              <w:rPr>
                <w:rFonts w:hint="eastAsia" w:ascii="宋体" w:hAnsi="宋体"/>
                <w:color w:val="auto"/>
                <w:szCs w:val="21"/>
                <w:highlight w:val="none"/>
              </w:rPr>
              <w:t>二</w:t>
            </w:r>
          </w:p>
        </w:tc>
        <w:tc>
          <w:tcPr>
            <w:tcW w:w="1768" w:type="pct"/>
            <w:vAlign w:val="center"/>
          </w:tcPr>
          <w:p w14:paraId="523403F0">
            <w:pPr>
              <w:jc w:val="left"/>
              <w:rPr>
                <w:rFonts w:ascii="宋体" w:hAnsi="宋体"/>
                <w:color w:val="auto"/>
                <w:szCs w:val="21"/>
                <w:highlight w:val="none"/>
              </w:rPr>
            </w:pPr>
            <w:r>
              <w:rPr>
                <w:rFonts w:hint="eastAsia" w:ascii="宋体" w:hAnsi="宋体"/>
                <w:color w:val="auto"/>
                <w:szCs w:val="21"/>
                <w:highlight w:val="none"/>
              </w:rPr>
              <w:t>1……</w:t>
            </w:r>
          </w:p>
          <w:p w14:paraId="3087E063">
            <w:pPr>
              <w:jc w:val="left"/>
              <w:rPr>
                <w:rFonts w:ascii="宋体" w:hAnsi="宋体"/>
                <w:color w:val="auto"/>
                <w:szCs w:val="21"/>
                <w:highlight w:val="none"/>
              </w:rPr>
            </w:pPr>
            <w:r>
              <w:rPr>
                <w:rFonts w:ascii="宋体" w:hAnsi="宋体"/>
                <w:color w:val="auto"/>
                <w:szCs w:val="21"/>
                <w:highlight w:val="none"/>
              </w:rPr>
              <w:t>2……</w:t>
            </w:r>
          </w:p>
          <w:p w14:paraId="67B7F367">
            <w:pPr>
              <w:jc w:val="left"/>
              <w:rPr>
                <w:rFonts w:ascii="宋体" w:hAnsi="宋体"/>
                <w:color w:val="auto"/>
                <w:szCs w:val="21"/>
                <w:highlight w:val="none"/>
              </w:rPr>
            </w:pPr>
            <w:r>
              <w:rPr>
                <w:rFonts w:ascii="宋体" w:hAnsi="宋体"/>
                <w:color w:val="auto"/>
                <w:szCs w:val="21"/>
                <w:highlight w:val="none"/>
              </w:rPr>
              <w:t>3……</w:t>
            </w:r>
          </w:p>
          <w:p w14:paraId="1701B486">
            <w:pPr>
              <w:jc w:val="left"/>
              <w:rPr>
                <w:rFonts w:ascii="宋体" w:hAnsi="宋体"/>
                <w:color w:val="auto"/>
                <w:szCs w:val="21"/>
                <w:highlight w:val="none"/>
              </w:rPr>
            </w:pPr>
            <w:r>
              <w:rPr>
                <w:rFonts w:hint="eastAsia" w:ascii="宋体" w:hAnsi="宋体"/>
                <w:color w:val="auto"/>
                <w:szCs w:val="21"/>
                <w:highlight w:val="none"/>
              </w:rPr>
              <w:t>……</w:t>
            </w:r>
          </w:p>
        </w:tc>
        <w:tc>
          <w:tcPr>
            <w:tcW w:w="1400" w:type="pct"/>
            <w:vAlign w:val="center"/>
          </w:tcPr>
          <w:p w14:paraId="3777470E">
            <w:pPr>
              <w:jc w:val="left"/>
              <w:rPr>
                <w:rFonts w:ascii="宋体" w:hAnsi="宋体"/>
                <w:color w:val="auto"/>
                <w:szCs w:val="21"/>
                <w:highlight w:val="none"/>
              </w:rPr>
            </w:pPr>
            <w:r>
              <w:rPr>
                <w:rFonts w:hint="eastAsia" w:ascii="宋体" w:hAnsi="宋体"/>
                <w:color w:val="auto"/>
                <w:szCs w:val="21"/>
                <w:highlight w:val="none"/>
              </w:rPr>
              <w:t>1……</w:t>
            </w:r>
          </w:p>
          <w:p w14:paraId="75EDBDC6">
            <w:pPr>
              <w:jc w:val="left"/>
              <w:rPr>
                <w:rFonts w:ascii="宋体" w:hAnsi="宋体"/>
                <w:color w:val="auto"/>
                <w:szCs w:val="21"/>
                <w:highlight w:val="none"/>
              </w:rPr>
            </w:pPr>
            <w:r>
              <w:rPr>
                <w:rFonts w:ascii="宋体" w:hAnsi="宋体"/>
                <w:color w:val="auto"/>
                <w:szCs w:val="21"/>
                <w:highlight w:val="none"/>
              </w:rPr>
              <w:t>2……</w:t>
            </w:r>
          </w:p>
          <w:p w14:paraId="3C963F07">
            <w:pPr>
              <w:jc w:val="left"/>
              <w:rPr>
                <w:rFonts w:ascii="宋体" w:hAnsi="宋体"/>
                <w:color w:val="auto"/>
                <w:szCs w:val="21"/>
                <w:highlight w:val="none"/>
              </w:rPr>
            </w:pPr>
            <w:r>
              <w:rPr>
                <w:rFonts w:ascii="宋体" w:hAnsi="宋体"/>
                <w:color w:val="auto"/>
                <w:szCs w:val="21"/>
                <w:highlight w:val="none"/>
              </w:rPr>
              <w:t>3……</w:t>
            </w:r>
          </w:p>
          <w:p w14:paraId="6AFCD12C">
            <w:pPr>
              <w:jc w:val="left"/>
              <w:rPr>
                <w:rFonts w:ascii="宋体" w:hAnsi="宋体"/>
                <w:color w:val="auto"/>
                <w:szCs w:val="21"/>
                <w:highlight w:val="none"/>
              </w:rPr>
            </w:pPr>
            <w:r>
              <w:rPr>
                <w:rFonts w:hint="eastAsia" w:ascii="宋体" w:hAnsi="宋体"/>
                <w:color w:val="auto"/>
                <w:szCs w:val="21"/>
                <w:highlight w:val="none"/>
              </w:rPr>
              <w:t>……</w:t>
            </w:r>
          </w:p>
        </w:tc>
        <w:tc>
          <w:tcPr>
            <w:tcW w:w="1465" w:type="pct"/>
            <w:vAlign w:val="center"/>
          </w:tcPr>
          <w:p w14:paraId="7FF178D2">
            <w:pPr>
              <w:jc w:val="center"/>
              <w:rPr>
                <w:rFonts w:ascii="宋体" w:hAnsi="宋体"/>
                <w:color w:val="auto"/>
                <w:szCs w:val="21"/>
                <w:highlight w:val="none"/>
              </w:rPr>
            </w:pPr>
          </w:p>
        </w:tc>
      </w:tr>
      <w:tr w14:paraId="7F29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553E0F6B">
            <w:pPr>
              <w:jc w:val="center"/>
              <w:rPr>
                <w:rFonts w:ascii="宋体" w:hAnsi="宋体"/>
                <w:color w:val="auto"/>
                <w:szCs w:val="21"/>
                <w:highlight w:val="none"/>
              </w:rPr>
            </w:pPr>
            <w:r>
              <w:rPr>
                <w:rFonts w:hint="eastAsia" w:ascii="宋体" w:hAnsi="宋体"/>
                <w:color w:val="auto"/>
                <w:szCs w:val="21"/>
                <w:highlight w:val="none"/>
              </w:rPr>
              <w:t>…</w:t>
            </w:r>
          </w:p>
        </w:tc>
        <w:tc>
          <w:tcPr>
            <w:tcW w:w="1768" w:type="pct"/>
            <w:vAlign w:val="center"/>
          </w:tcPr>
          <w:p w14:paraId="48E257CF">
            <w:pPr>
              <w:jc w:val="left"/>
              <w:rPr>
                <w:rFonts w:ascii="宋体" w:hAnsi="宋体"/>
                <w:color w:val="auto"/>
                <w:szCs w:val="21"/>
                <w:highlight w:val="none"/>
              </w:rPr>
            </w:pPr>
            <w:r>
              <w:rPr>
                <w:rFonts w:hint="eastAsia" w:ascii="宋体" w:hAnsi="宋体"/>
                <w:color w:val="auto"/>
                <w:szCs w:val="21"/>
                <w:highlight w:val="none"/>
              </w:rPr>
              <w:t>1……</w:t>
            </w:r>
          </w:p>
          <w:p w14:paraId="2E4F752B">
            <w:pPr>
              <w:jc w:val="left"/>
              <w:rPr>
                <w:rFonts w:ascii="宋体" w:hAnsi="宋体"/>
                <w:color w:val="auto"/>
                <w:szCs w:val="21"/>
                <w:highlight w:val="none"/>
              </w:rPr>
            </w:pPr>
            <w:r>
              <w:rPr>
                <w:rFonts w:ascii="宋体" w:hAnsi="宋体"/>
                <w:color w:val="auto"/>
                <w:szCs w:val="21"/>
                <w:highlight w:val="none"/>
              </w:rPr>
              <w:t>2……</w:t>
            </w:r>
          </w:p>
          <w:p w14:paraId="394ECBB6">
            <w:pPr>
              <w:jc w:val="left"/>
              <w:rPr>
                <w:rFonts w:ascii="宋体" w:hAnsi="宋体"/>
                <w:color w:val="auto"/>
                <w:szCs w:val="21"/>
                <w:highlight w:val="none"/>
              </w:rPr>
            </w:pPr>
            <w:r>
              <w:rPr>
                <w:rFonts w:ascii="宋体" w:hAnsi="宋体"/>
                <w:color w:val="auto"/>
                <w:szCs w:val="21"/>
                <w:highlight w:val="none"/>
              </w:rPr>
              <w:t>3……</w:t>
            </w:r>
          </w:p>
          <w:p w14:paraId="1EE9DDD6">
            <w:pPr>
              <w:jc w:val="left"/>
              <w:rPr>
                <w:rFonts w:ascii="宋体" w:hAnsi="宋体"/>
                <w:color w:val="auto"/>
                <w:szCs w:val="21"/>
                <w:highlight w:val="none"/>
              </w:rPr>
            </w:pPr>
            <w:r>
              <w:rPr>
                <w:rFonts w:hint="eastAsia" w:ascii="宋体" w:hAnsi="宋体"/>
                <w:color w:val="auto"/>
                <w:szCs w:val="21"/>
                <w:highlight w:val="none"/>
              </w:rPr>
              <w:t>……</w:t>
            </w:r>
          </w:p>
        </w:tc>
        <w:tc>
          <w:tcPr>
            <w:tcW w:w="1400" w:type="pct"/>
            <w:vAlign w:val="center"/>
          </w:tcPr>
          <w:p w14:paraId="0CF0109E">
            <w:pPr>
              <w:jc w:val="left"/>
              <w:rPr>
                <w:rFonts w:ascii="宋体" w:hAnsi="宋体"/>
                <w:color w:val="auto"/>
                <w:szCs w:val="21"/>
                <w:highlight w:val="none"/>
              </w:rPr>
            </w:pPr>
            <w:r>
              <w:rPr>
                <w:rFonts w:hint="eastAsia" w:ascii="宋体" w:hAnsi="宋体"/>
                <w:color w:val="auto"/>
                <w:szCs w:val="21"/>
                <w:highlight w:val="none"/>
              </w:rPr>
              <w:t>1……</w:t>
            </w:r>
          </w:p>
          <w:p w14:paraId="70BA47E0">
            <w:pPr>
              <w:jc w:val="left"/>
              <w:rPr>
                <w:rFonts w:ascii="宋体" w:hAnsi="宋体"/>
                <w:color w:val="auto"/>
                <w:szCs w:val="21"/>
                <w:highlight w:val="none"/>
              </w:rPr>
            </w:pPr>
            <w:r>
              <w:rPr>
                <w:rFonts w:ascii="宋体" w:hAnsi="宋体"/>
                <w:color w:val="auto"/>
                <w:szCs w:val="21"/>
                <w:highlight w:val="none"/>
              </w:rPr>
              <w:t>2……</w:t>
            </w:r>
          </w:p>
          <w:p w14:paraId="35644B58">
            <w:pPr>
              <w:jc w:val="left"/>
              <w:rPr>
                <w:rFonts w:ascii="宋体" w:hAnsi="宋体"/>
                <w:color w:val="auto"/>
                <w:szCs w:val="21"/>
                <w:highlight w:val="none"/>
              </w:rPr>
            </w:pPr>
            <w:r>
              <w:rPr>
                <w:rFonts w:ascii="宋体" w:hAnsi="宋体"/>
                <w:color w:val="auto"/>
                <w:szCs w:val="21"/>
                <w:highlight w:val="none"/>
              </w:rPr>
              <w:t>3……</w:t>
            </w:r>
          </w:p>
          <w:p w14:paraId="63AB4941">
            <w:pPr>
              <w:jc w:val="left"/>
              <w:rPr>
                <w:rFonts w:ascii="宋体" w:hAnsi="宋体"/>
                <w:color w:val="auto"/>
                <w:szCs w:val="21"/>
                <w:highlight w:val="none"/>
              </w:rPr>
            </w:pPr>
            <w:r>
              <w:rPr>
                <w:rFonts w:hint="eastAsia" w:ascii="宋体" w:hAnsi="宋体"/>
                <w:color w:val="auto"/>
                <w:szCs w:val="21"/>
                <w:highlight w:val="none"/>
              </w:rPr>
              <w:t>……</w:t>
            </w:r>
          </w:p>
        </w:tc>
        <w:tc>
          <w:tcPr>
            <w:tcW w:w="1465" w:type="pct"/>
            <w:vAlign w:val="center"/>
          </w:tcPr>
          <w:p w14:paraId="3D263E18">
            <w:pPr>
              <w:jc w:val="center"/>
              <w:rPr>
                <w:rFonts w:ascii="宋体" w:hAnsi="宋体"/>
                <w:color w:val="auto"/>
                <w:szCs w:val="21"/>
                <w:highlight w:val="none"/>
              </w:rPr>
            </w:pPr>
          </w:p>
        </w:tc>
      </w:tr>
    </w:tbl>
    <w:p w14:paraId="63CE40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7A9B15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1.说明：应对照采购文件“第三章采购需求”的</w:t>
      </w:r>
      <w:r>
        <w:rPr>
          <w:rFonts w:hint="eastAsia" w:ascii="宋体" w:hAnsi="宋体" w:eastAsia="宋体"/>
          <w:b/>
          <w:color w:val="auto"/>
          <w:szCs w:val="21"/>
          <w:highlight w:val="none"/>
        </w:rPr>
        <w:t>商务要求</w:t>
      </w:r>
      <w:r>
        <w:rPr>
          <w:rFonts w:hint="eastAsia" w:ascii="宋体" w:hAnsi="宋体" w:eastAsia="宋体"/>
          <w:color w:val="auto"/>
          <w:szCs w:val="21"/>
          <w:highlight w:val="none"/>
        </w:rPr>
        <w:t>条款</w:t>
      </w:r>
      <w:r>
        <w:rPr>
          <w:rFonts w:hint="eastAsia" w:ascii="宋体" w:hAnsi="宋体" w:eastAsia="宋体"/>
          <w:b/>
          <w:color w:val="auto"/>
          <w:szCs w:val="21"/>
          <w:highlight w:val="none"/>
        </w:rPr>
        <w:t>逐条</w:t>
      </w:r>
      <w:r>
        <w:rPr>
          <w:rFonts w:hint="eastAsia" w:ascii="宋体" w:hAnsi="宋体" w:eastAsia="宋体"/>
          <w:color w:val="auto"/>
          <w:szCs w:val="21"/>
          <w:highlight w:val="none"/>
        </w:rPr>
        <w:t>作出明确响应，并作出偏离说明，否则竞争性磋商无效。</w:t>
      </w:r>
    </w:p>
    <w:p w14:paraId="2A83B1D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应根据自身的承诺，对照采购文件要求，在“偏离说明”中注明“正偏离”、“负偏离”或者“无偏离”。既不属于“正偏离”也不属于“负偏离”即为“无偏离”。当响应文件的商务内容低于采购文件要求时，供应商应当如实写明“负偏离”，否则视为虚假应标</w:t>
      </w:r>
    </w:p>
    <w:p w14:paraId="1949A9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3.表格内容均需按要求填写，不得留空。</w:t>
      </w:r>
    </w:p>
    <w:p w14:paraId="39F17513">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法定代表人或者委托代理人（签字）：</w:t>
      </w:r>
    </w:p>
    <w:p w14:paraId="7F251BE9">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4DACBAD2">
      <w:pP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7687E9D2">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57220DD5">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（八）技术要求偏离表</w:t>
      </w:r>
    </w:p>
    <w:p w14:paraId="507977A0">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（注：按采购需求具体条款修改）</w:t>
      </w:r>
    </w:p>
    <w:p w14:paraId="5EEF07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项目编号：</w:t>
      </w:r>
    </w:p>
    <w:p w14:paraId="12FB987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项目名称：</w:t>
      </w:r>
    </w:p>
    <w:p w14:paraId="5914E0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分标号：</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59"/>
        <w:gridCol w:w="1158"/>
        <w:gridCol w:w="1886"/>
        <w:gridCol w:w="1231"/>
        <w:gridCol w:w="1231"/>
        <w:gridCol w:w="1231"/>
        <w:gridCol w:w="1223"/>
      </w:tblGrid>
      <w:tr w14:paraId="567B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restart"/>
            <w:vAlign w:val="center"/>
          </w:tcPr>
          <w:p w14:paraId="1102D9F3">
            <w:pPr>
              <w:spacing w:line="360" w:lineRule="auto"/>
              <w:jc w:val="center"/>
              <w:rPr>
                <w:rFonts w:ascii="宋体" w:hAnsi="宋体"/>
                <w:color w:val="auto"/>
                <w:szCs w:val="21"/>
                <w:highlight w:val="none"/>
              </w:rPr>
            </w:pPr>
            <w:r>
              <w:rPr>
                <w:rFonts w:hint="eastAsia" w:ascii="宋体" w:hAnsi="宋体"/>
                <w:color w:val="auto"/>
                <w:szCs w:val="21"/>
                <w:highlight w:val="none"/>
              </w:rPr>
              <w:t>项号</w:t>
            </w:r>
          </w:p>
        </w:tc>
        <w:tc>
          <w:tcPr>
            <w:tcW w:w="2135" w:type="pct"/>
            <w:gridSpan w:val="3"/>
            <w:vAlign w:val="center"/>
          </w:tcPr>
          <w:p w14:paraId="356FEF15">
            <w:pPr>
              <w:spacing w:line="360" w:lineRule="auto"/>
              <w:jc w:val="center"/>
              <w:rPr>
                <w:rFonts w:ascii="宋体" w:hAnsi="宋体"/>
                <w:color w:val="auto"/>
                <w:szCs w:val="21"/>
                <w:highlight w:val="none"/>
              </w:rPr>
            </w:pPr>
            <w:r>
              <w:rPr>
                <w:rFonts w:hint="eastAsia" w:ascii="宋体" w:hAnsi="宋体"/>
                <w:color w:val="auto"/>
                <w:szCs w:val="21"/>
                <w:highlight w:val="none"/>
              </w:rPr>
              <w:t>竞争性磋商采购文件需求</w:t>
            </w:r>
          </w:p>
        </w:tc>
        <w:tc>
          <w:tcPr>
            <w:tcW w:w="1875" w:type="pct"/>
            <w:gridSpan w:val="3"/>
            <w:vAlign w:val="center"/>
          </w:tcPr>
          <w:p w14:paraId="2233CE20">
            <w:pPr>
              <w:spacing w:line="360" w:lineRule="auto"/>
              <w:jc w:val="center"/>
              <w:rPr>
                <w:rFonts w:ascii="宋体" w:hAnsi="宋体"/>
                <w:color w:val="auto"/>
                <w:szCs w:val="21"/>
                <w:highlight w:val="none"/>
              </w:rPr>
            </w:pPr>
            <w:r>
              <w:rPr>
                <w:rFonts w:hint="eastAsia" w:ascii="宋体" w:hAnsi="宋体"/>
                <w:color w:val="auto"/>
                <w:szCs w:val="21"/>
                <w:highlight w:val="none"/>
              </w:rPr>
              <w:t>响应文件承诺</w:t>
            </w:r>
          </w:p>
        </w:tc>
        <w:tc>
          <w:tcPr>
            <w:tcW w:w="621" w:type="pct"/>
            <w:vMerge w:val="restart"/>
            <w:vAlign w:val="center"/>
          </w:tcPr>
          <w:p w14:paraId="38775EC4">
            <w:pPr>
              <w:spacing w:line="360" w:lineRule="auto"/>
              <w:jc w:val="center"/>
              <w:rPr>
                <w:rFonts w:ascii="宋体" w:hAnsi="宋体"/>
                <w:color w:val="auto"/>
                <w:szCs w:val="21"/>
                <w:highlight w:val="none"/>
              </w:rPr>
            </w:pPr>
            <w:r>
              <w:rPr>
                <w:rFonts w:hint="eastAsia" w:ascii="宋体" w:hAnsi="宋体"/>
                <w:color w:val="auto"/>
                <w:szCs w:val="21"/>
                <w:highlight w:val="none"/>
              </w:rPr>
              <w:t>偏离说明</w:t>
            </w:r>
          </w:p>
        </w:tc>
      </w:tr>
      <w:tr w14:paraId="29AC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continue"/>
            <w:vAlign w:val="center"/>
          </w:tcPr>
          <w:p w14:paraId="573BEC2F">
            <w:pPr>
              <w:spacing w:line="360" w:lineRule="auto"/>
              <w:jc w:val="center"/>
              <w:rPr>
                <w:rFonts w:ascii="宋体" w:hAnsi="宋体"/>
                <w:color w:val="auto"/>
                <w:szCs w:val="21"/>
                <w:highlight w:val="none"/>
              </w:rPr>
            </w:pPr>
          </w:p>
        </w:tc>
        <w:tc>
          <w:tcPr>
            <w:tcW w:w="589" w:type="pct"/>
            <w:vAlign w:val="center"/>
          </w:tcPr>
          <w:p w14:paraId="30E09F44">
            <w:pPr>
              <w:spacing w:line="360" w:lineRule="auto"/>
              <w:jc w:val="center"/>
              <w:rPr>
                <w:rFonts w:ascii="宋体" w:hAnsi="宋体"/>
                <w:color w:val="auto"/>
                <w:szCs w:val="21"/>
                <w:highlight w:val="none"/>
              </w:rPr>
            </w:pPr>
            <w:r>
              <w:rPr>
                <w:rFonts w:hint="eastAsia" w:ascii="宋体" w:hAnsi="宋体"/>
                <w:color w:val="auto"/>
                <w:szCs w:val="21"/>
                <w:highlight w:val="none"/>
              </w:rPr>
              <w:t>标的名称</w:t>
            </w:r>
          </w:p>
        </w:tc>
        <w:tc>
          <w:tcPr>
            <w:tcW w:w="588" w:type="pct"/>
            <w:vAlign w:val="center"/>
          </w:tcPr>
          <w:p w14:paraId="344AC587">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958" w:type="pct"/>
            <w:vAlign w:val="center"/>
          </w:tcPr>
          <w:p w14:paraId="33888D02">
            <w:pPr>
              <w:spacing w:line="360" w:lineRule="auto"/>
              <w:jc w:val="center"/>
              <w:rPr>
                <w:rFonts w:ascii="宋体" w:hAnsi="宋体"/>
                <w:color w:val="auto"/>
                <w:szCs w:val="21"/>
                <w:highlight w:val="none"/>
              </w:rPr>
            </w:pPr>
            <w:r>
              <w:rPr>
                <w:rFonts w:hint="eastAsia" w:ascii="宋体" w:hAnsi="宋体"/>
                <w:color w:val="auto"/>
                <w:szCs w:val="21"/>
                <w:highlight w:val="none"/>
              </w:rPr>
              <w:t>技术要求</w:t>
            </w:r>
          </w:p>
        </w:tc>
        <w:tc>
          <w:tcPr>
            <w:tcW w:w="625" w:type="pct"/>
            <w:vAlign w:val="center"/>
          </w:tcPr>
          <w:p w14:paraId="18964BB6">
            <w:pPr>
              <w:spacing w:line="360" w:lineRule="auto"/>
              <w:jc w:val="center"/>
              <w:rPr>
                <w:rFonts w:ascii="宋体" w:hAnsi="宋体"/>
                <w:color w:val="auto"/>
                <w:szCs w:val="21"/>
                <w:highlight w:val="none"/>
              </w:rPr>
            </w:pPr>
            <w:r>
              <w:rPr>
                <w:rFonts w:hint="eastAsia" w:ascii="宋体" w:hAnsi="宋体"/>
                <w:color w:val="auto"/>
                <w:szCs w:val="21"/>
                <w:highlight w:val="none"/>
              </w:rPr>
              <w:t>标的名称</w:t>
            </w:r>
          </w:p>
        </w:tc>
        <w:tc>
          <w:tcPr>
            <w:tcW w:w="625" w:type="pct"/>
            <w:vAlign w:val="center"/>
          </w:tcPr>
          <w:p w14:paraId="58E3519E">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625" w:type="pct"/>
            <w:vAlign w:val="center"/>
          </w:tcPr>
          <w:p w14:paraId="23BF05B3">
            <w:pPr>
              <w:spacing w:line="360" w:lineRule="auto"/>
              <w:jc w:val="center"/>
              <w:rPr>
                <w:rFonts w:ascii="宋体" w:hAnsi="宋体"/>
                <w:color w:val="auto"/>
                <w:szCs w:val="21"/>
                <w:highlight w:val="none"/>
              </w:rPr>
            </w:pPr>
            <w:r>
              <w:rPr>
                <w:rFonts w:hint="eastAsia" w:ascii="宋体" w:hAnsi="宋体"/>
                <w:color w:val="auto"/>
                <w:szCs w:val="21"/>
                <w:highlight w:val="none"/>
              </w:rPr>
              <w:t>技术参数</w:t>
            </w:r>
          </w:p>
        </w:tc>
        <w:tc>
          <w:tcPr>
            <w:tcW w:w="621" w:type="pct"/>
            <w:vMerge w:val="continue"/>
            <w:vAlign w:val="center"/>
          </w:tcPr>
          <w:p w14:paraId="724A5BB2">
            <w:pPr>
              <w:spacing w:line="360" w:lineRule="auto"/>
              <w:jc w:val="center"/>
              <w:rPr>
                <w:rFonts w:ascii="宋体" w:hAnsi="宋体"/>
                <w:color w:val="auto"/>
                <w:szCs w:val="21"/>
                <w:highlight w:val="none"/>
              </w:rPr>
            </w:pPr>
          </w:p>
        </w:tc>
      </w:tr>
      <w:tr w14:paraId="0E61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6273A82F">
            <w:pPr>
              <w:spacing w:line="360" w:lineRule="auto"/>
              <w:jc w:val="center"/>
              <w:rPr>
                <w:rFonts w:ascii="宋体" w:hAnsi="宋体"/>
                <w:color w:val="auto"/>
                <w:szCs w:val="21"/>
                <w:highlight w:val="none"/>
              </w:rPr>
            </w:pPr>
            <w:r>
              <w:rPr>
                <w:rFonts w:ascii="宋体" w:hAnsi="宋体"/>
                <w:color w:val="auto"/>
                <w:szCs w:val="21"/>
                <w:highlight w:val="none"/>
              </w:rPr>
              <w:t>1</w:t>
            </w:r>
          </w:p>
        </w:tc>
        <w:tc>
          <w:tcPr>
            <w:tcW w:w="589" w:type="pct"/>
            <w:vAlign w:val="center"/>
          </w:tcPr>
          <w:p w14:paraId="0A080438">
            <w:pPr>
              <w:spacing w:line="360" w:lineRule="auto"/>
              <w:jc w:val="center"/>
              <w:rPr>
                <w:rFonts w:ascii="宋体" w:hAnsi="宋体"/>
                <w:color w:val="auto"/>
                <w:szCs w:val="21"/>
                <w:highlight w:val="none"/>
              </w:rPr>
            </w:pPr>
            <w:r>
              <w:rPr>
                <w:rFonts w:ascii="宋体" w:hAnsi="宋体"/>
                <w:color w:val="auto"/>
                <w:szCs w:val="21"/>
                <w:highlight w:val="none"/>
              </w:rPr>
              <w:t>……</w:t>
            </w:r>
          </w:p>
        </w:tc>
        <w:tc>
          <w:tcPr>
            <w:tcW w:w="588" w:type="pct"/>
            <w:vAlign w:val="center"/>
          </w:tcPr>
          <w:p w14:paraId="70969675">
            <w:pPr>
              <w:spacing w:line="360" w:lineRule="auto"/>
              <w:jc w:val="center"/>
              <w:rPr>
                <w:rFonts w:ascii="宋体" w:hAnsi="宋体"/>
                <w:color w:val="auto"/>
                <w:szCs w:val="21"/>
                <w:highlight w:val="none"/>
              </w:rPr>
            </w:pPr>
            <w:r>
              <w:rPr>
                <w:rFonts w:ascii="宋体" w:hAnsi="宋体"/>
                <w:color w:val="auto"/>
                <w:szCs w:val="21"/>
                <w:highlight w:val="none"/>
              </w:rPr>
              <w:t>…</w:t>
            </w:r>
          </w:p>
        </w:tc>
        <w:tc>
          <w:tcPr>
            <w:tcW w:w="958" w:type="pct"/>
            <w:vAlign w:val="center"/>
          </w:tcPr>
          <w:p w14:paraId="5C16F698">
            <w:pPr>
              <w:spacing w:line="360" w:lineRule="auto"/>
              <w:rPr>
                <w:rFonts w:ascii="宋体" w:hAnsi="宋体"/>
                <w:color w:val="auto"/>
                <w:szCs w:val="21"/>
                <w:highlight w:val="none"/>
              </w:rPr>
            </w:pPr>
            <w:r>
              <w:rPr>
                <w:rFonts w:ascii="宋体" w:hAnsi="宋体"/>
                <w:color w:val="auto"/>
                <w:szCs w:val="21"/>
                <w:highlight w:val="none"/>
              </w:rPr>
              <w:t>1……</w:t>
            </w:r>
          </w:p>
          <w:p w14:paraId="77FF1B3A">
            <w:pPr>
              <w:spacing w:line="360" w:lineRule="auto"/>
              <w:rPr>
                <w:rFonts w:ascii="宋体" w:hAnsi="宋体"/>
                <w:color w:val="auto"/>
                <w:szCs w:val="21"/>
                <w:highlight w:val="none"/>
              </w:rPr>
            </w:pPr>
            <w:r>
              <w:rPr>
                <w:rFonts w:ascii="宋体" w:hAnsi="宋体"/>
                <w:color w:val="auto"/>
                <w:szCs w:val="21"/>
                <w:highlight w:val="none"/>
              </w:rPr>
              <w:t>2……</w:t>
            </w:r>
          </w:p>
          <w:p w14:paraId="10C4837F">
            <w:pPr>
              <w:spacing w:line="360" w:lineRule="auto"/>
              <w:jc w:val="left"/>
              <w:rPr>
                <w:rFonts w:ascii="宋体" w:hAnsi="宋体"/>
                <w:color w:val="auto"/>
                <w:szCs w:val="21"/>
                <w:highlight w:val="none"/>
              </w:rPr>
            </w:pPr>
            <w:r>
              <w:rPr>
                <w:rFonts w:ascii="宋体" w:hAnsi="宋体"/>
                <w:color w:val="auto"/>
                <w:szCs w:val="21"/>
                <w:highlight w:val="none"/>
              </w:rPr>
              <w:t>3……</w:t>
            </w:r>
          </w:p>
          <w:p w14:paraId="5DF569B0">
            <w:pPr>
              <w:spacing w:line="360" w:lineRule="auto"/>
              <w:jc w:val="left"/>
              <w:rPr>
                <w:rFonts w:ascii="宋体" w:hAnsi="宋体"/>
                <w:color w:val="auto"/>
                <w:szCs w:val="21"/>
                <w:highlight w:val="none"/>
              </w:rPr>
            </w:pPr>
            <w:r>
              <w:rPr>
                <w:rFonts w:ascii="宋体" w:hAnsi="宋体"/>
                <w:color w:val="auto"/>
                <w:szCs w:val="21"/>
                <w:highlight w:val="none"/>
              </w:rPr>
              <w:t>……</w:t>
            </w:r>
          </w:p>
        </w:tc>
        <w:tc>
          <w:tcPr>
            <w:tcW w:w="625" w:type="pct"/>
            <w:vAlign w:val="center"/>
          </w:tcPr>
          <w:p w14:paraId="2AE47AE0">
            <w:pPr>
              <w:spacing w:line="360" w:lineRule="auto"/>
              <w:jc w:val="center"/>
              <w:rPr>
                <w:rFonts w:ascii="宋体" w:hAnsi="宋体"/>
                <w:color w:val="auto"/>
                <w:szCs w:val="21"/>
                <w:highlight w:val="none"/>
              </w:rPr>
            </w:pPr>
            <w:r>
              <w:rPr>
                <w:rFonts w:ascii="宋体" w:hAnsi="宋体"/>
                <w:color w:val="auto"/>
                <w:szCs w:val="21"/>
                <w:highlight w:val="none"/>
              </w:rPr>
              <w:t>……</w:t>
            </w:r>
          </w:p>
        </w:tc>
        <w:tc>
          <w:tcPr>
            <w:tcW w:w="625" w:type="pct"/>
            <w:vAlign w:val="center"/>
          </w:tcPr>
          <w:p w14:paraId="1A4AB978">
            <w:pPr>
              <w:spacing w:line="360" w:lineRule="auto"/>
              <w:jc w:val="center"/>
              <w:rPr>
                <w:rFonts w:ascii="宋体" w:hAnsi="宋体"/>
                <w:color w:val="auto"/>
                <w:szCs w:val="21"/>
                <w:highlight w:val="none"/>
              </w:rPr>
            </w:pPr>
            <w:r>
              <w:rPr>
                <w:rFonts w:ascii="宋体" w:hAnsi="宋体"/>
                <w:color w:val="auto"/>
                <w:szCs w:val="21"/>
                <w:highlight w:val="none"/>
              </w:rPr>
              <w:t>…</w:t>
            </w:r>
          </w:p>
        </w:tc>
        <w:tc>
          <w:tcPr>
            <w:tcW w:w="625" w:type="pct"/>
            <w:vAlign w:val="center"/>
          </w:tcPr>
          <w:p w14:paraId="3FB9FF1E">
            <w:pPr>
              <w:spacing w:line="360" w:lineRule="auto"/>
              <w:rPr>
                <w:rFonts w:ascii="宋体" w:hAnsi="宋体"/>
                <w:color w:val="auto"/>
                <w:szCs w:val="21"/>
                <w:highlight w:val="none"/>
              </w:rPr>
            </w:pPr>
            <w:r>
              <w:rPr>
                <w:rFonts w:ascii="宋体" w:hAnsi="宋体"/>
                <w:color w:val="auto"/>
                <w:szCs w:val="21"/>
                <w:highlight w:val="none"/>
              </w:rPr>
              <w:t>1……</w:t>
            </w:r>
          </w:p>
          <w:p w14:paraId="5D7D0986">
            <w:pPr>
              <w:spacing w:line="360" w:lineRule="auto"/>
              <w:rPr>
                <w:rFonts w:ascii="宋体" w:hAnsi="宋体"/>
                <w:color w:val="auto"/>
                <w:szCs w:val="21"/>
                <w:highlight w:val="none"/>
              </w:rPr>
            </w:pPr>
            <w:r>
              <w:rPr>
                <w:rFonts w:ascii="宋体" w:hAnsi="宋体"/>
                <w:color w:val="auto"/>
                <w:szCs w:val="21"/>
                <w:highlight w:val="none"/>
              </w:rPr>
              <w:t>2……</w:t>
            </w:r>
          </w:p>
          <w:p w14:paraId="20E33B8A">
            <w:pPr>
              <w:spacing w:line="360" w:lineRule="auto"/>
              <w:jc w:val="left"/>
              <w:rPr>
                <w:rFonts w:ascii="宋体" w:hAnsi="宋体"/>
                <w:color w:val="auto"/>
                <w:szCs w:val="21"/>
                <w:highlight w:val="none"/>
              </w:rPr>
            </w:pPr>
            <w:r>
              <w:rPr>
                <w:rFonts w:ascii="宋体" w:hAnsi="宋体"/>
                <w:color w:val="auto"/>
                <w:szCs w:val="21"/>
                <w:highlight w:val="none"/>
              </w:rPr>
              <w:t>3……</w:t>
            </w:r>
          </w:p>
          <w:p w14:paraId="486FD926">
            <w:pPr>
              <w:spacing w:line="360" w:lineRule="auto"/>
              <w:rPr>
                <w:rFonts w:ascii="宋体" w:hAnsi="宋体"/>
                <w:color w:val="auto"/>
                <w:szCs w:val="21"/>
                <w:highlight w:val="none"/>
              </w:rPr>
            </w:pPr>
            <w:r>
              <w:rPr>
                <w:rFonts w:ascii="宋体" w:hAnsi="宋体"/>
                <w:color w:val="auto"/>
                <w:szCs w:val="21"/>
                <w:highlight w:val="none"/>
              </w:rPr>
              <w:t>……</w:t>
            </w:r>
          </w:p>
        </w:tc>
        <w:tc>
          <w:tcPr>
            <w:tcW w:w="621" w:type="pct"/>
            <w:vAlign w:val="center"/>
          </w:tcPr>
          <w:p w14:paraId="05EA739B">
            <w:pPr>
              <w:spacing w:line="360" w:lineRule="auto"/>
              <w:jc w:val="center"/>
              <w:rPr>
                <w:rFonts w:ascii="宋体" w:hAnsi="宋体"/>
                <w:color w:val="auto"/>
                <w:szCs w:val="21"/>
                <w:highlight w:val="none"/>
              </w:rPr>
            </w:pPr>
          </w:p>
        </w:tc>
      </w:tr>
      <w:tr w14:paraId="6170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53E5E5C3">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89" w:type="pct"/>
            <w:vAlign w:val="center"/>
          </w:tcPr>
          <w:p w14:paraId="35AC4A20">
            <w:pPr>
              <w:spacing w:line="360" w:lineRule="auto"/>
              <w:jc w:val="center"/>
              <w:rPr>
                <w:rFonts w:ascii="宋体" w:hAnsi="宋体"/>
                <w:color w:val="auto"/>
                <w:szCs w:val="21"/>
                <w:highlight w:val="none"/>
              </w:rPr>
            </w:pPr>
            <w:r>
              <w:rPr>
                <w:rFonts w:ascii="宋体" w:hAnsi="宋体"/>
                <w:color w:val="auto"/>
                <w:szCs w:val="21"/>
                <w:highlight w:val="none"/>
              </w:rPr>
              <w:t>……</w:t>
            </w:r>
          </w:p>
        </w:tc>
        <w:tc>
          <w:tcPr>
            <w:tcW w:w="588" w:type="pct"/>
            <w:vAlign w:val="center"/>
          </w:tcPr>
          <w:p w14:paraId="2DA470C3">
            <w:pPr>
              <w:spacing w:line="360" w:lineRule="auto"/>
              <w:jc w:val="center"/>
              <w:rPr>
                <w:rFonts w:ascii="宋体" w:hAnsi="宋体"/>
                <w:color w:val="auto"/>
                <w:szCs w:val="21"/>
                <w:highlight w:val="none"/>
              </w:rPr>
            </w:pPr>
            <w:r>
              <w:rPr>
                <w:rFonts w:ascii="宋体" w:hAnsi="宋体"/>
                <w:color w:val="auto"/>
                <w:szCs w:val="21"/>
                <w:highlight w:val="none"/>
              </w:rPr>
              <w:t>…</w:t>
            </w:r>
          </w:p>
        </w:tc>
        <w:tc>
          <w:tcPr>
            <w:tcW w:w="958" w:type="pct"/>
            <w:vAlign w:val="center"/>
          </w:tcPr>
          <w:p w14:paraId="1886B917">
            <w:pPr>
              <w:spacing w:line="360" w:lineRule="auto"/>
              <w:rPr>
                <w:rFonts w:ascii="宋体" w:hAnsi="宋体"/>
                <w:color w:val="auto"/>
                <w:szCs w:val="21"/>
                <w:highlight w:val="none"/>
              </w:rPr>
            </w:pPr>
            <w:r>
              <w:rPr>
                <w:rFonts w:ascii="宋体" w:hAnsi="宋体"/>
                <w:color w:val="auto"/>
                <w:szCs w:val="21"/>
                <w:highlight w:val="none"/>
              </w:rPr>
              <w:t>1……</w:t>
            </w:r>
          </w:p>
          <w:p w14:paraId="03776F71">
            <w:pPr>
              <w:spacing w:line="360" w:lineRule="auto"/>
              <w:rPr>
                <w:rFonts w:ascii="宋体" w:hAnsi="宋体"/>
                <w:color w:val="auto"/>
                <w:szCs w:val="21"/>
                <w:highlight w:val="none"/>
              </w:rPr>
            </w:pPr>
            <w:r>
              <w:rPr>
                <w:rFonts w:ascii="宋体" w:hAnsi="宋体"/>
                <w:color w:val="auto"/>
                <w:szCs w:val="21"/>
                <w:highlight w:val="none"/>
              </w:rPr>
              <w:t>2……</w:t>
            </w:r>
          </w:p>
          <w:p w14:paraId="17FAEB7D">
            <w:pPr>
              <w:spacing w:line="360" w:lineRule="auto"/>
              <w:jc w:val="left"/>
              <w:rPr>
                <w:rFonts w:ascii="宋体" w:hAnsi="宋体"/>
                <w:color w:val="auto"/>
                <w:szCs w:val="21"/>
                <w:highlight w:val="none"/>
              </w:rPr>
            </w:pPr>
            <w:r>
              <w:rPr>
                <w:rFonts w:ascii="宋体" w:hAnsi="宋体"/>
                <w:color w:val="auto"/>
                <w:szCs w:val="21"/>
                <w:highlight w:val="none"/>
              </w:rPr>
              <w:t>3……</w:t>
            </w:r>
          </w:p>
          <w:p w14:paraId="1028DF0C">
            <w:pPr>
              <w:spacing w:line="360" w:lineRule="auto"/>
              <w:rPr>
                <w:rFonts w:ascii="宋体" w:hAnsi="宋体"/>
                <w:color w:val="auto"/>
                <w:szCs w:val="21"/>
                <w:highlight w:val="none"/>
              </w:rPr>
            </w:pPr>
            <w:r>
              <w:rPr>
                <w:rFonts w:ascii="宋体" w:hAnsi="宋体"/>
                <w:color w:val="auto"/>
                <w:szCs w:val="21"/>
                <w:highlight w:val="none"/>
              </w:rPr>
              <w:t>……</w:t>
            </w:r>
          </w:p>
        </w:tc>
        <w:tc>
          <w:tcPr>
            <w:tcW w:w="625" w:type="pct"/>
            <w:vAlign w:val="center"/>
          </w:tcPr>
          <w:p w14:paraId="0B019186">
            <w:pPr>
              <w:spacing w:line="360" w:lineRule="auto"/>
              <w:jc w:val="center"/>
              <w:rPr>
                <w:rFonts w:ascii="宋体" w:hAnsi="宋体"/>
                <w:color w:val="auto"/>
                <w:szCs w:val="21"/>
                <w:highlight w:val="none"/>
              </w:rPr>
            </w:pPr>
            <w:r>
              <w:rPr>
                <w:rFonts w:ascii="宋体" w:hAnsi="宋体"/>
                <w:color w:val="auto"/>
                <w:szCs w:val="21"/>
                <w:highlight w:val="none"/>
              </w:rPr>
              <w:t>……</w:t>
            </w:r>
          </w:p>
        </w:tc>
        <w:tc>
          <w:tcPr>
            <w:tcW w:w="625" w:type="pct"/>
            <w:vAlign w:val="center"/>
          </w:tcPr>
          <w:p w14:paraId="56388411">
            <w:pPr>
              <w:spacing w:line="360" w:lineRule="auto"/>
              <w:jc w:val="center"/>
              <w:rPr>
                <w:rFonts w:ascii="宋体" w:hAnsi="宋体"/>
                <w:color w:val="auto"/>
                <w:szCs w:val="21"/>
                <w:highlight w:val="none"/>
              </w:rPr>
            </w:pPr>
            <w:r>
              <w:rPr>
                <w:rFonts w:ascii="宋体" w:hAnsi="宋体"/>
                <w:color w:val="auto"/>
                <w:szCs w:val="21"/>
                <w:highlight w:val="none"/>
              </w:rPr>
              <w:t>…</w:t>
            </w:r>
          </w:p>
        </w:tc>
        <w:tc>
          <w:tcPr>
            <w:tcW w:w="625" w:type="pct"/>
            <w:vAlign w:val="center"/>
          </w:tcPr>
          <w:p w14:paraId="512F5777">
            <w:pPr>
              <w:spacing w:line="360" w:lineRule="auto"/>
              <w:rPr>
                <w:rFonts w:ascii="宋体" w:hAnsi="宋体"/>
                <w:color w:val="auto"/>
                <w:szCs w:val="21"/>
                <w:highlight w:val="none"/>
              </w:rPr>
            </w:pPr>
            <w:r>
              <w:rPr>
                <w:rFonts w:ascii="宋体" w:hAnsi="宋体"/>
                <w:color w:val="auto"/>
                <w:szCs w:val="21"/>
                <w:highlight w:val="none"/>
              </w:rPr>
              <w:t>1……</w:t>
            </w:r>
          </w:p>
          <w:p w14:paraId="203B6186">
            <w:pPr>
              <w:spacing w:line="360" w:lineRule="auto"/>
              <w:rPr>
                <w:rFonts w:ascii="宋体" w:hAnsi="宋体"/>
                <w:color w:val="auto"/>
                <w:szCs w:val="21"/>
                <w:highlight w:val="none"/>
              </w:rPr>
            </w:pPr>
            <w:r>
              <w:rPr>
                <w:rFonts w:ascii="宋体" w:hAnsi="宋体"/>
                <w:color w:val="auto"/>
                <w:szCs w:val="21"/>
                <w:highlight w:val="none"/>
              </w:rPr>
              <w:t>2……</w:t>
            </w:r>
          </w:p>
          <w:p w14:paraId="21191DBC">
            <w:pPr>
              <w:spacing w:line="360" w:lineRule="auto"/>
              <w:jc w:val="left"/>
              <w:rPr>
                <w:rFonts w:ascii="宋体" w:hAnsi="宋体"/>
                <w:color w:val="auto"/>
                <w:szCs w:val="21"/>
                <w:highlight w:val="none"/>
              </w:rPr>
            </w:pPr>
            <w:r>
              <w:rPr>
                <w:rFonts w:ascii="宋体" w:hAnsi="宋体"/>
                <w:color w:val="auto"/>
                <w:szCs w:val="21"/>
                <w:highlight w:val="none"/>
              </w:rPr>
              <w:t>3……</w:t>
            </w:r>
          </w:p>
          <w:p w14:paraId="5B9676C8">
            <w:pPr>
              <w:spacing w:line="360" w:lineRule="auto"/>
              <w:rPr>
                <w:rFonts w:ascii="宋体" w:hAnsi="宋体"/>
                <w:color w:val="auto"/>
                <w:szCs w:val="21"/>
                <w:highlight w:val="none"/>
              </w:rPr>
            </w:pPr>
            <w:r>
              <w:rPr>
                <w:rFonts w:ascii="宋体" w:hAnsi="宋体"/>
                <w:color w:val="auto"/>
                <w:szCs w:val="21"/>
                <w:highlight w:val="none"/>
              </w:rPr>
              <w:t>……</w:t>
            </w:r>
          </w:p>
        </w:tc>
        <w:tc>
          <w:tcPr>
            <w:tcW w:w="621" w:type="pct"/>
            <w:vAlign w:val="center"/>
          </w:tcPr>
          <w:p w14:paraId="3657CD6B">
            <w:pPr>
              <w:spacing w:line="360" w:lineRule="auto"/>
              <w:jc w:val="center"/>
              <w:rPr>
                <w:rFonts w:ascii="宋体" w:hAnsi="宋体"/>
                <w:color w:val="auto"/>
                <w:szCs w:val="21"/>
                <w:highlight w:val="none"/>
              </w:rPr>
            </w:pPr>
          </w:p>
        </w:tc>
      </w:tr>
      <w:tr w14:paraId="1643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2DE88D63">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589" w:type="pct"/>
            <w:vAlign w:val="center"/>
          </w:tcPr>
          <w:p w14:paraId="4D84D459">
            <w:pPr>
              <w:spacing w:line="360" w:lineRule="auto"/>
              <w:jc w:val="center"/>
              <w:rPr>
                <w:rFonts w:ascii="宋体" w:hAnsi="宋体"/>
                <w:color w:val="auto"/>
                <w:szCs w:val="21"/>
                <w:highlight w:val="none"/>
              </w:rPr>
            </w:pPr>
          </w:p>
        </w:tc>
        <w:tc>
          <w:tcPr>
            <w:tcW w:w="588" w:type="pct"/>
            <w:vAlign w:val="center"/>
          </w:tcPr>
          <w:p w14:paraId="7BD33BCF">
            <w:pPr>
              <w:spacing w:line="360" w:lineRule="auto"/>
              <w:jc w:val="center"/>
              <w:rPr>
                <w:rFonts w:ascii="宋体" w:hAnsi="宋体"/>
                <w:color w:val="auto"/>
                <w:szCs w:val="21"/>
                <w:highlight w:val="none"/>
              </w:rPr>
            </w:pPr>
          </w:p>
        </w:tc>
        <w:tc>
          <w:tcPr>
            <w:tcW w:w="958" w:type="pct"/>
            <w:vAlign w:val="center"/>
          </w:tcPr>
          <w:p w14:paraId="71AA8076">
            <w:pPr>
              <w:spacing w:line="360" w:lineRule="auto"/>
              <w:jc w:val="center"/>
              <w:rPr>
                <w:rFonts w:ascii="宋体" w:hAnsi="宋体"/>
                <w:color w:val="auto"/>
                <w:szCs w:val="21"/>
                <w:highlight w:val="none"/>
              </w:rPr>
            </w:pPr>
          </w:p>
        </w:tc>
        <w:tc>
          <w:tcPr>
            <w:tcW w:w="625" w:type="pct"/>
            <w:vAlign w:val="center"/>
          </w:tcPr>
          <w:p w14:paraId="350F3045">
            <w:pPr>
              <w:spacing w:line="360" w:lineRule="auto"/>
              <w:jc w:val="center"/>
              <w:rPr>
                <w:rFonts w:ascii="宋体" w:hAnsi="宋体"/>
                <w:color w:val="auto"/>
                <w:szCs w:val="21"/>
                <w:highlight w:val="none"/>
              </w:rPr>
            </w:pPr>
          </w:p>
        </w:tc>
        <w:tc>
          <w:tcPr>
            <w:tcW w:w="625" w:type="pct"/>
            <w:vAlign w:val="center"/>
          </w:tcPr>
          <w:p w14:paraId="22BB9538">
            <w:pPr>
              <w:spacing w:line="360" w:lineRule="auto"/>
              <w:jc w:val="center"/>
              <w:rPr>
                <w:rFonts w:ascii="宋体" w:hAnsi="宋体"/>
                <w:color w:val="auto"/>
                <w:szCs w:val="21"/>
                <w:highlight w:val="none"/>
              </w:rPr>
            </w:pPr>
          </w:p>
        </w:tc>
        <w:tc>
          <w:tcPr>
            <w:tcW w:w="625" w:type="pct"/>
            <w:vAlign w:val="center"/>
          </w:tcPr>
          <w:p w14:paraId="11584A22">
            <w:pPr>
              <w:spacing w:line="360" w:lineRule="auto"/>
              <w:jc w:val="center"/>
              <w:rPr>
                <w:rFonts w:ascii="宋体" w:hAnsi="宋体"/>
                <w:color w:val="auto"/>
                <w:szCs w:val="21"/>
                <w:highlight w:val="none"/>
              </w:rPr>
            </w:pPr>
          </w:p>
        </w:tc>
        <w:tc>
          <w:tcPr>
            <w:tcW w:w="621" w:type="pct"/>
            <w:vAlign w:val="center"/>
          </w:tcPr>
          <w:p w14:paraId="0320A417">
            <w:pPr>
              <w:spacing w:line="360" w:lineRule="auto"/>
              <w:jc w:val="center"/>
              <w:rPr>
                <w:rFonts w:ascii="宋体" w:hAnsi="宋体"/>
                <w:color w:val="auto"/>
                <w:szCs w:val="21"/>
                <w:highlight w:val="none"/>
              </w:rPr>
            </w:pPr>
          </w:p>
        </w:tc>
      </w:tr>
    </w:tbl>
    <w:p w14:paraId="403CC6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76999D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1.应对照采购文件“第三章采购需求”的</w:t>
      </w:r>
      <w:r>
        <w:rPr>
          <w:rFonts w:hint="eastAsia" w:ascii="宋体" w:hAnsi="宋体" w:eastAsia="宋体"/>
          <w:b/>
          <w:color w:val="auto"/>
          <w:szCs w:val="21"/>
          <w:highlight w:val="none"/>
        </w:rPr>
        <w:t>技术要求</w:t>
      </w:r>
      <w:r>
        <w:rPr>
          <w:rFonts w:hint="eastAsia" w:ascii="宋体" w:hAnsi="宋体" w:eastAsia="宋体"/>
          <w:color w:val="auto"/>
          <w:szCs w:val="21"/>
          <w:highlight w:val="none"/>
        </w:rPr>
        <w:t>条款</w:t>
      </w:r>
      <w:r>
        <w:rPr>
          <w:rFonts w:hint="eastAsia" w:ascii="宋体" w:hAnsi="宋体" w:eastAsia="宋体"/>
          <w:b/>
          <w:color w:val="auto"/>
          <w:szCs w:val="21"/>
          <w:highlight w:val="none"/>
        </w:rPr>
        <w:t>逐条</w:t>
      </w:r>
      <w:r>
        <w:rPr>
          <w:rFonts w:hint="eastAsia" w:ascii="宋体" w:hAnsi="宋体" w:eastAsia="宋体"/>
          <w:color w:val="auto"/>
          <w:szCs w:val="21"/>
          <w:highlight w:val="none"/>
        </w:rPr>
        <w:t>作出明确响应，并作出偏离说明，否则竞争性磋商无效。</w:t>
      </w:r>
    </w:p>
    <w:p w14:paraId="7E379F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应根据自身的承诺，对照采购文件要求，在“偏离说明”中注明“正偏离”、“负偏离”或者“无偏离”。既不属于“正偏离”也不属于“负偏离”即为“无偏离”。当响应文件的技术内容低于采购文件要求时，供应商应当如实写明“负偏离”，否则视为虚假应标。</w:t>
      </w:r>
    </w:p>
    <w:p w14:paraId="36DF94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3.表格内容均需按要求填写并盖章，不得留空。</w:t>
      </w:r>
    </w:p>
    <w:p w14:paraId="3A5EDC3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4.如技术要求偏离表中的竞标响应与佐证材料不一致的，以佐证材料为准。</w:t>
      </w:r>
    </w:p>
    <w:p w14:paraId="643231F2">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法定代表人或者委托代理人（签字）：</w:t>
      </w:r>
    </w:p>
    <w:p w14:paraId="74B2EB33">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0EF5FF03">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0E44D6C2">
      <w:pPr>
        <w:spacing w:line="360" w:lineRule="auto"/>
        <w:ind w:firstLine="420" w:firstLineChars="200"/>
        <w:jc w:val="right"/>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01EF7A97">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（九）施工组织设计</w:t>
      </w:r>
    </w:p>
    <w:p w14:paraId="5B3EA97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格式自拟。</w:t>
      </w:r>
    </w:p>
    <w:p w14:paraId="0DF89720">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（十）拟分包项目情况表</w:t>
      </w:r>
    </w:p>
    <w:p w14:paraId="14CA5D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格式自拟。</w:t>
      </w:r>
    </w:p>
    <w:p w14:paraId="325F8413">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（十一）项目管理机构配备情况表及主要人员简历表</w:t>
      </w:r>
    </w:p>
    <w:p w14:paraId="40BD6BFD">
      <w:pPr>
        <w:spacing w:line="360" w:lineRule="auto"/>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格式自拟。</w:t>
      </w:r>
    </w:p>
    <w:p w14:paraId="1F99CC8D">
      <w:pPr>
        <w:spacing w:line="360" w:lineRule="auto"/>
        <w:jc w:val="center"/>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（十二）</w:t>
      </w:r>
      <w:r>
        <w:rPr>
          <w:rFonts w:hint="eastAsia" w:ascii="宋体" w:hAnsi="宋体" w:eastAsia="宋体" w:cs="Times New Roman"/>
          <w:b/>
          <w:color w:val="auto"/>
          <w:sz w:val="32"/>
          <w:szCs w:val="32"/>
          <w:highlight w:val="none"/>
        </w:rPr>
        <w:t>供应商业绩一览表</w:t>
      </w:r>
    </w:p>
    <w:p w14:paraId="6A48F903">
      <w:pPr>
        <w:spacing w:line="360" w:lineRule="auto"/>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格式自拟。</w:t>
      </w:r>
    </w:p>
    <w:p w14:paraId="155A9F07">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50938604">
      <w:pPr>
        <w:pStyle w:val="2"/>
        <w:jc w:val="center"/>
        <w:rPr>
          <w:rFonts w:ascii="宋体" w:hAnsi="宋体" w:eastAsia="宋体"/>
          <w:color w:val="auto"/>
          <w:highlight w:val="none"/>
        </w:rPr>
      </w:pPr>
      <w:bookmarkStart w:id="37" w:name="_Toc197530120"/>
      <w:r>
        <w:rPr>
          <w:rFonts w:hint="eastAsia" w:ascii="宋体" w:hAnsi="宋体" w:eastAsia="宋体"/>
          <w:color w:val="auto"/>
          <w:highlight w:val="none"/>
        </w:rPr>
        <w:t>第七</w:t>
      </w:r>
      <w:r>
        <w:rPr>
          <w:rFonts w:hint="eastAsia" w:ascii="宋体" w:hAnsi="宋体" w:eastAsia="宋体"/>
          <w:color w:val="auto"/>
          <w:spacing w:val="100"/>
          <w:highlight w:val="none"/>
        </w:rPr>
        <w:t>章</w:t>
      </w:r>
      <w:r>
        <w:rPr>
          <w:rFonts w:hint="eastAsia" w:ascii="宋体" w:hAnsi="宋体" w:eastAsia="宋体"/>
          <w:color w:val="auto"/>
          <w:highlight w:val="none"/>
        </w:rPr>
        <w:t>合同文本</w:t>
      </w:r>
      <w:bookmarkEnd w:id="37"/>
    </w:p>
    <w:p w14:paraId="46892351">
      <w:pPr>
        <w:spacing w:line="960" w:lineRule="auto"/>
        <w:jc w:val="center"/>
        <w:rPr>
          <w:rFonts w:ascii="宋体" w:hAnsi="宋体" w:eastAsia="宋体"/>
          <w:b/>
          <w:color w:val="auto"/>
          <w:sz w:val="52"/>
          <w:szCs w:val="52"/>
          <w:highlight w:val="none"/>
        </w:rPr>
      </w:pPr>
    </w:p>
    <w:p w14:paraId="161CA86E">
      <w:pPr>
        <w:spacing w:line="960" w:lineRule="auto"/>
        <w:jc w:val="center"/>
        <w:rPr>
          <w:rFonts w:hint="eastAsia" w:ascii="宋体" w:hAnsi="宋体" w:eastAsia="宋体"/>
          <w:b/>
          <w:color w:val="auto"/>
          <w:sz w:val="44"/>
          <w:szCs w:val="44"/>
          <w:highlight w:val="none"/>
          <w:lang w:eastAsia="zh-CN"/>
        </w:rPr>
      </w:pPr>
      <w:r>
        <w:rPr>
          <w:rFonts w:hint="eastAsia" w:ascii="宋体" w:hAnsi="宋体" w:eastAsia="宋体"/>
          <w:b/>
          <w:color w:val="auto"/>
          <w:sz w:val="44"/>
          <w:szCs w:val="44"/>
          <w:highlight w:val="none"/>
          <w:lang w:eastAsia="zh-CN"/>
        </w:rPr>
        <w:t>2025年毕业生腾空房修缮项目</w:t>
      </w:r>
    </w:p>
    <w:p w14:paraId="64763ACE">
      <w:pPr>
        <w:spacing w:line="9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施工合同</w:t>
      </w:r>
    </w:p>
    <w:p w14:paraId="26BAEF8B">
      <w:pPr>
        <w:spacing w:line="960" w:lineRule="auto"/>
        <w:ind w:firstLine="643" w:firstLineChars="200"/>
        <w:rPr>
          <w:rFonts w:ascii="宋体" w:hAnsi="宋体" w:eastAsia="宋体"/>
          <w:b/>
          <w:color w:val="auto"/>
          <w:sz w:val="32"/>
          <w:szCs w:val="32"/>
          <w:highlight w:val="none"/>
        </w:rPr>
      </w:pPr>
    </w:p>
    <w:p w14:paraId="6C8460E4">
      <w:pPr>
        <w:spacing w:line="960" w:lineRule="auto"/>
        <w:ind w:firstLine="643" w:firstLineChars="200"/>
        <w:rPr>
          <w:rFonts w:ascii="宋体" w:hAnsi="宋体" w:eastAsia="宋体"/>
          <w:b/>
          <w:color w:val="auto"/>
          <w:sz w:val="32"/>
          <w:szCs w:val="32"/>
          <w:highlight w:val="none"/>
        </w:rPr>
      </w:pPr>
    </w:p>
    <w:p w14:paraId="2D85E9EA">
      <w:pPr>
        <w:spacing w:line="9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项目采购编号：________________________</w:t>
      </w:r>
    </w:p>
    <w:p w14:paraId="056B7CD2">
      <w:pPr>
        <w:spacing w:line="960" w:lineRule="auto"/>
        <w:ind w:firstLine="643" w:firstLineChars="200"/>
        <w:rPr>
          <w:rFonts w:ascii="宋体" w:hAnsi="宋体" w:eastAsia="宋体"/>
          <w:b/>
          <w:color w:val="auto"/>
          <w:sz w:val="32"/>
          <w:szCs w:val="32"/>
          <w:highlight w:val="none"/>
          <w:u w:val="single"/>
        </w:rPr>
      </w:pPr>
      <w:r>
        <w:rPr>
          <w:rFonts w:hint="eastAsia" w:ascii="宋体" w:hAnsi="宋体" w:eastAsia="宋体"/>
          <w:b/>
          <w:color w:val="auto"/>
          <w:sz w:val="32"/>
          <w:szCs w:val="32"/>
          <w:highlight w:val="none"/>
        </w:rPr>
        <w:t>发包人：</w:t>
      </w:r>
      <w:r>
        <w:rPr>
          <w:rFonts w:hint="eastAsia" w:ascii="宋体" w:hAnsi="宋体" w:eastAsia="宋体"/>
          <w:b/>
          <w:color w:val="auto"/>
          <w:sz w:val="32"/>
          <w:szCs w:val="32"/>
          <w:highlight w:val="none"/>
          <w:u w:val="single"/>
        </w:rPr>
        <w:t>广西大学</w:t>
      </w:r>
    </w:p>
    <w:p w14:paraId="07A02A5B">
      <w:pPr>
        <w:spacing w:line="9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承包人：______________________________</w:t>
      </w:r>
    </w:p>
    <w:p w14:paraId="2685A307">
      <w:pPr>
        <w:spacing w:line="9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2025年</w:t>
      </w:r>
      <w:r>
        <w:rPr>
          <w:rFonts w:ascii="宋体" w:hAnsi="宋体" w:eastAsia="宋体"/>
          <w:b/>
          <w:color w:val="auto"/>
          <w:sz w:val="32"/>
          <w:szCs w:val="32"/>
          <w:highlight w:val="none"/>
        </w:rPr>
        <w:t>______</w:t>
      </w:r>
      <w:r>
        <w:rPr>
          <w:rFonts w:hint="eastAsia" w:ascii="宋体" w:hAnsi="宋体" w:eastAsia="宋体"/>
          <w:b/>
          <w:color w:val="auto"/>
          <w:sz w:val="32"/>
          <w:szCs w:val="32"/>
          <w:highlight w:val="none"/>
        </w:rPr>
        <w:t>月</w:t>
      </w:r>
      <w:r>
        <w:rPr>
          <w:rFonts w:ascii="宋体" w:hAnsi="宋体" w:eastAsia="宋体"/>
          <w:b/>
          <w:color w:val="auto"/>
          <w:sz w:val="32"/>
          <w:szCs w:val="32"/>
          <w:highlight w:val="none"/>
        </w:rPr>
        <w:t>______</w:t>
      </w:r>
      <w:r>
        <w:rPr>
          <w:rFonts w:hint="eastAsia" w:ascii="宋体" w:hAnsi="宋体" w:eastAsia="宋体"/>
          <w:b/>
          <w:color w:val="auto"/>
          <w:sz w:val="32"/>
          <w:szCs w:val="32"/>
          <w:highlight w:val="none"/>
        </w:rPr>
        <w:t>日</w:t>
      </w:r>
    </w:p>
    <w:p w14:paraId="6FCBFF55">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000F5E23">
      <w:pPr>
        <w:pStyle w:val="3"/>
        <w:spacing w:before="0" w:after="0" w:line="240" w:lineRule="auto"/>
        <w:jc w:val="center"/>
        <w:rPr>
          <w:rFonts w:ascii="宋体" w:hAnsi="宋体" w:eastAsia="宋体"/>
          <w:color w:val="auto"/>
          <w:sz w:val="30"/>
          <w:szCs w:val="30"/>
          <w:highlight w:val="none"/>
        </w:rPr>
      </w:pPr>
      <w:bookmarkStart w:id="38" w:name="_Toc197530121"/>
      <w:bookmarkStart w:id="39" w:name="_Toc195459446"/>
      <w:r>
        <w:rPr>
          <w:rFonts w:hint="eastAsia" w:ascii="宋体" w:hAnsi="宋体" w:eastAsia="宋体"/>
          <w:color w:val="auto"/>
          <w:sz w:val="30"/>
          <w:szCs w:val="30"/>
          <w:highlight w:val="none"/>
        </w:rPr>
        <w:t>第一部分 合同书</w:t>
      </w:r>
      <w:bookmarkEnd w:id="38"/>
      <w:bookmarkEnd w:id="39"/>
    </w:p>
    <w:p w14:paraId="689B1ABC">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发包人（全称）：</w:t>
      </w:r>
      <w:r>
        <w:rPr>
          <w:rFonts w:hint="eastAsia" w:ascii="宋体" w:hAnsi="宋体" w:eastAsia="宋体"/>
          <w:color w:val="auto"/>
          <w:szCs w:val="21"/>
          <w:highlight w:val="none"/>
          <w:u w:val="single"/>
        </w:rPr>
        <w:t>广西大学</w:t>
      </w:r>
    </w:p>
    <w:p w14:paraId="215D9D1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承包人（全称）：</w:t>
      </w:r>
    </w:p>
    <w:p w14:paraId="1F5FD6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olor w:val="auto"/>
          <w:szCs w:val="21"/>
          <w:highlight w:val="none"/>
          <w:u w:val="single"/>
          <w:lang w:eastAsia="zh-CN"/>
        </w:rPr>
        <w:t>2025年毕业生腾空房修缮项目</w:t>
      </w:r>
      <w:r>
        <w:rPr>
          <w:rFonts w:hint="eastAsia" w:ascii="宋体" w:hAnsi="宋体" w:eastAsia="宋体"/>
          <w:color w:val="auto"/>
          <w:szCs w:val="21"/>
          <w:highlight w:val="none"/>
        </w:rPr>
        <w:t>的工程施工及有关事项协商一致，共同达成如下协议：</w:t>
      </w:r>
    </w:p>
    <w:p w14:paraId="3AABCBEA">
      <w:pPr>
        <w:pStyle w:val="4"/>
        <w:spacing w:before="0" w:after="0" w:line="480" w:lineRule="auto"/>
        <w:rPr>
          <w:rFonts w:ascii="宋体" w:hAnsi="宋体" w:eastAsia="宋体"/>
          <w:color w:val="auto"/>
          <w:sz w:val="24"/>
          <w:szCs w:val="24"/>
          <w:highlight w:val="none"/>
        </w:rPr>
      </w:pPr>
      <w:bookmarkStart w:id="40" w:name="_Toc181816479"/>
      <w:bookmarkStart w:id="41" w:name="_Toc197530122"/>
      <w:bookmarkStart w:id="42" w:name="_Toc195459447"/>
      <w:r>
        <w:rPr>
          <w:rFonts w:hint="eastAsia" w:ascii="宋体" w:hAnsi="宋体" w:eastAsia="宋体"/>
          <w:color w:val="auto"/>
          <w:sz w:val="24"/>
          <w:szCs w:val="24"/>
          <w:highlight w:val="none"/>
        </w:rPr>
        <w:t>一、工程概况</w:t>
      </w:r>
      <w:bookmarkEnd w:id="40"/>
      <w:bookmarkEnd w:id="41"/>
      <w:bookmarkEnd w:id="42"/>
    </w:p>
    <w:p w14:paraId="6BBAA85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工程名称：</w:t>
      </w:r>
      <w:r>
        <w:rPr>
          <w:rFonts w:hint="eastAsia" w:ascii="宋体" w:hAnsi="宋体" w:eastAsia="宋体"/>
          <w:color w:val="auto"/>
          <w:szCs w:val="21"/>
          <w:highlight w:val="none"/>
          <w:lang w:eastAsia="zh-CN"/>
        </w:rPr>
        <w:t>2025年毕业生腾空房修缮项目</w:t>
      </w:r>
    </w:p>
    <w:p w14:paraId="72D93E1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工程地点：广西壮族自治区南宁市大学东路100号广西大学校园内</w:t>
      </w:r>
    </w:p>
    <w:p w14:paraId="132FD7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工程类型：建筑装饰工程（</w:t>
      </w:r>
      <w:r>
        <w:rPr>
          <w:rFonts w:hint="eastAsia" w:hAnsi="宋体" w:cs="仿宋_GB2312"/>
          <w:color w:val="auto"/>
          <w:sz w:val="21"/>
          <w:highlight w:val="none"/>
        </w:rPr>
        <w:t>√</w:t>
      </w:r>
      <w:r>
        <w:rPr>
          <w:rFonts w:hint="eastAsia" w:ascii="宋体" w:hAnsi="宋体" w:eastAsia="宋体"/>
          <w:color w:val="auto"/>
          <w:szCs w:val="21"/>
          <w:highlight w:val="none"/>
        </w:rPr>
        <w:t>）、安装工程（</w:t>
      </w:r>
      <w:r>
        <w:rPr>
          <w:rFonts w:hint="eastAsia" w:hAnsi="宋体" w:cs="仿宋_GB2312"/>
          <w:color w:val="auto"/>
          <w:sz w:val="21"/>
          <w:highlight w:val="none"/>
        </w:rPr>
        <w:t>√</w:t>
      </w:r>
      <w:r>
        <w:rPr>
          <w:rFonts w:hint="eastAsia" w:ascii="宋体" w:hAnsi="宋体" w:eastAsia="宋体"/>
          <w:color w:val="auto"/>
          <w:szCs w:val="21"/>
          <w:highlight w:val="none"/>
        </w:rPr>
        <w:t>）、市政工程（ ）、园林绿化工程（ ）</w:t>
      </w:r>
    </w:p>
    <w:p w14:paraId="2D6E909A">
      <w:pPr>
        <w:pStyle w:val="4"/>
        <w:spacing w:before="0" w:after="0" w:line="480" w:lineRule="auto"/>
        <w:rPr>
          <w:rFonts w:ascii="宋体" w:hAnsi="宋体" w:eastAsia="宋体"/>
          <w:color w:val="auto"/>
          <w:sz w:val="24"/>
          <w:szCs w:val="24"/>
          <w:highlight w:val="none"/>
        </w:rPr>
      </w:pPr>
      <w:bookmarkStart w:id="43" w:name="_Toc195459448"/>
      <w:bookmarkStart w:id="44" w:name="_Toc197530123"/>
      <w:r>
        <w:rPr>
          <w:rFonts w:hint="eastAsia" w:ascii="宋体" w:hAnsi="宋体" w:eastAsia="宋体"/>
          <w:color w:val="auto"/>
          <w:sz w:val="24"/>
          <w:szCs w:val="24"/>
          <w:highlight w:val="none"/>
        </w:rPr>
        <w:t>二、工程承包范围</w:t>
      </w:r>
      <w:bookmarkEnd w:id="43"/>
      <w:bookmarkEnd w:id="44"/>
    </w:p>
    <w:p w14:paraId="05AE2822">
      <w:pPr>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承包范围：</w:t>
      </w:r>
      <w:r>
        <w:rPr>
          <w:rFonts w:hint="eastAsia" w:ascii="宋体" w:hAnsi="宋体" w:cs="仿宋_GB2312"/>
          <w:color w:val="auto"/>
          <w:szCs w:val="21"/>
          <w:highlight w:val="none"/>
          <w:u w:val="single"/>
        </w:rPr>
        <w:t>2025年毕业生腾空房修缮项</w:t>
      </w:r>
      <w:r>
        <w:rPr>
          <w:rFonts w:hint="eastAsia" w:ascii="宋体" w:hAnsi="宋体" w:cs="仿宋_GB2312"/>
          <w:color w:val="auto"/>
          <w:szCs w:val="21"/>
          <w:highlight w:val="none"/>
          <w:u w:val="single"/>
        </w:rPr>
        <w:t>目（**园片区）工程施工，具体详见发包人</w:t>
      </w:r>
      <w:r>
        <w:rPr>
          <w:rFonts w:hint="eastAsia" w:ascii="宋体" w:hAnsi="宋体" w:cs="仿宋_GB2312"/>
          <w:color w:val="auto"/>
          <w:szCs w:val="21"/>
          <w:highlight w:val="none"/>
          <w:u w:val="single"/>
        </w:rPr>
        <w:t>发布的施工设计图纸、工程量清单及招标控制价</w:t>
      </w:r>
      <w:r>
        <w:rPr>
          <w:rFonts w:hint="eastAsia" w:ascii="宋体" w:hAnsi="宋体" w:eastAsia="宋体"/>
          <w:color w:val="auto"/>
          <w:szCs w:val="21"/>
          <w:highlight w:val="none"/>
        </w:rPr>
        <w:t>。</w:t>
      </w:r>
    </w:p>
    <w:p w14:paraId="05465F12">
      <w:pPr>
        <w:pStyle w:val="4"/>
        <w:spacing w:before="0" w:after="0" w:line="480" w:lineRule="auto"/>
        <w:rPr>
          <w:rFonts w:ascii="宋体" w:hAnsi="宋体" w:eastAsia="宋体"/>
          <w:color w:val="auto"/>
          <w:sz w:val="24"/>
          <w:szCs w:val="24"/>
          <w:highlight w:val="none"/>
        </w:rPr>
      </w:pPr>
      <w:bookmarkStart w:id="45" w:name="_Toc181816480"/>
      <w:bookmarkStart w:id="46" w:name="_Toc195459449"/>
      <w:bookmarkStart w:id="47" w:name="_Toc197530124"/>
      <w:r>
        <w:rPr>
          <w:rFonts w:hint="eastAsia" w:ascii="宋体" w:hAnsi="宋体" w:eastAsia="宋体"/>
          <w:color w:val="auto"/>
          <w:sz w:val="24"/>
          <w:szCs w:val="24"/>
          <w:highlight w:val="none"/>
        </w:rPr>
        <w:t>三、合同工期</w:t>
      </w:r>
      <w:bookmarkEnd w:id="45"/>
      <w:bookmarkEnd w:id="46"/>
      <w:bookmarkEnd w:id="47"/>
    </w:p>
    <w:p w14:paraId="77B9EA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计划开工日期：</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日（以实际开工日期为准）</w:t>
      </w:r>
    </w:p>
    <w:p w14:paraId="325DEDE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计划竣工日期：</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587D7D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合同工期总日历天数：</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天，工期总日历天数与根据前述计划日期计算的工期天数不一致的，以工期总日历天数为准。</w:t>
      </w:r>
    </w:p>
    <w:p w14:paraId="613A1BFF">
      <w:pPr>
        <w:pStyle w:val="4"/>
        <w:spacing w:before="0" w:after="0" w:line="480" w:lineRule="auto"/>
        <w:rPr>
          <w:rFonts w:ascii="宋体" w:hAnsi="宋体" w:eastAsia="宋体"/>
          <w:color w:val="auto"/>
          <w:sz w:val="24"/>
          <w:szCs w:val="24"/>
          <w:highlight w:val="none"/>
        </w:rPr>
      </w:pPr>
      <w:bookmarkStart w:id="48" w:name="_Toc197530125"/>
      <w:bookmarkStart w:id="49" w:name="_Toc195459450"/>
      <w:bookmarkStart w:id="50" w:name="_Toc181816481"/>
      <w:r>
        <w:rPr>
          <w:rFonts w:hint="eastAsia" w:ascii="宋体" w:hAnsi="宋体" w:eastAsia="宋体"/>
          <w:color w:val="auto"/>
          <w:sz w:val="24"/>
          <w:szCs w:val="24"/>
          <w:highlight w:val="none"/>
        </w:rPr>
        <w:t>四、质量标准</w:t>
      </w:r>
      <w:bookmarkEnd w:id="48"/>
      <w:bookmarkEnd w:id="49"/>
      <w:bookmarkEnd w:id="50"/>
    </w:p>
    <w:p w14:paraId="0D50DE2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工程质量标准：</w:t>
      </w:r>
      <w:r>
        <w:rPr>
          <w:rFonts w:hint="eastAsia" w:ascii="宋体" w:hAnsi="宋体" w:eastAsia="宋体"/>
          <w:color w:val="auto"/>
          <w:szCs w:val="21"/>
          <w:highlight w:val="none"/>
          <w:u w:val="single"/>
        </w:rPr>
        <w:t>合格</w:t>
      </w:r>
      <w:r>
        <w:rPr>
          <w:rFonts w:hint="eastAsia" w:ascii="宋体" w:hAnsi="宋体" w:eastAsia="宋体"/>
          <w:color w:val="auto"/>
          <w:szCs w:val="21"/>
          <w:highlight w:val="none"/>
        </w:rPr>
        <w:t>。</w:t>
      </w:r>
    </w:p>
    <w:p w14:paraId="72665F51">
      <w:pPr>
        <w:pStyle w:val="4"/>
        <w:spacing w:before="0" w:after="0" w:line="480" w:lineRule="auto"/>
        <w:rPr>
          <w:rFonts w:ascii="宋体" w:hAnsi="宋体" w:eastAsia="宋体"/>
          <w:color w:val="auto"/>
          <w:sz w:val="24"/>
          <w:szCs w:val="24"/>
          <w:highlight w:val="none"/>
        </w:rPr>
      </w:pPr>
      <w:bookmarkStart w:id="51" w:name="_Toc181816482"/>
      <w:bookmarkStart w:id="52" w:name="_Toc197530126"/>
      <w:bookmarkStart w:id="53" w:name="_Toc195459451"/>
      <w:r>
        <w:rPr>
          <w:rFonts w:hint="eastAsia" w:ascii="宋体" w:hAnsi="宋体" w:eastAsia="宋体"/>
          <w:color w:val="auto"/>
          <w:sz w:val="24"/>
          <w:szCs w:val="24"/>
          <w:highlight w:val="none"/>
        </w:rPr>
        <w:t>五、签约合同价与合同价格形式</w:t>
      </w:r>
      <w:bookmarkEnd w:id="51"/>
      <w:bookmarkEnd w:id="52"/>
      <w:bookmarkEnd w:id="53"/>
    </w:p>
    <w:p w14:paraId="5C63A3A1">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签约合同价（暂定）：人民币（大写）：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）；不含税价格为（¥</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元），增值税（¥</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元）（按</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%税金计算，如有变动以国家相关政策法规为准）；</w:t>
      </w:r>
    </w:p>
    <w:p w14:paraId="75894568">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其中：</w:t>
      </w:r>
    </w:p>
    <w:p w14:paraId="2E389288">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（1）安全文明施工费：人民币（大写）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p>
    <w:p w14:paraId="4B5A26A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（2）材料和工程设备暂估价金额：人民币（大写）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p>
    <w:p w14:paraId="5C8A8852">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（3）专业工程暂估价金额：人民币（大写）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p>
    <w:p w14:paraId="499CAAF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（4）暂列金额：人民币（大写）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p>
    <w:p w14:paraId="1A56FB1B">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合同价格形式：固定综合单价合同</w:t>
      </w:r>
    </w:p>
    <w:p w14:paraId="15EBF196">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合同下浮系数：</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p>
    <w:p w14:paraId="179FB281">
      <w:pPr>
        <w:pStyle w:val="4"/>
        <w:spacing w:before="0" w:after="0" w:line="480" w:lineRule="auto"/>
        <w:rPr>
          <w:rFonts w:ascii="宋体" w:hAnsi="宋体" w:eastAsia="宋体"/>
          <w:color w:val="auto"/>
          <w:sz w:val="24"/>
          <w:szCs w:val="24"/>
          <w:highlight w:val="none"/>
        </w:rPr>
      </w:pPr>
      <w:bookmarkStart w:id="54" w:name="_Toc195459452"/>
      <w:bookmarkStart w:id="55" w:name="_Toc181816483"/>
      <w:bookmarkStart w:id="56" w:name="_Toc197530127"/>
      <w:r>
        <w:rPr>
          <w:rFonts w:hint="eastAsia" w:ascii="宋体" w:hAnsi="宋体" w:eastAsia="宋体"/>
          <w:color w:val="auto"/>
          <w:sz w:val="24"/>
          <w:szCs w:val="24"/>
          <w:highlight w:val="none"/>
        </w:rPr>
        <w:t>六、工程项目经理及其他人员</w:t>
      </w:r>
      <w:bookmarkEnd w:id="54"/>
      <w:bookmarkEnd w:id="55"/>
      <w:bookmarkEnd w:id="56"/>
    </w:p>
    <w:p w14:paraId="648FBC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项目经理：</w:t>
      </w:r>
      <w:r>
        <w:rPr>
          <w:rFonts w:ascii="宋体" w:hAnsi="宋体" w:eastAsia="宋体"/>
          <w:color w:val="auto"/>
          <w:szCs w:val="21"/>
          <w:highlight w:val="none"/>
        </w:rPr>
        <w:t>______</w:t>
      </w:r>
      <w:r>
        <w:rPr>
          <w:rFonts w:hint="eastAsia" w:ascii="宋体" w:hAnsi="宋体" w:eastAsia="宋体"/>
          <w:color w:val="auto"/>
          <w:szCs w:val="21"/>
          <w:highlight w:val="none"/>
        </w:rPr>
        <w:t>；项目施工专职安全生产管理人员：</w:t>
      </w:r>
      <w:r>
        <w:rPr>
          <w:rFonts w:ascii="宋体" w:hAnsi="宋体" w:eastAsia="宋体"/>
          <w:color w:val="auto"/>
          <w:szCs w:val="21"/>
          <w:highlight w:val="none"/>
        </w:rPr>
        <w:t>______</w:t>
      </w:r>
      <w:r>
        <w:rPr>
          <w:rFonts w:hint="eastAsia" w:ascii="宋体" w:hAnsi="宋体" w:eastAsia="宋体"/>
          <w:color w:val="auto"/>
          <w:szCs w:val="21"/>
          <w:highlight w:val="none"/>
        </w:rPr>
        <w:t>。</w:t>
      </w:r>
    </w:p>
    <w:p w14:paraId="793AB3F2">
      <w:pPr>
        <w:pStyle w:val="4"/>
        <w:spacing w:before="0" w:after="0" w:line="480" w:lineRule="auto"/>
        <w:rPr>
          <w:rFonts w:ascii="宋体" w:hAnsi="宋体" w:eastAsia="宋体"/>
          <w:color w:val="auto"/>
          <w:sz w:val="24"/>
          <w:szCs w:val="24"/>
          <w:highlight w:val="none"/>
        </w:rPr>
      </w:pPr>
      <w:bookmarkStart w:id="57" w:name="_Toc195459453"/>
      <w:bookmarkStart w:id="58" w:name="_Toc197530128"/>
      <w:bookmarkStart w:id="59" w:name="_Toc181816484"/>
      <w:r>
        <w:rPr>
          <w:rFonts w:hint="eastAsia" w:ascii="宋体" w:hAnsi="宋体" w:eastAsia="宋体"/>
          <w:color w:val="auto"/>
          <w:sz w:val="24"/>
          <w:szCs w:val="24"/>
          <w:highlight w:val="none"/>
        </w:rPr>
        <w:t>七</w:t>
      </w:r>
      <w:r>
        <w:rPr>
          <w:rFonts w:hint="eastAsia" w:ascii="宋体" w:hAnsi="宋体" w:eastAsia="宋体"/>
          <w:color w:val="auto"/>
          <w:sz w:val="24"/>
          <w:szCs w:val="24"/>
          <w:highlight w:val="none"/>
        </w:rPr>
        <w:t>、合同文件构成</w:t>
      </w:r>
      <w:bookmarkEnd w:id="57"/>
      <w:bookmarkEnd w:id="58"/>
      <w:bookmarkEnd w:id="59"/>
    </w:p>
    <w:p w14:paraId="5C163B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本协议书与下列文件一起构成合同文件：</w:t>
      </w:r>
    </w:p>
    <w:p w14:paraId="5BF6AA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（1）成交通知书；</w:t>
      </w:r>
    </w:p>
    <w:p w14:paraId="20F984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（2）竞争性磋商函、竞争性磋商报价表及最终报价表；</w:t>
      </w:r>
    </w:p>
    <w:p w14:paraId="1F4B62E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（3）本合同专用合同条款及其附件；</w:t>
      </w:r>
    </w:p>
    <w:p w14:paraId="2A1E07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（4）通用合同条款；</w:t>
      </w:r>
    </w:p>
    <w:p w14:paraId="5D1802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（5）标准、规范及有关技术文件；</w:t>
      </w:r>
    </w:p>
    <w:p w14:paraId="7D28E0F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（6）图纸；</w:t>
      </w:r>
    </w:p>
    <w:p w14:paraId="244AD90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（7）已标价工程量清单或预算书</w:t>
      </w:r>
      <w:r>
        <w:rPr>
          <w:rFonts w:hint="eastAsia" w:ascii="宋体" w:hAnsi="宋体" w:eastAsia="宋体"/>
          <w:color w:val="auto"/>
          <w:szCs w:val="21"/>
          <w:highlight w:val="none"/>
        </w:rPr>
        <w:t>（须与发包人的</w:t>
      </w:r>
      <w:r>
        <w:rPr>
          <w:rFonts w:hint="eastAsia" w:ascii="宋体" w:hAnsi="宋体" w:eastAsia="宋体"/>
          <w:color w:val="auto"/>
          <w:szCs w:val="21"/>
          <w:highlight w:val="none"/>
          <w:u w:val="single"/>
          <w:lang w:eastAsia="zh-CN"/>
        </w:rPr>
        <w:t>固定</w:t>
      </w:r>
      <w:r>
        <w:rPr>
          <w:rFonts w:hint="eastAsia" w:ascii="宋体" w:hAnsi="宋体" w:eastAsia="宋体"/>
          <w:color w:val="auto"/>
          <w:szCs w:val="21"/>
          <w:highlight w:val="none"/>
        </w:rPr>
        <w:t>综合单价相同，否则以发包人的为准）</w:t>
      </w:r>
      <w:r>
        <w:rPr>
          <w:rFonts w:hint="eastAsia" w:ascii="宋体" w:hAnsi="宋体" w:eastAsia="宋体"/>
          <w:color w:val="auto"/>
          <w:szCs w:val="21"/>
          <w:highlight w:val="none"/>
        </w:rPr>
        <w:t>；</w:t>
      </w:r>
    </w:p>
    <w:p w14:paraId="131D1F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（8）采购文件及更正公告；</w:t>
      </w:r>
    </w:p>
    <w:p w14:paraId="667449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（9）其他合同文件：《建设工程工程量清单计价规范（GB50500-20</w:t>
      </w:r>
      <w:r>
        <w:rPr>
          <w:rFonts w:hint="eastAsia" w:ascii="宋体" w:hAnsi="宋体" w:eastAsia="宋体"/>
          <w:color w:val="auto"/>
          <w:szCs w:val="21"/>
          <w:highlight w:val="none"/>
          <w:lang w:val="en-US" w:eastAsia="zh-CN"/>
        </w:rPr>
        <w:t>13</w:t>
      </w:r>
      <w:r>
        <w:rPr>
          <w:rFonts w:hint="eastAsia" w:ascii="宋体" w:hAnsi="宋体" w:eastAsia="宋体"/>
          <w:color w:val="auto"/>
          <w:szCs w:val="21"/>
          <w:highlight w:val="none"/>
        </w:rPr>
        <w:t>）》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w:t>
      </w:r>
    </w:p>
    <w:p w14:paraId="162E75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双方有关工程的洽商、变更等书面协议或文件视为本合同的组成部分。</w:t>
      </w:r>
    </w:p>
    <w:p w14:paraId="0F4F79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上述各项合同文件包括双方就该项合同文件所作出的补充和修改，属于同一类内容的合同文件应以最新签署的为准（违反招标文件实质性内容的约定除外）。专用合同条款及其附件须经合同当事人签字或盖章。</w:t>
      </w:r>
    </w:p>
    <w:p w14:paraId="76EA9FE7">
      <w:pPr>
        <w:pStyle w:val="4"/>
        <w:spacing w:before="0" w:after="0" w:line="480" w:lineRule="auto"/>
        <w:rPr>
          <w:rFonts w:ascii="宋体" w:hAnsi="宋体" w:eastAsia="宋体"/>
          <w:color w:val="auto"/>
          <w:sz w:val="24"/>
          <w:szCs w:val="24"/>
          <w:highlight w:val="none"/>
        </w:rPr>
      </w:pPr>
      <w:bookmarkStart w:id="60" w:name="_Toc197530129"/>
      <w:bookmarkStart w:id="61" w:name="_Toc195459454"/>
      <w:bookmarkStart w:id="62" w:name="_Toc181816485"/>
      <w:r>
        <w:rPr>
          <w:rFonts w:hint="eastAsia" w:ascii="宋体" w:hAnsi="宋体" w:eastAsia="宋体"/>
          <w:color w:val="auto"/>
          <w:sz w:val="24"/>
          <w:szCs w:val="24"/>
          <w:highlight w:val="none"/>
        </w:rPr>
        <w:t>八、承诺</w:t>
      </w:r>
      <w:bookmarkEnd w:id="60"/>
      <w:bookmarkEnd w:id="61"/>
      <w:bookmarkEnd w:id="62"/>
    </w:p>
    <w:p w14:paraId="220548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1.发包人承诺按照法律规定履行项目审批手续、筹集工程建设资金并按照合同约定的期限和方式支付合同价款。</w:t>
      </w:r>
    </w:p>
    <w:p w14:paraId="3FAB9F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360769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3.发包人和承包人通过招投标形式签订合同的，双方理解并承诺不再就同一工程另行签订与合同实质性内容相背离的协议。</w:t>
      </w:r>
    </w:p>
    <w:p w14:paraId="556B1F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099F64F8">
      <w:pPr>
        <w:pStyle w:val="4"/>
        <w:spacing w:before="0" w:after="0" w:line="480" w:lineRule="auto"/>
        <w:rPr>
          <w:rFonts w:ascii="宋体" w:hAnsi="宋体" w:eastAsia="宋体"/>
          <w:color w:val="auto"/>
          <w:sz w:val="24"/>
          <w:szCs w:val="24"/>
          <w:highlight w:val="none"/>
        </w:rPr>
      </w:pPr>
      <w:bookmarkStart w:id="63" w:name="_Toc197530130"/>
      <w:bookmarkStart w:id="64" w:name="_Toc195459455"/>
      <w:r>
        <w:rPr>
          <w:rFonts w:hint="eastAsia" w:ascii="宋体" w:hAnsi="宋体" w:eastAsia="宋体"/>
          <w:color w:val="auto"/>
          <w:sz w:val="24"/>
          <w:szCs w:val="24"/>
          <w:highlight w:val="none"/>
        </w:rPr>
        <w:t>九、词语含义</w:t>
      </w:r>
      <w:bookmarkEnd w:id="63"/>
      <w:bookmarkEnd w:id="64"/>
    </w:p>
    <w:p w14:paraId="42F12F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本合同书中词语含义与第二部分通用合同条款中赋予的含义相同。</w:t>
      </w:r>
    </w:p>
    <w:p w14:paraId="39B14397">
      <w:pPr>
        <w:pStyle w:val="4"/>
        <w:spacing w:before="0" w:after="0" w:line="480" w:lineRule="auto"/>
        <w:rPr>
          <w:rFonts w:ascii="宋体" w:hAnsi="宋体" w:eastAsia="宋体"/>
          <w:color w:val="auto"/>
          <w:sz w:val="24"/>
          <w:szCs w:val="24"/>
          <w:highlight w:val="none"/>
        </w:rPr>
      </w:pPr>
      <w:bookmarkStart w:id="65" w:name="_Toc195459456"/>
      <w:bookmarkStart w:id="66" w:name="_Toc181816486"/>
      <w:bookmarkStart w:id="67" w:name="_Toc197530131"/>
      <w:r>
        <w:rPr>
          <w:rFonts w:hint="eastAsia" w:ascii="宋体" w:hAnsi="宋体" w:eastAsia="宋体"/>
          <w:color w:val="auto"/>
          <w:sz w:val="24"/>
          <w:szCs w:val="24"/>
          <w:highlight w:val="none"/>
        </w:rPr>
        <w:t>十、订立时间</w:t>
      </w:r>
      <w:bookmarkEnd w:id="65"/>
      <w:bookmarkEnd w:id="66"/>
      <w:bookmarkEnd w:id="67"/>
    </w:p>
    <w:p w14:paraId="607AD9C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本合同于</w:t>
      </w:r>
      <w:r>
        <w:rPr>
          <w:rFonts w:ascii="宋体" w:hAnsi="宋体" w:eastAsia="宋体"/>
          <w:color w:val="auto"/>
          <w:szCs w:val="21"/>
          <w:highlight w:val="none"/>
        </w:rPr>
        <w:t>________</w:t>
      </w:r>
      <w:r>
        <w:rPr>
          <w:rFonts w:hint="eastAsia" w:ascii="宋体" w:hAnsi="宋体" w:eastAsia="宋体"/>
          <w:color w:val="auto"/>
          <w:szCs w:val="21"/>
          <w:highlight w:val="none"/>
        </w:rPr>
        <w:t>年</w:t>
      </w:r>
      <w:r>
        <w:rPr>
          <w:rFonts w:ascii="宋体" w:hAnsi="宋体" w:eastAsia="宋体"/>
          <w:color w:val="auto"/>
          <w:szCs w:val="21"/>
          <w:highlight w:val="none"/>
        </w:rPr>
        <w:t>________</w:t>
      </w:r>
      <w:r>
        <w:rPr>
          <w:rFonts w:hint="eastAsia" w:ascii="宋体" w:hAnsi="宋体" w:eastAsia="宋体"/>
          <w:color w:val="auto"/>
          <w:szCs w:val="21"/>
          <w:highlight w:val="none"/>
        </w:rPr>
        <w:t>月</w:t>
      </w:r>
      <w:r>
        <w:rPr>
          <w:rFonts w:ascii="宋体" w:hAnsi="宋体" w:eastAsia="宋体"/>
          <w:color w:val="auto"/>
          <w:szCs w:val="21"/>
          <w:highlight w:val="none"/>
        </w:rPr>
        <w:t>________</w:t>
      </w:r>
      <w:r>
        <w:rPr>
          <w:rFonts w:hint="eastAsia" w:ascii="宋体" w:hAnsi="宋体" w:eastAsia="宋体"/>
          <w:color w:val="auto"/>
          <w:szCs w:val="21"/>
          <w:highlight w:val="none"/>
        </w:rPr>
        <w:t>日订立。</w:t>
      </w:r>
    </w:p>
    <w:p w14:paraId="6401DD5E">
      <w:pPr>
        <w:pStyle w:val="4"/>
        <w:spacing w:before="0" w:after="0" w:line="480" w:lineRule="auto"/>
        <w:rPr>
          <w:rFonts w:ascii="宋体" w:hAnsi="宋体" w:eastAsia="宋体"/>
          <w:color w:val="auto"/>
          <w:sz w:val="24"/>
          <w:szCs w:val="24"/>
          <w:highlight w:val="none"/>
        </w:rPr>
      </w:pPr>
      <w:bookmarkStart w:id="68" w:name="_Toc181816487"/>
      <w:bookmarkStart w:id="69" w:name="_Toc195459457"/>
      <w:bookmarkStart w:id="70" w:name="_Toc197530132"/>
      <w:r>
        <w:rPr>
          <w:rFonts w:hint="eastAsia" w:ascii="宋体" w:hAnsi="宋体" w:eastAsia="宋体"/>
          <w:color w:val="auto"/>
          <w:sz w:val="24"/>
          <w:szCs w:val="24"/>
          <w:highlight w:val="none"/>
        </w:rPr>
        <w:t>十一、订立地点</w:t>
      </w:r>
      <w:bookmarkEnd w:id="68"/>
      <w:bookmarkEnd w:id="69"/>
      <w:bookmarkEnd w:id="70"/>
    </w:p>
    <w:p w14:paraId="369647D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本合同在</w:t>
      </w:r>
      <w:r>
        <w:rPr>
          <w:rFonts w:hint="eastAsia" w:ascii="宋体" w:hAnsi="宋体" w:eastAsia="宋体"/>
          <w:color w:val="auto"/>
          <w:szCs w:val="21"/>
          <w:highlight w:val="none"/>
          <w:u w:val="single"/>
        </w:rPr>
        <w:t>广西壮族自治区南宁市西乡塘区大学东路100号广西大学</w:t>
      </w:r>
      <w:r>
        <w:rPr>
          <w:rFonts w:hint="eastAsia" w:ascii="宋体" w:hAnsi="宋体" w:eastAsia="宋体"/>
          <w:color w:val="auto"/>
          <w:szCs w:val="21"/>
          <w:highlight w:val="none"/>
        </w:rPr>
        <w:t>订立。</w:t>
      </w:r>
    </w:p>
    <w:p w14:paraId="3E4E39FA">
      <w:pPr>
        <w:pStyle w:val="4"/>
        <w:spacing w:before="0" w:after="0" w:line="480" w:lineRule="auto"/>
        <w:rPr>
          <w:rFonts w:ascii="宋体" w:hAnsi="宋体" w:eastAsia="宋体"/>
          <w:color w:val="auto"/>
          <w:sz w:val="24"/>
          <w:szCs w:val="24"/>
          <w:highlight w:val="none"/>
        </w:rPr>
      </w:pPr>
      <w:bookmarkStart w:id="71" w:name="_Toc197530133"/>
      <w:bookmarkStart w:id="72" w:name="_Toc195459458"/>
      <w:r>
        <w:rPr>
          <w:rFonts w:hint="eastAsia" w:ascii="宋体" w:hAnsi="宋体" w:eastAsia="宋体"/>
          <w:color w:val="auto"/>
          <w:sz w:val="24"/>
          <w:szCs w:val="24"/>
          <w:highlight w:val="none"/>
        </w:rPr>
        <w:t>十二、补充协议</w:t>
      </w:r>
      <w:bookmarkEnd w:id="71"/>
      <w:bookmarkEnd w:id="72"/>
    </w:p>
    <w:p w14:paraId="5A12FA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合同未尽事宜，合同当事人另行签订补充协议，补充协议是合同的组成部分。</w:t>
      </w:r>
    </w:p>
    <w:p w14:paraId="252F08B1">
      <w:pPr>
        <w:pStyle w:val="4"/>
        <w:spacing w:before="0" w:after="0" w:line="480" w:lineRule="auto"/>
        <w:rPr>
          <w:rFonts w:ascii="宋体" w:hAnsi="宋体" w:eastAsia="宋体"/>
          <w:color w:val="auto"/>
          <w:sz w:val="24"/>
          <w:szCs w:val="24"/>
          <w:highlight w:val="none"/>
        </w:rPr>
      </w:pPr>
      <w:bookmarkStart w:id="73" w:name="_Toc195459459"/>
      <w:bookmarkStart w:id="74" w:name="_Toc197530134"/>
      <w:bookmarkStart w:id="75" w:name="_Toc181816488"/>
      <w:r>
        <w:rPr>
          <w:rFonts w:hint="eastAsia" w:ascii="宋体" w:hAnsi="宋体" w:eastAsia="宋体"/>
          <w:color w:val="auto"/>
          <w:sz w:val="24"/>
          <w:szCs w:val="24"/>
          <w:highlight w:val="none"/>
        </w:rPr>
        <w:t>十三、合同生效</w:t>
      </w:r>
      <w:bookmarkEnd w:id="73"/>
      <w:bookmarkEnd w:id="74"/>
      <w:bookmarkEnd w:id="75"/>
    </w:p>
    <w:p w14:paraId="186D33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本合同经</w:t>
      </w:r>
      <w:r>
        <w:rPr>
          <w:rFonts w:hint="eastAsia" w:ascii="宋体" w:hAnsi="宋体" w:eastAsia="宋体"/>
          <w:color w:val="auto"/>
          <w:szCs w:val="21"/>
          <w:highlight w:val="none"/>
          <w:u w:val="single"/>
        </w:rPr>
        <w:t>双方法定代表人或授权委托代理人签章并加盖单位（公司）公章之日起</w:t>
      </w:r>
      <w:r>
        <w:rPr>
          <w:rFonts w:hint="eastAsia" w:ascii="宋体" w:hAnsi="宋体" w:eastAsia="宋体"/>
          <w:color w:val="auto"/>
          <w:szCs w:val="21"/>
          <w:highlight w:val="none"/>
        </w:rPr>
        <w:t>生效。</w:t>
      </w:r>
    </w:p>
    <w:p w14:paraId="305642B4">
      <w:pPr>
        <w:pStyle w:val="4"/>
        <w:spacing w:before="0" w:after="0" w:line="480" w:lineRule="auto"/>
        <w:rPr>
          <w:rFonts w:ascii="宋体" w:hAnsi="宋体" w:eastAsia="宋体"/>
          <w:color w:val="auto"/>
          <w:sz w:val="24"/>
          <w:szCs w:val="24"/>
          <w:highlight w:val="none"/>
        </w:rPr>
      </w:pPr>
      <w:bookmarkStart w:id="76" w:name="_Toc195459460"/>
      <w:bookmarkStart w:id="77" w:name="_Toc181816489"/>
      <w:bookmarkStart w:id="78" w:name="_Toc197530135"/>
      <w:r>
        <w:rPr>
          <w:rFonts w:hint="eastAsia" w:ascii="宋体" w:hAnsi="宋体" w:eastAsia="宋体"/>
          <w:color w:val="auto"/>
          <w:sz w:val="24"/>
          <w:szCs w:val="24"/>
          <w:highlight w:val="none"/>
        </w:rPr>
        <w:t>十四、合同份数</w:t>
      </w:r>
      <w:bookmarkEnd w:id="76"/>
      <w:bookmarkEnd w:id="77"/>
      <w:bookmarkEnd w:id="78"/>
    </w:p>
    <w:p w14:paraId="7849C7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本合同一式</w:t>
      </w:r>
      <w:r>
        <w:rPr>
          <w:rFonts w:hint="eastAsia" w:ascii="宋体" w:hAnsi="宋体" w:eastAsia="宋体"/>
          <w:color w:val="auto"/>
          <w:szCs w:val="21"/>
          <w:highlight w:val="none"/>
          <w:u w:val="single"/>
        </w:rPr>
        <w:t>壹拾叁</w:t>
      </w:r>
      <w:r>
        <w:rPr>
          <w:rFonts w:hint="eastAsia" w:ascii="宋体" w:hAnsi="宋体" w:eastAsia="宋体"/>
          <w:color w:val="auto"/>
          <w:szCs w:val="21"/>
          <w:highlight w:val="none"/>
        </w:rPr>
        <w:t>份，发包人执</w:t>
      </w:r>
      <w:r>
        <w:rPr>
          <w:rFonts w:hint="eastAsia" w:ascii="宋体" w:hAnsi="宋体" w:eastAsia="宋体"/>
          <w:color w:val="auto"/>
          <w:szCs w:val="21"/>
          <w:highlight w:val="none"/>
          <w:u w:val="single"/>
        </w:rPr>
        <w:t>拾</w:t>
      </w:r>
      <w:r>
        <w:rPr>
          <w:rFonts w:hint="eastAsia" w:ascii="宋体" w:hAnsi="宋体" w:eastAsia="宋体"/>
          <w:color w:val="auto"/>
          <w:szCs w:val="21"/>
          <w:highlight w:val="none"/>
        </w:rPr>
        <w:t>份，承包人执</w:t>
      </w:r>
      <w:r>
        <w:rPr>
          <w:rFonts w:hint="eastAsia" w:ascii="宋体" w:hAnsi="宋体" w:eastAsia="宋体"/>
          <w:color w:val="auto"/>
          <w:szCs w:val="21"/>
          <w:highlight w:val="none"/>
          <w:u w:val="single"/>
        </w:rPr>
        <w:t>贰</w:t>
      </w:r>
      <w:r>
        <w:rPr>
          <w:rFonts w:hint="eastAsia" w:ascii="宋体" w:hAnsi="宋体" w:eastAsia="宋体"/>
          <w:color w:val="auto"/>
          <w:szCs w:val="21"/>
          <w:highlight w:val="none"/>
        </w:rPr>
        <w:t>份，代理机构壹份，均具有同等法律效力。</w:t>
      </w:r>
    </w:p>
    <w:tbl>
      <w:tblPr>
        <w:tblStyle w:val="38"/>
        <w:tblW w:w="0" w:type="auto"/>
        <w:jc w:val="center"/>
        <w:tblLayout w:type="autofit"/>
        <w:tblCellMar>
          <w:top w:w="0" w:type="dxa"/>
          <w:left w:w="108" w:type="dxa"/>
          <w:bottom w:w="0" w:type="dxa"/>
          <w:right w:w="108" w:type="dxa"/>
        </w:tblCellMar>
      </w:tblPr>
      <w:tblGrid>
        <w:gridCol w:w="4672"/>
        <w:gridCol w:w="4672"/>
      </w:tblGrid>
      <w:tr w14:paraId="48F34615">
        <w:tblPrEx>
          <w:tblCellMar>
            <w:top w:w="0" w:type="dxa"/>
            <w:left w:w="108" w:type="dxa"/>
            <w:bottom w:w="0" w:type="dxa"/>
            <w:right w:w="108" w:type="dxa"/>
          </w:tblCellMar>
        </w:tblPrEx>
        <w:trPr>
          <w:trHeight w:val="567" w:hRule="atLeast"/>
          <w:jc w:val="center"/>
        </w:trPr>
        <w:tc>
          <w:tcPr>
            <w:tcW w:w="4672" w:type="dxa"/>
            <w:vAlign w:val="center"/>
          </w:tcPr>
          <w:p w14:paraId="4178ABEF">
            <w:pPr>
              <w:jc w:val="left"/>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广西大学</w:t>
            </w:r>
            <w:r>
              <w:rPr>
                <w:rFonts w:hint="eastAsia" w:ascii="宋体" w:hAnsi="宋体"/>
                <w:color w:val="auto"/>
                <w:szCs w:val="21"/>
                <w:highlight w:val="none"/>
              </w:rPr>
              <w:t>（公章）</w:t>
            </w:r>
          </w:p>
        </w:tc>
        <w:tc>
          <w:tcPr>
            <w:tcW w:w="4672" w:type="dxa"/>
            <w:vAlign w:val="center"/>
          </w:tcPr>
          <w:p w14:paraId="4D68CFA8">
            <w:pPr>
              <w:jc w:val="left"/>
              <w:rPr>
                <w:rFonts w:ascii="宋体" w:hAnsi="宋体"/>
                <w:color w:val="auto"/>
                <w:szCs w:val="21"/>
                <w:highlight w:val="none"/>
              </w:rPr>
            </w:pPr>
            <w:r>
              <w:rPr>
                <w:rFonts w:hint="eastAsia" w:ascii="宋体" w:hAnsi="宋体"/>
                <w:color w:val="auto"/>
                <w:szCs w:val="21"/>
                <w:highlight w:val="none"/>
              </w:rPr>
              <w:t>承包人：（公章）</w:t>
            </w:r>
          </w:p>
        </w:tc>
      </w:tr>
      <w:tr w14:paraId="12B9C614">
        <w:tblPrEx>
          <w:tblCellMar>
            <w:top w:w="0" w:type="dxa"/>
            <w:left w:w="108" w:type="dxa"/>
            <w:bottom w:w="0" w:type="dxa"/>
            <w:right w:w="108" w:type="dxa"/>
          </w:tblCellMar>
        </w:tblPrEx>
        <w:trPr>
          <w:trHeight w:val="567" w:hRule="atLeast"/>
          <w:jc w:val="center"/>
        </w:trPr>
        <w:tc>
          <w:tcPr>
            <w:tcW w:w="4672" w:type="dxa"/>
            <w:vAlign w:val="center"/>
          </w:tcPr>
          <w:p w14:paraId="37D47C9B">
            <w:pPr>
              <w:jc w:val="left"/>
              <w:rPr>
                <w:rFonts w:ascii="宋体" w:hAnsi="宋体"/>
                <w:color w:val="auto"/>
                <w:szCs w:val="21"/>
                <w:highlight w:val="none"/>
              </w:rPr>
            </w:pPr>
            <w:r>
              <w:rPr>
                <w:rFonts w:hint="eastAsia" w:ascii="宋体" w:hAnsi="宋体"/>
                <w:color w:val="auto"/>
                <w:szCs w:val="21"/>
                <w:highlight w:val="none"/>
              </w:rPr>
              <w:t>法定代表人或其委托代理人：</w:t>
            </w:r>
          </w:p>
          <w:p w14:paraId="6DBD0C24">
            <w:pPr>
              <w:jc w:val="left"/>
              <w:rPr>
                <w:rFonts w:ascii="宋体" w:hAnsi="宋体"/>
                <w:color w:val="auto"/>
                <w:szCs w:val="21"/>
                <w:highlight w:val="none"/>
              </w:rPr>
            </w:pPr>
            <w:r>
              <w:rPr>
                <w:rFonts w:hint="eastAsia" w:ascii="宋体" w:hAnsi="宋体"/>
                <w:color w:val="auto"/>
                <w:szCs w:val="21"/>
                <w:highlight w:val="none"/>
              </w:rPr>
              <w:t>（签字）</w:t>
            </w:r>
          </w:p>
        </w:tc>
        <w:tc>
          <w:tcPr>
            <w:tcW w:w="4672" w:type="dxa"/>
            <w:vAlign w:val="center"/>
          </w:tcPr>
          <w:p w14:paraId="0887A603">
            <w:pPr>
              <w:jc w:val="left"/>
              <w:rPr>
                <w:rFonts w:ascii="宋体" w:hAnsi="宋体"/>
                <w:color w:val="auto"/>
                <w:szCs w:val="21"/>
                <w:highlight w:val="none"/>
              </w:rPr>
            </w:pPr>
            <w:r>
              <w:rPr>
                <w:rFonts w:hint="eastAsia" w:ascii="宋体" w:hAnsi="宋体"/>
                <w:color w:val="auto"/>
                <w:szCs w:val="21"/>
                <w:highlight w:val="none"/>
              </w:rPr>
              <w:t>法定代表人或其委托代理人：</w:t>
            </w:r>
          </w:p>
          <w:p w14:paraId="56F867FA">
            <w:pPr>
              <w:jc w:val="left"/>
              <w:rPr>
                <w:rFonts w:ascii="宋体" w:hAnsi="宋体"/>
                <w:color w:val="auto"/>
                <w:szCs w:val="21"/>
                <w:highlight w:val="none"/>
              </w:rPr>
            </w:pPr>
            <w:r>
              <w:rPr>
                <w:rFonts w:hint="eastAsia" w:ascii="宋体" w:hAnsi="宋体"/>
                <w:color w:val="auto"/>
                <w:szCs w:val="21"/>
                <w:highlight w:val="none"/>
              </w:rPr>
              <w:t>（签字）</w:t>
            </w:r>
          </w:p>
        </w:tc>
      </w:tr>
      <w:tr w14:paraId="31247A16">
        <w:tblPrEx>
          <w:tblCellMar>
            <w:top w:w="0" w:type="dxa"/>
            <w:left w:w="108" w:type="dxa"/>
            <w:bottom w:w="0" w:type="dxa"/>
            <w:right w:w="108" w:type="dxa"/>
          </w:tblCellMar>
        </w:tblPrEx>
        <w:trPr>
          <w:trHeight w:val="567" w:hRule="atLeast"/>
          <w:jc w:val="center"/>
        </w:trPr>
        <w:tc>
          <w:tcPr>
            <w:tcW w:w="4672" w:type="dxa"/>
            <w:vAlign w:val="center"/>
          </w:tcPr>
          <w:p w14:paraId="7BF0A216">
            <w:pPr>
              <w:jc w:val="left"/>
              <w:rPr>
                <w:rFonts w:ascii="宋体" w:hAnsi="宋体"/>
                <w:color w:val="auto"/>
                <w:szCs w:val="21"/>
                <w:highlight w:val="none"/>
              </w:rPr>
            </w:pPr>
            <w:r>
              <w:rPr>
                <w:rFonts w:hint="eastAsia" w:ascii="宋体" w:hAnsi="宋体"/>
                <w:color w:val="auto"/>
                <w:szCs w:val="21"/>
                <w:highlight w:val="none"/>
              </w:rPr>
              <w:t>统一社会信用代码：</w:t>
            </w:r>
            <w:r>
              <w:rPr>
                <w:rFonts w:hint="eastAsia" w:ascii="宋体" w:hAnsi="宋体"/>
                <w:color w:val="auto"/>
                <w:szCs w:val="21"/>
                <w:highlight w:val="none"/>
                <w:u w:val="single"/>
              </w:rPr>
              <w:t>124500004985009929</w:t>
            </w:r>
          </w:p>
        </w:tc>
        <w:tc>
          <w:tcPr>
            <w:tcW w:w="4672" w:type="dxa"/>
            <w:vAlign w:val="center"/>
          </w:tcPr>
          <w:p w14:paraId="5987285E">
            <w:pPr>
              <w:jc w:val="left"/>
              <w:rPr>
                <w:rFonts w:ascii="宋体" w:hAnsi="宋体"/>
                <w:color w:val="auto"/>
                <w:szCs w:val="21"/>
                <w:highlight w:val="none"/>
              </w:rPr>
            </w:pPr>
            <w:r>
              <w:rPr>
                <w:rFonts w:hint="eastAsia" w:ascii="宋体" w:hAnsi="宋体"/>
                <w:color w:val="auto"/>
                <w:szCs w:val="21"/>
                <w:highlight w:val="none"/>
              </w:rPr>
              <w:t>统一社会信用代码：</w:t>
            </w:r>
          </w:p>
        </w:tc>
      </w:tr>
      <w:tr w14:paraId="67810138">
        <w:tblPrEx>
          <w:tblCellMar>
            <w:top w:w="0" w:type="dxa"/>
            <w:left w:w="108" w:type="dxa"/>
            <w:bottom w:w="0" w:type="dxa"/>
            <w:right w:w="108" w:type="dxa"/>
          </w:tblCellMar>
        </w:tblPrEx>
        <w:trPr>
          <w:trHeight w:val="567" w:hRule="atLeast"/>
          <w:jc w:val="center"/>
        </w:trPr>
        <w:tc>
          <w:tcPr>
            <w:tcW w:w="4672" w:type="dxa"/>
            <w:vAlign w:val="center"/>
          </w:tcPr>
          <w:p w14:paraId="5F6C72F6">
            <w:pPr>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广西壮族自治区南宁市大学东路100号</w:t>
            </w:r>
          </w:p>
        </w:tc>
        <w:tc>
          <w:tcPr>
            <w:tcW w:w="4672" w:type="dxa"/>
            <w:vAlign w:val="center"/>
          </w:tcPr>
          <w:p w14:paraId="5E832075">
            <w:pPr>
              <w:jc w:val="left"/>
              <w:rPr>
                <w:rFonts w:ascii="宋体" w:hAnsi="宋体"/>
                <w:color w:val="auto"/>
                <w:szCs w:val="21"/>
                <w:highlight w:val="none"/>
              </w:rPr>
            </w:pPr>
            <w:r>
              <w:rPr>
                <w:rFonts w:hint="eastAsia" w:ascii="宋体" w:hAnsi="宋体"/>
                <w:color w:val="auto"/>
                <w:szCs w:val="21"/>
                <w:highlight w:val="none"/>
              </w:rPr>
              <w:t>地址：</w:t>
            </w:r>
          </w:p>
        </w:tc>
      </w:tr>
      <w:tr w14:paraId="02965448">
        <w:tblPrEx>
          <w:tblCellMar>
            <w:top w:w="0" w:type="dxa"/>
            <w:left w:w="108" w:type="dxa"/>
            <w:bottom w:w="0" w:type="dxa"/>
            <w:right w:w="108" w:type="dxa"/>
          </w:tblCellMar>
        </w:tblPrEx>
        <w:trPr>
          <w:trHeight w:val="567" w:hRule="atLeast"/>
          <w:jc w:val="center"/>
        </w:trPr>
        <w:tc>
          <w:tcPr>
            <w:tcW w:w="4672" w:type="dxa"/>
            <w:vAlign w:val="center"/>
          </w:tcPr>
          <w:p w14:paraId="5B189D94">
            <w:pPr>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530004</w:t>
            </w:r>
          </w:p>
        </w:tc>
        <w:tc>
          <w:tcPr>
            <w:tcW w:w="4672" w:type="dxa"/>
            <w:vAlign w:val="center"/>
          </w:tcPr>
          <w:p w14:paraId="5A62279B">
            <w:pPr>
              <w:jc w:val="left"/>
              <w:rPr>
                <w:rFonts w:ascii="宋体" w:hAnsi="宋体"/>
                <w:color w:val="auto"/>
                <w:szCs w:val="21"/>
                <w:highlight w:val="none"/>
              </w:rPr>
            </w:pPr>
            <w:r>
              <w:rPr>
                <w:rFonts w:hint="eastAsia" w:ascii="宋体" w:hAnsi="宋体"/>
                <w:color w:val="auto"/>
                <w:szCs w:val="21"/>
                <w:highlight w:val="none"/>
              </w:rPr>
              <w:t>邮政编码：</w:t>
            </w:r>
          </w:p>
        </w:tc>
      </w:tr>
      <w:tr w14:paraId="3AD49787">
        <w:tblPrEx>
          <w:tblCellMar>
            <w:top w:w="0" w:type="dxa"/>
            <w:left w:w="108" w:type="dxa"/>
            <w:bottom w:w="0" w:type="dxa"/>
            <w:right w:w="108" w:type="dxa"/>
          </w:tblCellMar>
        </w:tblPrEx>
        <w:trPr>
          <w:trHeight w:val="567" w:hRule="atLeast"/>
          <w:jc w:val="center"/>
        </w:trPr>
        <w:tc>
          <w:tcPr>
            <w:tcW w:w="4672" w:type="dxa"/>
            <w:vAlign w:val="center"/>
          </w:tcPr>
          <w:p w14:paraId="5C2C0201">
            <w:pPr>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韩林海</w:t>
            </w:r>
          </w:p>
        </w:tc>
        <w:tc>
          <w:tcPr>
            <w:tcW w:w="4672" w:type="dxa"/>
            <w:vAlign w:val="center"/>
          </w:tcPr>
          <w:p w14:paraId="1F55D4E2">
            <w:pPr>
              <w:jc w:val="left"/>
              <w:rPr>
                <w:rFonts w:ascii="宋体" w:hAnsi="宋体"/>
                <w:color w:val="auto"/>
                <w:szCs w:val="21"/>
                <w:highlight w:val="none"/>
              </w:rPr>
            </w:pPr>
            <w:r>
              <w:rPr>
                <w:rFonts w:hint="eastAsia" w:ascii="宋体" w:hAnsi="宋体"/>
                <w:color w:val="auto"/>
                <w:szCs w:val="21"/>
                <w:highlight w:val="none"/>
              </w:rPr>
              <w:t>法定代表人：</w:t>
            </w:r>
          </w:p>
        </w:tc>
      </w:tr>
      <w:tr w14:paraId="1FEBECC4">
        <w:tblPrEx>
          <w:tblCellMar>
            <w:top w:w="0" w:type="dxa"/>
            <w:left w:w="108" w:type="dxa"/>
            <w:bottom w:w="0" w:type="dxa"/>
            <w:right w:w="108" w:type="dxa"/>
          </w:tblCellMar>
        </w:tblPrEx>
        <w:trPr>
          <w:trHeight w:val="567" w:hRule="atLeast"/>
          <w:jc w:val="center"/>
        </w:trPr>
        <w:tc>
          <w:tcPr>
            <w:tcW w:w="4672" w:type="dxa"/>
            <w:vAlign w:val="center"/>
          </w:tcPr>
          <w:p w14:paraId="08C5DD14">
            <w:pPr>
              <w:jc w:val="left"/>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w:t>
            </w:r>
          </w:p>
        </w:tc>
        <w:tc>
          <w:tcPr>
            <w:tcW w:w="4672" w:type="dxa"/>
            <w:vAlign w:val="center"/>
          </w:tcPr>
          <w:p w14:paraId="29BF033C">
            <w:pPr>
              <w:jc w:val="left"/>
              <w:rPr>
                <w:rFonts w:ascii="宋体" w:hAnsi="宋体"/>
                <w:color w:val="auto"/>
                <w:szCs w:val="21"/>
                <w:highlight w:val="none"/>
              </w:rPr>
            </w:pPr>
            <w:r>
              <w:rPr>
                <w:rFonts w:hint="eastAsia" w:ascii="宋体" w:hAnsi="宋体"/>
                <w:color w:val="auto"/>
                <w:szCs w:val="21"/>
                <w:highlight w:val="none"/>
              </w:rPr>
              <w:t>委托代理人：</w:t>
            </w:r>
          </w:p>
        </w:tc>
      </w:tr>
      <w:tr w14:paraId="4A1D67B7">
        <w:tblPrEx>
          <w:tblCellMar>
            <w:top w:w="0" w:type="dxa"/>
            <w:left w:w="108" w:type="dxa"/>
            <w:bottom w:w="0" w:type="dxa"/>
            <w:right w:w="108" w:type="dxa"/>
          </w:tblCellMar>
        </w:tblPrEx>
        <w:trPr>
          <w:trHeight w:val="567" w:hRule="atLeast"/>
          <w:jc w:val="center"/>
        </w:trPr>
        <w:tc>
          <w:tcPr>
            <w:tcW w:w="4672" w:type="dxa"/>
            <w:vAlign w:val="center"/>
          </w:tcPr>
          <w:p w14:paraId="38E6D81F">
            <w:pPr>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0771-3233183</w:t>
            </w:r>
          </w:p>
        </w:tc>
        <w:tc>
          <w:tcPr>
            <w:tcW w:w="4672" w:type="dxa"/>
            <w:vAlign w:val="center"/>
          </w:tcPr>
          <w:p w14:paraId="0AFDEA97">
            <w:pPr>
              <w:jc w:val="left"/>
              <w:rPr>
                <w:rFonts w:ascii="宋体" w:hAnsi="宋体"/>
                <w:color w:val="auto"/>
                <w:szCs w:val="21"/>
                <w:highlight w:val="none"/>
              </w:rPr>
            </w:pPr>
            <w:r>
              <w:rPr>
                <w:rFonts w:hint="eastAsia" w:ascii="宋体" w:hAnsi="宋体"/>
                <w:color w:val="auto"/>
                <w:szCs w:val="21"/>
                <w:highlight w:val="none"/>
              </w:rPr>
              <w:t>电话：</w:t>
            </w:r>
          </w:p>
        </w:tc>
      </w:tr>
      <w:tr w14:paraId="556A024D">
        <w:tblPrEx>
          <w:tblCellMar>
            <w:top w:w="0" w:type="dxa"/>
            <w:left w:w="108" w:type="dxa"/>
            <w:bottom w:w="0" w:type="dxa"/>
            <w:right w:w="108" w:type="dxa"/>
          </w:tblCellMar>
        </w:tblPrEx>
        <w:trPr>
          <w:trHeight w:val="567" w:hRule="atLeast"/>
          <w:jc w:val="center"/>
        </w:trPr>
        <w:tc>
          <w:tcPr>
            <w:tcW w:w="4672" w:type="dxa"/>
            <w:vAlign w:val="center"/>
          </w:tcPr>
          <w:p w14:paraId="6520AE8C">
            <w:pPr>
              <w:jc w:val="left"/>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0771-3272160</w:t>
            </w:r>
          </w:p>
        </w:tc>
        <w:tc>
          <w:tcPr>
            <w:tcW w:w="4672" w:type="dxa"/>
            <w:vAlign w:val="center"/>
          </w:tcPr>
          <w:p w14:paraId="31D50D3F">
            <w:pPr>
              <w:jc w:val="left"/>
              <w:rPr>
                <w:rFonts w:ascii="宋体" w:hAnsi="宋体"/>
                <w:color w:val="auto"/>
                <w:szCs w:val="21"/>
                <w:highlight w:val="none"/>
              </w:rPr>
            </w:pPr>
            <w:r>
              <w:rPr>
                <w:rFonts w:hint="eastAsia" w:ascii="宋体" w:hAnsi="宋体"/>
                <w:color w:val="auto"/>
                <w:szCs w:val="21"/>
                <w:highlight w:val="none"/>
              </w:rPr>
              <w:t>传真：</w:t>
            </w:r>
          </w:p>
        </w:tc>
      </w:tr>
      <w:tr w14:paraId="5FCCAA61">
        <w:tblPrEx>
          <w:tblCellMar>
            <w:top w:w="0" w:type="dxa"/>
            <w:left w:w="108" w:type="dxa"/>
            <w:bottom w:w="0" w:type="dxa"/>
            <w:right w:w="108" w:type="dxa"/>
          </w:tblCellMar>
        </w:tblPrEx>
        <w:trPr>
          <w:trHeight w:val="567" w:hRule="atLeast"/>
          <w:jc w:val="center"/>
        </w:trPr>
        <w:tc>
          <w:tcPr>
            <w:tcW w:w="4672" w:type="dxa"/>
            <w:vAlign w:val="center"/>
          </w:tcPr>
          <w:p w14:paraId="5EE72AB3">
            <w:pPr>
              <w:jc w:val="left"/>
              <w:rPr>
                <w:rFonts w:ascii="宋体" w:hAnsi="宋体"/>
                <w:color w:val="auto"/>
                <w:szCs w:val="21"/>
                <w:highlight w:val="none"/>
              </w:rPr>
            </w:pPr>
            <w:r>
              <w:rPr>
                <w:rFonts w:hint="eastAsia" w:ascii="宋体" w:hAnsi="宋体"/>
                <w:color w:val="auto"/>
                <w:szCs w:val="21"/>
                <w:highlight w:val="none"/>
              </w:rPr>
              <w:t>电子信箱：</w:t>
            </w:r>
            <w:r>
              <w:rPr>
                <w:color w:val="auto"/>
                <w:highlight w:val="none"/>
              </w:rPr>
              <w:fldChar w:fldCharType="begin"/>
            </w:r>
            <w:r>
              <w:rPr>
                <w:color w:val="auto"/>
                <w:highlight w:val="none"/>
              </w:rPr>
              <w:instrText xml:space="preserve"> HYPERLINK "mailto:gxdxsbk@163.com" </w:instrText>
            </w:r>
            <w:r>
              <w:rPr>
                <w:color w:val="auto"/>
                <w:highlight w:val="none"/>
              </w:rPr>
              <w:fldChar w:fldCharType="separate"/>
            </w:r>
            <w:r>
              <w:rPr>
                <w:rStyle w:val="45"/>
                <w:rFonts w:hint="eastAsia" w:ascii="宋体" w:hAnsi="宋体"/>
                <w:color w:val="auto"/>
                <w:szCs w:val="21"/>
                <w:highlight w:val="none"/>
              </w:rPr>
              <w:t>gxdxsbk@163.com</w:t>
            </w:r>
            <w:r>
              <w:rPr>
                <w:rStyle w:val="45"/>
                <w:rFonts w:hint="eastAsia" w:ascii="宋体" w:hAnsi="宋体"/>
                <w:color w:val="auto"/>
                <w:szCs w:val="21"/>
                <w:highlight w:val="none"/>
              </w:rPr>
              <w:fldChar w:fldCharType="end"/>
            </w:r>
          </w:p>
        </w:tc>
        <w:tc>
          <w:tcPr>
            <w:tcW w:w="4672" w:type="dxa"/>
            <w:vAlign w:val="center"/>
          </w:tcPr>
          <w:p w14:paraId="655DEFFD">
            <w:pPr>
              <w:jc w:val="left"/>
              <w:rPr>
                <w:rFonts w:ascii="宋体" w:hAnsi="宋体"/>
                <w:color w:val="auto"/>
                <w:szCs w:val="21"/>
                <w:highlight w:val="none"/>
              </w:rPr>
            </w:pPr>
            <w:r>
              <w:rPr>
                <w:rFonts w:hint="eastAsia" w:ascii="宋体" w:hAnsi="宋体"/>
                <w:color w:val="auto"/>
                <w:szCs w:val="21"/>
                <w:highlight w:val="none"/>
              </w:rPr>
              <w:t>电子信箱：</w:t>
            </w:r>
          </w:p>
        </w:tc>
      </w:tr>
      <w:tr w14:paraId="2B4C427A">
        <w:tblPrEx>
          <w:tblCellMar>
            <w:top w:w="0" w:type="dxa"/>
            <w:left w:w="108" w:type="dxa"/>
            <w:bottom w:w="0" w:type="dxa"/>
            <w:right w:w="108" w:type="dxa"/>
          </w:tblCellMar>
        </w:tblPrEx>
        <w:trPr>
          <w:trHeight w:val="567" w:hRule="atLeast"/>
          <w:jc w:val="center"/>
        </w:trPr>
        <w:tc>
          <w:tcPr>
            <w:tcW w:w="4672" w:type="dxa"/>
            <w:vAlign w:val="center"/>
          </w:tcPr>
          <w:p w14:paraId="49B1338A">
            <w:pPr>
              <w:jc w:val="lef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中国银行广西南宁市西大支行 </w:t>
            </w:r>
          </w:p>
        </w:tc>
        <w:tc>
          <w:tcPr>
            <w:tcW w:w="4672" w:type="dxa"/>
            <w:vAlign w:val="center"/>
          </w:tcPr>
          <w:p w14:paraId="2E1308FB">
            <w:pPr>
              <w:jc w:val="left"/>
              <w:rPr>
                <w:rFonts w:ascii="宋体" w:hAnsi="宋体"/>
                <w:color w:val="auto"/>
                <w:szCs w:val="21"/>
                <w:highlight w:val="none"/>
              </w:rPr>
            </w:pPr>
            <w:r>
              <w:rPr>
                <w:rFonts w:hint="eastAsia" w:ascii="宋体" w:hAnsi="宋体"/>
                <w:color w:val="auto"/>
                <w:szCs w:val="21"/>
                <w:highlight w:val="none"/>
              </w:rPr>
              <w:t>开户银行：</w:t>
            </w:r>
          </w:p>
        </w:tc>
      </w:tr>
      <w:tr w14:paraId="0A466978">
        <w:tblPrEx>
          <w:tblCellMar>
            <w:top w:w="0" w:type="dxa"/>
            <w:left w:w="108" w:type="dxa"/>
            <w:bottom w:w="0" w:type="dxa"/>
            <w:right w:w="108" w:type="dxa"/>
          </w:tblCellMar>
        </w:tblPrEx>
        <w:trPr>
          <w:trHeight w:val="567" w:hRule="atLeast"/>
          <w:jc w:val="center"/>
        </w:trPr>
        <w:tc>
          <w:tcPr>
            <w:tcW w:w="4672" w:type="dxa"/>
            <w:vAlign w:val="center"/>
          </w:tcPr>
          <w:p w14:paraId="279F0C20">
            <w:pPr>
              <w:jc w:val="left"/>
              <w:rPr>
                <w:rFonts w:ascii="宋体" w:hAnsi="宋体"/>
                <w:color w:val="auto"/>
                <w:szCs w:val="21"/>
                <w:highlight w:val="none"/>
              </w:rPr>
            </w:pPr>
            <w:r>
              <w:rPr>
                <w:rFonts w:hint="eastAsia" w:ascii="宋体" w:hAnsi="宋体"/>
                <w:color w:val="auto"/>
                <w:szCs w:val="21"/>
                <w:highlight w:val="none"/>
              </w:rPr>
              <w:t>账号：</w:t>
            </w:r>
            <w:r>
              <w:rPr>
                <w:rFonts w:hint="eastAsia" w:ascii="宋体" w:hAnsi="宋体"/>
                <w:color w:val="auto"/>
                <w:szCs w:val="21"/>
                <w:highlight w:val="none"/>
                <w:u w:val="single"/>
              </w:rPr>
              <w:t>618457484938</w:t>
            </w:r>
          </w:p>
        </w:tc>
        <w:tc>
          <w:tcPr>
            <w:tcW w:w="4672" w:type="dxa"/>
            <w:vAlign w:val="center"/>
          </w:tcPr>
          <w:p w14:paraId="1BA0FE3F">
            <w:pPr>
              <w:jc w:val="left"/>
              <w:rPr>
                <w:rFonts w:ascii="宋体" w:hAnsi="宋体"/>
                <w:color w:val="auto"/>
                <w:szCs w:val="21"/>
                <w:highlight w:val="none"/>
              </w:rPr>
            </w:pPr>
            <w:r>
              <w:rPr>
                <w:rFonts w:hint="eastAsia" w:ascii="宋体" w:hAnsi="宋体"/>
                <w:color w:val="auto"/>
                <w:szCs w:val="21"/>
                <w:highlight w:val="none"/>
              </w:rPr>
              <w:t>账号：</w:t>
            </w:r>
          </w:p>
        </w:tc>
      </w:tr>
    </w:tbl>
    <w:p w14:paraId="4A48C502">
      <w:pPr>
        <w:spacing w:line="360" w:lineRule="auto"/>
        <w:ind w:firstLine="420" w:firstLineChars="200"/>
        <w:rPr>
          <w:rFonts w:ascii="宋体" w:hAnsi="宋体" w:eastAsia="宋体"/>
          <w:color w:val="auto"/>
          <w:szCs w:val="21"/>
          <w:highlight w:val="none"/>
        </w:rPr>
      </w:pPr>
    </w:p>
    <w:p w14:paraId="64BAC234">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6BB934FB">
      <w:pPr>
        <w:pStyle w:val="3"/>
        <w:spacing w:before="0" w:after="0" w:line="240" w:lineRule="auto"/>
        <w:jc w:val="center"/>
        <w:rPr>
          <w:rFonts w:ascii="宋体" w:hAnsi="宋体" w:eastAsia="宋体"/>
          <w:color w:val="auto"/>
          <w:sz w:val="30"/>
          <w:szCs w:val="30"/>
          <w:highlight w:val="none"/>
        </w:rPr>
      </w:pPr>
      <w:bookmarkStart w:id="79" w:name="_Toc197530136"/>
      <w:bookmarkStart w:id="80" w:name="_Toc195459461"/>
      <w:r>
        <w:rPr>
          <w:rFonts w:hint="eastAsia" w:ascii="宋体" w:hAnsi="宋体" w:eastAsia="宋体"/>
          <w:color w:val="auto"/>
          <w:sz w:val="30"/>
          <w:szCs w:val="30"/>
          <w:highlight w:val="none"/>
        </w:rPr>
        <w:t>第二部分 通用合同条款</w:t>
      </w:r>
      <w:bookmarkEnd w:id="79"/>
      <w:bookmarkEnd w:id="80"/>
    </w:p>
    <w:p w14:paraId="3B327732">
      <w:pPr>
        <w:spacing w:line="360" w:lineRule="auto"/>
        <w:ind w:firstLine="420" w:firstLineChars="200"/>
        <w:rPr>
          <w:rFonts w:hAnsi="宋体"/>
          <w:color w:val="auto"/>
          <w:kern w:val="0"/>
          <w:highlight w:val="none"/>
        </w:rPr>
      </w:pPr>
    </w:p>
    <w:p w14:paraId="1A13964D">
      <w:pPr>
        <w:spacing w:line="360" w:lineRule="auto"/>
        <w:ind w:firstLine="422" w:firstLineChars="200"/>
        <w:rPr>
          <w:rFonts w:hAnsi="宋体" w:cs="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7C79D957">
      <w:pPr>
        <w:pStyle w:val="4"/>
        <w:jc w:val="left"/>
        <w:rPr>
          <w:rFonts w:ascii="宋体" w:hAnsi="宋体" w:eastAsia="宋体"/>
          <w:color w:val="auto"/>
          <w:sz w:val="28"/>
          <w:szCs w:val="28"/>
          <w:highlight w:val="none"/>
        </w:rPr>
      </w:pPr>
      <w:bookmarkStart w:id="81" w:name="_Toc197530137"/>
      <w:bookmarkStart w:id="82" w:name="_Toc195459462"/>
      <w:r>
        <w:rPr>
          <w:rFonts w:hint="eastAsia" w:ascii="宋体" w:hAnsi="宋体" w:eastAsia="宋体"/>
          <w:color w:val="auto"/>
          <w:sz w:val="28"/>
          <w:szCs w:val="28"/>
          <w:highlight w:val="none"/>
        </w:rPr>
        <w:t>1.一般约定</w:t>
      </w:r>
      <w:bookmarkEnd w:id="81"/>
      <w:bookmarkEnd w:id="82"/>
    </w:p>
    <w:p w14:paraId="6993E8D9">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1.1词语定义与解释</w:t>
      </w:r>
    </w:p>
    <w:p w14:paraId="6A58AB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合同协议书、通用合同条款、专用合同条款中的下列词语具有本款所赋予的含义：</w:t>
      </w:r>
    </w:p>
    <w:p w14:paraId="66BC9D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1.1.1合同</w:t>
      </w:r>
    </w:p>
    <w:p w14:paraId="6CF7B2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758F8A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1.1.1.2合同协议书：是指构成合同的由发包人和承包人共同签署的称为“合同协议书”的书面文件。</w:t>
      </w:r>
    </w:p>
    <w:p w14:paraId="1EBB1B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1.1.1.3中标通知书：是指构成合同的由发包人通知承包人中标的书面文件。</w:t>
      </w:r>
    </w:p>
    <w:p w14:paraId="0B1F91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1.1.1.4投标函：是指构成合同的由承包人填写并签署的用于投标的称为“投标函”的文件。</w:t>
      </w:r>
    </w:p>
    <w:p w14:paraId="552C4C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1.1.1.5投标函附录：是指构成合同的附在投标函后的称为“投标函附录”的文件。</w:t>
      </w:r>
    </w:p>
    <w:p w14:paraId="1F8E8C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1.1.1.6技术标准和要求：是指构成合同的施工应当遵守的或指导施工的国家、行业或地方的技术标准和要求，以及合同约定的技术标准和要求。</w:t>
      </w:r>
    </w:p>
    <w:p w14:paraId="3AB9F4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1.1.1.7图纸：是指构成合同的图纸，包括由发包人按照合同约定提供或经发包人批准的设计文件、施工图、鸟瞰图及模型等，以及在合同履行过程中形成的图纸文件。图纸应当按照法律规定审查合格。</w:t>
      </w:r>
    </w:p>
    <w:p w14:paraId="0AD9EB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1.1.1.8已标价工程量清单：是指构成合同的由承包人按照规定的格式和要求填写并标明价格的工程量清单，包括说明和表格。</w:t>
      </w:r>
    </w:p>
    <w:p w14:paraId="6521A10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1.1.1.9预算书：是指构成合同的由承包人按照发包人规定的格式和要求编制的工程预算文件。</w:t>
      </w:r>
    </w:p>
    <w:p w14:paraId="562A7F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1.1.1.10其他合同文件：是指经合同当事人约定的与工程施工有关的具有合同约束力的文件或书面协议。合同当事人可以在专用合同条款中进行约定。</w:t>
      </w:r>
    </w:p>
    <w:p w14:paraId="375CC2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1.1.2合同当事人及其他相关方</w:t>
      </w:r>
    </w:p>
    <w:p w14:paraId="7C92FF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1.1.2.1合同当事人：是指发包人和（或）承包人。</w:t>
      </w:r>
    </w:p>
    <w:p w14:paraId="2E6E72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1.1.2.2发包人：是指与承包人签订合同协议书的当事人及取得该当事人资格的合法继承人。</w:t>
      </w:r>
    </w:p>
    <w:p w14:paraId="5E3A51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1.1.2.3承包人：是指与发包人签订合同协议书的，具有相应工程施工承包资质的当事人及取得该当事人资格的合法继承人。</w:t>
      </w:r>
    </w:p>
    <w:p w14:paraId="7E64997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1.1.2.4监理人：是指在专用合同条款中指明的，受发包人委托按照法律规定进行工程监督管理的法人或其他组织。</w:t>
      </w:r>
    </w:p>
    <w:p w14:paraId="745FDA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1.1.2.5设计人：是指在专用合同条款中指明的，受发包人委托负责工程设计并具备相应工程设计资质的法人或其他组织。</w:t>
      </w:r>
    </w:p>
    <w:p w14:paraId="1C3FAF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1.1.2.6分包人：是指按照法律规定和合同约定，分包部分工程或工作，并与承包人签订分包合同的具有相应资质的法人。</w:t>
      </w:r>
    </w:p>
    <w:p w14:paraId="522F47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1.1.2.7发包人代表：是指由发包人任命并派驻施工现场在发包人授权范围内行使发包人权利的人。</w:t>
      </w:r>
    </w:p>
    <w:p w14:paraId="7AD8EB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1.1.2.8项目经理：是指由承包人任命并派驻施工现场，在承包人授权范围内负责合同履行，且按照法律规定具有相应资格的项目负责人。</w:t>
      </w:r>
    </w:p>
    <w:p w14:paraId="6EBC45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1.1.2.9总监理工程师：是指由监理人任命并派驻施工现场进行工程监理的总负责人。</w:t>
      </w:r>
    </w:p>
    <w:p w14:paraId="47CBCB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1.1.3工程和设备</w:t>
      </w:r>
    </w:p>
    <w:p w14:paraId="704EED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1.1.3.1工程：是指与合同协议书中工程承包范围对应的永久工程和（或）临时工程。</w:t>
      </w:r>
    </w:p>
    <w:p w14:paraId="1F067C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1.1.3.2永久工程：是指按合同约定建造并移交给发包人的工程，包括工程设备。</w:t>
      </w:r>
    </w:p>
    <w:p w14:paraId="56E0A4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1.1.3.3临时工程：是指为完成合同约定的永久工程所修建的各类临时性工程，不包括施工设备。</w:t>
      </w:r>
    </w:p>
    <w:p w14:paraId="032453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1.1.3.4单位工程：是指在合同协议书中指明的，具备独立施工条件并能形成独立使用功能的永久工程。</w:t>
      </w:r>
    </w:p>
    <w:p w14:paraId="239B4D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1.1.3.5工程设备：是指构成永久工程的机电设备、金属结构设备、仪器及其他类似的设备和装置。</w:t>
      </w:r>
    </w:p>
    <w:p w14:paraId="180702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1.1.3.6施工设备：是指为完成合同约定的各项工作所需的设备、器具和其他物品，但不包括工程设备、临时工程和材料。</w:t>
      </w:r>
    </w:p>
    <w:p w14:paraId="5FEF83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1.1.3.7施工现场：是指用于工程施工的场所，以及在专用合同条款中指明作为施工场所组成部分的其他场所，包括永久占地和临时占地。</w:t>
      </w:r>
    </w:p>
    <w:p w14:paraId="029BB0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1.1.3.8临时设施：是指为完成合同约定的各项工作所服务的临时性生产和生活设施。</w:t>
      </w:r>
    </w:p>
    <w:p w14:paraId="29C5AC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1.1.3.9永久占地：是指专用合同条款中指明为实施工程需永久占用的土地。</w:t>
      </w:r>
    </w:p>
    <w:p w14:paraId="1F67DF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1.1.3.10临时占地：是指专用合同条款中指明为实施工程需要临时占用的土地。</w:t>
      </w:r>
    </w:p>
    <w:p w14:paraId="6EF8E6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1.1.4日期和期限</w:t>
      </w:r>
    </w:p>
    <w:p w14:paraId="5DAF2C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1.1.4.1开工日期：包括计划开工日期和实际开工日期。计划开工日期是指合同协议书约定的开工日期；实际开工日期是指监理人按照第7.3.2项〔开工通知〕约定发出的符合法律规定的开工通知中载明的开工日期。</w:t>
      </w:r>
    </w:p>
    <w:p w14:paraId="2443F0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1.1.4.2竣工日期：包括计划竣工日期和实际竣工日期。计划竣工日期是指合同协议书约定的竣工日期；实际竣工日期按照第13.2.3项〔竣工日期〕的约定确定。</w:t>
      </w:r>
    </w:p>
    <w:p w14:paraId="5D6586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1.1.4.3工期：是指在合同协议书约定的承包人完成工程所需的期限，包括按照合同约定所作的期限变更。</w:t>
      </w:r>
    </w:p>
    <w:p w14:paraId="1AF4D4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1.1.4.4缺陷责任期：是指承包人按照合同约定承担缺陷修复义务，且发包人预留质量保证金（已缴纳履约保证金的除外）的期限，自工程实际竣工日期起计算。</w:t>
      </w:r>
    </w:p>
    <w:p w14:paraId="3D84A1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1.1.4.5保修期：是指承包人按照合同约定对工程承担保修责任的期限，从工程竣工验收合格之日起计算。</w:t>
      </w:r>
    </w:p>
    <w:p w14:paraId="243836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1.1.4.6基准日期：招标发包的工程以投标截止日前28天的日期为基准日期，直接发包的工程以合同签订日前28天的日期为基准日期。</w:t>
      </w:r>
    </w:p>
    <w:p w14:paraId="1BA04C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1.1.4.7天：除特别指明外，均指日历天。合同中按天计算时间的，开始当天不计入，从次日开始计算，期限最后一天的截止时间为当天24：00时。</w:t>
      </w:r>
    </w:p>
    <w:p w14:paraId="6F978D5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1.1.5合同价格和费用</w:t>
      </w:r>
    </w:p>
    <w:p w14:paraId="24168D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1.1.5.1签约合同价：是指发包人和承包人在合同协议书中确定的总金额，包括安全文明施工费、暂估价及暂列金额等。</w:t>
      </w:r>
    </w:p>
    <w:p w14:paraId="103430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1.1.5.2合同价格：是指发包人用于支付承包人按照合同约定完成承包范围内全部工作的金额，包括合同履行过程中按合同约定发生的价格变化。</w:t>
      </w:r>
    </w:p>
    <w:p w14:paraId="3D3391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1.1.5.3费用：是指为履行合同所发生的或将要发生的所有必需的开支，包括管理费和应分摊的其他费用，但不包括利润。</w:t>
      </w:r>
    </w:p>
    <w:p w14:paraId="7E6E5A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1.1.5.4暂估价：是指发包人在工程量清单或预算书中提供的用于支付必然发生但暂时不能确定价格的材料、工程设备的单价、专业工程以及服务工作的金额。</w:t>
      </w:r>
    </w:p>
    <w:p w14:paraId="6AA588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B6358B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1.1.5.6计日工：是指合同履行过程中，承包人完成发包人提出的零星工作或需要采用计日工计价的变更工作时，按合同中约定的单价计价的一种方式。</w:t>
      </w:r>
    </w:p>
    <w:p w14:paraId="5D5017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1.1.5.7质量保证金：是指按照第15.3款〔质量保证金〕约定承包人用于保证其在缺陷责任期内履行缺陷修补义务的担保。</w:t>
      </w:r>
    </w:p>
    <w:p w14:paraId="64AF4A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1.1.5.8总价项目：是指在现行国家、行业以及地方的计量规则中无工程量计算规则，在已标价工程量清单或预算书中以总价或以费率形式计算的项目。</w:t>
      </w:r>
    </w:p>
    <w:p w14:paraId="33BD8D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1.1.6其他</w:t>
      </w:r>
    </w:p>
    <w:p w14:paraId="09EDD3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1.1.6.1书面形式：是指合同文件、信函、电报、传真等可以有形地表现所载内容的形式。</w:t>
      </w:r>
    </w:p>
    <w:p w14:paraId="03DC0E3F">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1.2语言文字</w:t>
      </w:r>
    </w:p>
    <w:p w14:paraId="2C1B43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合同以中国的汉语简体文字编写、解释和说明。合同当事人在专用合同条款中约定使用两种以上语言时，汉语为优先解释和说明合同的语言。</w:t>
      </w:r>
    </w:p>
    <w:p w14:paraId="2CE84475">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1.3法律</w:t>
      </w:r>
    </w:p>
    <w:p w14:paraId="659704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合同所称法律是指中华人民共和国法律、行政法规、部门规章，以及工程所在地的地方性法规、自治条例、单行条例和地方政府规章等。</w:t>
      </w:r>
    </w:p>
    <w:p w14:paraId="6D895E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合同当事人可以在专用合同条款中约定合同适用的其他规范性文件。</w:t>
      </w:r>
    </w:p>
    <w:p w14:paraId="4A0BF66D">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1.4标准和规范</w:t>
      </w:r>
    </w:p>
    <w:p w14:paraId="47F99A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1.4.1适用于工程的国家标准、行业标准、工程所在地的地方性标准，以及相应的规范、规程等，合同当事人有特别要求的，应在专用合同条款中约定。</w:t>
      </w:r>
    </w:p>
    <w:p w14:paraId="4DA23D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1.4.2发包人要求使用国外标准、规范的，发包人负责提供原文版本和中文译本，并在专用合同条款中约定提供标准规范的名称、份数和时间。</w:t>
      </w:r>
    </w:p>
    <w:p w14:paraId="640F6F0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F2261AA">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1.5合同文件的优先顺序</w:t>
      </w:r>
    </w:p>
    <w:p w14:paraId="25098A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组成合同的各项文件应互相解释，互为说明。除专用合同条款另有约定外，解释合同文件的优先顺序如下：</w:t>
      </w:r>
    </w:p>
    <w:p w14:paraId="7A171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633DF2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（2）中标通知书（如果有）；</w:t>
      </w:r>
    </w:p>
    <w:p w14:paraId="5A96867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（3）投标函及其附录（如果有）；</w:t>
      </w:r>
    </w:p>
    <w:p w14:paraId="5BB07C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1CB6B0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278BBB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（6）技术标准和要求；</w:t>
      </w:r>
    </w:p>
    <w:p w14:paraId="36930E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（7）图纸；</w:t>
      </w:r>
    </w:p>
    <w:p w14:paraId="429F3F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（8）已标价工程量清单或预算书；</w:t>
      </w:r>
    </w:p>
    <w:p w14:paraId="725CA1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（9）其他合同文件。</w:t>
      </w:r>
    </w:p>
    <w:p w14:paraId="66ACB1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w:t>
      </w:r>
    </w:p>
    <w:p w14:paraId="0A1001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在合同订立及履行过程中形成的与合同有关的文件均构成合同文件组成部分，并根据其性质确定优先解释顺序。</w:t>
      </w:r>
    </w:p>
    <w:p w14:paraId="23045F2F">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1.6图纸和承包人文件</w:t>
      </w:r>
    </w:p>
    <w:p w14:paraId="79C448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1.6.1图纸的提供和交底</w:t>
      </w:r>
    </w:p>
    <w:p w14:paraId="7A1644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34557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因发包人未按合同约定提供图纸导致承包人费用增加和（或）工期延误的，按照第7.5.1项〔因发包人原因导致工期延误〕约定办理。</w:t>
      </w:r>
    </w:p>
    <w:p w14:paraId="5643DD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1.6.2图纸的错误</w:t>
      </w:r>
    </w:p>
    <w:p w14:paraId="049C24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54020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1.6.3图纸的修改和补充</w:t>
      </w:r>
    </w:p>
    <w:p w14:paraId="3818DD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2CE7B3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1.6.4承包人文件</w:t>
      </w:r>
    </w:p>
    <w:p w14:paraId="4FDB02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承包人应按照专用合同条款的约定提供应当由其编制的与工程施工有关的文件，并按照专用合同条款约定的期限、数量和形式提交监理人，并由监理人报送发包人。</w:t>
      </w:r>
    </w:p>
    <w:p w14:paraId="2007B1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22FFC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1.6.5图纸和承包人文件的保管</w:t>
      </w:r>
    </w:p>
    <w:p w14:paraId="65E8F0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除专用合同条款另有约定外，承包人应在施工现场另外保存一套完整的图纸和承包人文件，供发包人、监理人及有关人员进行工程检查时使用。</w:t>
      </w:r>
    </w:p>
    <w:p w14:paraId="344F2AE6">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1.7联络</w:t>
      </w:r>
    </w:p>
    <w:p w14:paraId="5C2D88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1.7.1与合同有关的通知、批准、证明、证书、指示、指令、要求、请求、同意、意见、确定和决定等，均应采用书面形式，并应在合同约定的期限内送达接收人和送达地点。</w:t>
      </w:r>
    </w:p>
    <w:p w14:paraId="59CD2E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1.7.2发包人和承包人应在专用合同条款中约定各自的送达接收人和送达地点。任何一方合同当事人指定的接收人或送达地点发生变动的，应提前3天以书面形式通知对方。</w:t>
      </w:r>
    </w:p>
    <w:p w14:paraId="2F87CC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1.7.3发包人和承包人应当及时签收另一方送达至送达地点和指定接收人的来往信函。拒不签收的，由此增加的费用和（或）延误的工期由拒绝接收一方承担。</w:t>
      </w:r>
    </w:p>
    <w:p w14:paraId="07C00629">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1.8严禁贿赂</w:t>
      </w:r>
    </w:p>
    <w:p w14:paraId="6CB915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合同当事人不得以贿赂或变相贿赂的方式，谋取非法利益或损害对方权益。因一方合同当事人的贿赂造成对方损失的，应赔偿损失，并承担相应的法律责任。</w:t>
      </w:r>
    </w:p>
    <w:p w14:paraId="138661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2558E5F1">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1.9化石、文物</w:t>
      </w:r>
    </w:p>
    <w:p w14:paraId="5E7A1D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DC009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发包人、监理人和承包人应按有关政府行政管理部门要求采取妥善的保护措施，由此增加的费用和（或）延误的工期由发包人承担。</w:t>
      </w:r>
    </w:p>
    <w:p w14:paraId="1B3075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承包人发现文物后不及时报告或隐瞒不报，致使文物丢失或损坏的，应赔偿损失，并承担相应的法律责任。</w:t>
      </w:r>
    </w:p>
    <w:p w14:paraId="2D1F7758">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1.10交通运输</w:t>
      </w:r>
    </w:p>
    <w:p w14:paraId="2B322A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1.10.1出入现场的权利</w:t>
      </w:r>
    </w:p>
    <w:p w14:paraId="3E8FD8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F7263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524CB4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1.10.2场外交通</w:t>
      </w:r>
    </w:p>
    <w:p w14:paraId="63A4CB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41D6A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1.10.3场内交通</w:t>
      </w:r>
    </w:p>
    <w:p w14:paraId="3791F9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62E41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794D3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场外交通和场内交通的边界由合同当事人在专用合同条款中约定。</w:t>
      </w:r>
    </w:p>
    <w:p w14:paraId="5394E2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1.10.4超大件和超重件的运输</w:t>
      </w:r>
    </w:p>
    <w:p w14:paraId="11B205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582A5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1.10.5道路和桥梁的损坏责任</w:t>
      </w:r>
    </w:p>
    <w:p w14:paraId="3002DF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因承包人运输造成施工场地内外公共道路和桥梁损坏的，由承包人承担修复损坏的全部费用和可能引起的赔偿。</w:t>
      </w:r>
    </w:p>
    <w:p w14:paraId="794534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1.10.6水路和航空运输</w:t>
      </w:r>
    </w:p>
    <w:p w14:paraId="6EF813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3E0D5B6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1.11知识产权</w:t>
      </w:r>
    </w:p>
    <w:p w14:paraId="2178DB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47F4B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2839B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DF427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1.11.4除专用合同条款另有约定外，承包人在合同签订前和签订时已确定采用的专利、专有技术、技术秘密的使用费已包含在签约合同价中。</w:t>
      </w:r>
    </w:p>
    <w:p w14:paraId="7A957B95">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1.12保密</w:t>
      </w:r>
    </w:p>
    <w:p w14:paraId="53B2FA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除法律规定或合同另有约定外，未经发包人同意，承包人不得将发包人提供的图纸、文件以及声明需要保密的资料信息等商业秘密泄露给第三方。</w:t>
      </w:r>
    </w:p>
    <w:p w14:paraId="144354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除法律规定或合同另有约定外，未经承包人同意，发包人不得将承包人提供的技术秘密及声明需要保密的资料信息等商业秘密泄露给第三方。</w:t>
      </w:r>
    </w:p>
    <w:p w14:paraId="761A4625">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1.13工程量清单错误的修正</w:t>
      </w:r>
    </w:p>
    <w:p w14:paraId="6901E0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除专用合同条款另有约定外，发包人提供的工程量清单，应被认为是准确的和完整的。出现下列情形之一时，发包人应予以修正，并相应调整合同价格：</w:t>
      </w:r>
    </w:p>
    <w:p w14:paraId="08076C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（1）工程量清单存在缺项、漏项的；</w:t>
      </w:r>
    </w:p>
    <w:p w14:paraId="1FD671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（2）工程量清单偏差超出专用合同条款约定的工程量偏差范围的；</w:t>
      </w:r>
    </w:p>
    <w:p w14:paraId="00C389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（3）未按照国家现行计量规范强制性规定计量的。</w:t>
      </w:r>
    </w:p>
    <w:p w14:paraId="687276E3">
      <w:pPr>
        <w:pStyle w:val="4"/>
        <w:jc w:val="left"/>
        <w:rPr>
          <w:rFonts w:ascii="宋体" w:hAnsi="宋体" w:eastAsia="宋体"/>
          <w:color w:val="auto"/>
          <w:sz w:val="28"/>
          <w:szCs w:val="28"/>
          <w:highlight w:val="none"/>
        </w:rPr>
      </w:pPr>
      <w:bookmarkStart w:id="83" w:name="_Toc195459463"/>
      <w:bookmarkStart w:id="84" w:name="_Toc197530138"/>
      <w:r>
        <w:rPr>
          <w:rFonts w:hint="eastAsia" w:ascii="宋体" w:hAnsi="宋体" w:eastAsia="宋体"/>
          <w:color w:val="auto"/>
          <w:sz w:val="28"/>
          <w:szCs w:val="28"/>
          <w:highlight w:val="none"/>
        </w:rPr>
        <w:t>2.发包人</w:t>
      </w:r>
      <w:bookmarkEnd w:id="83"/>
      <w:bookmarkEnd w:id="84"/>
    </w:p>
    <w:p w14:paraId="0A47BFC1">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2.1许可或批准</w:t>
      </w:r>
    </w:p>
    <w:p w14:paraId="7D9413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4BDCF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因发包人原因未能及时办理完毕前述许可、批准或备案，由发包人承担由此增加的费用和（或）延误的工期，并支付承包人合理的利润。</w:t>
      </w:r>
    </w:p>
    <w:p w14:paraId="70C68BB8">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2.2发包人代表</w:t>
      </w:r>
    </w:p>
    <w:p w14:paraId="0BEB0E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3934E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发包人代表不能按照合同约定履行其职责及义务，并导致合同无法继续正常履行的，承包人可以要求发包人撤换发包人代表。</w:t>
      </w:r>
    </w:p>
    <w:p w14:paraId="55380F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不属于法定必须监理的工程，监理人的职权可以由发包人代表或发包人指定的其他人员行使。</w:t>
      </w:r>
    </w:p>
    <w:p w14:paraId="62B36FAE">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2.3发包人人员</w:t>
      </w:r>
    </w:p>
    <w:p w14:paraId="18D045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09135A7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发包人人员包括发包人代表及其他由发包人派驻施工现场的人员。</w:t>
      </w:r>
    </w:p>
    <w:p w14:paraId="468149A9">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2.4施工现场、施工条件和基础资料的提供</w:t>
      </w:r>
    </w:p>
    <w:p w14:paraId="68F3C3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2.4.1提供施工现场</w:t>
      </w:r>
    </w:p>
    <w:p w14:paraId="6A9E9B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除专用合同条款另有约定外，发包人应最迟于开工日期7天前向承包人移交施工现场。</w:t>
      </w:r>
    </w:p>
    <w:p w14:paraId="61C8EC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2.4.2提供施工条件</w:t>
      </w:r>
    </w:p>
    <w:p w14:paraId="7432A5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除专用合同条款另有约定外，发包人应负责提供施工所需要的条件，包括：</w:t>
      </w:r>
    </w:p>
    <w:p w14:paraId="560074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（1）将施工用水、电力、通讯线路等施工所必需的条件接至施工现场内；</w:t>
      </w:r>
    </w:p>
    <w:p w14:paraId="6A8423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（2）保证向承包人提供正常施工所需要的进入施工现场的交通条件；</w:t>
      </w:r>
    </w:p>
    <w:p w14:paraId="6A43B3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（3）协调处理施工现场周围地下管线和邻近建筑物、构筑物、古树名木的保护工作，并承担相关费用；</w:t>
      </w:r>
    </w:p>
    <w:p w14:paraId="424A16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（4）按照专用合同条款约定应提供的其他设施和条件。</w:t>
      </w:r>
    </w:p>
    <w:p w14:paraId="2F4F41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2.4.3提供基础资料</w:t>
      </w:r>
    </w:p>
    <w:p w14:paraId="0E9E88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2EE93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按照法律规定确需在开工后方能提供的基础资料，发包人应尽其努力及时地在相应工程施工前的合理期限内提供，合理期限应以不影响承包人的正常施工为限。</w:t>
      </w:r>
    </w:p>
    <w:p w14:paraId="45A799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2.4.4逾期提供的责任</w:t>
      </w:r>
    </w:p>
    <w:p w14:paraId="49AB23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因发包人原因未能按合同约定及时向承包人提供施工现场、施工条件、基础资料的，由发包人承担由此增加的费用和（或）延误的工期。</w:t>
      </w:r>
    </w:p>
    <w:p w14:paraId="45832671">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2.5资金来源证明及支付担保</w:t>
      </w:r>
    </w:p>
    <w:p w14:paraId="53668B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除专用合同条款另有约定外，发包人应在收到承包人要求提供资金来源证明的书面通知后28天内，向承包人提供能够按照合同约定支付合同价款的相应资金来源证明。</w:t>
      </w:r>
    </w:p>
    <w:p w14:paraId="1FF14E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076DFF2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2.6支付合同价款</w:t>
      </w:r>
    </w:p>
    <w:p w14:paraId="21E2CE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发包人应按合同约定向承包人及时支付合同价款。</w:t>
      </w:r>
    </w:p>
    <w:p w14:paraId="15064E8A">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2.7组织竣工验收</w:t>
      </w:r>
    </w:p>
    <w:p w14:paraId="2DFFCA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发包人应按合同约定及时组织竣工验收。</w:t>
      </w:r>
    </w:p>
    <w:p w14:paraId="49166C1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2.8现场统一管理协议</w:t>
      </w:r>
    </w:p>
    <w:p w14:paraId="7C3E30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发包人应与承包人、由发包人直接发包的专业工程的承包人签订施工现场统一管理协议，明确各方的权利义务。施工现场统一管理协议作为专用合同条款的附件。</w:t>
      </w:r>
    </w:p>
    <w:p w14:paraId="78CE35C1">
      <w:pPr>
        <w:pStyle w:val="4"/>
        <w:jc w:val="left"/>
        <w:rPr>
          <w:rFonts w:ascii="宋体" w:hAnsi="宋体" w:eastAsia="宋体"/>
          <w:color w:val="auto"/>
          <w:sz w:val="28"/>
          <w:szCs w:val="28"/>
          <w:highlight w:val="none"/>
        </w:rPr>
      </w:pPr>
      <w:bookmarkStart w:id="85" w:name="_Toc197530139"/>
      <w:bookmarkStart w:id="86" w:name="_Toc195459464"/>
      <w:r>
        <w:rPr>
          <w:rFonts w:hint="eastAsia" w:ascii="宋体" w:hAnsi="宋体" w:eastAsia="宋体"/>
          <w:color w:val="auto"/>
          <w:sz w:val="28"/>
          <w:szCs w:val="28"/>
          <w:highlight w:val="none"/>
        </w:rPr>
        <w:t>3.承包人</w:t>
      </w:r>
      <w:bookmarkEnd w:id="85"/>
      <w:bookmarkEnd w:id="86"/>
    </w:p>
    <w:p w14:paraId="19F12EF7">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3.1承包人的一般义务</w:t>
      </w:r>
    </w:p>
    <w:p w14:paraId="54A38B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承包人在履行合同过程中应遵守法律和工程建设标准规范，并履行以下义务：</w:t>
      </w:r>
    </w:p>
    <w:p w14:paraId="2124E7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（1）办理法律规定应由承包人办理的许可和批准，并将办理结果书面报送发包人留存；</w:t>
      </w:r>
    </w:p>
    <w:p w14:paraId="1FE2B4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（2）按法律规定和合同约定完成工程，并在保修期内承担保修义务；</w:t>
      </w:r>
    </w:p>
    <w:p w14:paraId="5734B7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（3）按法律规定和合同约定采取施工安全和环境保护措施，办理工伤保险，确保工程及人员、材料、设备和设施的安全；</w:t>
      </w:r>
    </w:p>
    <w:p w14:paraId="1C62FC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（4）按合同约定的工作内容和施工进度要求，编制施工组织设计和施工措施计划，并对所有施工作业和施工方法的完备性和安全可靠性负责；</w:t>
      </w:r>
    </w:p>
    <w:p w14:paraId="1C760B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7A280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（6）按照第6.3款〔环境保护〕约定负责施工场地及其周边环境与生态的保护工作；</w:t>
      </w:r>
    </w:p>
    <w:p w14:paraId="302908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（7）按照第6.1款〔安全文明施工〕约定采取施工安全措施，确保工程及其人员、材料、设备和设施的安全，防止因工程施工造成的人身伤害和财产损失；</w:t>
      </w:r>
    </w:p>
    <w:p w14:paraId="314505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（8）将发包人按合同约定支付的各项价款专用于合同工程，且应及时支付其雇用人员工资，并及时向分包人支付合同价款；</w:t>
      </w:r>
    </w:p>
    <w:p w14:paraId="3FF5F6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（9）按照法律规定和合同约定编制竣工资料，完成竣工资料立卷及归档，并按专用合同条款约定的竣工资料的套数、内容、时间等要求移交发包人；</w:t>
      </w:r>
    </w:p>
    <w:p w14:paraId="59FAFC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（10）应履行的其他义务。</w:t>
      </w:r>
    </w:p>
    <w:p w14:paraId="0CC20CF6">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3.2项目经理</w:t>
      </w:r>
    </w:p>
    <w:p w14:paraId="0B77F8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491D7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A0328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承包人违反上述约定的，应按照专用合同条款的约定，承担违约责任。</w:t>
      </w:r>
    </w:p>
    <w:p w14:paraId="2647BC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290E2E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00AAA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428C2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14:paraId="3AA956D2">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3.3承包人人员</w:t>
      </w:r>
    </w:p>
    <w:p w14:paraId="0D7497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CF506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EFC18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特殊工种作业人员均应持有相应的资格证明，监理人可以随时检查。</w:t>
      </w:r>
    </w:p>
    <w:p w14:paraId="584169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072BF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D16CD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3.3.5承包人擅自更换主要施工管理人员，或前述人员未经监理人或发包人同意擅自离开施工现场的，应按照专用合同条款约定承担违约责任。</w:t>
      </w:r>
    </w:p>
    <w:p w14:paraId="5EE2FB88">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3.4承包人现场查勘</w:t>
      </w:r>
    </w:p>
    <w:p w14:paraId="44D86F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承包人应对基于发包人按照第2.4.3项〔提供基础资料〕提交的基础资料所做出的解释和推断负责，但因基础资料存在错误、遗漏导致承包人解释或推断失实的，由发包人承担责任。</w:t>
      </w:r>
    </w:p>
    <w:p w14:paraId="3E2B9C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A125E3C">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3.5分包</w:t>
      </w:r>
    </w:p>
    <w:p w14:paraId="1DB5E4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3.5.1分包的一般约定</w:t>
      </w:r>
    </w:p>
    <w:p w14:paraId="65F914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F8592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承包人不得以劳务分包的名义转包或违法分包工程。</w:t>
      </w:r>
    </w:p>
    <w:p w14:paraId="624862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3.5.2分包的确定</w:t>
      </w:r>
    </w:p>
    <w:p w14:paraId="0DF53D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44816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3.5.3分包管理</w:t>
      </w:r>
    </w:p>
    <w:p w14:paraId="2CA388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承包人应向监理人提交分包人的主要施工管理人员表，并对分包人的施工人员进行实名制管理，包括但不限于进出场管理、登记造册以及各种证照的办理。</w:t>
      </w:r>
    </w:p>
    <w:p w14:paraId="18B245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3.5.4分包合同价款</w:t>
      </w:r>
    </w:p>
    <w:p w14:paraId="0A10D1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（1）除本项第（2）目约定的情况或专用合同条款另有约定外，分包合同价款由承包人与分包人结算，未经承包人同意，发包人不得向分包人支付分包工程价款；</w:t>
      </w:r>
    </w:p>
    <w:p w14:paraId="4231CA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（2）生效法律文书要求发包人向分包人支付分包合同价款的，发包人有权从应付承包人工程款中扣除该部分款项。</w:t>
      </w:r>
    </w:p>
    <w:p w14:paraId="0B3923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3.5.5分包合同权益的转让</w:t>
      </w:r>
    </w:p>
    <w:p w14:paraId="2A1742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595B4E7F">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3.6工程照管与成品、半成品保护</w:t>
      </w:r>
    </w:p>
    <w:p w14:paraId="1EDF39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（1）除专用合同条款另有约定外，自发包人向承包人移交施工现场之日起，承包人应负责照管工程及工程相关的材料、工程设备，直到颁发工程接收证书之日止。</w:t>
      </w:r>
    </w:p>
    <w:p w14:paraId="74A421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（2）在承包人负责照管期间，因承包人原因造成工程、材料、工程设备损坏的，由承包人负责修复或更换，并承担由此增加的费用和（或）延误的工期。</w:t>
      </w:r>
    </w:p>
    <w:p w14:paraId="579E1A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6763F714">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3.7履约担保</w:t>
      </w:r>
    </w:p>
    <w:p w14:paraId="010AA4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061A4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因承包人原因导致工期延长的，继续提供履约担保所增加的费用由承包人承担；非因承包人原因导致工期延长的，继续提供履约担保所增加的费用由发包人承担。</w:t>
      </w:r>
    </w:p>
    <w:p w14:paraId="0CF602B2">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3.8联合体</w:t>
      </w:r>
    </w:p>
    <w:p w14:paraId="54D220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3.8.1联合体各方应共同与发包人签订合同协议书。联合体各方应为履行合同向发包人承担连带责任。</w:t>
      </w:r>
    </w:p>
    <w:p w14:paraId="1C42ED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3.8.2联合体协议经发包人确认后作为合同附件。在履行合同过程中，未经发包人同意，不得修改联合体协议。</w:t>
      </w:r>
    </w:p>
    <w:p w14:paraId="4E91AC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3.8.3联合体牵头人负责与发包人和监理人联系，并接受指示，负责组织联合体各成员全面履行合同。</w:t>
      </w:r>
    </w:p>
    <w:p w14:paraId="458C7884">
      <w:pPr>
        <w:pStyle w:val="4"/>
        <w:jc w:val="left"/>
        <w:rPr>
          <w:rFonts w:ascii="宋体" w:hAnsi="宋体" w:eastAsia="宋体"/>
          <w:color w:val="auto"/>
          <w:sz w:val="28"/>
          <w:szCs w:val="28"/>
          <w:highlight w:val="none"/>
        </w:rPr>
      </w:pPr>
      <w:bookmarkStart w:id="87" w:name="_Toc197530140"/>
      <w:bookmarkStart w:id="88" w:name="_Toc195459465"/>
      <w:r>
        <w:rPr>
          <w:rFonts w:hint="eastAsia" w:ascii="宋体" w:hAnsi="宋体" w:eastAsia="宋体"/>
          <w:color w:val="auto"/>
          <w:sz w:val="28"/>
          <w:szCs w:val="28"/>
          <w:highlight w:val="none"/>
        </w:rPr>
        <w:t>4.监理人</w:t>
      </w:r>
      <w:bookmarkEnd w:id="87"/>
      <w:bookmarkEnd w:id="88"/>
    </w:p>
    <w:p w14:paraId="38F838A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4.1监理人的一般规定</w:t>
      </w:r>
    </w:p>
    <w:p w14:paraId="25A2D4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2B997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除专用合同条款另有约定外，监理人在施工现场的办公场所、生活场所由承包人提供，所发生的费用由发包人承担。</w:t>
      </w:r>
    </w:p>
    <w:p w14:paraId="55054186">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4.2监理人员</w:t>
      </w:r>
    </w:p>
    <w:p w14:paraId="45AF8B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A997E36">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4.3监理人的指示</w:t>
      </w:r>
    </w:p>
    <w:p w14:paraId="6D8BC4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603BE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8AFA5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承包人对监理人发出的指示有疑问的，应向监理人提出书面异议，监理人应在48小时内对该指示予以确认、更改或撤销，监理人逾期未回复的，承包人有权拒绝执行上述指示。</w:t>
      </w:r>
    </w:p>
    <w:p w14:paraId="056AA6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77BF367">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4.4商定或确定</w:t>
      </w:r>
    </w:p>
    <w:p w14:paraId="19359F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合同当事人进行商定或确定时，总监理工程师应当会同合同当事人尽量通过协商达成一致，不能达成一致的，由总监理工程师按照合同约定审慎做出公正的确定。</w:t>
      </w:r>
    </w:p>
    <w:p w14:paraId="39280B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05DDAEF">
      <w:pPr>
        <w:pStyle w:val="4"/>
        <w:jc w:val="left"/>
        <w:rPr>
          <w:rFonts w:ascii="宋体" w:hAnsi="宋体" w:eastAsia="宋体"/>
          <w:color w:val="auto"/>
          <w:sz w:val="28"/>
          <w:szCs w:val="28"/>
          <w:highlight w:val="none"/>
        </w:rPr>
      </w:pPr>
      <w:bookmarkStart w:id="89" w:name="_Toc197530141"/>
      <w:bookmarkStart w:id="90" w:name="_Toc195459466"/>
      <w:r>
        <w:rPr>
          <w:rFonts w:hint="eastAsia" w:ascii="宋体" w:hAnsi="宋体" w:eastAsia="宋体"/>
          <w:color w:val="auto"/>
          <w:sz w:val="28"/>
          <w:szCs w:val="28"/>
          <w:highlight w:val="none"/>
        </w:rPr>
        <w:t>5.工程质量</w:t>
      </w:r>
      <w:bookmarkEnd w:id="89"/>
      <w:bookmarkEnd w:id="90"/>
    </w:p>
    <w:p w14:paraId="3BA4F53E">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5.1质量要求</w:t>
      </w:r>
    </w:p>
    <w:p w14:paraId="42610D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5.1.1工程质量标准必须符合现行国家有关工程施工质量验收规范和标准的要求。有关工程质量的特殊标准或要求由合同当事人在专用合同条款中约定。</w:t>
      </w:r>
    </w:p>
    <w:p w14:paraId="203CFC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5.1.2因发包人原因造成工程质量未达到合同约定标准的，由发包人承担由此增加的费用和（或）延误的工期，并支付承包人合理的利润。</w:t>
      </w:r>
    </w:p>
    <w:p w14:paraId="5EAF1D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5.1.3因承包人原因造成工程质量未达到合同约定标准的，发包人有权要求承包人返工直至工程质量达到合同约定的标准为止，并由承包人承担由此增加的费用和（或）延误的工期。</w:t>
      </w:r>
    </w:p>
    <w:p w14:paraId="7F08CC84">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5.2质量保证措施</w:t>
      </w:r>
    </w:p>
    <w:p w14:paraId="0F9ACF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5.2.1发包人的质量管理</w:t>
      </w:r>
    </w:p>
    <w:p w14:paraId="411EE7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发包人应按照法律规定及合同约定完成与工程质量有关的各项工作。</w:t>
      </w:r>
    </w:p>
    <w:p w14:paraId="59AA0B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5.2.2承包人的质量管理</w:t>
      </w:r>
    </w:p>
    <w:p w14:paraId="6B963C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DA7A0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承包人应对施工人员进行质量教育和技术培训，定期考核施工人员的劳动技能，严格执行施工规范和操作规程。</w:t>
      </w:r>
    </w:p>
    <w:p w14:paraId="22B2E3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3C76B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5.2.3监理人的质量检查和检验</w:t>
      </w:r>
    </w:p>
    <w:p w14:paraId="548234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232B6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E908A39">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5.3隐蔽工程检查</w:t>
      </w:r>
    </w:p>
    <w:p w14:paraId="5A135C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5.3.1承包人自检</w:t>
      </w:r>
    </w:p>
    <w:p w14:paraId="33DF42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承包人应当对工程隐蔽部位进行自检，并经自检确认是否具备覆盖条件。</w:t>
      </w:r>
    </w:p>
    <w:p w14:paraId="170491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5.3.2检查程序</w:t>
      </w:r>
    </w:p>
    <w:p w14:paraId="25520B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793B9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94D04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AB796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5.3.3重新检查</w:t>
      </w:r>
    </w:p>
    <w:p w14:paraId="7003D9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EC16A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5.3.4承包人私自覆盖</w:t>
      </w:r>
    </w:p>
    <w:p w14:paraId="3D2E0E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AF9EEB7">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5.4不合格工程的处理</w:t>
      </w:r>
    </w:p>
    <w:p w14:paraId="5147B7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474730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5.4.2因发包人原因造成工程不合格的，由此增加的费用和（或）延误的工期由发包人承担，并支付承包人合理的利润。</w:t>
      </w:r>
    </w:p>
    <w:p w14:paraId="111CFEEA">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5.5质量争议检测</w:t>
      </w:r>
    </w:p>
    <w:p w14:paraId="206C0B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合同当事人对工程质量有争议的，由双方协商确定的工程质量检测机构鉴定，由此产生的费用及因此造成的损失，由责任方承担。</w:t>
      </w:r>
    </w:p>
    <w:p w14:paraId="6BEF27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合同当事人均有责任的，由双方根据其责任分别承担。合同当事人无法达成一致的，按照第4.4款〔商定或确定〕执行。</w:t>
      </w:r>
    </w:p>
    <w:p w14:paraId="50D73978">
      <w:pPr>
        <w:pStyle w:val="4"/>
        <w:jc w:val="left"/>
        <w:rPr>
          <w:rFonts w:ascii="宋体" w:hAnsi="宋体" w:eastAsia="宋体"/>
          <w:color w:val="auto"/>
          <w:sz w:val="28"/>
          <w:szCs w:val="28"/>
          <w:highlight w:val="none"/>
        </w:rPr>
      </w:pPr>
      <w:bookmarkStart w:id="91" w:name="_Toc195459467"/>
      <w:bookmarkStart w:id="92" w:name="_Toc197530142"/>
      <w:r>
        <w:rPr>
          <w:rFonts w:hint="eastAsia" w:ascii="宋体" w:hAnsi="宋体" w:eastAsia="宋体"/>
          <w:color w:val="auto"/>
          <w:sz w:val="28"/>
          <w:szCs w:val="28"/>
          <w:highlight w:val="none"/>
        </w:rPr>
        <w:t>6.安全文明施工与环境保护</w:t>
      </w:r>
      <w:bookmarkEnd w:id="91"/>
      <w:bookmarkEnd w:id="92"/>
    </w:p>
    <w:p w14:paraId="6BC48170">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6.1安全文明施工</w:t>
      </w:r>
    </w:p>
    <w:p w14:paraId="6CA6A5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6.1.1安全生产要求</w:t>
      </w:r>
    </w:p>
    <w:p w14:paraId="50288E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EE7CF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5E06BB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因安全生产需要暂停施工的，按照第7.8款〔暂停施工〕的约定执行。</w:t>
      </w:r>
    </w:p>
    <w:p w14:paraId="435B4F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6.1.2安全生产保证措施</w:t>
      </w:r>
    </w:p>
    <w:p w14:paraId="20FDA9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3E5C17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6.1.3特别安全生产事项</w:t>
      </w:r>
    </w:p>
    <w:p w14:paraId="6E0E87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E7915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承包人在动力设备、输电线路、地下管道、密封防震车间、易燃易爆地段以及临街交通要道附近施工时，施工开始前应向发包人和监理人提出安全防护措施，经发包人认可后实施。</w:t>
      </w:r>
    </w:p>
    <w:p w14:paraId="46472F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3EB62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需单独编制危险性较大分部分项专项工程施工方案的，及要求进行专家论证的超过一定规模的危险性较大的分部分项工程，承包人应及时编制和组织论证。</w:t>
      </w:r>
    </w:p>
    <w:p w14:paraId="683F8B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6.1.4治安保卫</w:t>
      </w:r>
    </w:p>
    <w:p w14:paraId="68C805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除专用合同条款另有约定外，发包人应与当地公安部门协商，在现场建立治安管理机构或联防组织，统一管理施工场地的治安保卫事项，履行合同工程的治安保卫职责。</w:t>
      </w:r>
    </w:p>
    <w:p w14:paraId="5C95C9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发包人和承包人除应协助现场治安管理机构或联防组织维护施工场地的社会治安外，还应做好包括生活区在内的各自管辖区的治安保卫工作。</w:t>
      </w:r>
    </w:p>
    <w:p w14:paraId="7962E1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17292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6.1.5文明施工</w:t>
      </w:r>
    </w:p>
    <w:p w14:paraId="03650A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6514D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826A2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6.1.6安全文明施工费</w:t>
      </w:r>
    </w:p>
    <w:p w14:paraId="4D467D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安全文明施工费由发包人承担，发包人不得以任何形式扣减该部分费用。因基准日期后合同所适用的法律或政府有关规定发生变化，增加的安全文明施工费由发包人承担。</w:t>
      </w:r>
    </w:p>
    <w:p w14:paraId="244971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0A4E7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14814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53FEB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6.1.7紧急情况处理</w:t>
      </w:r>
    </w:p>
    <w:p w14:paraId="004A92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7E9DD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6.1.8事故处理</w:t>
      </w:r>
    </w:p>
    <w:p w14:paraId="71EECA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0EDC8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6.1.9安全生产责任</w:t>
      </w:r>
    </w:p>
    <w:p w14:paraId="6D2A89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6.1.9.1发包人的安全责任</w:t>
      </w:r>
    </w:p>
    <w:p w14:paraId="13F123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发包人应负责赔偿以下各种情况造成的损失：</w:t>
      </w:r>
    </w:p>
    <w:p w14:paraId="24DA2B7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（1）工程或工程的任何部分对土地的占用所造成的第三者财产损失；</w:t>
      </w:r>
    </w:p>
    <w:p w14:paraId="60C195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（2）由于发包人原因在施工场地及其毗邻地带造成的第三者人身伤亡和财产损失；</w:t>
      </w:r>
    </w:p>
    <w:p w14:paraId="7D80B9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（3）由于发包人原因对承包人、监理人造成的人员人身伤亡和财产损失；</w:t>
      </w:r>
    </w:p>
    <w:p w14:paraId="4E59DE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（4）由于发包人原因造成的发包人自身人员的人身伤害以及财产损失。</w:t>
      </w:r>
    </w:p>
    <w:p w14:paraId="68CB4D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6.1.9.2承包人的安全责任</w:t>
      </w:r>
    </w:p>
    <w:p w14:paraId="5A6227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由于承包人原因在施工场地内及其毗邻地带造成的发包人、监理人以及第三者人员伤亡和财产损失，由承包人负责赔偿。</w:t>
      </w:r>
    </w:p>
    <w:p w14:paraId="028C2BAC">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6.2职业健康</w:t>
      </w:r>
    </w:p>
    <w:p w14:paraId="56740A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6.2.1劳动保护</w:t>
      </w:r>
    </w:p>
    <w:p w14:paraId="3CC95F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46AD9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23689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157F6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6.2.2生活条件</w:t>
      </w:r>
    </w:p>
    <w:p w14:paraId="0697FB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0FA6410D">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6.3环境保护</w:t>
      </w:r>
    </w:p>
    <w:p w14:paraId="781A5B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63703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承包人应当承担因其原因引起的环境污染侵权损害赔偿责任，因上述环境污染引起纠纷而导致暂停施工的，由此增加的费用和（或）延误的工期由承包人承担。</w:t>
      </w:r>
    </w:p>
    <w:p w14:paraId="27816576">
      <w:pPr>
        <w:pStyle w:val="4"/>
        <w:jc w:val="left"/>
        <w:rPr>
          <w:rFonts w:ascii="宋体" w:hAnsi="宋体" w:eastAsia="宋体"/>
          <w:color w:val="auto"/>
          <w:sz w:val="28"/>
          <w:szCs w:val="28"/>
          <w:highlight w:val="none"/>
        </w:rPr>
      </w:pPr>
      <w:bookmarkStart w:id="93" w:name="_Toc195459468"/>
      <w:bookmarkStart w:id="94" w:name="_Toc197530143"/>
      <w:r>
        <w:rPr>
          <w:rFonts w:hint="eastAsia" w:ascii="宋体" w:hAnsi="宋体" w:eastAsia="宋体"/>
          <w:color w:val="auto"/>
          <w:sz w:val="28"/>
          <w:szCs w:val="28"/>
          <w:highlight w:val="none"/>
        </w:rPr>
        <w:t>7.工期和进度</w:t>
      </w:r>
      <w:bookmarkEnd w:id="93"/>
      <w:bookmarkEnd w:id="94"/>
    </w:p>
    <w:p w14:paraId="2A1E155E">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7.1施工组织设计</w:t>
      </w:r>
    </w:p>
    <w:p w14:paraId="5F2685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7.1.1施工组织设计的内容</w:t>
      </w:r>
    </w:p>
    <w:p w14:paraId="63CEE0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施工组织设计应包含以下内容：</w:t>
      </w:r>
    </w:p>
    <w:p w14:paraId="1274D1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（1）施工方案；</w:t>
      </w:r>
    </w:p>
    <w:p w14:paraId="26A138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（2）施工现场平面布置图；</w:t>
      </w:r>
    </w:p>
    <w:p w14:paraId="12018B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（3）施工进度计划和保证措施；</w:t>
      </w:r>
    </w:p>
    <w:p w14:paraId="6062B0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（4）劳动力及材料供应计划；</w:t>
      </w:r>
    </w:p>
    <w:p w14:paraId="450728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（5）施工机械设备的选用；</w:t>
      </w:r>
    </w:p>
    <w:p w14:paraId="3EAB6B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（6）质量保证体系及措施；</w:t>
      </w:r>
    </w:p>
    <w:p w14:paraId="514097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（7）安全生产、文明施工措施；</w:t>
      </w:r>
    </w:p>
    <w:p w14:paraId="360025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（8）环境保护、成本控制措施；</w:t>
      </w:r>
    </w:p>
    <w:p w14:paraId="3E9BFA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（9）合同当事人约定的其他内容。</w:t>
      </w:r>
    </w:p>
    <w:p w14:paraId="00EB0E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7.1.2施工组织设计的提交和修改</w:t>
      </w:r>
    </w:p>
    <w:p w14:paraId="54A331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3ADE3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施工进度计划的编制和修改按照第7.2款〔施工进度计划〕执行。</w:t>
      </w:r>
    </w:p>
    <w:p w14:paraId="110AC890">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7.2施工进度计划</w:t>
      </w:r>
    </w:p>
    <w:p w14:paraId="65BCEF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7.2.1施工进度计划的编制</w:t>
      </w:r>
    </w:p>
    <w:p w14:paraId="1C47EA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DEAF4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7.2.2施工进度计划的修订</w:t>
      </w:r>
    </w:p>
    <w:p w14:paraId="09B1BA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24E589E">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7.3开工</w:t>
      </w:r>
    </w:p>
    <w:p w14:paraId="12AA4B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7.3.1开工准备</w:t>
      </w:r>
    </w:p>
    <w:p w14:paraId="2A0C92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F6F45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除专用合同条款另有约定外，合同当事人应按约定完成开工准备工作。</w:t>
      </w:r>
    </w:p>
    <w:p w14:paraId="2ADC7A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7.3.2开工通知</w:t>
      </w:r>
    </w:p>
    <w:p w14:paraId="675E56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93290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3EF1FD5">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7.4测量放线</w:t>
      </w:r>
    </w:p>
    <w:p w14:paraId="57A4DD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ACA08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3A655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7F2AA0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施工过程中对施工现场内水准点等测量标志物的保护工作由承包人负责。</w:t>
      </w:r>
    </w:p>
    <w:p w14:paraId="215C7DFC">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7.5工期延误</w:t>
      </w:r>
    </w:p>
    <w:p w14:paraId="7459EF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7.5.1因发包人原因导致工期延误</w:t>
      </w:r>
    </w:p>
    <w:p w14:paraId="3949FC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在合同履行过程中，因下列情况导致工期延误和（或）费用增加的，由发包人承担由此延误的工期和（或）增加的费用，且发包人应支付承包人合理的利润：</w:t>
      </w:r>
    </w:p>
    <w:p w14:paraId="6679E8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（1）发包人未能按合同约定提供图纸或所提供图纸不符合合同约定的；</w:t>
      </w:r>
    </w:p>
    <w:p w14:paraId="6DEC35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（2）发包人未能按合同约定提供施工现场、施工条件、基础资料、许可、批准等开工条件的；</w:t>
      </w:r>
    </w:p>
    <w:p w14:paraId="19D26E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（3）发包人提供的测量基准点、基准线和水准点及其书面资料存在错误或疏漏的；</w:t>
      </w:r>
    </w:p>
    <w:p w14:paraId="38D7BF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（4）发包人未能在计划开工日期之日起7天内同意下达开工通知的；</w:t>
      </w:r>
    </w:p>
    <w:p w14:paraId="47DD77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（5）发包人未能按合同约定日期支付工程预付款、进度款或竣工结算款的；</w:t>
      </w:r>
    </w:p>
    <w:p w14:paraId="1640D7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（6）监理人未按合同约定发出指示、批准等文件的；</w:t>
      </w:r>
    </w:p>
    <w:p w14:paraId="509C3E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（7）专用合同条款中约定的其他情形。</w:t>
      </w:r>
    </w:p>
    <w:p w14:paraId="151C9B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58E3F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7.5.2因承包人原因导致工期延误</w:t>
      </w:r>
    </w:p>
    <w:p w14:paraId="3D16B1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2A9D3C1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7.6不利物质条件</w:t>
      </w:r>
    </w:p>
    <w:p w14:paraId="6D179C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DE7E2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3F9989C">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7.7异常恶劣的气候条件</w:t>
      </w:r>
    </w:p>
    <w:p w14:paraId="19604B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E3C40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0888ABB3">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7.8暂停施工</w:t>
      </w:r>
    </w:p>
    <w:p w14:paraId="7E2F96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7.8.1发包人原因引起的暂停施工</w:t>
      </w:r>
    </w:p>
    <w:p w14:paraId="02AE31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因发包人原因引起暂停施工的，监理人经发包人同意后，应及时下达暂停施工指示。情况紧急且监理人未及时下达暂停施工指示的，按照第7.8.4项〔紧急情况下的暂停施工〕执行。</w:t>
      </w:r>
    </w:p>
    <w:p w14:paraId="6FAA02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因发包人原因引起的暂停施工，发包人应承担由此增加的费用和（或）延误的工期，并支付承包人合理的利润。</w:t>
      </w:r>
    </w:p>
    <w:p w14:paraId="682256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7.8.2承包人原因引起的暂停施工</w:t>
      </w:r>
    </w:p>
    <w:p w14:paraId="0855FD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5DA9C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7.8.3指示暂停施工</w:t>
      </w:r>
    </w:p>
    <w:p w14:paraId="0EBAF8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监理人认为有必要时，并经发包人批准后，可向承包人作出暂停施工的指示，承包人应按监理人指示暂停施工。</w:t>
      </w:r>
    </w:p>
    <w:p w14:paraId="35C97B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7.8.4紧急情况下的暂停施工</w:t>
      </w:r>
    </w:p>
    <w:p w14:paraId="0D98C8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961D6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7.8.5暂停施工后的复工</w:t>
      </w:r>
    </w:p>
    <w:p w14:paraId="797311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E7A5F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承包人无故拖延和拒绝复工的，承包人承担由此增加的费用和（或）延误的工期；因发包人原因无法按时复工的，按照第7.5.1项〔因发包人原因导致工期延误〕约定办理。</w:t>
      </w:r>
    </w:p>
    <w:p w14:paraId="47BA5E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7.8.6暂停施工持续56天以上</w:t>
      </w:r>
    </w:p>
    <w:p w14:paraId="53BA72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2B566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426AB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7.8.7暂停施工期间的工程照管</w:t>
      </w:r>
    </w:p>
    <w:p w14:paraId="0A849F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暂停施工期间，承包人应负责妥善照管工程并提供安全保障，由此增加的费用由责任方承担。</w:t>
      </w:r>
    </w:p>
    <w:p w14:paraId="1CEE79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7.8.8暂停施工的措施</w:t>
      </w:r>
    </w:p>
    <w:p w14:paraId="03AC93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暂停施工期间，发包人和承包人均应采取必要的措施确保工程质量及安全，防止因暂停施工扩大损失。</w:t>
      </w:r>
    </w:p>
    <w:p w14:paraId="0E92981E">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7.9提前竣工</w:t>
      </w:r>
    </w:p>
    <w:p w14:paraId="28E27F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43F72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7.9.2发包人要求承包人提前竣工，或承包人提出提前竣工的建议能够给发包人带来效益的，合同当事人可以在专用合同条款中约定提前竣工的奖励。</w:t>
      </w:r>
    </w:p>
    <w:p w14:paraId="610D2D86">
      <w:pPr>
        <w:pStyle w:val="4"/>
        <w:jc w:val="left"/>
        <w:rPr>
          <w:rFonts w:ascii="宋体" w:hAnsi="宋体" w:eastAsia="宋体"/>
          <w:color w:val="auto"/>
          <w:sz w:val="28"/>
          <w:szCs w:val="28"/>
          <w:highlight w:val="none"/>
        </w:rPr>
      </w:pPr>
      <w:bookmarkStart w:id="95" w:name="_Toc197530144"/>
      <w:bookmarkStart w:id="96" w:name="_Toc195459469"/>
      <w:r>
        <w:rPr>
          <w:rFonts w:hint="eastAsia" w:ascii="宋体" w:hAnsi="宋体" w:eastAsia="宋体"/>
          <w:color w:val="auto"/>
          <w:sz w:val="28"/>
          <w:szCs w:val="28"/>
          <w:highlight w:val="none"/>
        </w:rPr>
        <w:t>8.材料与设备</w:t>
      </w:r>
      <w:bookmarkEnd w:id="95"/>
      <w:bookmarkEnd w:id="96"/>
    </w:p>
    <w:p w14:paraId="51985874">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8.1发包人供应材料与工程设备</w:t>
      </w:r>
    </w:p>
    <w:p w14:paraId="5C862D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发包人自行供应材料、工程设备的，应在签订合同时在专用合同条款的附件《发包人供应材料设备一览表》中明确材料、工程设备的品种、规格、型号、数量、单价、质量等级和送达地点。</w:t>
      </w:r>
    </w:p>
    <w:p w14:paraId="229660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E045705">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8.2承包人采购材料与工程设备</w:t>
      </w:r>
    </w:p>
    <w:p w14:paraId="078B56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788E811">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8.3材料与工程设备的接收与拒收</w:t>
      </w:r>
    </w:p>
    <w:p w14:paraId="2A3B97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B1D28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发包人提供的材料和工程设备的规格、数量或质量不符合合同约定的，或因发包人原因导致交货日期延误或交货地点变更等情况的，按照第16.1款〔发包人违约〕约定办理。</w:t>
      </w:r>
    </w:p>
    <w:p w14:paraId="38B425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721293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DAEB5AE">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8.4材料与工程设备的保管与使用</w:t>
      </w:r>
    </w:p>
    <w:p w14:paraId="427CC2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8.4.1发包人供应材料与工程设备的保管与使用</w:t>
      </w:r>
    </w:p>
    <w:p w14:paraId="473BD7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DBC50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发包人供应的材料和工程设备使用前，由承包人负责检验，检验费用由发包人承担，不合格的不得使用。</w:t>
      </w:r>
    </w:p>
    <w:p w14:paraId="1C6301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8.4.2承包人采购材料与工程设备的保管与使用</w:t>
      </w:r>
    </w:p>
    <w:p w14:paraId="1D2A76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117B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0637C188">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8.5禁止使用不合格的材料和工程设备</w:t>
      </w:r>
    </w:p>
    <w:p w14:paraId="240832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8.5.1监理人有权拒绝承包人提供的不合格材料或工程设备，并要求承包人立即进行更换。监理人应在更换后再次进行检查和检验，由此增加的费用和（或）延误的工期由承包人承担。</w:t>
      </w:r>
    </w:p>
    <w:p w14:paraId="698867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8.5.2监理人发现承包人使用了不合格的材料和工程设备，承包人应按照监理人的指示立即改正，并禁止在工程中继续使用不合格的材料和工程设备。</w:t>
      </w:r>
    </w:p>
    <w:p w14:paraId="30E858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8.5.3发包人提供的材料或工程设备不符合合同要求的，承包人有权拒绝，并可要求发包人更换，由此增加的费用和（或）延误的工期由发包人承担，并支付承包人合理的利润。</w:t>
      </w:r>
    </w:p>
    <w:p w14:paraId="5C97246C">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8.6样品</w:t>
      </w:r>
    </w:p>
    <w:p w14:paraId="2D5D36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8.6.1样品的报送与封存</w:t>
      </w:r>
    </w:p>
    <w:p w14:paraId="6C0E07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需要承包人报送样品的材料或工程设备，样品的种类、名称、规格、数量等要求均应在专用合同条款中约定。样品的报送程序如下：</w:t>
      </w:r>
    </w:p>
    <w:p w14:paraId="7132B2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0EA6A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C0FF7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（3）经发包人和监理人审批确认的样品应按约定的方法封样，封存的样品作为检验工程相关部分的标准之一。承包人在施工过程中不得使用与样品不符的材料或工程设备。</w:t>
      </w:r>
    </w:p>
    <w:p w14:paraId="0B8705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5DE3E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8.6.2样品的保管</w:t>
      </w:r>
    </w:p>
    <w:p w14:paraId="4A09F2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经批准的样品应由监理人负责封存于现场，承包人应在现场为保存样品提供适当和固定的场所并保持适当和良好的存储环境条件。</w:t>
      </w:r>
    </w:p>
    <w:p w14:paraId="7A98FA19">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8.7材料与工程设备的替代</w:t>
      </w:r>
    </w:p>
    <w:p w14:paraId="59BF95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8.7.1出现下列情况需要使用替代材料和工程设备的，承包人应按照第8.7.2项约定的程序执行：</w:t>
      </w:r>
    </w:p>
    <w:p w14:paraId="25D947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（1）基准日期后生效的法律规定禁止使用的；</w:t>
      </w:r>
    </w:p>
    <w:p w14:paraId="1BA517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（2）发包人要求使用替代品的；</w:t>
      </w:r>
    </w:p>
    <w:p w14:paraId="2794F5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（3）因其他原因必须使用替代品的。</w:t>
      </w:r>
    </w:p>
    <w:p w14:paraId="189E3E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8.7.2承包人应在使用替代材料和工程设备28天前书面通知监理人，并附下列文件：</w:t>
      </w:r>
    </w:p>
    <w:p w14:paraId="09C9F7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（1）被替代的材料和工程设备的名称、数量、规格、型号、品牌、性能、价格及其他相关资料；</w:t>
      </w:r>
    </w:p>
    <w:p w14:paraId="241F51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（2）替代品的名称、数量、规格、型号、品牌、性能、价格及其他相关资料；</w:t>
      </w:r>
    </w:p>
    <w:p w14:paraId="607A20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（3）替代品与被替代产品之间的差异以及使用替代品可能对工程产生的影响；</w:t>
      </w:r>
    </w:p>
    <w:p w14:paraId="482AE5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（4）替代品与被替代产品的价格差异；</w:t>
      </w:r>
    </w:p>
    <w:p w14:paraId="30BF24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（5）使用替代品的理由和原因说明；</w:t>
      </w:r>
    </w:p>
    <w:p w14:paraId="2FE4FE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（6）监理人要求的其他文件。</w:t>
      </w:r>
    </w:p>
    <w:p w14:paraId="7EF608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监理人应在收到通知后14天内向承包人发出经发包人签认的书面指示；监理人逾期发出书面指示的，视为发包人和监理人同意使用替代品。</w:t>
      </w:r>
    </w:p>
    <w:p w14:paraId="3FC392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CE9413A">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8.8施工设备和临时设施</w:t>
      </w:r>
    </w:p>
    <w:p w14:paraId="2B783C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8.8.1承包人提供的施工设备和临时设施</w:t>
      </w:r>
    </w:p>
    <w:p w14:paraId="3EC1E3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F374F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除专用合同条款另有约定外，承包人应自行承担修建临时设施的费用，需要临时占地的，应由发包人办理申请手续并承担相应费用。</w:t>
      </w:r>
    </w:p>
    <w:p w14:paraId="77EA73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8.8.2发包人提供的施工设备和临时设施</w:t>
      </w:r>
    </w:p>
    <w:p w14:paraId="78665A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发包人提供的施工设备或临时设施在专用合同条款中约定。</w:t>
      </w:r>
    </w:p>
    <w:p w14:paraId="09B8EE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8.8.3要求承包人增加或更换施工设备</w:t>
      </w:r>
    </w:p>
    <w:p w14:paraId="16AC68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6F4183B7">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8.9材料与设备专用要求</w:t>
      </w:r>
    </w:p>
    <w:p w14:paraId="3F66F1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6B590119">
      <w:pPr>
        <w:pStyle w:val="4"/>
        <w:jc w:val="left"/>
        <w:rPr>
          <w:rFonts w:ascii="宋体" w:hAnsi="宋体" w:eastAsia="宋体"/>
          <w:color w:val="auto"/>
          <w:sz w:val="28"/>
          <w:szCs w:val="28"/>
          <w:highlight w:val="none"/>
        </w:rPr>
      </w:pPr>
      <w:bookmarkStart w:id="97" w:name="_Toc195459470"/>
      <w:bookmarkStart w:id="98" w:name="_Toc197530145"/>
      <w:r>
        <w:rPr>
          <w:rFonts w:hint="eastAsia" w:ascii="宋体" w:hAnsi="宋体" w:eastAsia="宋体"/>
          <w:color w:val="auto"/>
          <w:sz w:val="28"/>
          <w:szCs w:val="28"/>
          <w:highlight w:val="none"/>
        </w:rPr>
        <w:t>9.试验与检验</w:t>
      </w:r>
      <w:bookmarkEnd w:id="97"/>
      <w:bookmarkEnd w:id="98"/>
    </w:p>
    <w:p w14:paraId="508C122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9.1试验设备与试验人员</w:t>
      </w:r>
    </w:p>
    <w:p w14:paraId="28A1DF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50DCF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9.1.2承包人应按专用合同条款的约定提供试验设备、取样装置、试验场所和试验条件，并向监理人提交相应进场计划表。</w:t>
      </w:r>
    </w:p>
    <w:p w14:paraId="5DEF85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承包人配置的试验设备要符合相应试验规程的要求并经过具有资质的检测单位检测，且在正式使用该试验设备前，需要经过监理人与承包人共同校定。</w:t>
      </w:r>
    </w:p>
    <w:p w14:paraId="48E732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9.1.3承包人应向监理人提交试验人员的名单及其岗位、资格等证明资料，试验人员必须能够熟练进行相应的检测试验，承包人对试验人员的试验程序和试验结果的正确性负责。</w:t>
      </w:r>
    </w:p>
    <w:p w14:paraId="68887837">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9.2取样</w:t>
      </w:r>
    </w:p>
    <w:p w14:paraId="5678C6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试验属于自检性质的，承包人可以单独取样。试验属于监理人抽检性质的，可由监理人取样，也可由承包人的试验人员在监理人的监督下取样。</w:t>
      </w:r>
    </w:p>
    <w:p w14:paraId="7264D5C6">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9.3材料、工程设备和工程的试验和检验</w:t>
      </w:r>
    </w:p>
    <w:p w14:paraId="2169F7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94DA8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3383F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FFA2339">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9.4现场工艺试验</w:t>
      </w:r>
    </w:p>
    <w:p w14:paraId="0A2602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6F32E71D">
      <w:pPr>
        <w:pStyle w:val="4"/>
        <w:jc w:val="left"/>
        <w:rPr>
          <w:rFonts w:ascii="宋体" w:hAnsi="宋体" w:eastAsia="宋体"/>
          <w:color w:val="auto"/>
          <w:sz w:val="28"/>
          <w:szCs w:val="28"/>
          <w:highlight w:val="none"/>
        </w:rPr>
      </w:pPr>
      <w:bookmarkStart w:id="99" w:name="_Toc195459471"/>
      <w:bookmarkStart w:id="100" w:name="_Toc197530146"/>
      <w:r>
        <w:rPr>
          <w:rFonts w:hint="eastAsia" w:ascii="宋体" w:hAnsi="宋体" w:eastAsia="宋体"/>
          <w:color w:val="auto"/>
          <w:sz w:val="28"/>
          <w:szCs w:val="28"/>
          <w:highlight w:val="none"/>
        </w:rPr>
        <w:t>10.变更</w:t>
      </w:r>
      <w:bookmarkEnd w:id="99"/>
      <w:bookmarkEnd w:id="100"/>
    </w:p>
    <w:p w14:paraId="0ED924A5">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10.1变更的范围</w:t>
      </w:r>
    </w:p>
    <w:p w14:paraId="3B5F910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除专用合同条款另有约定外，合同履行过程中发生以下情形的，应按照本条约定进行变更：</w:t>
      </w:r>
    </w:p>
    <w:p w14:paraId="5C4A9C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356832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（2）取消合同中任何工作，但转由他人实施的工作除外；</w:t>
      </w:r>
    </w:p>
    <w:p w14:paraId="795884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53EE00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（4）改变工程的基线、标高、位置和尺寸；</w:t>
      </w:r>
    </w:p>
    <w:p w14:paraId="6CA1B5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（5）改变工程的时间安排或实施顺序。</w:t>
      </w:r>
    </w:p>
    <w:p w14:paraId="12C39BB2">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10.2变更权</w:t>
      </w:r>
    </w:p>
    <w:p w14:paraId="7538BA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C4D36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涉及设计变更的，应由设计人提供变更后的图纸和说明。如变更超过原设计标准或批准的建设规模时，发包人应及时办理规划、设计变更等审批手续。</w:t>
      </w:r>
    </w:p>
    <w:p w14:paraId="5934DC1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10.3变更程序</w:t>
      </w:r>
    </w:p>
    <w:p w14:paraId="5BECE5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10.3.1发包人提出变更</w:t>
      </w:r>
    </w:p>
    <w:p w14:paraId="2A1C1D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发包人提出变更的，应通过监理人向承包人发出变更指示，变更指示应说明计划变更的工程范围和变更的内容。</w:t>
      </w:r>
    </w:p>
    <w:p w14:paraId="13A3D7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10.3.2监理人提出变更建议</w:t>
      </w:r>
    </w:p>
    <w:p w14:paraId="0F9E28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17F25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10.3.3变更执行</w:t>
      </w:r>
    </w:p>
    <w:p w14:paraId="45D9A4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986C976">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10.4变更估价</w:t>
      </w:r>
    </w:p>
    <w:p w14:paraId="52EB8D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10.4.1变更估价原则</w:t>
      </w:r>
    </w:p>
    <w:p w14:paraId="31912B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除专用合同条款另有约定外，变更估价按照本款约定处理：</w:t>
      </w:r>
    </w:p>
    <w:p w14:paraId="293D21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（1）已标价工程量清单或预算书有相同项目的，按照相同项目单价认定；</w:t>
      </w:r>
    </w:p>
    <w:p w14:paraId="2948E6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（2）已标价工程量清单或预算书中无相同项目，但有类似项目的，参照类似项目的单价认定；</w:t>
      </w:r>
    </w:p>
    <w:p w14:paraId="6CC017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052FA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10.4.2变更估价程序</w:t>
      </w:r>
    </w:p>
    <w:p w14:paraId="2A59ED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70600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因变更引起的价格调整应计入最近一期的进度款中支付。</w:t>
      </w:r>
    </w:p>
    <w:p w14:paraId="1C5240A8">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10.5承包人的合理化建议</w:t>
      </w:r>
    </w:p>
    <w:p w14:paraId="1A873A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承包人提出合理化建议的，应向监理人提交合理化建议说明，说明建议的内容和理由，以及实施该建议对合同价格和工期的影响。</w:t>
      </w:r>
    </w:p>
    <w:p w14:paraId="50E21F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DE968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合理化建议降低了合同价格或者提高了工程经济效益的，发包人可对承包人给予奖励，奖励的方法和金额在专用合同条款中约定。</w:t>
      </w:r>
    </w:p>
    <w:p w14:paraId="4E65C4E7">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10.6变更引起的工期调整</w:t>
      </w:r>
    </w:p>
    <w:p w14:paraId="313FC2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因变更引起工期变化的，合同当事人均可要求调整合同工期，由合同当事人按照第4.4款〔商定或确定〕并参考工程所在地的工期定额标准确定增减工期天数。</w:t>
      </w:r>
    </w:p>
    <w:p w14:paraId="7619BBB3">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10.7暂估价</w:t>
      </w:r>
    </w:p>
    <w:p w14:paraId="5442CA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暂估价专业分包工程、服务、材料和工程设备的明细由合同当事人在专用合同条款中约定。</w:t>
      </w:r>
    </w:p>
    <w:p w14:paraId="216CB4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10.7.1依法必须招标的暂估价项目</w:t>
      </w:r>
    </w:p>
    <w:p w14:paraId="6250ED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对于依法必须招标的暂估价项目，采取以下第1种方式确定。合同当事人也可以在专用合同条款中选择其他招标方式。</w:t>
      </w:r>
    </w:p>
    <w:p w14:paraId="55AEF9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第1种方式：对于依法必须招标的暂估价项目，由承包人招标，对该暂估价项目的确认和批准按照以下约定执行：</w:t>
      </w:r>
    </w:p>
    <w:p w14:paraId="34B3FD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818D6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BEDC7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C0E7F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34C07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10.7.2不属于依法必须招标的暂估价项目</w:t>
      </w:r>
    </w:p>
    <w:p w14:paraId="46D98D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除专用合同条款另有约定外，对于不属于依法必须招标的暂估价项目，采取以下第1种方式确定：</w:t>
      </w:r>
    </w:p>
    <w:p w14:paraId="231295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第1种方式：对于不属于依法必须招标的暂估价项目，按本项约定确认和批准：</w:t>
      </w:r>
    </w:p>
    <w:p w14:paraId="1AF04F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015C9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（2）发包人认为承包人确定的供应商、分包人无法满足工程质量或合同要求的，发包人可以要求承包人重新确定暂估价项目的供应商、分包人；</w:t>
      </w:r>
    </w:p>
    <w:p w14:paraId="2ED249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（3）承包人应当在签订暂估价合同后7天内，将暂估价合同副本报送发包人留存。</w:t>
      </w:r>
    </w:p>
    <w:p w14:paraId="546D35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第2种方式：承包人按照第10.7.1项〔依法必须招标的暂估价项目〕约定的第1种方式确定暂估价项目。</w:t>
      </w:r>
    </w:p>
    <w:p w14:paraId="7CACE0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第3种方式：承包人直接实施的暂估价项目</w:t>
      </w:r>
    </w:p>
    <w:p w14:paraId="0F2E87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承包人具备实施暂估价项目的资格和条件的，经发包人和承包人协商一致后，可由承包人自行实施暂估价项目，合同当事人可以在专用合同条款约定具体事项。</w:t>
      </w:r>
    </w:p>
    <w:p w14:paraId="071573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CFD74D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10.8暂列金额</w:t>
      </w:r>
    </w:p>
    <w:p w14:paraId="0278D0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暂列金额应按照发包人的要求使用，发包人的要求应通过监理人发出。合同当事人可以在专用合同条款中协商确定有关事项。</w:t>
      </w:r>
    </w:p>
    <w:p w14:paraId="6FE74BA8">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10.9计日工</w:t>
      </w:r>
    </w:p>
    <w:p w14:paraId="174E50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26812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采用计日工计价的任何一项工作，承包人应在该项工作实施过程中，每天提交以下报表和有关凭证报送监理人审查：</w:t>
      </w:r>
    </w:p>
    <w:p w14:paraId="5DA799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（1）工作名称、内容和数量；</w:t>
      </w:r>
    </w:p>
    <w:p w14:paraId="01AC09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（2）投入该工作的所有人员的姓名、专业、工种、级别和耗用工时；</w:t>
      </w:r>
    </w:p>
    <w:p w14:paraId="3FF059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（3）投入该工作的材料类别和数量；</w:t>
      </w:r>
    </w:p>
    <w:p w14:paraId="02B6BF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（4）投入该工作的施工设备型号、台数和耗用台时；</w:t>
      </w:r>
    </w:p>
    <w:p w14:paraId="37E9F3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（5）其他有关资料和凭证。</w:t>
      </w:r>
    </w:p>
    <w:p w14:paraId="2533D8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计日工由承包人汇总后，列入最近一期进度付款申请单，由监理人审查并经发包人批准后列入进度付款。</w:t>
      </w:r>
    </w:p>
    <w:p w14:paraId="51113099">
      <w:pPr>
        <w:pStyle w:val="4"/>
        <w:jc w:val="left"/>
        <w:rPr>
          <w:rFonts w:ascii="宋体" w:hAnsi="宋体" w:eastAsia="宋体"/>
          <w:color w:val="auto"/>
          <w:sz w:val="28"/>
          <w:szCs w:val="28"/>
          <w:highlight w:val="none"/>
        </w:rPr>
      </w:pPr>
      <w:bookmarkStart w:id="101" w:name="_Toc195459472"/>
      <w:bookmarkStart w:id="102" w:name="_Toc197530147"/>
      <w:r>
        <w:rPr>
          <w:rFonts w:hint="eastAsia" w:ascii="宋体" w:hAnsi="宋体" w:eastAsia="宋体"/>
          <w:color w:val="auto"/>
          <w:sz w:val="28"/>
          <w:szCs w:val="28"/>
          <w:highlight w:val="none"/>
        </w:rPr>
        <w:t>11.价格调整</w:t>
      </w:r>
      <w:bookmarkEnd w:id="101"/>
      <w:bookmarkEnd w:id="102"/>
    </w:p>
    <w:p w14:paraId="1B824EA7">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11.1市场价格波动引起的调整</w:t>
      </w:r>
    </w:p>
    <w:p w14:paraId="711013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除专用合同条款另有约定外，市场价格波动超过合同当事人约定的范围，合同价格应当调整。合同当事人可以在专用合同条款中约定选择以下一种方式对合同价格进行调整：</w:t>
      </w:r>
    </w:p>
    <w:p w14:paraId="10D506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第1种方式：采用价格指数进行价格调整。</w:t>
      </w:r>
    </w:p>
    <w:p w14:paraId="5771CF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（1）价格调整公式</w:t>
      </w:r>
    </w:p>
    <w:p w14:paraId="4437AE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因人工、材料和设备等价格波动影响合同价格时，根据专用合同条款中约定的数据，按以下公式计算差额并调整合同价格：</w:t>
      </w:r>
    </w:p>
    <w:p w14:paraId="272002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公式中：ΔP——需调整的价格差额；</w:t>
      </w:r>
    </w:p>
    <w:p w14:paraId="121B31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8554A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A——定值权重（即不调部分的权重）；</w:t>
      </w:r>
    </w:p>
    <w:p w14:paraId="3B2347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——各可调因子的变值权重（即可调部分的权重），为各可调因子在签约合同价中所占的比例；</w:t>
      </w:r>
    </w:p>
    <w:p w14:paraId="537DDF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——各可调因子的现行价格指数，指约定的付款证书相关周期最后一天的前42天的各可调因子的价格指数；</w:t>
      </w:r>
    </w:p>
    <w:p w14:paraId="1F04FE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——各可调因子的基本价格指数，指基准日期的各可调因子的价格指数。</w:t>
      </w:r>
    </w:p>
    <w:p w14:paraId="1DB5F8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8FC34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（2）暂时确定调整差额</w:t>
      </w:r>
    </w:p>
    <w:p w14:paraId="2E7F5B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在计算调整差额时无现行价格指数的，合同当事人同意暂用前次价格指数计算。实际价格指数有调整的，合同当事人进行相应调整。</w:t>
      </w:r>
    </w:p>
    <w:p w14:paraId="66F647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（3）权重的调整</w:t>
      </w:r>
    </w:p>
    <w:p w14:paraId="112F24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因变更导致合同约定的权重不合理时，按照第4.4款〔商定或确定〕执行。</w:t>
      </w:r>
    </w:p>
    <w:p w14:paraId="58A685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（4）因承包人原因工期延误后的价格调整</w:t>
      </w:r>
    </w:p>
    <w:p w14:paraId="0759C7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A575E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第2种方式：采用造价信息进行价格调整。</w:t>
      </w:r>
    </w:p>
    <w:p w14:paraId="24E3B0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DF71F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C75D0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（2）材料、工程设备价格变化的价款调整按照发包人提供的基准价格，按以下风险范围规定执行：</w:t>
      </w:r>
    </w:p>
    <w:p w14:paraId="6EBF71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16FA6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354AF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12D645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142F2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06F08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（3）施工机械台班单价或施工机械使用费发生变化超过省级或行业建设主管部门或其授权的工程造价管理机构规定的范围时，按规定调整合同价格。</w:t>
      </w:r>
    </w:p>
    <w:p w14:paraId="7EA8E7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第3种方式：专用合同条款约定的其他方式。</w:t>
      </w:r>
    </w:p>
    <w:p w14:paraId="30C0AD35">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11.2法律变化引起的调整</w:t>
      </w:r>
    </w:p>
    <w:p w14:paraId="6AC19C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0A18B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因法律变化引起的合同价格和工期调整，合同当事人无法达成一致的，由总监理工程师按第4.4款〔商定或确定〕的约定处理。</w:t>
      </w:r>
    </w:p>
    <w:p w14:paraId="706ABE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因承包人原因造成工期延误，在工期延误期间出现法律变化的，由此增加的费用和（或）延误的工期由承包人承担。</w:t>
      </w:r>
    </w:p>
    <w:p w14:paraId="4A20DBCB">
      <w:pPr>
        <w:pStyle w:val="4"/>
        <w:jc w:val="left"/>
        <w:rPr>
          <w:rFonts w:ascii="宋体" w:hAnsi="宋体" w:eastAsia="宋体"/>
          <w:color w:val="auto"/>
          <w:sz w:val="28"/>
          <w:szCs w:val="28"/>
          <w:highlight w:val="none"/>
        </w:rPr>
      </w:pPr>
      <w:bookmarkStart w:id="103" w:name="_Toc195459473"/>
      <w:bookmarkStart w:id="104" w:name="_Toc197530148"/>
      <w:r>
        <w:rPr>
          <w:rFonts w:hint="eastAsia" w:ascii="宋体" w:hAnsi="宋体" w:eastAsia="宋体"/>
          <w:color w:val="auto"/>
          <w:sz w:val="28"/>
          <w:szCs w:val="28"/>
          <w:highlight w:val="none"/>
        </w:rPr>
        <w:t>12.合同价格、计量与支付</w:t>
      </w:r>
      <w:bookmarkEnd w:id="103"/>
      <w:bookmarkEnd w:id="104"/>
    </w:p>
    <w:p w14:paraId="699CCD64">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12.1合同价格形式</w:t>
      </w:r>
    </w:p>
    <w:p w14:paraId="3F805C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发包人和承包人应在合同协议书中选择下列一种合同价格形式：</w:t>
      </w:r>
    </w:p>
    <w:p w14:paraId="3A6C7F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1.单价合同</w:t>
      </w:r>
    </w:p>
    <w:p w14:paraId="6F567F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645573B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2.总价合同</w:t>
      </w:r>
    </w:p>
    <w:p w14:paraId="3D45D4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B067B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3.其它价格形式</w:t>
      </w:r>
    </w:p>
    <w:p w14:paraId="02CD78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合同当事人可在专用合同条款中约定其他合同价格形式。</w:t>
      </w:r>
    </w:p>
    <w:p w14:paraId="1FA72A60">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12.2预付款</w:t>
      </w:r>
    </w:p>
    <w:p w14:paraId="6B115B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12.2.1预付款的支付</w:t>
      </w:r>
    </w:p>
    <w:p w14:paraId="13F5D7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596009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除专用合同条款另有约定外，预付款在进度付款中同比例扣回。在颁发工程接收证书前，提前解除合同的，尚未扣完的预付款应与合同价款一并结算。</w:t>
      </w:r>
    </w:p>
    <w:p w14:paraId="5449EA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32B942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12.2.2预付款担保</w:t>
      </w:r>
    </w:p>
    <w:p w14:paraId="083AEE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7E3E3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发包人在工程款中逐期扣回预付款后，预付款担保额度应相应减少，但剩余的预付款担保金额不得低于未被扣回的预付款金额。</w:t>
      </w:r>
    </w:p>
    <w:p w14:paraId="5C9A9DB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12.3计量</w:t>
      </w:r>
    </w:p>
    <w:p w14:paraId="32A1E3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12.3.1计量原则</w:t>
      </w:r>
    </w:p>
    <w:p w14:paraId="07A84E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工程量计量按照合同约定的工程量计算规则、图纸及变更指示等进行计量。工程量计算规则应以相关的国家标准、行业标准等为依据，由合同当事人在专用合同条款中约定。</w:t>
      </w:r>
    </w:p>
    <w:p w14:paraId="5ED45D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12.3.2计量周期</w:t>
      </w:r>
    </w:p>
    <w:p w14:paraId="141E29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除专用合同条款另有约定外，工程量的计量按月进行。</w:t>
      </w:r>
    </w:p>
    <w:p w14:paraId="6431CD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12.3.3单价合同的计量</w:t>
      </w:r>
    </w:p>
    <w:p w14:paraId="659C16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除专用合同条款另有约定外，单价合同的计量按照本项约定执行：</w:t>
      </w:r>
    </w:p>
    <w:p w14:paraId="301E99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（1）承包人应于每月25日向监理人报送上月20日至当月19日已完成的工程量报告，并附具进度付款申请单、已完成工程量报表和有关资料。</w:t>
      </w:r>
    </w:p>
    <w:p w14:paraId="20E370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06E2E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（3）监理人未在收到承包人提交的工程量报表后的7天内完成审核的，承包人报送的工程量报告中的工程量视为承包人实际完成的工程量，据此计算工程价款。</w:t>
      </w:r>
    </w:p>
    <w:p w14:paraId="2E023D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12.3.4总价合同的计量</w:t>
      </w:r>
    </w:p>
    <w:p w14:paraId="26EC11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除专用合同条款另有约定外，按月计量支付的总价合同，按照本项约定执行：</w:t>
      </w:r>
    </w:p>
    <w:p w14:paraId="496D30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（1）承包人应于每月25日向监理人报送上月20日至当月19日已完成的工程量报告，并附具进度付款申请单、已完成工程量报表和有关资料。</w:t>
      </w:r>
    </w:p>
    <w:p w14:paraId="7CE663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D857E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（3）监理人未在收到承包人提交的工程量报表后的7天内完成复核的，承包人提交的工程量报告中的工程量视为承包人实际完成的工程量。</w:t>
      </w:r>
    </w:p>
    <w:p w14:paraId="755688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12.3.5总价合同采用支付分解表计量支付的，可以按照第12.3.4项〔总价合同的计量〕约定进行计量，但合同价款按照支付分解表进行支付。</w:t>
      </w:r>
    </w:p>
    <w:p w14:paraId="13CFC1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12.3.6其他价格形式合同的计量</w:t>
      </w:r>
    </w:p>
    <w:p w14:paraId="244581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合同当事人可在专用合同条款中约定其他价格形式合同的计量方式和程序。</w:t>
      </w:r>
    </w:p>
    <w:p w14:paraId="1981524A">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12.4工程进度款支付</w:t>
      </w:r>
    </w:p>
    <w:p w14:paraId="113E91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12.4.1付款周期</w:t>
      </w:r>
    </w:p>
    <w:p w14:paraId="286124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除专用合同条款另有约定外，付款周期应按照第12.3.2项〔计量周期〕的约定与计量周期保持一致。</w:t>
      </w:r>
    </w:p>
    <w:p w14:paraId="31AF3D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12.4.2进度付款申请单的编制</w:t>
      </w:r>
    </w:p>
    <w:p w14:paraId="2ACE19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除专用合同条款另有约定外，进度付款申请单应包括下列内容：</w:t>
      </w:r>
    </w:p>
    <w:p w14:paraId="3FBC79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（1）截至本次付款周期已完成工作对应的金额；</w:t>
      </w:r>
    </w:p>
    <w:p w14:paraId="3C98EF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（2）根据第10条〔变更〕应增加和扣减的变更金额；</w:t>
      </w:r>
    </w:p>
    <w:p w14:paraId="5231BF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（3）根据第12.2款〔预付款〕约定应支付的预付款和扣减的返还预付款；</w:t>
      </w:r>
    </w:p>
    <w:p w14:paraId="598711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（4）根据第15.3款〔质量保证金〕约定应扣减的质量保证金；</w:t>
      </w:r>
    </w:p>
    <w:p w14:paraId="2DC595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（5）根据第19条〔索赔〕应增加和扣减的索赔金额；</w:t>
      </w:r>
    </w:p>
    <w:p w14:paraId="10170B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（6）对已签发的进度款支付证书中出现错误的修正，应在本次进度付款中支付或扣除的金额；</w:t>
      </w:r>
    </w:p>
    <w:p w14:paraId="5F2242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（7）根据合同约定应增加和扣减的其他金额。</w:t>
      </w:r>
    </w:p>
    <w:p w14:paraId="4057C6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12.4.3进度付款申请单的提交</w:t>
      </w:r>
    </w:p>
    <w:p w14:paraId="026A77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（1）单价合同进度付款申请单的提交</w:t>
      </w:r>
    </w:p>
    <w:p w14:paraId="49786C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BF010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（2）总价合同进度付款申请单的提交</w:t>
      </w:r>
    </w:p>
    <w:p w14:paraId="33C876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总价合同按月计量支付的，承包人按照第12.3.4项〔总价合同的计量〕约定的时间按月向监理人提交进度付款申请单，并附上已完成工程量报表和有关资料。</w:t>
      </w:r>
    </w:p>
    <w:p w14:paraId="2C6C71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总价合同按支付分解表支付的，承包人应按照第12.4.6项〔支付分解表〕及第12.4.2项〔进度付款申请单的编制〕的约定向监理人提交进度付款申请单。</w:t>
      </w:r>
    </w:p>
    <w:p w14:paraId="574655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（3）其他价格形式合同的进度付款申请单的提交</w:t>
      </w:r>
    </w:p>
    <w:p w14:paraId="4052AE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合同当事人可在专用合同条款中约定其他价格形式合同的进度付款申请单的编制和提交程序。</w:t>
      </w:r>
    </w:p>
    <w:p w14:paraId="3EFBB7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12.4.4进度款审核和支付</w:t>
      </w:r>
    </w:p>
    <w:p w14:paraId="59AAC4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745B9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8DC68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5AA003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（3）发包人签发进度款支付证书或临时进度款支付证书，不表明发包人已同意、批准或接受了承包人完成的相应部分的工作。</w:t>
      </w:r>
    </w:p>
    <w:p w14:paraId="47BFC6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12.4.5进度付款的修正</w:t>
      </w:r>
    </w:p>
    <w:p w14:paraId="232028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23B1C7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12.4.6支付分解表</w:t>
      </w:r>
    </w:p>
    <w:p w14:paraId="762FDC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1.支付分解表的编制要求</w:t>
      </w:r>
    </w:p>
    <w:p w14:paraId="253972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（1）支付分解表中所列的每期付款金额，应为第12.4.2项〔进度付款申请单的编制〕第（1）目的估算金额；</w:t>
      </w:r>
    </w:p>
    <w:p w14:paraId="27ECDB7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（2）实际进度与施工进度计划不一致的，合同当事人可按照第4.4款〔商定或确定〕修改支付分解表；</w:t>
      </w:r>
    </w:p>
    <w:p w14:paraId="44AB9C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（3）不采用支付分解表的，承包人应向发包人和监理人提交按季度编制的支付估算分解表，用于支付参考。</w:t>
      </w:r>
    </w:p>
    <w:p w14:paraId="069241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2.总价合同支付分解表的编制与审批</w:t>
      </w:r>
    </w:p>
    <w:p w14:paraId="33EEB5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7AD7B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057234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（3）发包人逾期未完成支付分解表审批的，也未及时要求承包人进行修正和提供补充资料的，则承包人提交的支付分解表视为已经获得发包人批准。</w:t>
      </w:r>
    </w:p>
    <w:p w14:paraId="0967DA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3.单价合同的总价项目支付分解表的编制与审批</w:t>
      </w:r>
    </w:p>
    <w:p w14:paraId="7043AA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EE61C0E">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12.5支付账户</w:t>
      </w:r>
    </w:p>
    <w:p w14:paraId="0CCF2C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发包人应将合同价款支付至合同协议书中约定的承包人账户。</w:t>
      </w:r>
    </w:p>
    <w:p w14:paraId="02F3240D">
      <w:pPr>
        <w:pStyle w:val="4"/>
        <w:jc w:val="left"/>
        <w:rPr>
          <w:rFonts w:ascii="宋体" w:hAnsi="宋体" w:eastAsia="宋体"/>
          <w:color w:val="auto"/>
          <w:sz w:val="28"/>
          <w:szCs w:val="28"/>
          <w:highlight w:val="none"/>
        </w:rPr>
      </w:pPr>
      <w:bookmarkStart w:id="105" w:name="_Toc197530149"/>
      <w:bookmarkStart w:id="106" w:name="_Toc195459474"/>
      <w:r>
        <w:rPr>
          <w:rFonts w:hint="eastAsia" w:ascii="宋体" w:hAnsi="宋体" w:eastAsia="宋体"/>
          <w:color w:val="auto"/>
          <w:sz w:val="28"/>
          <w:szCs w:val="28"/>
          <w:highlight w:val="none"/>
        </w:rPr>
        <w:t>13.验收和工程试车</w:t>
      </w:r>
      <w:bookmarkEnd w:id="105"/>
      <w:bookmarkEnd w:id="106"/>
    </w:p>
    <w:p w14:paraId="44BAC9B5">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13.1分部分项工程验收</w:t>
      </w:r>
    </w:p>
    <w:p w14:paraId="4CD90D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13.1.1分部分项工程质量应符合国家有关工程施工验收规范、标准及合同约定，承包人应按照施工组织设计的要求完成分部分项工程施工。</w:t>
      </w:r>
    </w:p>
    <w:p w14:paraId="3DE51C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197B08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分部分项工程的验收资料应当作为竣工资料的组成部分。</w:t>
      </w:r>
    </w:p>
    <w:p w14:paraId="200FF927">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13.2竣工验收</w:t>
      </w:r>
    </w:p>
    <w:p w14:paraId="1FD612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13.2.1竣工验收条件</w:t>
      </w:r>
    </w:p>
    <w:p w14:paraId="72814D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工程具备以下条件的，承包人可以申请竣工验收：</w:t>
      </w:r>
    </w:p>
    <w:p w14:paraId="65863F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6A5026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1FD6FD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15B972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13.2.2竣工验收程序</w:t>
      </w:r>
    </w:p>
    <w:p w14:paraId="0673AC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除专用合同条款另有约定外，承包人申请竣工验收的，应当按照以下程序进行：</w:t>
      </w:r>
    </w:p>
    <w:p w14:paraId="1EB737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5E310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30C38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26D989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28AC8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13E12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6558F4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13.2.3竣工日期</w:t>
      </w:r>
    </w:p>
    <w:p w14:paraId="209FF3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3343C5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13.2.4拒绝接收全部或部分工程</w:t>
      </w:r>
    </w:p>
    <w:p w14:paraId="49FF84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A9486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13.2.5移交、接收全部与部分工程</w:t>
      </w:r>
    </w:p>
    <w:p w14:paraId="5EEF30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除专用合同条款另有约定外，合同当事人应当在颁发工程接收证书后7天内完成工程的移交。</w:t>
      </w:r>
    </w:p>
    <w:p w14:paraId="192648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CC751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58CCE4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13.3工程试车</w:t>
      </w:r>
    </w:p>
    <w:p w14:paraId="75D2F6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13.3.1试车程序</w:t>
      </w:r>
    </w:p>
    <w:p w14:paraId="394866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工程需要试车的，除专用合同条款另有约定外，试车内容应与承包人承包范围相一致，试车费用由承包人承担。工程试车应按如下程序进行：</w:t>
      </w:r>
    </w:p>
    <w:p w14:paraId="298C0F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3686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FD5B8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50688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13.3.2试车中的责任</w:t>
      </w:r>
    </w:p>
    <w:p w14:paraId="56B582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C64F0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767D9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13.3.3投料试车</w:t>
      </w:r>
    </w:p>
    <w:p w14:paraId="0622A3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79EE7C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D2C9FA9">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13.4提前交付单位工程的验收</w:t>
      </w:r>
    </w:p>
    <w:p w14:paraId="43F5F5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13.4.1发包人需要在工程竣工前使用单位工程的，或承包人提出提前交付已经竣工的单位工程且经发包人同意的，可进行单位工程验收，验收的程序按照第13.2款〔竣工验收〕的约定进行。</w:t>
      </w:r>
    </w:p>
    <w:p w14:paraId="4DC5F7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3EA8F0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13.4.2发包人要求在工程竣工前交付单位工程，由此导致承包人费用增加和（或）工期延误的，由发包人承担由此增加的费用和（或）延误的工期，并支付承包人合理的利润。</w:t>
      </w:r>
    </w:p>
    <w:p w14:paraId="7231D9BF">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13.5施工期运行</w:t>
      </w:r>
    </w:p>
    <w:p w14:paraId="7D7B6B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2D026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13.5.2在施工期运行中发现工程或工程设备损坏或存在缺陷的，由承包人按第15.2款〔缺陷责任期〕约定进行修复。</w:t>
      </w:r>
    </w:p>
    <w:p w14:paraId="066727F1">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13.6竣工退场</w:t>
      </w:r>
    </w:p>
    <w:p w14:paraId="3E73EB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13.6.1竣工退场</w:t>
      </w:r>
    </w:p>
    <w:p w14:paraId="0011BE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颁发工程接收证书后，承包人应按以下要求对施工现场进行清理：</w:t>
      </w:r>
    </w:p>
    <w:p w14:paraId="43BEA4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（1）施工现场内残留的垃圾已全部清除出场；</w:t>
      </w:r>
    </w:p>
    <w:p w14:paraId="03B03D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（2）临时工程已拆除，场地已进行清理、平整或复原；</w:t>
      </w:r>
    </w:p>
    <w:p w14:paraId="1B2EE1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（3）按合同约定应撤离的人员、承包人施工设备和剩余的材料，包括废弃的施工设备和材料，已按计划撤离施工现场；</w:t>
      </w:r>
    </w:p>
    <w:p w14:paraId="708F53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（4）施工现场周边及其附近道路、河道的施工堆积物，已全部清理；</w:t>
      </w:r>
    </w:p>
    <w:p w14:paraId="457ADD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（5）施工现场其他场地清理工作已全部完成。</w:t>
      </w:r>
    </w:p>
    <w:p w14:paraId="158D8A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209D3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13.6.2地表还原</w:t>
      </w:r>
    </w:p>
    <w:p w14:paraId="7DF2E65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6A7BE6EE">
      <w:pPr>
        <w:pStyle w:val="4"/>
        <w:jc w:val="left"/>
        <w:rPr>
          <w:rFonts w:ascii="宋体" w:hAnsi="宋体" w:eastAsia="宋体"/>
          <w:color w:val="auto"/>
          <w:sz w:val="28"/>
          <w:szCs w:val="28"/>
          <w:highlight w:val="none"/>
        </w:rPr>
      </w:pPr>
      <w:bookmarkStart w:id="107" w:name="_Toc197530150"/>
      <w:bookmarkStart w:id="108" w:name="_Toc195459475"/>
      <w:r>
        <w:rPr>
          <w:rFonts w:hint="eastAsia" w:ascii="宋体" w:hAnsi="宋体" w:eastAsia="宋体"/>
          <w:color w:val="auto"/>
          <w:sz w:val="28"/>
          <w:szCs w:val="28"/>
          <w:highlight w:val="none"/>
        </w:rPr>
        <w:t>14.竣工结算</w:t>
      </w:r>
      <w:bookmarkEnd w:id="107"/>
      <w:bookmarkEnd w:id="108"/>
    </w:p>
    <w:p w14:paraId="2E572961">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14.1竣工结算申请</w:t>
      </w:r>
    </w:p>
    <w:p w14:paraId="60DB3D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5DF2A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除专用合同条款另有约定外，竣工结算申请单应包括以下内容：</w:t>
      </w:r>
    </w:p>
    <w:p w14:paraId="6D743D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（1）竣工结算合同价格；</w:t>
      </w:r>
    </w:p>
    <w:p w14:paraId="1F6A58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（2）发包人已支付承包人的款项；</w:t>
      </w:r>
    </w:p>
    <w:p w14:paraId="4DC6F1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（3）应扣留的质量保证金。已缴纳履约保证金的或提供其他工程质量担保方式的除外；</w:t>
      </w:r>
    </w:p>
    <w:p w14:paraId="642D71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（4）发包人应支付承包人的合同价款。</w:t>
      </w:r>
    </w:p>
    <w:p w14:paraId="3E5CE6EE">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14.2竣工结算审核</w:t>
      </w:r>
    </w:p>
    <w:p w14:paraId="0D1408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4A1D6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F9E3C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5478F5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F6962B3">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14.3甩项竣工协议</w:t>
      </w:r>
    </w:p>
    <w:p w14:paraId="48FC41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05D0E27">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14.4最终结清</w:t>
      </w:r>
    </w:p>
    <w:p w14:paraId="5CF4A7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14.4.1最终结清申请单</w:t>
      </w:r>
    </w:p>
    <w:p w14:paraId="30CA3E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（1）除专用合同条款另有约定外，承包人应在缺陷责任期终止证书颁发后7天内，按专用合同条款约定的份数向发包人提交最终结清申请单，并提供相关证明材料。</w:t>
      </w:r>
    </w:p>
    <w:p w14:paraId="59CD8B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除专用合同条款另有约定外，最终结清申请单应列明质量保证金、应扣除的质量保证金、缺陷责任期内发生的增减费用。</w:t>
      </w:r>
    </w:p>
    <w:p w14:paraId="3D7CBB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（2）发包人对最终结清申请单内容有异议的，有权要求承包人进行修正和提供补充资料，承包人应向发包人提交修正后的最终结清申请单。</w:t>
      </w:r>
    </w:p>
    <w:p w14:paraId="753748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14.4.2最终结清证书和支付</w:t>
      </w:r>
    </w:p>
    <w:p w14:paraId="64D929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A186D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62A0A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（3）承包人对发包人颁发的最终结清证书有异议的，按第20条〔争议解决〕的约定办理。</w:t>
      </w:r>
    </w:p>
    <w:p w14:paraId="65F2A993">
      <w:pPr>
        <w:pStyle w:val="4"/>
        <w:jc w:val="left"/>
        <w:rPr>
          <w:rFonts w:ascii="宋体" w:hAnsi="宋体" w:eastAsia="宋体"/>
          <w:color w:val="auto"/>
          <w:sz w:val="28"/>
          <w:szCs w:val="28"/>
          <w:highlight w:val="none"/>
        </w:rPr>
      </w:pPr>
      <w:bookmarkStart w:id="109" w:name="_Toc195459476"/>
      <w:bookmarkStart w:id="110" w:name="_Toc197530151"/>
      <w:r>
        <w:rPr>
          <w:rFonts w:hint="eastAsia" w:ascii="宋体" w:hAnsi="宋体" w:eastAsia="宋体"/>
          <w:color w:val="auto"/>
          <w:sz w:val="28"/>
          <w:szCs w:val="28"/>
          <w:highlight w:val="none"/>
        </w:rPr>
        <w:t>15.缺陷责任与保修</w:t>
      </w:r>
      <w:bookmarkEnd w:id="109"/>
      <w:bookmarkEnd w:id="110"/>
    </w:p>
    <w:p w14:paraId="29604711">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15.1工程保修的原则</w:t>
      </w:r>
    </w:p>
    <w:p w14:paraId="6D9328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在工程移交发包人后，因承包人原因产生的质量缺陷，承包人应承担质量缺陷责任和保修义务。缺陷责任期届满，承包人仍应按合同约定的工程各部位保修年限承担保修义务。</w:t>
      </w:r>
    </w:p>
    <w:p w14:paraId="4190065A">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15.2缺陷责任期</w:t>
      </w:r>
    </w:p>
    <w:p w14:paraId="4D507D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15.2.1缺陷责任期从工程通过竣工验收之日起计算，合同当事人应在专用合同条款约定缺陷责任期的具体期限，但该期限最长不超过24个月。</w:t>
      </w:r>
    </w:p>
    <w:p w14:paraId="23D9DA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779B64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F6686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由他人原因造成的缺陷，发包人负责组织维修，承包人不承担费用，且发包人不得从保证金中扣除费用。</w:t>
      </w:r>
    </w:p>
    <w:p w14:paraId="3B2F80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15.2.3任何一项缺陷或损坏修复后，经检查证明其影响了工程或工程设备的使用性能，承包人应重新进行合同约定的试验和试运行，试验和试运行的全部费用应由责任方承担。</w:t>
      </w:r>
    </w:p>
    <w:p w14:paraId="286721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7713A2E">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15.3质量保证金</w:t>
      </w:r>
    </w:p>
    <w:p w14:paraId="6DD1C7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经合同当事人协商一致扣留质量保证金的，应在专用合同条款中予以明确。</w:t>
      </w:r>
    </w:p>
    <w:p w14:paraId="23D8F2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在工程项目竣工前，承包人已经提供履约担保的，发包人不得同时预留工程质量保证金。</w:t>
      </w:r>
    </w:p>
    <w:p w14:paraId="54E784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15.3.1承包人提供质量保证金的方式</w:t>
      </w:r>
    </w:p>
    <w:p w14:paraId="50C3CD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承包人提供质量保证金有以下三种方式：</w:t>
      </w:r>
    </w:p>
    <w:p w14:paraId="02A73C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（1）质量保证金保函；</w:t>
      </w:r>
    </w:p>
    <w:p w14:paraId="64C1BE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（2）相应比例的工程款；</w:t>
      </w:r>
    </w:p>
    <w:p w14:paraId="77AC7A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（3）双方约定的其他方式。</w:t>
      </w:r>
    </w:p>
    <w:p w14:paraId="2EE010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除专用合同条款另有约定外，质量保证金原则上采用上述第（1）种方式。</w:t>
      </w:r>
    </w:p>
    <w:p w14:paraId="64DFB4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15.3.2质量保证金的扣留</w:t>
      </w:r>
    </w:p>
    <w:p w14:paraId="751C2C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质量保证金的扣留有以下三种方式：</w:t>
      </w:r>
    </w:p>
    <w:p w14:paraId="54DB65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7FDF2F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303753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（3）双方约定的其他扣留方式。</w:t>
      </w:r>
    </w:p>
    <w:p w14:paraId="5596E0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除专用合同条款另有约定外，质量保证金的扣留原则上采用上述第（1）种方式。</w:t>
      </w:r>
    </w:p>
    <w:p w14:paraId="1826C0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1B333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发包人在退还质量保证金的同时按照中国人民银行发布的同期同类贷款基准利率支付利息。</w:t>
      </w:r>
    </w:p>
    <w:p w14:paraId="72D843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15.3.3质量保证金的退还</w:t>
      </w:r>
    </w:p>
    <w:p w14:paraId="6DA640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缺陷责任期内，承包人认真履行合同约定的责任，到期后，承包人可向发包人申请返还保证金。</w:t>
      </w:r>
    </w:p>
    <w:p w14:paraId="1E142B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6D551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发包人和承包人对保证金预留、返还以及工程维修质量、费用有争议的，按本合同第20条约定的争议和纠纷解决程序处理。</w:t>
      </w:r>
    </w:p>
    <w:p w14:paraId="409D9ABE">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15.4保修</w:t>
      </w:r>
    </w:p>
    <w:p w14:paraId="794650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15.4.1保修责任</w:t>
      </w:r>
    </w:p>
    <w:p w14:paraId="1992CF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03022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发包人未经竣工验收擅自使用工程的，保修期自转移占有之日起算。</w:t>
      </w:r>
    </w:p>
    <w:p w14:paraId="4199BB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15.4.2修复费用</w:t>
      </w:r>
    </w:p>
    <w:p w14:paraId="41CC5E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保修期内，修复的费用按照以下约定处理：</w:t>
      </w:r>
    </w:p>
    <w:p w14:paraId="584F4C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（1）保修期内，因承包人原因造成工程的缺陷、损坏，承包人应负责修复，并承担修复的费用以及因工程的缺陷、损坏造成的人身伤害和财产损失；</w:t>
      </w:r>
    </w:p>
    <w:p w14:paraId="7542EA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（2）保修期内，因发包人使用不当造成工程的缺陷、损坏，可以委托承包人修复，但发包人应承担修复的费用，并支付承包人合理利润；</w:t>
      </w:r>
    </w:p>
    <w:p w14:paraId="2320C0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（3）因其他原因造成工程的缺陷、损坏，可以委托承包人修复，发包人应承担修复的费用，并支付承包人合理的利润，因工程的缺陷、损坏造成的人身伤害和财产损失由责任方承担。</w:t>
      </w:r>
    </w:p>
    <w:p w14:paraId="3A815F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15.4.3修复通知</w:t>
      </w:r>
    </w:p>
    <w:p w14:paraId="103E1F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A4913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15.4.4未能修复</w:t>
      </w:r>
    </w:p>
    <w:p w14:paraId="2073AE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106C0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15.4.5承包人出入权</w:t>
      </w:r>
    </w:p>
    <w:p w14:paraId="4B074A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1D231FF">
      <w:pPr>
        <w:pStyle w:val="4"/>
        <w:jc w:val="left"/>
        <w:rPr>
          <w:rFonts w:ascii="宋体" w:hAnsi="宋体" w:eastAsia="宋体"/>
          <w:color w:val="auto"/>
          <w:sz w:val="28"/>
          <w:szCs w:val="28"/>
          <w:highlight w:val="none"/>
        </w:rPr>
      </w:pPr>
      <w:bookmarkStart w:id="111" w:name="_Toc197530152"/>
      <w:bookmarkStart w:id="112" w:name="_Toc195459477"/>
      <w:r>
        <w:rPr>
          <w:rFonts w:hint="eastAsia" w:ascii="宋体" w:hAnsi="宋体" w:eastAsia="宋体"/>
          <w:color w:val="auto"/>
          <w:sz w:val="28"/>
          <w:szCs w:val="28"/>
          <w:highlight w:val="none"/>
        </w:rPr>
        <w:t>16.违约</w:t>
      </w:r>
      <w:bookmarkEnd w:id="111"/>
      <w:bookmarkEnd w:id="112"/>
    </w:p>
    <w:p w14:paraId="27D503EA">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16.1发包人违约</w:t>
      </w:r>
    </w:p>
    <w:p w14:paraId="320400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16.1.1发包人违约的情形</w:t>
      </w:r>
    </w:p>
    <w:p w14:paraId="5E99B5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在合同履行过程中发生的下列情形，属于发包人违约：</w:t>
      </w:r>
    </w:p>
    <w:p w14:paraId="49D797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（1）因发包人原因未能在计划开工日期前7天内下达开工通知的；</w:t>
      </w:r>
    </w:p>
    <w:p w14:paraId="6EC8C9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（2）因发包人原因未能按合同约定支付合同价款的；</w:t>
      </w:r>
    </w:p>
    <w:p w14:paraId="27EAA9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（3）发包人违反第10.1款〔变更的范围〕第（2）项约定，自行实施被取消的工作或转由他人实施的；</w:t>
      </w:r>
    </w:p>
    <w:p w14:paraId="7086D8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（4）发包人提供的材料、工程设备的规格、数量或质量不符合合同约定，或因发包人原因导致交货日期延误或交货地点变更等情况的；</w:t>
      </w:r>
    </w:p>
    <w:p w14:paraId="002B63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（5）因发包人违反合同约定造成暂停施工的；</w:t>
      </w:r>
    </w:p>
    <w:p w14:paraId="1BA1E6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（6）发包人无正当理由没有在约定期限内发出复工指示，导致承包人无法复工的；</w:t>
      </w:r>
    </w:p>
    <w:p w14:paraId="2D13B9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（7）发包人明确表示或者以其行为表明不履行合同主要义务的；</w:t>
      </w:r>
    </w:p>
    <w:p w14:paraId="68B005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（8）发包人未能按照合同约定履行其他义务的。</w:t>
      </w:r>
    </w:p>
    <w:p w14:paraId="43D242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44367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16.1.2发包人违约的责任</w:t>
      </w:r>
    </w:p>
    <w:p w14:paraId="58E7E3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52FCC7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16.1.3因发包人违约解除合同</w:t>
      </w:r>
    </w:p>
    <w:p w14:paraId="468ACC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5D09B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16.1.4因发包人违约解除合同后的付款</w:t>
      </w:r>
    </w:p>
    <w:p w14:paraId="3ED949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承包人按照本款约定解除合同的，发包人应在解除合同后28天内支付下列款项，并解除履约担保：</w:t>
      </w:r>
    </w:p>
    <w:p w14:paraId="30F0C5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（1）合同解除前所完成工作的价款；</w:t>
      </w:r>
    </w:p>
    <w:p w14:paraId="1FC9B7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（2）承包人为工程施工订购并已付款的材料、工程设备和其他物品的价款；</w:t>
      </w:r>
    </w:p>
    <w:p w14:paraId="189092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（3）承包人撤离施工现场以及遣散承包人人员的款项；</w:t>
      </w:r>
    </w:p>
    <w:p w14:paraId="7D51D1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（4）按照合同约定在合同解除前应支付的违约金；</w:t>
      </w:r>
    </w:p>
    <w:p w14:paraId="46EF7A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（5）按照合同约定应当支付给承包人的其他款项；</w:t>
      </w:r>
    </w:p>
    <w:p w14:paraId="6C3ED8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（6）按照合同约定应退还的质量保证金；</w:t>
      </w:r>
    </w:p>
    <w:p w14:paraId="420B85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（7）因解除合同给承包人造成的损失。</w:t>
      </w:r>
    </w:p>
    <w:p w14:paraId="4F12DD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合同当事人未能就解除合同后的结清达成一致的，按照第20条〔争议解决〕的约定处理。</w:t>
      </w:r>
    </w:p>
    <w:p w14:paraId="21C02B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承包人应妥善做好已完工程和与工程有关的已购材料、工程设备的保护和移交工作，并将施工设备和人员撤出施工现场，发包人应为承包人撤出提供必要条件。</w:t>
      </w:r>
    </w:p>
    <w:p w14:paraId="644878D6">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16.2承包人违约</w:t>
      </w:r>
    </w:p>
    <w:p w14:paraId="4B509F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16.2.1承包人违约的情形</w:t>
      </w:r>
    </w:p>
    <w:p w14:paraId="6EF96D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在合同履行过程中发生的下列情形，属于承包人违约：</w:t>
      </w:r>
    </w:p>
    <w:p w14:paraId="71DA7F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（1）承包人违反合同约定进行转包或违法分包的；</w:t>
      </w:r>
    </w:p>
    <w:p w14:paraId="665AD0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（2）承包人违反合同约定采购和使用不合格的材料和工程设备的；</w:t>
      </w:r>
    </w:p>
    <w:p w14:paraId="44FCDD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（3）因承包人原因导致工程质量不符合合同要求的；</w:t>
      </w:r>
    </w:p>
    <w:p w14:paraId="33C356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（4）承包人违反第8.9款〔材料与设备专用要求〕的约定，未经批准，私自将已按照合同约定进入施工现场的材料或设备撤离施工现场的；</w:t>
      </w:r>
    </w:p>
    <w:p w14:paraId="67C9F5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（5）承包人未能按施工进度计划及时完成合同约定的工作，造成工期延误的；</w:t>
      </w:r>
    </w:p>
    <w:p w14:paraId="49CC33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（6）承包人在缺陷责任期及保修期内，未能在合理期限对工程缺陷进行修复，或拒绝按发包人要求进行修复的；</w:t>
      </w:r>
    </w:p>
    <w:p w14:paraId="39D4D5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（7）承包人明确表示或者以其行为表明不履行合同主要义务的；</w:t>
      </w:r>
    </w:p>
    <w:p w14:paraId="35178B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（8）承包人未能按照合同约定履行其他义务的。</w:t>
      </w:r>
    </w:p>
    <w:p w14:paraId="633F17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承包人发生除本项第（7）目约定以外的其他违约情况时，监理人可向承包人发出整改通知，要求其在指定的期限内改正。</w:t>
      </w:r>
    </w:p>
    <w:p w14:paraId="066A85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16.2.2承包人违约的责任</w:t>
      </w:r>
    </w:p>
    <w:p w14:paraId="3F8F73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承包人应承担因其违约行为而增加的费用和（或）延误的工期。此外，合同当事人可在专用合同条款中另行约定承包人违约责任的承担方式和计算方法。</w:t>
      </w:r>
    </w:p>
    <w:p w14:paraId="7D58BC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16.2.3因承包人违约解除合同</w:t>
      </w:r>
    </w:p>
    <w:p w14:paraId="50458C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72005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16.2.4因承包人违约解除合同后的处理</w:t>
      </w:r>
    </w:p>
    <w:p w14:paraId="42706C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因承包人原因导致合同解除的，则合同当事人应在合同解除后28天内完成估价、付款和清算，并按以下约定执行：</w:t>
      </w:r>
    </w:p>
    <w:p w14:paraId="6E122F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（1）合同解除后，按第4.4款〔商定或确定〕商定或确定承包人实际完成工作对应的合同价款，以及承包人已提供的材料、工程设备、施工设备和临时工程等的价值；</w:t>
      </w:r>
    </w:p>
    <w:p w14:paraId="4AA5E8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（2）合同解除后，承包人应支付的违约金；</w:t>
      </w:r>
    </w:p>
    <w:p w14:paraId="59DC85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（3）合同解除后，因解除合同给发包人造成的损失；</w:t>
      </w:r>
    </w:p>
    <w:p w14:paraId="7C00FA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（4）合同解除后，承包人应按照发包人要求和监理人的指示完成现场的清理和撤离；</w:t>
      </w:r>
    </w:p>
    <w:p w14:paraId="4C8CDF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（5）发包人和承包人应在合同解除后进行清算，出具最终结清付款证书，结清全部款项。</w:t>
      </w:r>
    </w:p>
    <w:p w14:paraId="536487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29FF2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16.2.5采购合同权益转让</w:t>
      </w:r>
    </w:p>
    <w:p w14:paraId="5D1C3F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FB3BCEA">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16.3第三人造成的违约</w:t>
      </w:r>
    </w:p>
    <w:p w14:paraId="4D6333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在履行合同过程中，一方当事人因第三人的原因造成违约的，应当向对方当事人承担违约责任。一方当事人和第三人之间的纠纷，依照法律规定或者按照约定解决。</w:t>
      </w:r>
    </w:p>
    <w:p w14:paraId="71AC3AF8">
      <w:pPr>
        <w:pStyle w:val="4"/>
        <w:jc w:val="left"/>
        <w:rPr>
          <w:rFonts w:ascii="宋体" w:hAnsi="宋体" w:eastAsia="宋体"/>
          <w:color w:val="auto"/>
          <w:sz w:val="28"/>
          <w:szCs w:val="28"/>
          <w:highlight w:val="none"/>
        </w:rPr>
      </w:pPr>
      <w:bookmarkStart w:id="113" w:name="_Toc197530153"/>
      <w:bookmarkStart w:id="114" w:name="_Toc195459478"/>
      <w:r>
        <w:rPr>
          <w:rFonts w:hint="eastAsia" w:ascii="宋体" w:hAnsi="宋体" w:eastAsia="宋体"/>
          <w:color w:val="auto"/>
          <w:sz w:val="28"/>
          <w:szCs w:val="28"/>
          <w:highlight w:val="none"/>
        </w:rPr>
        <w:t>17.不可抗力</w:t>
      </w:r>
      <w:bookmarkEnd w:id="113"/>
      <w:bookmarkEnd w:id="114"/>
    </w:p>
    <w:p w14:paraId="775F23B7">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17.1不可抗力的确认</w:t>
      </w:r>
    </w:p>
    <w:p w14:paraId="17EA2B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0D9E34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94B5058">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17.2不可抗力的通知</w:t>
      </w:r>
    </w:p>
    <w:p w14:paraId="2955E5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合同一方当事人遇到不可抗力事件，使其履行合同义务受到阻碍时，应立即通知合同另一方当事人和监理人，书面说明不可抗力和受阻碍的详细情况，并提供必要的证明。</w:t>
      </w:r>
    </w:p>
    <w:p w14:paraId="5F5E05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50A9348">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17.3不可抗力后果的承担</w:t>
      </w:r>
    </w:p>
    <w:p w14:paraId="71C107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17.3.1不可抗力引起的后果及造成的损失由合同当事人按照法律规定及合同约定各自承担。不可抗力发生前已完成的工程应当按照合同约定进行计量支付。</w:t>
      </w:r>
    </w:p>
    <w:p w14:paraId="1559CF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17.3.2不可抗力导致的人员伤亡、财产损失、费用增加和（或）工期延误等后果，由合同当事人按以下原则承担：</w:t>
      </w:r>
    </w:p>
    <w:p w14:paraId="317E7C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（1）永久工程、已运至施工现场的材料和工程设备的损坏，以及因工程损坏造成的第三人人员伤亡和财产损失由发包人承担；</w:t>
      </w:r>
    </w:p>
    <w:p w14:paraId="5C80B2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503ECD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146400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B655C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5A8E56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2194C9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不可抗力发生后，合同当事人均应采取措施尽量避免和减少损失的扩大，任何一方当事人没有采取有效措施导致损失扩大的，应对扩大的损失承担责任。</w:t>
      </w:r>
    </w:p>
    <w:p w14:paraId="63F908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因合同一方迟延履行合同义务，在迟延履行期间遭遇不可抗力的，不免除其违约责任。</w:t>
      </w:r>
    </w:p>
    <w:p w14:paraId="63CC7EF8">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17.4因不可抗力解除合同</w:t>
      </w:r>
    </w:p>
    <w:p w14:paraId="372FED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4BDC9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（1）合同解除前承包人已完成工作的价款；</w:t>
      </w:r>
    </w:p>
    <w:p w14:paraId="3FF3DA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（2）承包人为工程订购的并已交付给承包人，或承包人有责任接受交付的材料、工程设备和其他物品的价款；</w:t>
      </w:r>
    </w:p>
    <w:p w14:paraId="090D55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（3）发包人要求承包人退货或解除订货合同而产生的费用，或因不能退货或解除合同而产生的损失；</w:t>
      </w:r>
    </w:p>
    <w:p w14:paraId="5FA89E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（4）承包人撤离施工现场以及遣散承包人人员的费用；</w:t>
      </w:r>
    </w:p>
    <w:p w14:paraId="62E215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（5）按照合同约定在合同解除前应支付给承包人的其他款项；</w:t>
      </w:r>
    </w:p>
    <w:p w14:paraId="1664FA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（6）扣减承包人按照合同约定应向发包人支付的款项；</w:t>
      </w:r>
    </w:p>
    <w:p w14:paraId="3AE1B3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（7）双方商定或确定的其他款项。</w:t>
      </w:r>
    </w:p>
    <w:p w14:paraId="7FA999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除专用合同条款另有约定外，合同解除后，发包人应在商定或确定上述款项后28天内完成上述款项的支付。</w:t>
      </w:r>
    </w:p>
    <w:p w14:paraId="286AD526">
      <w:pPr>
        <w:pStyle w:val="4"/>
        <w:jc w:val="left"/>
        <w:rPr>
          <w:rFonts w:ascii="宋体" w:hAnsi="宋体" w:eastAsia="宋体"/>
          <w:color w:val="auto"/>
          <w:sz w:val="28"/>
          <w:szCs w:val="28"/>
          <w:highlight w:val="none"/>
        </w:rPr>
      </w:pPr>
      <w:bookmarkStart w:id="115" w:name="_Toc195459479"/>
      <w:bookmarkStart w:id="116" w:name="_Toc197530154"/>
      <w:r>
        <w:rPr>
          <w:rFonts w:hint="eastAsia" w:ascii="宋体" w:hAnsi="宋体" w:eastAsia="宋体"/>
          <w:color w:val="auto"/>
          <w:sz w:val="28"/>
          <w:szCs w:val="28"/>
          <w:highlight w:val="none"/>
        </w:rPr>
        <w:t>18.保险</w:t>
      </w:r>
      <w:bookmarkEnd w:id="115"/>
      <w:bookmarkEnd w:id="116"/>
    </w:p>
    <w:p w14:paraId="257FD2DF">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18.1工程保险</w:t>
      </w:r>
    </w:p>
    <w:p w14:paraId="33C974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除专用合同条款另有约定外，发包人应投保建筑工程一切险或安装工程一切险；发包人委托承包人投保的，因投保产生的保险费和其他相关费用由发包人承担。</w:t>
      </w:r>
    </w:p>
    <w:p w14:paraId="5277E109">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18.2工伤保险</w:t>
      </w:r>
    </w:p>
    <w:p w14:paraId="5C00FD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18.2.1发包人应依照法律规定参加工伤保险，并为在施工现场的全部员工办理工伤保险，缴纳工伤保险费，并要求监理人及由发包人为履行合同聘请的第三方依法参加工伤保险。</w:t>
      </w:r>
    </w:p>
    <w:p w14:paraId="2CF97D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18.2.2承包人应依照法律规定参加工伤保险，并为其履行合同的全部员工办理工伤保险，缴纳工伤保险费，并要求分包人及由承包人为履行合同聘请的第三方依法参加工伤保险。</w:t>
      </w:r>
    </w:p>
    <w:p w14:paraId="7A4F4DF1">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18.3其他保险</w:t>
      </w:r>
    </w:p>
    <w:p w14:paraId="4F6DFF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49E524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除专用合同条款另有约定外，承包人应为其施工设备等办理财产保险。</w:t>
      </w:r>
    </w:p>
    <w:p w14:paraId="76B4E59C">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18.4持续保险</w:t>
      </w:r>
    </w:p>
    <w:p w14:paraId="14D97F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合同当事人应与保险人保持联系，使保险人能够随时了解工程实施中的变动，并确保按保险合同条款要求持续保险。</w:t>
      </w:r>
    </w:p>
    <w:p w14:paraId="7700AFAD">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18.5保险凭证</w:t>
      </w:r>
    </w:p>
    <w:p w14:paraId="706068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合同当事人应及时向另一方当事人提交其已投保的各项保险的凭证和保险单复印件。</w:t>
      </w:r>
    </w:p>
    <w:p w14:paraId="3D8E0D8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18.6未按约定投保的补救</w:t>
      </w:r>
    </w:p>
    <w:p w14:paraId="0DAA50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59E147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32766EA3">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18.7通知义务</w:t>
      </w:r>
    </w:p>
    <w:p w14:paraId="047F32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EC685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保险事故发生时，投保人应按照保险合同规定的条件和期限及时向保险人报告。发包人和承包人应当在知道保险事故发生后及时通知对方。</w:t>
      </w:r>
    </w:p>
    <w:p w14:paraId="41055410">
      <w:pPr>
        <w:pStyle w:val="4"/>
        <w:jc w:val="left"/>
        <w:rPr>
          <w:rFonts w:ascii="宋体" w:hAnsi="宋体" w:eastAsia="宋体"/>
          <w:color w:val="auto"/>
          <w:sz w:val="28"/>
          <w:szCs w:val="28"/>
          <w:highlight w:val="none"/>
        </w:rPr>
      </w:pPr>
      <w:bookmarkStart w:id="117" w:name="_Toc195459480"/>
      <w:bookmarkStart w:id="118" w:name="_Toc197530155"/>
      <w:r>
        <w:rPr>
          <w:rFonts w:hint="eastAsia" w:ascii="宋体" w:hAnsi="宋体" w:eastAsia="宋体"/>
          <w:color w:val="auto"/>
          <w:sz w:val="28"/>
          <w:szCs w:val="28"/>
          <w:highlight w:val="none"/>
        </w:rPr>
        <w:t>19.索赔</w:t>
      </w:r>
      <w:bookmarkEnd w:id="117"/>
      <w:bookmarkEnd w:id="118"/>
    </w:p>
    <w:p w14:paraId="0476D0B1">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19.1承包人的索赔</w:t>
      </w:r>
    </w:p>
    <w:p w14:paraId="5D30D8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35FB6E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9DD09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7FB49D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（3）索赔事件具有持续影响的，承包人应按合理时间间隔继续递交延续索赔通知，说明持续影响的实际情况和记录，列出累计的追加付款金额和（或）工期延长天数；</w:t>
      </w:r>
    </w:p>
    <w:p w14:paraId="4F0134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7C416E6D">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19.2对承包人索赔的处理</w:t>
      </w:r>
    </w:p>
    <w:p w14:paraId="75364B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对承包人索赔的处理如下：</w:t>
      </w:r>
    </w:p>
    <w:p w14:paraId="3F03E9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（1）监理人应在收到索赔报告后14天内完成审查并报送发包人。监理人对索赔报告存在异议的，有权要求承包人提交全部原始记录副本；</w:t>
      </w:r>
    </w:p>
    <w:p w14:paraId="141EBF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7AAF42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（3）承包人接受索赔处理结果的，索赔款项在当期进度款中进行支付；承包人不接受索赔处理结果的，按照第20条〔争议解决〕约定处理。</w:t>
      </w:r>
    </w:p>
    <w:p w14:paraId="3085DEFD">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19.3发包人的索赔</w:t>
      </w:r>
    </w:p>
    <w:p w14:paraId="1AC869E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15937C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60F2867">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19.4对发包人索赔的处理</w:t>
      </w:r>
    </w:p>
    <w:p w14:paraId="1E8DEC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对发包人索赔的处理如下：</w:t>
      </w:r>
    </w:p>
    <w:p w14:paraId="45C093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07DB61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（2）承包人应在收到索赔报告或有关索赔的进一步证明材料后28天内，将索赔处理结果答复发包人。如果承包人未在上述期限内作出答复的，则视为对发包人索赔要求的认可；</w:t>
      </w:r>
    </w:p>
    <w:p w14:paraId="063ADC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1B227401">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19.5提出索赔的期限</w:t>
      </w:r>
    </w:p>
    <w:p w14:paraId="13C911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（1）承包人按第14.2款〔竣工结算审核〕约定接收竣工付款证书后，应被视为已无权再提出在工程接收证书颁发前所发生的任何索赔。</w:t>
      </w:r>
    </w:p>
    <w:p w14:paraId="23BB90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（2）承包人按第14.4款〔最终结清〕提交的最终结清申请单中，只限于提出工程接收证书颁发后发生的索赔。提出索赔的期限自接受最终结清证书时终止。</w:t>
      </w:r>
    </w:p>
    <w:p w14:paraId="6D9E9C99">
      <w:pPr>
        <w:pStyle w:val="4"/>
        <w:jc w:val="left"/>
        <w:rPr>
          <w:rFonts w:ascii="宋体" w:hAnsi="宋体" w:eastAsia="宋体"/>
          <w:color w:val="auto"/>
          <w:sz w:val="28"/>
          <w:szCs w:val="28"/>
          <w:highlight w:val="none"/>
        </w:rPr>
      </w:pPr>
      <w:bookmarkStart w:id="119" w:name="_Toc195459481"/>
      <w:bookmarkStart w:id="120" w:name="_Toc197530156"/>
      <w:r>
        <w:rPr>
          <w:rFonts w:hint="eastAsia" w:ascii="宋体" w:hAnsi="宋体" w:eastAsia="宋体"/>
          <w:color w:val="auto"/>
          <w:sz w:val="28"/>
          <w:szCs w:val="28"/>
          <w:highlight w:val="none"/>
        </w:rPr>
        <w:t>20.争议解决</w:t>
      </w:r>
      <w:bookmarkEnd w:id="119"/>
      <w:bookmarkEnd w:id="120"/>
    </w:p>
    <w:p w14:paraId="78EA7EB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20.1和解</w:t>
      </w:r>
    </w:p>
    <w:p w14:paraId="570CD4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合同当事人可以就争议自行和解，自行和解达成协议的经双方签字并盖章后作为合同补充文件，双方均应遵照执行。</w:t>
      </w:r>
    </w:p>
    <w:p w14:paraId="22421DFB">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20.2调解</w:t>
      </w:r>
    </w:p>
    <w:p w14:paraId="5D84DE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合同当事人可以就争议请求建设行政主管部门、行业协会或其他第三方进行调解，调解达成协议的，经双方签字并盖章后作为合同补充文件，双方均应遵照执行。</w:t>
      </w:r>
    </w:p>
    <w:p w14:paraId="4D6B10E2">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20.3争议评审</w:t>
      </w:r>
    </w:p>
    <w:p w14:paraId="1F7395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合同当事人在专用合同条款中约定采取争议评审方式解决争议以及评审规则，并按下列约定执行：</w:t>
      </w:r>
    </w:p>
    <w:p w14:paraId="3046C2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20.3.1争议评审小组的确定</w:t>
      </w:r>
    </w:p>
    <w:p w14:paraId="2598BB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6F6C20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2233E4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除专用合同条款另有约定外，评审员报酬由发包人和承包人各承担一半。</w:t>
      </w:r>
    </w:p>
    <w:p w14:paraId="3BDA24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20.3.2争议评审小组的决定</w:t>
      </w:r>
    </w:p>
    <w:p w14:paraId="3AC2FB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531A9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20.3.3争议评审小组决定的效力</w:t>
      </w:r>
    </w:p>
    <w:p w14:paraId="3D51AB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争议评审小组作出的书面决定经合同当事人签字确认后，对双方具有约束力，双方应遵照执行。</w:t>
      </w:r>
    </w:p>
    <w:p w14:paraId="013091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任何一方当事人不接受争议评审小组决定或不履行争议评审小组决定的，双方可选择采用其他争议解决方式。</w:t>
      </w:r>
    </w:p>
    <w:p w14:paraId="3F4321D2">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20.4仲裁或诉讼</w:t>
      </w:r>
    </w:p>
    <w:p w14:paraId="0D754F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因合同及合同有关事项产生的争议，合同当事人可以在专用合同条款中约定以下一种方式解决争议：</w:t>
      </w:r>
    </w:p>
    <w:p w14:paraId="688640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（1）向约定的仲裁委员会申请仲裁；</w:t>
      </w:r>
    </w:p>
    <w:p w14:paraId="0171F9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（2）向有管辖权的人民法院起诉。</w:t>
      </w:r>
    </w:p>
    <w:p w14:paraId="0C8CFA8C">
      <w:pPr>
        <w:pStyle w:val="5"/>
        <w:ind w:firstLine="422" w:firstLineChars="200"/>
        <w:rPr>
          <w:rFonts w:ascii="宋体" w:hAnsi="宋体"/>
          <w:color w:val="auto"/>
          <w:sz w:val="21"/>
          <w:szCs w:val="21"/>
          <w:highlight w:val="none"/>
        </w:rPr>
      </w:pPr>
      <w:r>
        <w:rPr>
          <w:rFonts w:hint="eastAsia" w:ascii="宋体" w:hAnsi="宋体"/>
          <w:color w:val="auto"/>
          <w:sz w:val="21"/>
          <w:szCs w:val="21"/>
          <w:highlight w:val="none"/>
        </w:rPr>
        <w:t>20.5争议解决条款效力</w:t>
      </w:r>
    </w:p>
    <w:p w14:paraId="1774885B">
      <w:pPr>
        <w:pStyle w:val="63"/>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合同有关争议解决的条款独立存在，合同的变更、解除、终止、无效或者被撤销均不影响其效力。</w:t>
      </w:r>
    </w:p>
    <w:p w14:paraId="6C9FD293">
      <w:pPr>
        <w:pStyle w:val="63"/>
        <w:spacing w:line="360" w:lineRule="auto"/>
        <w:ind w:firstLine="420" w:firstLineChars="200"/>
        <w:rPr>
          <w:rFonts w:ascii="宋体" w:hAnsi="宋体"/>
          <w:color w:val="auto"/>
          <w:szCs w:val="21"/>
          <w:highlight w:val="none"/>
        </w:rPr>
        <w:sectPr>
          <w:pgSz w:w="11906" w:h="16838"/>
          <w:pgMar w:top="1440" w:right="1134" w:bottom="1440" w:left="1418" w:header="851" w:footer="992" w:gutter="0"/>
          <w:cols w:space="425" w:num="1"/>
          <w:docGrid w:type="lines" w:linePitch="312" w:charSpace="0"/>
        </w:sectPr>
      </w:pPr>
    </w:p>
    <w:p w14:paraId="4A5E4CD9">
      <w:pPr>
        <w:pStyle w:val="3"/>
        <w:spacing w:before="0" w:after="0" w:line="240" w:lineRule="auto"/>
        <w:jc w:val="center"/>
        <w:rPr>
          <w:rFonts w:ascii="宋体" w:hAnsi="宋体" w:eastAsia="宋体"/>
          <w:color w:val="auto"/>
          <w:sz w:val="30"/>
          <w:szCs w:val="30"/>
          <w:highlight w:val="none"/>
        </w:rPr>
      </w:pPr>
      <w:bookmarkStart w:id="121" w:name="_Toc197530157"/>
      <w:bookmarkStart w:id="122" w:name="_Toc181816511"/>
      <w:bookmarkStart w:id="123" w:name="_Toc195459482"/>
      <w:r>
        <w:rPr>
          <w:rFonts w:hint="eastAsia" w:ascii="宋体" w:hAnsi="宋体" w:eastAsia="宋体"/>
          <w:color w:val="auto"/>
          <w:sz w:val="30"/>
          <w:szCs w:val="30"/>
          <w:highlight w:val="none"/>
        </w:rPr>
        <w:t>第三部分 专用合同条款</w:t>
      </w:r>
      <w:bookmarkEnd w:id="121"/>
      <w:bookmarkEnd w:id="122"/>
      <w:bookmarkEnd w:id="123"/>
    </w:p>
    <w:p w14:paraId="1EB6F13C">
      <w:pPr>
        <w:pStyle w:val="4"/>
        <w:jc w:val="left"/>
        <w:rPr>
          <w:rFonts w:ascii="宋体" w:hAnsi="宋体" w:eastAsia="宋体"/>
          <w:color w:val="auto"/>
          <w:sz w:val="28"/>
          <w:szCs w:val="28"/>
          <w:highlight w:val="none"/>
        </w:rPr>
      </w:pPr>
      <w:bookmarkStart w:id="124" w:name="_Toc195459483"/>
      <w:bookmarkStart w:id="125" w:name="_Toc197530158"/>
      <w:bookmarkStart w:id="126" w:name="_Toc181816512"/>
      <w:r>
        <w:rPr>
          <w:rFonts w:hint="eastAsia" w:ascii="宋体" w:hAnsi="宋体" w:eastAsia="宋体"/>
          <w:color w:val="auto"/>
          <w:sz w:val="28"/>
          <w:szCs w:val="28"/>
          <w:highlight w:val="none"/>
        </w:rPr>
        <w:t>一、词语定义及合同文件</w:t>
      </w:r>
      <w:bookmarkEnd w:id="124"/>
      <w:bookmarkEnd w:id="125"/>
    </w:p>
    <w:p w14:paraId="6B513A7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1.语言文字和适用法律、标准及规范</w:t>
      </w:r>
    </w:p>
    <w:p w14:paraId="263C3BB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1.1本合同除使用汉语外，无其它语言文字。</w:t>
      </w:r>
    </w:p>
    <w:p w14:paraId="6FCB07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1.2适用法律和法规</w:t>
      </w:r>
    </w:p>
    <w:p w14:paraId="5AEB08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需要明示的法律、行政法规：</w:t>
      </w:r>
      <w:r>
        <w:rPr>
          <w:rFonts w:hint="eastAsia" w:ascii="宋体" w:hAnsi="宋体" w:eastAsia="宋体"/>
          <w:color w:val="auto"/>
          <w:szCs w:val="21"/>
          <w:highlight w:val="none"/>
          <w:u w:val="single"/>
        </w:rPr>
        <w:t>现行的国家法律、法规，工程所在地行政主管部门的规定、制度和文件</w:t>
      </w:r>
      <w:r>
        <w:rPr>
          <w:rFonts w:hint="eastAsia" w:ascii="宋体" w:hAnsi="宋体" w:eastAsia="宋体"/>
          <w:color w:val="auto"/>
          <w:szCs w:val="21"/>
          <w:highlight w:val="none"/>
        </w:rPr>
        <w:t>。</w:t>
      </w:r>
    </w:p>
    <w:p w14:paraId="05B1D21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1.3适用标准、规范</w:t>
      </w:r>
    </w:p>
    <w:p w14:paraId="11D4BF8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适用标准、规范的名称：</w:t>
      </w:r>
      <w:r>
        <w:rPr>
          <w:rFonts w:hint="eastAsia" w:ascii="宋体" w:hAnsi="宋体" w:eastAsia="宋体"/>
          <w:color w:val="auto"/>
          <w:szCs w:val="21"/>
          <w:highlight w:val="none"/>
          <w:u w:val="single"/>
        </w:rPr>
        <w:t>国家、行业、本工程所在地现行的标准、规范等</w:t>
      </w:r>
      <w:r>
        <w:rPr>
          <w:rFonts w:hint="eastAsia" w:ascii="宋体" w:hAnsi="宋体" w:eastAsia="宋体"/>
          <w:color w:val="auto"/>
          <w:szCs w:val="21"/>
          <w:highlight w:val="none"/>
        </w:rPr>
        <w:t>。</w:t>
      </w:r>
    </w:p>
    <w:p w14:paraId="29C460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发包人提供标准、规范的时间：</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6DB153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1.4合同文件的优先顺序</w:t>
      </w:r>
    </w:p>
    <w:p w14:paraId="46D8A5A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组成合同的各项文件应互相解释，互为说明。除专用合同条款另有约定外，解释合同文件的优先顺序如下：</w:t>
      </w:r>
    </w:p>
    <w:p w14:paraId="0057C3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（1）合同协议书；</w:t>
      </w:r>
    </w:p>
    <w:p w14:paraId="41F0D23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（2）成交通知书；</w:t>
      </w:r>
    </w:p>
    <w:p w14:paraId="4EBD428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（3）竞争性磋商函、竞争性磋商报价表及最终报价表；</w:t>
      </w:r>
    </w:p>
    <w:p w14:paraId="4DAD0B6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（4）本合同专用合同条款及其附件；</w:t>
      </w:r>
    </w:p>
    <w:p w14:paraId="029B65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（5）通用合同条款；</w:t>
      </w:r>
    </w:p>
    <w:p w14:paraId="1E96AAF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（6）标准、规范及有关技术文件；</w:t>
      </w:r>
    </w:p>
    <w:p w14:paraId="152927D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（7）图纸；</w:t>
      </w:r>
    </w:p>
    <w:p w14:paraId="66EA1B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（8）已标价工程量清单或预算书</w:t>
      </w:r>
      <w:r>
        <w:rPr>
          <w:rFonts w:hint="eastAsia" w:ascii="宋体" w:hAnsi="宋体" w:eastAsia="宋体"/>
          <w:color w:val="auto"/>
          <w:szCs w:val="21"/>
          <w:highlight w:val="none"/>
        </w:rPr>
        <w:t>（须与发包人的</w:t>
      </w:r>
      <w:r>
        <w:rPr>
          <w:rFonts w:hint="eastAsia" w:ascii="宋体" w:hAnsi="宋体" w:eastAsia="宋体"/>
          <w:color w:val="auto"/>
          <w:szCs w:val="21"/>
          <w:highlight w:val="none"/>
          <w:u w:val="single"/>
        </w:rPr>
        <w:t>固定</w:t>
      </w:r>
      <w:r>
        <w:rPr>
          <w:rFonts w:hint="eastAsia" w:ascii="宋体" w:hAnsi="宋体" w:eastAsia="宋体"/>
          <w:color w:val="auto"/>
          <w:szCs w:val="21"/>
          <w:highlight w:val="none"/>
        </w:rPr>
        <w:t>综合单价相同，否则以发包人的为准）</w:t>
      </w:r>
      <w:r>
        <w:rPr>
          <w:rFonts w:hint="eastAsia" w:ascii="宋体" w:hAnsi="宋体" w:eastAsia="宋体"/>
          <w:color w:val="auto"/>
          <w:szCs w:val="21"/>
          <w:highlight w:val="none"/>
        </w:rPr>
        <w:t>；</w:t>
      </w:r>
    </w:p>
    <w:p w14:paraId="3E291B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（9）其他合同文件：</w:t>
      </w:r>
      <w:r>
        <w:rPr>
          <w:rFonts w:hint="eastAsia" w:ascii="宋体" w:hAnsi="宋体" w:eastAsia="宋体"/>
          <w:color w:val="auto"/>
          <w:szCs w:val="21"/>
          <w:highlight w:val="none"/>
        </w:rPr>
        <w:t>《中华人民共和国建筑法》《中华人民共和国民法典》《中华人民共和国政府采购法》《中华人民共和国政府采购法实施条例》《政府采购竞争性磋商采购方式管理暂行办法》《财政部关于政府采购竞争性磋商采购方式管理暂行办法有关问题的补充通知》《中华人民共和国土地管理法》《中华人民共和国城市规划法》《中华人民共和国环境保护法》《中华人民共和国环境影响评价法》《建设工程质量管理条例》《建设工程安全生产管理条例》《建设工程勘察设计管理条例》《中华人民共和国土地管理法实施条例》《工程勘察通用规范》（GB55017-2021）、《广西壮族自治区岩土工程勘察规范》（DBJ/T45-066--2018）、《建筑装饰装修工程质量验收标准》《建筑工程施工发包与承包计价管理办法》《建筑工程施工许可管理办法》《实施工程建设强制性标准监督规定》《房屋建筑工程质量保修办法》《房屋建筑工程和市政基础设施工程竣工验收备案管理暂行办法》《建设工程施工现场管理规定》《建筑安全生产监督管理规定》《工程建设重大事故报告和调查程序规定》《城市建设档案管理规定》《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p>
    <w:p w14:paraId="4A11C1D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上述各项合同文件包括合同当事人就该项合同文件所作出的补充和修改，属于同一类内容的文件，应以最新签署的为准。</w:t>
      </w:r>
    </w:p>
    <w:p w14:paraId="2647217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在合同订立及履行过程中形成的与合同有关的文件均构成合同文件组成部分，并根据其性质确定优先解释顺序。</w:t>
      </w:r>
    </w:p>
    <w:p w14:paraId="11DC88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2.图纸</w:t>
      </w:r>
    </w:p>
    <w:p w14:paraId="547F02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2.1发包人向承包人提供图纸日期和套数：</w:t>
      </w:r>
      <w:r>
        <w:rPr>
          <w:rFonts w:hint="eastAsia" w:ascii="宋体" w:hAnsi="宋体" w:eastAsia="宋体"/>
          <w:color w:val="auto"/>
          <w:szCs w:val="21"/>
          <w:highlight w:val="none"/>
          <w:u w:val="single"/>
        </w:rPr>
        <w:t>开工前14日内提供一式肆套</w:t>
      </w:r>
      <w:r>
        <w:rPr>
          <w:rFonts w:hint="eastAsia" w:ascii="宋体" w:hAnsi="宋体" w:eastAsia="宋体"/>
          <w:color w:val="auto"/>
          <w:szCs w:val="21"/>
          <w:highlight w:val="none"/>
        </w:rPr>
        <w:t>。</w:t>
      </w:r>
    </w:p>
    <w:p w14:paraId="27A156A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发包人对图纸的保密要求：</w:t>
      </w:r>
      <w:r>
        <w:rPr>
          <w:rFonts w:hint="eastAsia" w:ascii="宋体" w:hAnsi="宋体" w:eastAsia="宋体"/>
          <w:color w:val="auto"/>
          <w:szCs w:val="21"/>
          <w:highlight w:val="none"/>
          <w:u w:val="single"/>
        </w:rPr>
        <w:t>保密</w:t>
      </w:r>
      <w:r>
        <w:rPr>
          <w:rFonts w:hint="eastAsia" w:ascii="宋体" w:hAnsi="宋体" w:eastAsia="宋体"/>
          <w:color w:val="auto"/>
          <w:szCs w:val="21"/>
          <w:highlight w:val="none"/>
        </w:rPr>
        <w:t>。</w:t>
      </w:r>
    </w:p>
    <w:p w14:paraId="73873DB4">
      <w:pPr>
        <w:pStyle w:val="4"/>
        <w:jc w:val="left"/>
        <w:rPr>
          <w:rFonts w:ascii="宋体" w:hAnsi="宋体" w:eastAsia="宋体"/>
          <w:color w:val="auto"/>
          <w:sz w:val="28"/>
          <w:szCs w:val="28"/>
          <w:highlight w:val="none"/>
        </w:rPr>
      </w:pPr>
      <w:bookmarkStart w:id="127" w:name="_Toc195459484"/>
      <w:bookmarkStart w:id="128" w:name="_Toc197530159"/>
      <w:r>
        <w:rPr>
          <w:rFonts w:hint="eastAsia" w:ascii="宋体" w:hAnsi="宋体" w:eastAsia="宋体"/>
          <w:color w:val="auto"/>
          <w:sz w:val="28"/>
          <w:szCs w:val="28"/>
          <w:highlight w:val="none"/>
        </w:rPr>
        <w:t>二、双方一般权利和义务</w:t>
      </w:r>
      <w:bookmarkEnd w:id="127"/>
      <w:bookmarkEnd w:id="128"/>
    </w:p>
    <w:p w14:paraId="2657233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3.工程师</w:t>
      </w:r>
    </w:p>
    <w:p w14:paraId="77EDF1E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3.1监理单位委派的工程师</w:t>
      </w:r>
    </w:p>
    <w:p w14:paraId="7E671D3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姓名：</w:t>
      </w:r>
      <w:r>
        <w:rPr>
          <w:rFonts w:ascii="宋体" w:hAnsi="宋体" w:eastAsia="宋体"/>
          <w:color w:val="auto"/>
          <w:szCs w:val="21"/>
          <w:highlight w:val="none"/>
        </w:rPr>
        <w:t>_________，</w:t>
      </w:r>
      <w:r>
        <w:rPr>
          <w:rFonts w:hint="eastAsia" w:ascii="宋体" w:hAnsi="宋体" w:eastAsia="宋体"/>
          <w:color w:val="auto"/>
          <w:szCs w:val="21"/>
          <w:highlight w:val="none"/>
        </w:rPr>
        <w:t>职务：</w:t>
      </w:r>
      <w:r>
        <w:rPr>
          <w:rFonts w:ascii="宋体" w:hAnsi="宋体" w:eastAsia="宋体"/>
          <w:color w:val="auto"/>
          <w:szCs w:val="21"/>
          <w:highlight w:val="none"/>
        </w:rPr>
        <w:t>_________</w:t>
      </w:r>
    </w:p>
    <w:p w14:paraId="54D894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执业资格证书号：</w:t>
      </w:r>
      <w:r>
        <w:rPr>
          <w:rFonts w:ascii="宋体" w:hAnsi="宋体" w:eastAsia="宋体"/>
          <w:color w:val="auto"/>
          <w:szCs w:val="21"/>
          <w:highlight w:val="none"/>
        </w:rPr>
        <w:t>_________，</w:t>
      </w:r>
      <w:r>
        <w:rPr>
          <w:rFonts w:hint="eastAsia" w:ascii="宋体" w:hAnsi="宋体" w:eastAsia="宋体"/>
          <w:color w:val="auto"/>
          <w:szCs w:val="21"/>
          <w:highlight w:val="none"/>
        </w:rPr>
        <w:t>联系电话：</w:t>
      </w:r>
      <w:r>
        <w:rPr>
          <w:rFonts w:ascii="宋体" w:hAnsi="宋体" w:eastAsia="宋体"/>
          <w:color w:val="auto"/>
          <w:szCs w:val="21"/>
          <w:highlight w:val="none"/>
        </w:rPr>
        <w:t>_________</w:t>
      </w:r>
    </w:p>
    <w:p w14:paraId="13BB7F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发包人委托的职权：</w:t>
      </w:r>
      <w:r>
        <w:rPr>
          <w:rFonts w:hint="eastAsia" w:ascii="宋体" w:hAnsi="宋体" w:eastAsia="宋体"/>
          <w:color w:val="auto"/>
          <w:szCs w:val="21"/>
          <w:highlight w:val="none"/>
          <w:u w:val="single"/>
        </w:rPr>
        <w:t>按监理合同约定</w:t>
      </w:r>
    </w:p>
    <w:p w14:paraId="1B213E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需要取得发包人批准才能行使的职权：</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6554378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3.2发包人派驻的工程师</w:t>
      </w:r>
    </w:p>
    <w:p w14:paraId="6AE312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姓名：</w:t>
      </w:r>
      <w:r>
        <w:rPr>
          <w:rFonts w:ascii="宋体" w:hAnsi="宋体" w:eastAsia="宋体"/>
          <w:color w:val="auto"/>
          <w:szCs w:val="21"/>
          <w:highlight w:val="none"/>
        </w:rPr>
        <w:t>_________，</w:t>
      </w:r>
      <w:r>
        <w:rPr>
          <w:rFonts w:hint="eastAsia" w:ascii="宋体" w:hAnsi="宋体" w:eastAsia="宋体"/>
          <w:color w:val="auto"/>
          <w:szCs w:val="21"/>
          <w:highlight w:val="none"/>
        </w:rPr>
        <w:t>职务：</w:t>
      </w:r>
      <w:r>
        <w:rPr>
          <w:rFonts w:ascii="宋体" w:hAnsi="宋体" w:eastAsia="宋体"/>
          <w:color w:val="auto"/>
          <w:szCs w:val="21"/>
          <w:highlight w:val="none"/>
        </w:rPr>
        <w:t>_________</w:t>
      </w:r>
    </w:p>
    <w:p w14:paraId="2443FE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宋体" w:hAnsi="宋体" w:eastAsia="宋体"/>
          <w:color w:val="auto"/>
          <w:szCs w:val="21"/>
          <w:highlight w:val="none"/>
        </w:rPr>
        <w:t>_________</w:t>
      </w:r>
    </w:p>
    <w:p w14:paraId="5F8785C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职权：</w:t>
      </w:r>
      <w:r>
        <w:rPr>
          <w:rFonts w:hint="eastAsia" w:ascii="宋体" w:hAnsi="宋体"/>
          <w:color w:val="auto"/>
          <w:szCs w:val="21"/>
          <w:highlight w:val="none"/>
          <w:u w:val="single"/>
        </w:rPr>
        <w:t>负责根据主管部门和学校的有关文件要求开展工程项目建设施工的全过程管理，统筹本工程项目的质量、进度、投资、安全、信息等事宜；协调与施工、监理、检测等有关单位的关系；监督承包人履行合同中的职责和义务；统筹项目三通一平、办理相关许可、批准或备案，包括但不限于建设工程施工许可证、临时占用土地等许可和批准</w:t>
      </w:r>
      <w:r>
        <w:rPr>
          <w:rFonts w:hint="eastAsia" w:ascii="宋体" w:hAnsi="宋体" w:eastAsia="宋体"/>
          <w:color w:val="auto"/>
          <w:szCs w:val="21"/>
          <w:highlight w:val="none"/>
        </w:rPr>
        <w:t>。</w:t>
      </w:r>
    </w:p>
    <w:p w14:paraId="6D2451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3.3不实行监理的，工程师的职权：</w:t>
      </w:r>
      <w:r>
        <w:rPr>
          <w:rFonts w:hint="eastAsia" w:ascii="宋体" w:hAnsi="宋体" w:eastAsia="宋体"/>
          <w:color w:val="auto"/>
          <w:szCs w:val="21"/>
          <w:highlight w:val="none"/>
          <w:u w:val="single"/>
        </w:rPr>
        <w:t>经发包人授权行使</w:t>
      </w:r>
    </w:p>
    <w:p w14:paraId="255A614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4.承包人项目经理</w:t>
      </w:r>
    </w:p>
    <w:p w14:paraId="175291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4.1姓名：</w:t>
      </w:r>
      <w:r>
        <w:rPr>
          <w:rFonts w:ascii="宋体" w:hAnsi="宋体" w:eastAsia="宋体"/>
          <w:color w:val="auto"/>
          <w:szCs w:val="21"/>
          <w:highlight w:val="none"/>
        </w:rPr>
        <w:t>_________，</w:t>
      </w:r>
      <w:r>
        <w:rPr>
          <w:rFonts w:hint="eastAsia" w:ascii="宋体" w:hAnsi="宋体" w:eastAsia="宋体"/>
          <w:color w:val="auto"/>
          <w:szCs w:val="21"/>
          <w:highlight w:val="none"/>
        </w:rPr>
        <w:t>执业资格等级：</w:t>
      </w:r>
      <w:r>
        <w:rPr>
          <w:rFonts w:ascii="宋体" w:hAnsi="宋体" w:eastAsia="宋体"/>
          <w:color w:val="auto"/>
          <w:szCs w:val="21"/>
          <w:highlight w:val="none"/>
        </w:rPr>
        <w:t>_________</w:t>
      </w:r>
    </w:p>
    <w:p w14:paraId="55A1B1A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职务：</w:t>
      </w:r>
      <w:r>
        <w:rPr>
          <w:rFonts w:ascii="宋体" w:hAnsi="宋体" w:eastAsia="宋体"/>
          <w:color w:val="auto"/>
          <w:szCs w:val="21"/>
          <w:highlight w:val="none"/>
        </w:rPr>
        <w:t>_________，</w:t>
      </w:r>
      <w:r>
        <w:rPr>
          <w:rFonts w:hint="eastAsia" w:ascii="宋体" w:hAnsi="宋体" w:eastAsia="宋体"/>
          <w:color w:val="auto"/>
          <w:szCs w:val="21"/>
          <w:highlight w:val="none"/>
        </w:rPr>
        <w:t>联系电话：</w:t>
      </w:r>
      <w:r>
        <w:rPr>
          <w:rFonts w:ascii="宋体" w:hAnsi="宋体" w:eastAsia="宋体"/>
          <w:color w:val="auto"/>
          <w:szCs w:val="21"/>
          <w:highlight w:val="none"/>
        </w:rPr>
        <w:t>_________</w:t>
      </w:r>
    </w:p>
    <w:p w14:paraId="3729303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5.发包人工作</w:t>
      </w:r>
    </w:p>
    <w:p w14:paraId="422B21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5.1发包人应按约定的时间和要求完成以下工作：</w:t>
      </w:r>
    </w:p>
    <w:p w14:paraId="0BA7260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（1）施工场地具备施工条件的要求及完成的时间：</w:t>
      </w:r>
      <w:r>
        <w:rPr>
          <w:rFonts w:hint="eastAsia" w:ascii="宋体" w:hAnsi="宋体" w:eastAsia="宋体"/>
          <w:color w:val="auto"/>
          <w:szCs w:val="21"/>
          <w:highlight w:val="none"/>
          <w:u w:val="single"/>
        </w:rPr>
        <w:t>开工前3日内</w:t>
      </w:r>
      <w:r>
        <w:rPr>
          <w:rFonts w:hint="eastAsia" w:ascii="宋体" w:hAnsi="宋体" w:eastAsia="宋体"/>
          <w:color w:val="auto"/>
          <w:szCs w:val="21"/>
          <w:highlight w:val="none"/>
        </w:rPr>
        <w:t>。</w:t>
      </w:r>
    </w:p>
    <w:p w14:paraId="2669F6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（2）将施工所需的水、电、电讯线路接至施工场地的时间、地点和供应要求：</w:t>
      </w:r>
      <w:r>
        <w:rPr>
          <w:rFonts w:hint="eastAsia" w:ascii="宋体" w:hAnsi="宋体" w:eastAsia="宋体"/>
          <w:color w:val="auto"/>
          <w:szCs w:val="21"/>
          <w:highlight w:val="none"/>
          <w:u w:val="single"/>
        </w:rPr>
        <w:t>开工前3日内明确水、电、电讯接入点</w:t>
      </w:r>
      <w:r>
        <w:rPr>
          <w:rFonts w:hint="eastAsia" w:ascii="宋体" w:hAnsi="宋体" w:eastAsia="宋体"/>
          <w:color w:val="auto"/>
          <w:szCs w:val="21"/>
          <w:highlight w:val="none"/>
        </w:rPr>
        <w:t>。施工水电费用约定：</w:t>
      </w:r>
      <w:r>
        <w:rPr>
          <w:rFonts w:hint="eastAsia" w:ascii="宋体" w:hAnsi="宋体" w:eastAsia="宋体"/>
          <w:color w:val="auto"/>
          <w:szCs w:val="21"/>
          <w:highlight w:val="none"/>
          <w:u w:val="single"/>
        </w:rPr>
        <w:t>①开工前承包人应到发包人水电管理部门办理用水用电手续，签订施工用水用电协议，并以现金转账方式缴纳文明施工保证金，文明施工保证金为本工程签约合同价的3%（最高不超过50万元），发包人开通用水用电；②现场施工用水、用电费用按月以实际计量收费（单价：以发包人水电部门核准为准）向发包人缴纳；③项目竣工验收前，承包人应与发包人结算水电费用，待结算完成后，由承包人申请，发包人15个工作日内退还文明施工保证金（无息）</w:t>
      </w:r>
      <w:r>
        <w:rPr>
          <w:rFonts w:hint="eastAsia" w:ascii="宋体" w:hAnsi="宋体" w:eastAsia="宋体"/>
          <w:color w:val="auto"/>
          <w:szCs w:val="21"/>
          <w:highlight w:val="none"/>
        </w:rPr>
        <w:t>。</w:t>
      </w:r>
    </w:p>
    <w:p w14:paraId="4A200D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（3）施工场地与公共道路的通道开通时间和要求：</w:t>
      </w:r>
      <w:r>
        <w:rPr>
          <w:rFonts w:hint="eastAsia" w:ascii="宋体" w:hAnsi="宋体" w:eastAsia="宋体"/>
          <w:color w:val="auto"/>
          <w:szCs w:val="21"/>
          <w:highlight w:val="none"/>
          <w:u w:val="single"/>
        </w:rPr>
        <w:t>使用现有道路</w:t>
      </w:r>
      <w:r>
        <w:rPr>
          <w:rFonts w:hint="eastAsia" w:ascii="宋体" w:hAnsi="宋体" w:eastAsia="宋体"/>
          <w:color w:val="auto"/>
          <w:szCs w:val="21"/>
          <w:highlight w:val="none"/>
        </w:rPr>
        <w:t>。</w:t>
      </w:r>
    </w:p>
    <w:p w14:paraId="4AA3F6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（4）工程地质和地下管线资料的提供时间：</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0F471F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（5）由发包人办理的施工所需证件、批件的名称和完成时间：</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369058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（6）水准点与坐标控制点交验要求：</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5A9863E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（7）图纸会审和设计交底时间：</w:t>
      </w:r>
      <w:r>
        <w:rPr>
          <w:rFonts w:hint="eastAsia" w:ascii="宋体" w:hAnsi="宋体" w:eastAsia="宋体"/>
          <w:color w:val="auto"/>
          <w:szCs w:val="21"/>
          <w:highlight w:val="none"/>
          <w:u w:val="single"/>
        </w:rPr>
        <w:t>开工前3日内由发包人负责</w:t>
      </w:r>
      <w:r>
        <w:rPr>
          <w:rFonts w:hint="eastAsia" w:ascii="宋体" w:hAnsi="宋体" w:eastAsia="宋体"/>
          <w:color w:val="auto"/>
          <w:szCs w:val="21"/>
          <w:highlight w:val="none"/>
        </w:rPr>
        <w:t>。</w:t>
      </w:r>
    </w:p>
    <w:p w14:paraId="233D7E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（8）协调处理施工场地周围地下管线和邻近建筑物、构筑物（含文物保护建筑）、古树名木的保护工作：</w:t>
      </w:r>
      <w:r>
        <w:rPr>
          <w:rFonts w:hint="eastAsia" w:ascii="宋体" w:hAnsi="宋体" w:eastAsia="宋体"/>
          <w:color w:val="auto"/>
          <w:szCs w:val="21"/>
          <w:highlight w:val="none"/>
          <w:u w:val="single"/>
        </w:rPr>
        <w:t>发包人负责与相关部门协商处理，承包人积极配合</w:t>
      </w:r>
      <w:r>
        <w:rPr>
          <w:rFonts w:hint="eastAsia" w:ascii="宋体" w:hAnsi="宋体" w:eastAsia="宋体"/>
          <w:color w:val="auto"/>
          <w:szCs w:val="21"/>
          <w:highlight w:val="none"/>
        </w:rPr>
        <w:t>。</w:t>
      </w:r>
    </w:p>
    <w:p w14:paraId="0921DF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（9）双方约定发包人应做的其他工作：</w:t>
      </w:r>
      <w:r>
        <w:rPr>
          <w:rFonts w:hint="eastAsia" w:ascii="宋体" w:hAnsi="宋体" w:eastAsia="宋体"/>
          <w:color w:val="auto"/>
          <w:szCs w:val="21"/>
          <w:highlight w:val="none"/>
          <w:u w:val="single"/>
        </w:rPr>
        <w:t>无</w:t>
      </w:r>
    </w:p>
    <w:p w14:paraId="73835C8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5.2发包人委托承包人办理的工作：</w:t>
      </w:r>
      <w:r>
        <w:rPr>
          <w:rFonts w:hint="eastAsia" w:ascii="宋体" w:hAnsi="宋体" w:eastAsia="宋体"/>
          <w:color w:val="auto"/>
          <w:szCs w:val="21"/>
          <w:highlight w:val="none"/>
          <w:u w:val="single"/>
        </w:rPr>
        <w:t>无</w:t>
      </w:r>
    </w:p>
    <w:p w14:paraId="1182CF5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6.承包人工作</w:t>
      </w:r>
    </w:p>
    <w:p w14:paraId="6259EE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6.1承包人应按约定时间和要求，完成以下工作：</w:t>
      </w:r>
    </w:p>
    <w:p w14:paraId="2F20F0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（1）需由设计资质等级和业务范围允许的承包人完成的设计文件提交时间：</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1DA843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（2）应提供计划、报表的名称及完成时间：</w:t>
      </w:r>
      <w:r>
        <w:rPr>
          <w:rFonts w:hint="eastAsia" w:ascii="宋体" w:hAnsi="宋体" w:eastAsia="宋体"/>
          <w:color w:val="auto"/>
          <w:szCs w:val="21"/>
          <w:highlight w:val="none"/>
          <w:u w:val="single"/>
        </w:rPr>
        <w:t>每月25日前</w:t>
      </w:r>
      <w:r>
        <w:rPr>
          <w:rFonts w:hint="eastAsia" w:ascii="宋体" w:hAnsi="宋体" w:eastAsia="宋体"/>
          <w:color w:val="auto"/>
          <w:szCs w:val="21"/>
          <w:highlight w:val="none"/>
        </w:rPr>
        <w:t>。</w:t>
      </w:r>
    </w:p>
    <w:p w14:paraId="5B2144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（3）承担施工安全保卫工作及非夜间施工照明的责任和要求：</w:t>
      </w:r>
      <w:r>
        <w:rPr>
          <w:rFonts w:hint="eastAsia" w:ascii="宋体" w:hAnsi="宋体" w:eastAsia="宋体"/>
          <w:color w:val="auto"/>
          <w:szCs w:val="21"/>
          <w:highlight w:val="none"/>
          <w:u w:val="single"/>
        </w:rPr>
        <w:t>由承包人承担费用</w:t>
      </w:r>
      <w:r>
        <w:rPr>
          <w:rFonts w:hint="eastAsia" w:ascii="宋体" w:hAnsi="宋体" w:eastAsia="宋体"/>
          <w:color w:val="auto"/>
          <w:szCs w:val="21"/>
          <w:highlight w:val="none"/>
        </w:rPr>
        <w:t>。</w:t>
      </w:r>
    </w:p>
    <w:p w14:paraId="2651C3F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（4）向发包人提供的办公和生活房屋及设施的要求：</w:t>
      </w:r>
      <w:r>
        <w:rPr>
          <w:rFonts w:hint="eastAsia" w:ascii="宋体" w:hAnsi="宋体" w:eastAsia="宋体"/>
          <w:color w:val="auto"/>
          <w:szCs w:val="21"/>
          <w:highlight w:val="none"/>
          <w:u w:val="single"/>
        </w:rPr>
        <w:t>无</w:t>
      </w:r>
    </w:p>
    <w:p w14:paraId="29D732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（5）需承包人办理的有关施工场地交通、环卫和施工噪音管理等手续：</w:t>
      </w:r>
      <w:r>
        <w:rPr>
          <w:rFonts w:hint="eastAsia" w:ascii="宋体" w:hAnsi="宋体" w:eastAsia="宋体"/>
          <w:color w:val="auto"/>
          <w:szCs w:val="21"/>
          <w:highlight w:val="none"/>
          <w:u w:val="single"/>
        </w:rPr>
        <w:t>由承包人办理，费用由承包人承担</w:t>
      </w:r>
      <w:r>
        <w:rPr>
          <w:rFonts w:hint="eastAsia" w:ascii="宋体" w:hAnsi="宋体" w:eastAsia="宋体"/>
          <w:color w:val="auto"/>
          <w:szCs w:val="21"/>
          <w:highlight w:val="none"/>
        </w:rPr>
        <w:t>。</w:t>
      </w:r>
    </w:p>
    <w:p w14:paraId="3FC196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（6）已完工程成品保护的特殊要求及费用承担：</w:t>
      </w:r>
      <w:r>
        <w:rPr>
          <w:rFonts w:hint="eastAsia" w:ascii="宋体" w:hAnsi="宋体" w:eastAsia="宋体"/>
          <w:color w:val="auto"/>
          <w:szCs w:val="21"/>
          <w:highlight w:val="none"/>
          <w:u w:val="single"/>
        </w:rPr>
        <w:t>由承包人负责实施，费用由承包人承担</w:t>
      </w:r>
      <w:r>
        <w:rPr>
          <w:rFonts w:hint="eastAsia" w:ascii="宋体" w:hAnsi="宋体" w:eastAsia="宋体"/>
          <w:color w:val="auto"/>
          <w:szCs w:val="21"/>
          <w:highlight w:val="none"/>
        </w:rPr>
        <w:t>。</w:t>
      </w:r>
    </w:p>
    <w:p w14:paraId="00C448F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（7）施工场地周围地下管线和邻近建筑物、构筑物（含文物保护建筑）、古树名木的保护要求及费用承担：</w:t>
      </w:r>
      <w:r>
        <w:rPr>
          <w:rFonts w:hint="eastAsia" w:ascii="宋体" w:hAnsi="宋体" w:eastAsia="宋体"/>
          <w:color w:val="auto"/>
          <w:szCs w:val="21"/>
          <w:highlight w:val="none"/>
          <w:u w:val="single"/>
        </w:rPr>
        <w:t>由承包人负责实施，费用由发包人承担</w:t>
      </w:r>
      <w:r>
        <w:rPr>
          <w:rFonts w:hint="eastAsia" w:ascii="宋体" w:hAnsi="宋体" w:eastAsia="宋体"/>
          <w:color w:val="auto"/>
          <w:szCs w:val="21"/>
          <w:highlight w:val="none"/>
        </w:rPr>
        <w:t>。</w:t>
      </w:r>
    </w:p>
    <w:p w14:paraId="0530E31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（8）施工场清洁卫生的要求：</w:t>
      </w:r>
      <w:r>
        <w:rPr>
          <w:rFonts w:hint="eastAsia" w:ascii="宋体" w:hAnsi="宋体" w:eastAsia="宋体"/>
          <w:color w:val="auto"/>
          <w:szCs w:val="21"/>
          <w:highlight w:val="none"/>
          <w:u w:val="single"/>
        </w:rPr>
        <w:t>由承包人负责</w:t>
      </w:r>
      <w:r>
        <w:rPr>
          <w:rFonts w:hint="eastAsia" w:ascii="宋体" w:hAnsi="宋体" w:eastAsia="宋体"/>
          <w:color w:val="auto"/>
          <w:szCs w:val="21"/>
          <w:highlight w:val="none"/>
        </w:rPr>
        <w:t>。</w:t>
      </w:r>
    </w:p>
    <w:p w14:paraId="3F8385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（9）双方约定承包人应做的其他工作：</w:t>
      </w:r>
    </w:p>
    <w:p w14:paraId="33A276CE">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1）配合发包人做好安全文明宣传、领导检查宣传等工作，相关费用由承包人承担。</w:t>
      </w:r>
    </w:p>
    <w:p w14:paraId="7AB48D02">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2）承包人生活设施及施工场地，应自费配备消防设备，防止火灾发生。</w:t>
      </w:r>
    </w:p>
    <w:p w14:paraId="7B926D3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3）承包人的临时用地（含项目部驻地等）租用费（含拆迁补偿）、临时用地的环保、恢复、临时用地的青苗补偿及地面附着物拆除等费用均由承包人负责，以上费用在磋商报价中综合考虑。</w:t>
      </w:r>
    </w:p>
    <w:p w14:paraId="3B7437E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4）取土场及弃土场由承包人自行解决，但不得违反相关管理规定，并承担相关费用。</w:t>
      </w:r>
    </w:p>
    <w:p w14:paraId="7490CAC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5）经过城市道路的施工车辆，必须按交警、城管、运输等部门相关规定执行。由于施工车辆造成的道路、环境等污染，其责任和费用均由承包人承担。</w:t>
      </w:r>
    </w:p>
    <w:p w14:paraId="71BFB018">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6）承包人负责合同实施期间其合同段内临时交通道路（含场内外连接公共交通道路）和交通设施的修建、维修、养护和交通管理工作，并承担一切费用。</w:t>
      </w:r>
    </w:p>
    <w:p w14:paraId="61D3825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0A3BA2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6.2履约担保</w:t>
      </w:r>
    </w:p>
    <w:p w14:paraId="6580079D">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（1）承包人是否提供履约担保：是 。</w:t>
      </w:r>
    </w:p>
    <w:p w14:paraId="3BBEB128">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承包人提供履约担保的形式、金额及期限：承包人在收到成交通知书或任务委托书后须在10日历天内向发包人提交履约保证金（银行转账或者银行出具的无条件保函非现金方式、无息），履约保证金金额按合同价款扣除发包人材料设备价款、暂估专业工程、暂列金额后的2%收取。履约担保的有效期应当自本合同生效之日起至项目竣工结算完成止。</w:t>
      </w:r>
    </w:p>
    <w:p w14:paraId="2C6F1405">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履约保证金提交方式：银行转账或者银行出具的无条件保函非现金方式（无息）。</w:t>
      </w:r>
    </w:p>
    <w:p w14:paraId="39D08154">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统一社会信用代码：124500004985009929</w:t>
      </w:r>
    </w:p>
    <w:p w14:paraId="3EB1C7DE">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户名：广西大学</w:t>
      </w:r>
    </w:p>
    <w:p w14:paraId="45551B6F">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开户行：中国银行广西南宁市西大支行</w:t>
      </w:r>
    </w:p>
    <w:p w14:paraId="71B3AB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账号：6184 5748 4938</w:t>
      </w:r>
    </w:p>
    <w:p w14:paraId="14C9C6B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（3）履约保证金的退还：</w:t>
      </w:r>
      <w:r>
        <w:rPr>
          <w:rFonts w:hint="eastAsia" w:ascii="宋体" w:hAnsi="宋体" w:eastAsia="宋体"/>
          <w:color w:val="auto"/>
          <w:szCs w:val="21"/>
          <w:highlight w:val="none"/>
          <w:u w:val="single"/>
        </w:rPr>
        <w:t>履约保证金在工程竣工验收合格并对验收发现的问题完成整改后的</w:t>
      </w:r>
      <w:r>
        <w:rPr>
          <w:rFonts w:hint="eastAsia" w:ascii="宋体" w:hAnsi="宋体" w:eastAsia="宋体"/>
          <w:color w:val="auto"/>
          <w:szCs w:val="21"/>
          <w:highlight w:val="none"/>
          <w:u w:val="single"/>
        </w:rPr>
        <w:t>5个工作日内</w:t>
      </w:r>
      <w:r>
        <w:rPr>
          <w:rFonts w:hint="eastAsia" w:ascii="宋体" w:hAnsi="宋体" w:eastAsia="宋体"/>
          <w:color w:val="auto"/>
          <w:szCs w:val="21"/>
          <w:highlight w:val="none"/>
          <w:u w:val="single"/>
        </w:rPr>
        <w:t>，退付履约金的50%；承包人向发包人完成（施工）竣工资料移交手续后并提交完整的竣工结算资料，竣工结算审核完成，双方在竣工结算审定单签字盖章后14天可向发包人申请退还剩余的履约保证金，发包人应在收到申请之日起5个工作日内扣减承包人赔偿金和其他应从承包人扣回的款项后，将履约保证金的余额退还给承包人（无息）</w:t>
      </w:r>
      <w:r>
        <w:rPr>
          <w:rFonts w:hint="eastAsia" w:ascii="宋体" w:hAnsi="宋体" w:eastAsia="宋体"/>
          <w:color w:val="auto"/>
          <w:szCs w:val="21"/>
          <w:highlight w:val="none"/>
        </w:rPr>
        <w:t>。</w:t>
      </w:r>
    </w:p>
    <w:p w14:paraId="1BD87F98">
      <w:pPr>
        <w:pStyle w:val="4"/>
        <w:jc w:val="left"/>
        <w:rPr>
          <w:rFonts w:ascii="宋体" w:hAnsi="宋体" w:eastAsia="宋体"/>
          <w:color w:val="auto"/>
          <w:sz w:val="28"/>
          <w:szCs w:val="28"/>
          <w:highlight w:val="none"/>
        </w:rPr>
      </w:pPr>
      <w:bookmarkStart w:id="129" w:name="_Toc197530160"/>
      <w:bookmarkStart w:id="130" w:name="_Toc195459485"/>
      <w:r>
        <w:rPr>
          <w:rFonts w:hint="eastAsia" w:ascii="宋体" w:hAnsi="宋体" w:eastAsia="宋体"/>
          <w:color w:val="auto"/>
          <w:sz w:val="28"/>
          <w:szCs w:val="28"/>
          <w:highlight w:val="none"/>
        </w:rPr>
        <w:t>三、施工组织设计和工期</w:t>
      </w:r>
      <w:bookmarkEnd w:id="129"/>
      <w:bookmarkEnd w:id="130"/>
    </w:p>
    <w:p w14:paraId="5BA3B7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7.进度计划</w:t>
      </w:r>
    </w:p>
    <w:p w14:paraId="32BF7AF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7.1承包人提供施工组织设计（施工方案）和进度计划的时间：</w:t>
      </w:r>
      <w:r>
        <w:rPr>
          <w:rFonts w:hint="eastAsia" w:ascii="宋体" w:hAnsi="宋体" w:eastAsia="宋体"/>
          <w:color w:val="auto"/>
          <w:szCs w:val="21"/>
          <w:highlight w:val="none"/>
          <w:u w:val="single"/>
        </w:rPr>
        <w:t>开工前3日内</w:t>
      </w:r>
      <w:r>
        <w:rPr>
          <w:rFonts w:hint="eastAsia" w:ascii="宋体" w:hAnsi="宋体" w:eastAsia="宋体"/>
          <w:color w:val="auto"/>
          <w:szCs w:val="21"/>
          <w:highlight w:val="none"/>
        </w:rPr>
        <w:t>。</w:t>
      </w:r>
    </w:p>
    <w:p w14:paraId="76DDA8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7.2工程师确认的时间：</w:t>
      </w:r>
      <w:r>
        <w:rPr>
          <w:rFonts w:hint="eastAsia" w:ascii="宋体" w:hAnsi="宋体" w:eastAsia="宋体"/>
          <w:color w:val="auto"/>
          <w:szCs w:val="21"/>
          <w:highlight w:val="none"/>
          <w:u w:val="single"/>
        </w:rPr>
        <w:t>收到施工组织设计（施工方案）和进度计划后5日内</w:t>
      </w:r>
      <w:r>
        <w:rPr>
          <w:rFonts w:hint="eastAsia" w:ascii="宋体" w:hAnsi="宋体" w:eastAsia="宋体"/>
          <w:color w:val="auto"/>
          <w:szCs w:val="21"/>
          <w:highlight w:val="none"/>
        </w:rPr>
        <w:t>。</w:t>
      </w:r>
    </w:p>
    <w:p w14:paraId="3087D5A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8.工期延误</w:t>
      </w:r>
    </w:p>
    <w:p w14:paraId="661B3A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8.1工期顺延的确认：</w:t>
      </w:r>
      <w:r>
        <w:rPr>
          <w:rFonts w:hint="eastAsia" w:ascii="宋体" w:hAnsi="宋体" w:eastAsia="宋体"/>
          <w:color w:val="auto"/>
          <w:szCs w:val="21"/>
          <w:highlight w:val="none"/>
          <w:u w:val="single"/>
        </w:rPr>
        <w:t>承包人填报工期签证单申请顺延天数，经发包人确认后工期相应顺延，发包人无需承担其他任何责任，也不需做任何补偿</w:t>
      </w:r>
      <w:r>
        <w:rPr>
          <w:rFonts w:hint="eastAsia" w:ascii="宋体" w:hAnsi="宋体" w:eastAsia="宋体"/>
          <w:color w:val="auto"/>
          <w:szCs w:val="21"/>
          <w:highlight w:val="none"/>
        </w:rPr>
        <w:t>。</w:t>
      </w:r>
    </w:p>
    <w:p w14:paraId="3DA62F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8.1.1双方约定工期顺延的情形：</w:t>
      </w:r>
      <w:r>
        <w:rPr>
          <w:rFonts w:hint="eastAsia" w:ascii="宋体" w:hAnsi="宋体" w:eastAsia="宋体"/>
          <w:color w:val="auto"/>
          <w:szCs w:val="21"/>
          <w:highlight w:val="none"/>
          <w:u w:val="single"/>
        </w:rPr>
        <w:t>（1）不可抗力的原因（含异常恶劣的气候条件，如连续大于3天超过40摄氏度的高温天气，8级以上（含）大风及六级以上的地震等）；（2）因发包人原因不能开工或中途停工的；（3）设计变更导致施工内容增加且对工期造成影响的。</w:t>
      </w:r>
    </w:p>
    <w:p w14:paraId="2B7BED8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8.2除8.1.1约定的情形外，承包人不能按合同约定的时间竣工的，承包人应承担违约责任。承包人应向发包人支付误期违约金（每天违约金数额为合同价款的万分之肆），工期延误天数=实际工期-合同工期-同意顺延天数（实际工期：从规定开工日起至竣工验收合格日止；合同工期：合同协议书中合同工期总日历天数；顺延天数：发包人同意顺延的天数），违约金最多不超过签约合同价的10%。发包人从应向承包人支付的任何款项中扣除此项违约金或承包人直接缴纳违约金，此项违约金的支付并不能免</w:t>
      </w:r>
      <w:r>
        <w:rPr>
          <w:rFonts w:hint="eastAsia" w:ascii="宋体" w:hAnsi="宋体" w:eastAsia="宋体"/>
          <w:color w:val="auto"/>
          <w:szCs w:val="21"/>
          <w:highlight w:val="none"/>
        </w:rPr>
        <w:t>除承包人完成工程的义务和按照合同约定应当履行的其他义务。</w:t>
      </w:r>
    </w:p>
    <w:p w14:paraId="14F351A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承包人除了支付上述约定的违约金外，承包人有以下情形之一的</w:t>
      </w:r>
      <w:r>
        <w:rPr>
          <w:rFonts w:hint="default" w:ascii="宋体" w:hAnsi="宋体" w:cs="宋体"/>
          <w:color w:val="auto"/>
          <w:szCs w:val="21"/>
          <w:highlight w:val="none"/>
          <w:lang w:val="en-US"/>
        </w:rPr>
        <w:t>需</w:t>
      </w:r>
      <w:r>
        <w:rPr>
          <w:rFonts w:hint="eastAsia" w:ascii="宋体" w:hAnsi="宋体" w:cs="宋体"/>
          <w:color w:val="auto"/>
          <w:szCs w:val="21"/>
          <w:highlight w:val="none"/>
        </w:rPr>
        <w:t>承担相应的违约责任：</w:t>
      </w:r>
    </w:p>
    <w:p w14:paraId="42C83CC7">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开工10日历天内施工单位无法提供关键材料（钢制防盗门、铝合金窗、防水涂料、墙地砖）供货单等证明材料给发包人，每延迟一天支付1</w:t>
      </w:r>
      <w:r>
        <w:rPr>
          <w:rFonts w:ascii="宋体" w:hAnsi="宋体" w:cs="宋体"/>
          <w:color w:val="auto"/>
          <w:szCs w:val="21"/>
          <w:highlight w:val="none"/>
        </w:rPr>
        <w:t>000</w:t>
      </w:r>
      <w:r>
        <w:rPr>
          <w:rFonts w:hint="eastAsia" w:ascii="宋体" w:hAnsi="宋体" w:cs="宋体"/>
          <w:color w:val="auto"/>
          <w:szCs w:val="21"/>
          <w:highlight w:val="none"/>
        </w:rPr>
        <w:t>元/天。最高</w:t>
      </w:r>
      <w:r>
        <w:rPr>
          <w:rFonts w:hint="eastAsia" w:ascii="宋体" w:hAnsi="宋体" w:cs="仿宋_GB2312"/>
          <w:color w:val="auto"/>
          <w:szCs w:val="21"/>
          <w:highlight w:val="none"/>
        </w:rPr>
        <w:t>不超过合同价</w:t>
      </w:r>
      <w:r>
        <w:rPr>
          <w:rFonts w:hint="eastAsia" w:ascii="宋体" w:hAnsi="宋体" w:cs="仿宋_GB2312"/>
          <w:color w:val="auto"/>
          <w:szCs w:val="21"/>
          <w:highlight w:val="none"/>
          <w:lang w:val="en-US" w:eastAsia="zh-CN"/>
        </w:rPr>
        <w:t>的</w:t>
      </w: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违约金</w:t>
      </w:r>
      <w:r>
        <w:rPr>
          <w:rFonts w:hint="eastAsia" w:ascii="宋体" w:hAnsi="宋体" w:cs="宋体"/>
          <w:color w:val="auto"/>
          <w:szCs w:val="21"/>
          <w:highlight w:val="none"/>
          <w:lang w:val="en-US" w:eastAsia="zh-CN"/>
        </w:rPr>
        <w:t>；</w:t>
      </w:r>
    </w:p>
    <w:p w14:paraId="665FE3F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钢制防盗门、铝合金窗在开工</w:t>
      </w:r>
      <w:r>
        <w:rPr>
          <w:rFonts w:ascii="宋体" w:hAnsi="宋体" w:cs="宋体"/>
          <w:color w:val="auto"/>
          <w:szCs w:val="21"/>
          <w:highlight w:val="none"/>
        </w:rPr>
        <w:t>30</w:t>
      </w:r>
      <w:r>
        <w:rPr>
          <w:rFonts w:hint="eastAsia" w:ascii="宋体" w:hAnsi="宋体" w:cs="宋体"/>
          <w:color w:val="auto"/>
          <w:szCs w:val="21"/>
          <w:highlight w:val="none"/>
        </w:rPr>
        <w:t>日历天未到货。每延迟一天支付</w:t>
      </w:r>
      <w:r>
        <w:rPr>
          <w:rFonts w:ascii="宋体" w:hAnsi="宋体" w:cs="宋体"/>
          <w:color w:val="auto"/>
          <w:szCs w:val="21"/>
          <w:highlight w:val="none"/>
        </w:rPr>
        <w:t>2000</w:t>
      </w:r>
      <w:r>
        <w:rPr>
          <w:rFonts w:hint="eastAsia" w:ascii="宋体" w:hAnsi="宋体" w:cs="宋体"/>
          <w:color w:val="auto"/>
          <w:szCs w:val="21"/>
          <w:highlight w:val="none"/>
        </w:rPr>
        <w:t>元/天。最高</w:t>
      </w:r>
      <w:r>
        <w:rPr>
          <w:rFonts w:hint="eastAsia" w:ascii="宋体" w:hAnsi="宋体" w:cs="仿宋_GB2312"/>
          <w:color w:val="auto"/>
          <w:szCs w:val="21"/>
          <w:highlight w:val="none"/>
        </w:rPr>
        <w:t>不超过合同价</w:t>
      </w:r>
      <w:r>
        <w:rPr>
          <w:rFonts w:hint="eastAsia" w:ascii="宋体" w:hAnsi="宋体" w:cs="宋体"/>
          <w:color w:val="auto"/>
          <w:szCs w:val="21"/>
          <w:highlight w:val="none"/>
          <w:lang w:val="en-US" w:eastAsia="zh-CN"/>
        </w:rPr>
        <w:t>的</w:t>
      </w:r>
      <w:r>
        <w:rPr>
          <w:rFonts w:ascii="宋体" w:hAnsi="宋体" w:cs="宋体"/>
          <w:color w:val="auto"/>
          <w:szCs w:val="21"/>
          <w:highlight w:val="none"/>
        </w:rPr>
        <w:t>2%</w:t>
      </w:r>
      <w:r>
        <w:rPr>
          <w:rFonts w:hint="eastAsia" w:ascii="宋体" w:hAnsi="宋体" w:cs="宋体"/>
          <w:color w:val="auto"/>
          <w:szCs w:val="21"/>
          <w:highlight w:val="none"/>
        </w:rPr>
        <w:t>违约金；</w:t>
      </w:r>
    </w:p>
    <w:p w14:paraId="0A7860F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开工30日历天内现场已完成工程量未达到总工程量的60%的，</w:t>
      </w:r>
      <w:r>
        <w:rPr>
          <w:rFonts w:hint="eastAsia"/>
          <w:color w:val="auto"/>
          <w:highlight w:val="none"/>
        </w:rPr>
        <w:t>发包人有权委托其他施工单位共同完成剩余工程。如承包人拒不配合的，发包人有权解除合同，并向发包人支付合同价5</w:t>
      </w:r>
      <w:r>
        <w:rPr>
          <w:color w:val="auto"/>
          <w:highlight w:val="none"/>
        </w:rPr>
        <w:t>%</w:t>
      </w:r>
      <w:r>
        <w:rPr>
          <w:rFonts w:hint="eastAsia"/>
          <w:color w:val="auto"/>
          <w:highlight w:val="none"/>
        </w:rPr>
        <w:t>的违约金</w:t>
      </w:r>
      <w:r>
        <w:rPr>
          <w:rFonts w:hint="eastAsia" w:ascii="宋体" w:hAnsi="宋体" w:cs="宋体"/>
          <w:color w:val="auto"/>
          <w:szCs w:val="21"/>
          <w:highlight w:val="none"/>
        </w:rPr>
        <w:t>。</w:t>
      </w:r>
      <w:r>
        <w:rPr>
          <w:rFonts w:hint="eastAsia" w:ascii="宋体" w:hAnsi="宋体" w:cs="宋体"/>
          <w:color w:val="auto"/>
          <w:szCs w:val="21"/>
          <w:highlight w:val="none"/>
        </w:rPr>
        <w:t xml:space="preserve"> </w:t>
      </w:r>
    </w:p>
    <w:p w14:paraId="72AB14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8.3因工程量变化和设计变更的工期予以顺延，即工期相应变化，工程质量要求不变。</w:t>
      </w:r>
    </w:p>
    <w:p w14:paraId="284AB46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8.4承包人必须按照合同约定的工期或发包人同意顺延的工期竣工。</w:t>
      </w:r>
    </w:p>
    <w:p w14:paraId="54F78D7D">
      <w:pPr>
        <w:pStyle w:val="4"/>
        <w:jc w:val="left"/>
        <w:rPr>
          <w:rFonts w:ascii="宋体" w:hAnsi="宋体" w:eastAsia="宋体"/>
          <w:color w:val="auto"/>
          <w:sz w:val="28"/>
          <w:szCs w:val="28"/>
          <w:highlight w:val="none"/>
        </w:rPr>
      </w:pPr>
      <w:bookmarkStart w:id="131" w:name="_Toc197530161"/>
      <w:bookmarkStart w:id="132" w:name="_Toc195459486"/>
      <w:r>
        <w:rPr>
          <w:rFonts w:hint="eastAsia" w:ascii="宋体" w:hAnsi="宋体" w:eastAsia="宋体"/>
          <w:color w:val="auto"/>
          <w:sz w:val="28"/>
          <w:szCs w:val="28"/>
          <w:highlight w:val="none"/>
        </w:rPr>
        <w:t>四、质量与验收</w:t>
      </w:r>
      <w:bookmarkEnd w:id="131"/>
      <w:bookmarkEnd w:id="132"/>
    </w:p>
    <w:p w14:paraId="37FBC5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9.工程质量</w:t>
      </w:r>
    </w:p>
    <w:p w14:paraId="50D3EE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9.1发包人对工程质量的要求：</w:t>
      </w:r>
      <w:r>
        <w:rPr>
          <w:rFonts w:hint="eastAsia" w:ascii="宋体" w:hAnsi="宋体" w:eastAsia="宋体"/>
          <w:color w:val="auto"/>
          <w:szCs w:val="21"/>
          <w:highlight w:val="none"/>
          <w:u w:val="single"/>
        </w:rPr>
        <w:t>符合国家、行业、工程所在地的标准和规范，并必须达到合格要求</w:t>
      </w:r>
      <w:r>
        <w:rPr>
          <w:rFonts w:hint="eastAsia" w:ascii="宋体" w:hAnsi="宋体" w:eastAsia="宋体"/>
          <w:color w:val="auto"/>
          <w:szCs w:val="21"/>
          <w:highlight w:val="none"/>
        </w:rPr>
        <w:t>。</w:t>
      </w:r>
    </w:p>
    <w:p w14:paraId="6D6057E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9.2双方对工程质量有争议时，委托第三方检测机构检测，检测后如无质量问题，检测费用由发包人负责，如检测结果有质量问题，则检测费用由承包人负责。</w:t>
      </w:r>
    </w:p>
    <w:p w14:paraId="24199B2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10.隐蔽工程和中间验收</w:t>
      </w:r>
    </w:p>
    <w:p w14:paraId="056102D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10.1双方约定中间验收部位：</w:t>
      </w:r>
      <w:r>
        <w:rPr>
          <w:rFonts w:hint="eastAsia" w:ascii="宋体" w:hAnsi="宋体" w:eastAsia="宋体"/>
          <w:color w:val="auto"/>
          <w:szCs w:val="21"/>
          <w:highlight w:val="none"/>
          <w:u w:val="single"/>
        </w:rPr>
        <w:t>工程隐蔽或中间验收前3个工作日内，承包人以书面形式通知监理单位和发包人参加验收，说明验收的内容、时间、地点，并在验收前准备好相关验收资料。验收合格，承包人可进行隐蔽和继续施工，验收不合格，承包人整改后按上述顺序重新验收</w:t>
      </w:r>
      <w:r>
        <w:rPr>
          <w:rFonts w:hint="eastAsia" w:ascii="宋体" w:hAnsi="宋体" w:eastAsia="宋体"/>
          <w:color w:val="auto"/>
          <w:szCs w:val="21"/>
          <w:highlight w:val="none"/>
        </w:rPr>
        <w:t>。</w:t>
      </w:r>
    </w:p>
    <w:p w14:paraId="75B73212">
      <w:pPr>
        <w:pStyle w:val="4"/>
        <w:jc w:val="left"/>
        <w:rPr>
          <w:rFonts w:ascii="宋体" w:hAnsi="宋体" w:eastAsia="宋体"/>
          <w:color w:val="auto"/>
          <w:sz w:val="28"/>
          <w:szCs w:val="28"/>
          <w:highlight w:val="none"/>
        </w:rPr>
      </w:pPr>
      <w:bookmarkStart w:id="133" w:name="_Toc195459487"/>
      <w:bookmarkStart w:id="134" w:name="_Toc197530162"/>
      <w:r>
        <w:rPr>
          <w:rFonts w:hint="eastAsia" w:ascii="宋体" w:hAnsi="宋体" w:eastAsia="宋体"/>
          <w:color w:val="auto"/>
          <w:sz w:val="28"/>
          <w:szCs w:val="28"/>
          <w:highlight w:val="none"/>
        </w:rPr>
        <w:t>五、合同价款与支付</w:t>
      </w:r>
      <w:bookmarkEnd w:id="133"/>
      <w:bookmarkEnd w:id="134"/>
    </w:p>
    <w:p w14:paraId="1008C4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11.合同价款及调整</w:t>
      </w:r>
    </w:p>
    <w:p w14:paraId="3B6020E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11.1签约合同价（暂定）：人民币（大写）：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71DC2B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其中：</w:t>
      </w:r>
    </w:p>
    <w:p w14:paraId="268043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（1）安全文明施工费：人民币（大写）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219B05C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（2）材料和工程设备暂估价金额：人民币（大写）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533A5C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（3）专业工程暂估价金额：人民币（大写）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0100F1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（4）暂列金额：人民币（大写）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1C33C6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11.1.1招标控制价：人民币（大写）：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094FCA1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其中：</w:t>
      </w:r>
    </w:p>
    <w:p w14:paraId="5509BEA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（1）安全文明施工费：人民币（大写）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71E49F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（2）材料和工程设备暂估价金额：人民币（大写）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6AC96B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（3）专业工程暂估价金额：人民币（大写）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4C306C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（4）暂列金额：人民币（大写）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78ACED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（5）合同下浮系数：</w:t>
      </w:r>
      <w:r>
        <w:rPr>
          <w:rFonts w:ascii="宋体" w:hAnsi="宋体" w:eastAsia="宋体"/>
          <w:color w:val="auto"/>
          <w:szCs w:val="21"/>
          <w:highlight w:val="none"/>
        </w:rPr>
        <w:t>________</w:t>
      </w:r>
    </w:p>
    <w:p w14:paraId="1D2536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11.2合同价格形式：</w:t>
      </w:r>
      <w:r>
        <w:rPr>
          <w:rFonts w:hint="eastAsia" w:ascii="宋体" w:hAnsi="宋体" w:eastAsia="宋体"/>
          <w:color w:val="auto"/>
          <w:szCs w:val="21"/>
          <w:highlight w:val="none"/>
          <w:u w:val="single"/>
        </w:rPr>
        <w:t>固定综合单价</w:t>
      </w:r>
      <w:r>
        <w:rPr>
          <w:rFonts w:hint="eastAsia" w:ascii="宋体" w:hAnsi="宋体" w:eastAsia="宋体"/>
          <w:color w:val="auto"/>
          <w:szCs w:val="21"/>
          <w:highlight w:val="none"/>
          <w:u w:val="single"/>
        </w:rPr>
        <w:t>合同</w:t>
      </w:r>
      <w:r>
        <w:rPr>
          <w:rFonts w:hint="eastAsia" w:ascii="宋体" w:hAnsi="宋体" w:eastAsia="宋体"/>
          <w:color w:val="auto"/>
          <w:szCs w:val="21"/>
          <w:highlight w:val="none"/>
        </w:rPr>
        <w:t>。</w:t>
      </w:r>
    </w:p>
    <w:p w14:paraId="37A1B2F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11.2.1合同计价原则（含工程变更）：工程量按实际完成量，固定综合单价按以下顺序计取：</w:t>
      </w:r>
      <w:r>
        <w:rPr>
          <w:rFonts w:hint="eastAsia" w:ascii="宋体" w:hAnsi="宋体" w:eastAsia="宋体"/>
          <w:color w:val="auto"/>
          <w:szCs w:val="21"/>
          <w:highlight w:val="none"/>
          <w:u w:val="single"/>
        </w:rPr>
        <w:t>（1）招标控制价（最高限价）公布的单价乘以（1-下浮系数）；（2）《广西大学零星工程包干单价目录》（2025年第1期）有相同或类似子目的按该子目计价，并乘以（1-下浮系数）；（3）《广西大学零星工程包干单价目录》（2025年第1期）没有相同或类似子目，但有现行定额可套的，按定额计算后乘以（1-下浮系数），材料价格按施工期间的《南宁建设工程造价信息》</w:t>
      </w:r>
      <w:r>
        <w:rPr>
          <w:rFonts w:hint="eastAsia" w:ascii="宋体" w:hAnsi="宋体" w:eastAsia="宋体"/>
          <w:color w:val="auto"/>
          <w:szCs w:val="21"/>
          <w:highlight w:val="none"/>
          <w:u w:val="single"/>
        </w:rPr>
        <w:t>（2025年第2期下半月刊）</w:t>
      </w:r>
      <w:r>
        <w:rPr>
          <w:rFonts w:hint="eastAsia" w:ascii="宋体" w:hAnsi="宋体" w:eastAsia="宋体"/>
          <w:color w:val="auto"/>
          <w:szCs w:val="21"/>
          <w:highlight w:val="none"/>
          <w:u w:val="single"/>
        </w:rPr>
        <w:t>相应价格信息的算术平均值计取；（4）以上规则都不适用的，除发包人明确由甲供材的以外，其他的按市场价格计取，由承包人提供相应供应商的合同、供货单、发票、联系电话及地址、产品规格型号、合格证等支撑材料，经发包人查证后结算。若承包人无法提供的则按发包人核实的价格为准，若承包人提供的支撑材料弄虚作假或提供的报价超过经核查价格的15%的，发包人按超过部分的三倍扣罚承包人违约金；（5）《广西大学零星工程包干单价目录》（2025年第1期）中单价为固定综合单价，已包含所有相关费用</w:t>
      </w:r>
      <w:r>
        <w:rPr>
          <w:rFonts w:hint="eastAsia" w:ascii="宋体" w:hAnsi="宋体" w:eastAsia="宋体"/>
          <w:color w:val="auto"/>
          <w:szCs w:val="21"/>
          <w:highlight w:val="none"/>
        </w:rPr>
        <w:t>。</w:t>
      </w:r>
    </w:p>
    <w:p w14:paraId="515AA8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11.2.3允许调价的情形：</w:t>
      </w:r>
    </w:p>
    <w:p w14:paraId="4FDB88F1">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w:t>
      </w:r>
      <w:r>
        <w:rPr>
          <w:rFonts w:hint="eastAsia" w:ascii="宋体" w:hAnsi="宋体" w:eastAsia="宋体"/>
          <w:color w:val="auto"/>
          <w:szCs w:val="21"/>
          <w:highlight w:val="none"/>
        </w:rPr>
        <w:t>不允许调价。本合同材料价格、人工费不因市场价格波动和政策变化而调整。</w:t>
      </w:r>
    </w:p>
    <w:p w14:paraId="4984A7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□允许调价，调价的情形按以下规定执行。</w:t>
      </w:r>
    </w:p>
    <w:p w14:paraId="1DFF5E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（1）政策性调整：</w:t>
      </w:r>
      <w:r>
        <w:rPr>
          <w:rFonts w:hint="eastAsia" w:ascii="宋体" w:hAnsi="宋体" w:eastAsia="宋体"/>
          <w:color w:val="auto"/>
          <w:szCs w:val="21"/>
          <w:highlight w:val="none"/>
          <w:u w:val="single"/>
        </w:rPr>
        <w:t>按国家、自治区、南宁市建设行政主管部门颁布的文件执行</w:t>
      </w:r>
      <w:r>
        <w:rPr>
          <w:rFonts w:hint="eastAsia" w:ascii="宋体" w:hAnsi="宋体" w:eastAsia="宋体"/>
          <w:color w:val="auto"/>
          <w:szCs w:val="21"/>
          <w:highlight w:val="none"/>
        </w:rPr>
        <w:t>；</w:t>
      </w:r>
    </w:p>
    <w:p w14:paraId="68E164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合同计价原则（1）中涉及的主要材料单价（含钢筋、水泥、商品混凝土、电线电缆、砌块、砂）变动超过招标控制价编制当期的《南宁建设工程造价信息》（2025年第2月下半月刊）公布价的±15%时，则超出部分按施工期间《南宁建设工程造价信息》（2025年第2月下半月刊）公布价的算术平均值调整，调整部分仅计差额及相应税金。</w:t>
      </w:r>
    </w:p>
    <w:p w14:paraId="29C645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（3）合同计价原则（2）中涉及的材料单价变动超过《</w:t>
      </w:r>
      <w:r>
        <w:rPr>
          <w:rFonts w:hint="eastAsia" w:ascii="宋体" w:hAnsi="宋体" w:eastAsia="宋体"/>
          <w:color w:val="auto"/>
          <w:szCs w:val="21"/>
          <w:highlight w:val="none"/>
          <w:u w:val="single"/>
        </w:rPr>
        <w:t>广西大学维修（零星）工程全费用综合单价目录</w:t>
      </w:r>
      <w:r>
        <w:rPr>
          <w:rFonts w:hint="eastAsia" w:ascii="宋体" w:hAnsi="宋体" w:eastAsia="宋体"/>
          <w:color w:val="auto"/>
          <w:szCs w:val="21"/>
          <w:highlight w:val="none"/>
        </w:rPr>
        <w:t>》</w:t>
      </w:r>
      <w:r>
        <w:rPr>
          <w:rFonts w:ascii="宋体" w:hAnsi="宋体" w:eastAsia="宋体"/>
          <w:color w:val="auto"/>
          <w:szCs w:val="21"/>
          <w:highlight w:val="none"/>
        </w:rPr>
        <w:t>2025</w:t>
      </w:r>
      <w:r>
        <w:rPr>
          <w:rFonts w:hint="eastAsia" w:ascii="宋体" w:hAnsi="宋体" w:eastAsia="宋体"/>
          <w:color w:val="auto"/>
          <w:szCs w:val="21"/>
          <w:highlight w:val="none"/>
        </w:rPr>
        <w:t>年第</w:t>
      </w:r>
      <w:r>
        <w:rPr>
          <w:rFonts w:ascii="宋体" w:hAnsi="宋体" w:eastAsia="宋体"/>
          <w:color w:val="auto"/>
          <w:szCs w:val="21"/>
          <w:highlight w:val="none"/>
        </w:rPr>
        <w:t>1</w:t>
      </w:r>
      <w:r>
        <w:rPr>
          <w:rFonts w:hint="eastAsia" w:ascii="宋体" w:hAnsi="宋体" w:eastAsia="宋体"/>
          <w:color w:val="auto"/>
          <w:szCs w:val="21"/>
          <w:highlight w:val="none"/>
        </w:rPr>
        <w:t>期公布的±15%时，则超出部分按施工期间《广西大学维修（零星）工程全费用综合单价目录》公布价的算术平均值调整，调整部分仅计差额及相应税金。</w:t>
      </w:r>
    </w:p>
    <w:p w14:paraId="367139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12.工程量确认：</w:t>
      </w:r>
    </w:p>
    <w:p w14:paraId="30B3A2B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12.1承包人向工程师提交已完工程量报告的时间：</w:t>
      </w:r>
      <w:r>
        <w:rPr>
          <w:rFonts w:hint="eastAsia" w:ascii="宋体" w:hAnsi="宋体" w:eastAsia="宋体"/>
          <w:color w:val="auto"/>
          <w:szCs w:val="21"/>
          <w:highlight w:val="none"/>
          <w:u w:val="single"/>
        </w:rPr>
        <w:t>每月25日前</w:t>
      </w:r>
      <w:r>
        <w:rPr>
          <w:rFonts w:hint="eastAsia" w:ascii="宋体" w:hAnsi="宋体" w:eastAsia="宋体"/>
          <w:color w:val="auto"/>
          <w:szCs w:val="21"/>
          <w:highlight w:val="none"/>
        </w:rPr>
        <w:t>。</w:t>
      </w:r>
    </w:p>
    <w:p w14:paraId="767559A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12.1.1工程量清单所列的工程量，不能作为承包人按合同履行其责任依据，实际施工中发生的工程量增加或减少并不影响承包人履行合同的责任，工程结算以完成的实际工程量为准。</w:t>
      </w:r>
    </w:p>
    <w:p w14:paraId="0EFE724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12.2除另有规定外，工程师应按照合同通过计量来核实确定已完成的工程量和价值，承包人应得到该价值扣除保留金后的价款。当工程师要对已完工的工程量进行计量时，应适时地通知承包人参加。</w:t>
      </w:r>
    </w:p>
    <w:p w14:paraId="5273EB2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12.3计量方法</w:t>
      </w:r>
    </w:p>
    <w:p w14:paraId="441243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的计量均以国家标准《建设工程工程量计算规范》（GB50854-50862－2013）和《建设工程工程量计算规范（GB50854-50862－2013）广西壮族自治区实施细则》计算的净值为准，如有不明之处，应以造价管理部门或发包人指定的计量方法为准。</w:t>
      </w:r>
    </w:p>
    <w:p w14:paraId="0BB5DA5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12.4计量单位</w:t>
      </w:r>
    </w:p>
    <w:p w14:paraId="5A8590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除了合同另有规定外，所有计量单位均应符合本工程的工程量清单。</w:t>
      </w:r>
    </w:p>
    <w:p w14:paraId="50F7CE2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13.工程款（预付款、进度款）支付</w:t>
      </w:r>
    </w:p>
    <w:p w14:paraId="4DACB1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13.1预付款</w:t>
      </w:r>
    </w:p>
    <w:p w14:paraId="75315E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13.1.1预付款按以下第</w:t>
      </w:r>
      <w:r>
        <w:rPr>
          <w:rFonts w:hint="eastAsia" w:ascii="宋体" w:hAnsi="宋体" w:eastAsia="宋体"/>
          <w:color w:val="auto"/>
          <w:szCs w:val="21"/>
          <w:highlight w:val="none"/>
          <w:u w:val="single"/>
        </w:rPr>
        <w:t>（1）</w:t>
      </w:r>
      <w:r>
        <w:rPr>
          <w:rFonts w:hint="eastAsia" w:ascii="宋体" w:hAnsi="宋体" w:eastAsia="宋体"/>
          <w:color w:val="auto"/>
          <w:szCs w:val="21"/>
          <w:highlight w:val="none"/>
        </w:rPr>
        <w:t>种方式支付。</w:t>
      </w:r>
    </w:p>
    <w:p w14:paraId="01F4095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（1）无预付款</w:t>
      </w:r>
    </w:p>
    <w:p w14:paraId="0A1694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（2）按合同价款（扣除发包人材料价款、暂估专业工程、暂列金额）</w:t>
      </w:r>
      <w:r>
        <w:rPr>
          <w:rFonts w:hint="eastAsia" w:ascii="宋体" w:hAnsi="宋体" w:eastAsia="宋体"/>
          <w:color w:val="auto"/>
          <w:szCs w:val="21"/>
          <w:highlight w:val="none"/>
        </w:rPr>
        <w:t>的</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1F5E6D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13.1.2预付款支付时间：</w:t>
      </w:r>
      <w:r>
        <w:rPr>
          <w:rFonts w:hint="eastAsia" w:ascii="宋体" w:hAnsi="宋体" w:eastAsia="宋体"/>
          <w:color w:val="auto"/>
          <w:szCs w:val="21"/>
          <w:highlight w:val="none"/>
          <w:u w:val="single"/>
        </w:rPr>
        <w:t>/</w:t>
      </w:r>
    </w:p>
    <w:p w14:paraId="049F86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13.1.3预付款的扣回：</w:t>
      </w:r>
      <w:r>
        <w:rPr>
          <w:rFonts w:hint="eastAsia" w:ascii="宋体" w:hAnsi="宋体" w:eastAsia="宋体"/>
          <w:color w:val="auto"/>
          <w:szCs w:val="21"/>
          <w:highlight w:val="none"/>
          <w:u w:val="single"/>
        </w:rPr>
        <w:t>/</w:t>
      </w:r>
    </w:p>
    <w:p w14:paraId="76F9A3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13.2进度款</w:t>
      </w:r>
    </w:p>
    <w:p w14:paraId="61F316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13.2.1进度款按以下第</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种方式支付。</w:t>
      </w:r>
    </w:p>
    <w:p w14:paraId="45BD38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（1）工程施工阶段无进度款（含变更部分），待工程竣工验收合格后</w:t>
      </w:r>
      <w:r>
        <w:rPr>
          <w:rFonts w:ascii="宋体" w:hAnsi="宋体" w:eastAsia="宋体"/>
          <w:color w:val="auto"/>
          <w:szCs w:val="21"/>
          <w:highlight w:val="none"/>
        </w:rPr>
        <w:t>3</w:t>
      </w:r>
      <w:r>
        <w:rPr>
          <w:rFonts w:hint="eastAsia" w:ascii="宋体" w:hAnsi="宋体" w:eastAsia="宋体"/>
          <w:color w:val="auto"/>
          <w:szCs w:val="21"/>
          <w:highlight w:val="none"/>
        </w:rPr>
        <w:t>个月内，承包人递交结算书及全部结算资料，经发包人检查完整合格，双方在《工程项目竣工结算送审资料表》签字确认后，发包人按照递交的结算价与签约合同价（扣除发包人材料价款、暂估专业工程、暂列金额）二者的低价，拨付工程进度款至70％。工程完工验收达到质量要求，结算经发包人审定，并提交完整合格的竣工资料给发包人，承包人先将工程价款结算总额的3%工程质量保修金缴纳至发包人的指定账户，发包人再将工程款支付至结算总价的100%（含已支付的工程进度款）。</w:t>
      </w:r>
    </w:p>
    <w:p w14:paraId="15F2713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工程款原则上按月支付，在确保不影响工程结算工作顺利开展的前提下，合同内进度款支付限额为已完成工程量的70%，工程变更部分无进度款，待工程竣工验收合格后3个月内，承包人按要求递交结算报告及全部结算资料，经发包人检查完整合格，双方在《工程项目竣工结算送审资料表》签字确认后,发包人按照递交的结算价与签约合同价（扣除发包人材料价款、暂估专业工程、暂列金额）二者的低价，拨付工程进度款至已完成工程量的70%。发包人按经审定的每期工程进度款的20%的比例拨付到承包人设立的农民工工资专用账户；其它工程进度款转入承包人指定账户。承包人在申请支付工程进度款时，必须提供上月关于农民工工资已按实发放的书面承诺书。因承包人原因造成工程资料与工程进度不同步，或者资料不真实，发包人暂停支付工程进度款，另按（人民币）1000元/次的标准计收违约金。</w:t>
      </w:r>
    </w:p>
    <w:p w14:paraId="0723709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完工验收达到质量要求，结算经发包人审定，并提交完整合格的竣工资料给发包人，承包人先将工程价款结算总额的3%工程质量保修金缴纳至发包人的指定账户，发包人再将工程款支付至结算总价的100%（含已支付的工程进度款）。</w:t>
      </w:r>
    </w:p>
    <w:p w14:paraId="75A381C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（3）其他方式：</w:t>
      </w:r>
      <w:r>
        <w:rPr>
          <w:rFonts w:ascii="宋体" w:hAnsi="宋体" w:eastAsia="宋体"/>
          <w:color w:val="auto"/>
          <w:szCs w:val="21"/>
          <w:highlight w:val="none"/>
        </w:rPr>
        <w:t>/</w:t>
      </w:r>
      <w:r>
        <w:rPr>
          <w:rFonts w:hint="eastAsia" w:ascii="宋体" w:hAnsi="宋体" w:eastAsia="宋体"/>
          <w:color w:val="auto"/>
          <w:szCs w:val="21"/>
          <w:highlight w:val="none"/>
        </w:rPr>
        <w:t>。</w:t>
      </w:r>
    </w:p>
    <w:p w14:paraId="1CB5EA1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13.2.2进度付款申请</w:t>
      </w:r>
    </w:p>
    <w:p w14:paraId="09E1219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（1）进度付款申请单的份数：</w:t>
      </w:r>
      <w:r>
        <w:rPr>
          <w:rFonts w:hint="eastAsia" w:ascii="宋体" w:hAnsi="宋体" w:eastAsia="宋体"/>
          <w:color w:val="auto"/>
          <w:szCs w:val="21"/>
          <w:highlight w:val="none"/>
          <w:u w:val="single"/>
        </w:rPr>
        <w:t>一式伍份</w:t>
      </w:r>
      <w:r>
        <w:rPr>
          <w:rFonts w:hint="eastAsia" w:ascii="宋体" w:hAnsi="宋体" w:eastAsia="宋体"/>
          <w:color w:val="auto"/>
          <w:szCs w:val="21"/>
          <w:highlight w:val="none"/>
        </w:rPr>
        <w:t>。</w:t>
      </w:r>
    </w:p>
    <w:p w14:paraId="1CD22CB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（2）进度付款申请单的内容：</w:t>
      </w:r>
      <w:r>
        <w:rPr>
          <w:rFonts w:hint="eastAsia" w:ascii="宋体" w:hAnsi="宋体" w:eastAsia="宋体"/>
          <w:color w:val="auto"/>
          <w:szCs w:val="21"/>
          <w:highlight w:val="none"/>
          <w:u w:val="single"/>
        </w:rPr>
        <w:t>本次已完成工程的价款、累计已完成的工程价款、累计已支付的工程价款、增加和扣减的其他金额等</w:t>
      </w:r>
      <w:r>
        <w:rPr>
          <w:rFonts w:hint="eastAsia" w:ascii="宋体" w:hAnsi="宋体" w:eastAsia="宋体"/>
          <w:color w:val="auto"/>
          <w:szCs w:val="21"/>
          <w:highlight w:val="none"/>
        </w:rPr>
        <w:t>。</w:t>
      </w:r>
    </w:p>
    <w:p w14:paraId="46095AC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为保证进度款申请额的准确性，双方约定，承包人报送的工程进度款（以下简称送审款），与发包人最终审定的工程进度款（以下简称审定款）相比，应保证其误差率≤5％，如误差率＞5％，承包人应承担违约责任并支付违约金；误差率为5％—10％（含）的，违约金＝（送审款-审定款）×5%×50％；误差率大于10％的，违约金=（送审款-审定款）×5%。</w:t>
      </w:r>
    </w:p>
    <w:p w14:paraId="6FECE5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注：误差率=（送审价-审定价）/送审价*100%</w:t>
      </w:r>
    </w:p>
    <w:p w14:paraId="6E1D07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（4）承包人应及时开具发票，未开具发票给发包人的，发包人不予支付工程进度款。</w:t>
      </w:r>
    </w:p>
    <w:p w14:paraId="232E1C46">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13.2.3进度款支付</w:t>
      </w:r>
    </w:p>
    <w:p w14:paraId="3AFF6419">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（1）进度款支付方式：银行转账。</w:t>
      </w:r>
    </w:p>
    <w:p w14:paraId="72AFF589">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（2）人工费用是指发包人向承包人专用账户拨付的专项用于支付农民工工资的工程款；人工费应与工程进度款分账管理。</w:t>
      </w:r>
    </w:p>
    <w:p w14:paraId="636B7C88">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（3）发包人依据工程进度，审核承包人申报的工程进度款，将人工费及时足额拨付至承包人的农民工工资专用账户，其余工程进度款项由发包人支付到承包人的单位基本户。</w:t>
      </w:r>
    </w:p>
    <w:p w14:paraId="2D955FAC">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（4）凡未向付款单位提供农民工工资专用账户的，或者请款单位在申请工程进度款时未将人工费单列的，付款单位有权拒绝支付工程进度款。</w:t>
      </w:r>
    </w:p>
    <w:p w14:paraId="56842366">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（5）人工费使用要求：人工费专款专用，除发放农民工工资外，不得用于其他用途。</w:t>
      </w:r>
    </w:p>
    <w:p w14:paraId="264ED8B2">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（6）承包人将人工费支付情况定期报告发包人和监理单位，并提供相应的材料接受建设行政主管部门和劳动保障行政主管部门对此事项监管。</w:t>
      </w:r>
    </w:p>
    <w:p w14:paraId="39DBF9EF">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（7）人工费支付专用账户：</w:t>
      </w:r>
    </w:p>
    <w:p w14:paraId="4710146D">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户名：</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农民工工资支付专用账户</w:t>
      </w:r>
    </w:p>
    <w:p w14:paraId="4EEC61D4">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账号：</w:t>
      </w:r>
      <w:r>
        <w:rPr>
          <w:rFonts w:hint="eastAsia" w:ascii="宋体" w:hAnsi="宋体" w:eastAsia="宋体"/>
          <w:color w:val="auto"/>
          <w:szCs w:val="21"/>
          <w:highlight w:val="none"/>
          <w:u w:val="single"/>
        </w:rPr>
        <w:t xml:space="preserve">      </w:t>
      </w:r>
    </w:p>
    <w:p w14:paraId="5D71DFC0">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开户行：</w:t>
      </w:r>
      <w:r>
        <w:rPr>
          <w:rFonts w:hint="eastAsia" w:ascii="宋体" w:hAnsi="宋体" w:eastAsia="宋体"/>
          <w:color w:val="auto"/>
          <w:szCs w:val="21"/>
          <w:highlight w:val="none"/>
          <w:u w:val="single"/>
        </w:rPr>
        <w:t xml:space="preserve">      </w:t>
      </w:r>
    </w:p>
    <w:p w14:paraId="74A1AB81">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【详见附件6《广西壮族自治区工程建设领域农民工工资专用账户资金管理三方协议》】</w:t>
      </w:r>
    </w:p>
    <w:p w14:paraId="793D5D22">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（8）承包人应及时开具发票，未开具发票给发包人的，发包人不予支付工程进度款。</w:t>
      </w:r>
    </w:p>
    <w:p w14:paraId="422AE97F">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（9）由于账户问题导致工程款无法按时支付的由承包人负责。</w:t>
      </w:r>
    </w:p>
    <w:p w14:paraId="034C88A1">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（10）承包人未按时向农民工支付工资而导致工程进度受到影响，发包人有权直接从承包人工程款代扣支付给农民工。</w:t>
      </w:r>
    </w:p>
    <w:p w14:paraId="38E033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承包人不得以任何借口将承包人与包括农民工在内的雇用人员的劳酬纠纷引发的矛盾转嫁发包人，如果出现雇用人员聚众向发包方闹事的情形，承包人须按（人民币）5万元/次的标准向发包人计付违约金，若因此造成发包人工作人员人身伤害、财产损毁的，承包人还须承担赔偿损失等法律责任。</w:t>
      </w:r>
    </w:p>
    <w:p w14:paraId="6AA684BA">
      <w:pPr>
        <w:pStyle w:val="4"/>
        <w:jc w:val="left"/>
        <w:rPr>
          <w:rFonts w:ascii="宋体" w:hAnsi="宋体" w:eastAsia="宋体"/>
          <w:color w:val="auto"/>
          <w:sz w:val="28"/>
          <w:szCs w:val="28"/>
          <w:highlight w:val="none"/>
        </w:rPr>
      </w:pPr>
      <w:bookmarkStart w:id="135" w:name="_Toc195459488"/>
      <w:bookmarkStart w:id="136" w:name="_Toc197530163"/>
      <w:r>
        <w:rPr>
          <w:rFonts w:hint="eastAsia" w:ascii="宋体" w:hAnsi="宋体" w:eastAsia="宋体"/>
          <w:color w:val="auto"/>
          <w:sz w:val="28"/>
          <w:szCs w:val="28"/>
          <w:highlight w:val="none"/>
        </w:rPr>
        <w:t>六、材料设备供应</w:t>
      </w:r>
      <w:bookmarkEnd w:id="135"/>
      <w:bookmarkEnd w:id="136"/>
    </w:p>
    <w:p w14:paraId="113EBF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14.发包人供应材料设备</w:t>
      </w:r>
    </w:p>
    <w:p w14:paraId="2F4147C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14.1发包人供应的材料设备与一览表不符时，双方约定发包人承担责任如下：</w:t>
      </w:r>
    </w:p>
    <w:p w14:paraId="766B7F1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（l）材料设备单价与一览表不符：</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14F6D7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（2）材料设备的品种、规格、型号、质量等级与一览表不符：</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5CAF08F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（3）承包人可代为调剂串换的材料：</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41F854C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（4）到货地点与一览表不符：</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6ED86C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（5）供应数量与一览表不符：</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7FC9EB8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（6）到货时间与一览表不符：</w:t>
      </w:r>
      <w:r>
        <w:rPr>
          <w:rFonts w:hint="eastAsia" w:ascii="宋体" w:hAnsi="宋体" w:eastAsia="宋体"/>
          <w:color w:val="auto"/>
          <w:szCs w:val="21"/>
          <w:highlight w:val="none"/>
          <w:u w:val="single"/>
        </w:rPr>
        <w:t>如发生上述情况，发包人应立即补救改正</w:t>
      </w:r>
      <w:r>
        <w:rPr>
          <w:rFonts w:hint="eastAsia" w:ascii="宋体" w:hAnsi="宋体" w:eastAsia="宋体"/>
          <w:color w:val="auto"/>
          <w:szCs w:val="21"/>
          <w:highlight w:val="none"/>
        </w:rPr>
        <w:t>。</w:t>
      </w:r>
    </w:p>
    <w:p w14:paraId="005EDAF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15.承包人采购材料设备</w:t>
      </w:r>
    </w:p>
    <w:p w14:paraId="52020B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15.1承包人采购材料设备的约定：</w:t>
      </w:r>
      <w:r>
        <w:rPr>
          <w:rFonts w:hint="eastAsia" w:ascii="宋体" w:hAnsi="宋体" w:eastAsia="宋体"/>
          <w:color w:val="auto"/>
          <w:szCs w:val="21"/>
          <w:highlight w:val="none"/>
          <w:u w:val="single"/>
        </w:rPr>
        <w:t>本工程由承包人自行采购的工程材料和设备（政府集中采购的除外），采购前须征得发包人或其授权人认可同意。发包人在工程量清单中有“参照或相当于”约定材料的，承包人在施工过程中必须按类似于或优于所约定材料品牌、厂家和型号（等级）进行采购，采购前必经发包人认可。当发包人对承包人采购的材料有异议的，发包人有权要求承包人按工程量清单中“参照或相当于”标明的材料品牌、厂家、型号（等级）进行采购，并在结算时按审定单价支付</w:t>
      </w:r>
      <w:r>
        <w:rPr>
          <w:rFonts w:hint="eastAsia" w:ascii="宋体" w:hAnsi="宋体" w:eastAsia="宋体"/>
          <w:color w:val="auto"/>
          <w:szCs w:val="21"/>
          <w:highlight w:val="none"/>
        </w:rPr>
        <w:t>。</w:t>
      </w:r>
    </w:p>
    <w:p w14:paraId="33716740">
      <w:pPr>
        <w:pStyle w:val="4"/>
        <w:jc w:val="left"/>
        <w:rPr>
          <w:rFonts w:ascii="宋体" w:hAnsi="宋体" w:eastAsia="宋体"/>
          <w:color w:val="auto"/>
          <w:sz w:val="28"/>
          <w:szCs w:val="28"/>
          <w:highlight w:val="none"/>
        </w:rPr>
      </w:pPr>
      <w:bookmarkStart w:id="137" w:name="_Toc195459489"/>
      <w:bookmarkStart w:id="138" w:name="_Toc197530164"/>
      <w:r>
        <w:rPr>
          <w:rFonts w:hint="eastAsia" w:ascii="宋体" w:hAnsi="宋体" w:eastAsia="宋体"/>
          <w:color w:val="auto"/>
          <w:sz w:val="28"/>
          <w:szCs w:val="28"/>
          <w:highlight w:val="none"/>
        </w:rPr>
        <w:t>七、竣工验收与结算</w:t>
      </w:r>
      <w:bookmarkEnd w:id="137"/>
      <w:bookmarkEnd w:id="138"/>
    </w:p>
    <w:p w14:paraId="2092D2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16.竣工验收</w:t>
      </w:r>
    </w:p>
    <w:p w14:paraId="3BB37F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16.1竣工验收条件：</w:t>
      </w:r>
      <w:r>
        <w:rPr>
          <w:rFonts w:hint="eastAsia" w:ascii="宋体" w:hAnsi="宋体" w:cs="仿宋_GB2312"/>
          <w:color w:val="auto"/>
          <w:kern w:val="2"/>
          <w:sz w:val="21"/>
          <w:szCs w:val="21"/>
          <w:highlight w:val="none"/>
          <w:u w:val="single"/>
        </w:rPr>
        <w:t>承包人结清所有用水、用电费用后进行预验收，预验收后再进行竣工验收，提交符合要求的完整的竣工资料及竣工验收报告</w:t>
      </w:r>
      <w:r>
        <w:rPr>
          <w:rFonts w:hint="eastAsia" w:ascii="宋体" w:hAnsi="宋体" w:eastAsia="宋体"/>
          <w:color w:val="auto"/>
          <w:szCs w:val="21"/>
          <w:highlight w:val="none"/>
          <w:u w:val="single"/>
        </w:rPr>
        <w:t>。</w:t>
      </w:r>
    </w:p>
    <w:p w14:paraId="703ADF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16.2竣工验收程序：</w:t>
      </w:r>
      <w:r>
        <w:rPr>
          <w:rFonts w:hint="eastAsia" w:ascii="宋体" w:hAnsi="宋体" w:eastAsia="宋体"/>
          <w:color w:val="auto"/>
          <w:szCs w:val="21"/>
          <w:highlight w:val="none"/>
          <w:u w:val="single"/>
        </w:rPr>
        <w:t>按国家有关验收规范执行</w:t>
      </w:r>
    </w:p>
    <w:p w14:paraId="1D9447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16.3承包人提供竣工图的约定</w:t>
      </w:r>
      <w:r>
        <w:rPr>
          <w:rFonts w:hint="eastAsia" w:ascii="宋体" w:hAnsi="宋体" w:eastAsia="宋体"/>
          <w:color w:val="auto"/>
          <w:szCs w:val="21"/>
          <w:highlight w:val="none"/>
          <w:u w:val="single"/>
        </w:rPr>
        <w:t>：竣工验收正式通过后5天提交发包人，纸质版一式3套，电子版2份（刻录成光盘），如涉及到地下管线的工程及道路工程还应提供1：500电子地形图（包括地下管线标高、线径走向等测量数据）</w:t>
      </w:r>
      <w:r>
        <w:rPr>
          <w:rFonts w:hint="eastAsia" w:ascii="宋体" w:hAnsi="宋体" w:eastAsia="宋体"/>
          <w:color w:val="auto"/>
          <w:szCs w:val="21"/>
          <w:highlight w:val="none"/>
        </w:rPr>
        <w:t>。</w:t>
      </w:r>
    </w:p>
    <w:p w14:paraId="5C809B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16.4中间交工工程的范围和竣工时间：</w:t>
      </w:r>
      <w:r>
        <w:rPr>
          <w:rFonts w:hint="eastAsia" w:ascii="宋体" w:hAnsi="宋体" w:eastAsia="宋体"/>
          <w:color w:val="auto"/>
          <w:szCs w:val="21"/>
          <w:highlight w:val="none"/>
          <w:u w:val="single"/>
        </w:rPr>
        <w:t>另行约定</w:t>
      </w:r>
    </w:p>
    <w:p w14:paraId="4CDE77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17.竣工结算</w:t>
      </w:r>
    </w:p>
    <w:p w14:paraId="0D9977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17.1为了竣工结算能够顺利完成，保证发包人和承包人的合法权益，双方约定：</w:t>
      </w:r>
    </w:p>
    <w:p w14:paraId="53878C1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（1）承包人应在工程竣工验收合格后</w:t>
      </w:r>
      <w:r>
        <w:rPr>
          <w:rFonts w:ascii="宋体" w:hAnsi="宋体" w:eastAsia="宋体"/>
          <w:color w:val="auto"/>
          <w:szCs w:val="21"/>
          <w:highlight w:val="none"/>
          <w:u w:val="single"/>
        </w:rPr>
        <w:t>3</w:t>
      </w:r>
      <w:r>
        <w:rPr>
          <w:rFonts w:hint="eastAsia" w:ascii="宋体" w:hAnsi="宋体" w:eastAsia="宋体"/>
          <w:color w:val="auto"/>
          <w:szCs w:val="21"/>
          <w:highlight w:val="none"/>
          <w:u w:val="single"/>
        </w:rPr>
        <w:t>个月内，递交结算书及全部结算资料提交给发包人，具体要求详见合同附件3。</w:t>
      </w:r>
    </w:p>
    <w:p w14:paraId="1215C24C">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承包人有以下情形的，发包人有权在竣工结算审核完成后的下一年度再支付剩余工程款。</w:t>
      </w:r>
    </w:p>
    <w:p w14:paraId="67CB87B8">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1）因承包人原因导致工期延误，造成实际竣工日期超过合同约定的竣工日期所属年度。</w:t>
      </w:r>
    </w:p>
    <w:p w14:paraId="06227AD5">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2）因承包人不按合同约定的时限提供完整的竣工结算资料导致竣工结算延误，造成发包人竣工结算审核完成日期超过合同约定的竣工结算审核完成日期所属年度。</w:t>
      </w:r>
    </w:p>
    <w:p w14:paraId="73CF00D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承包人应保证竣工结算价送审款（以下简称送审款）的真实性、准确性，承包人报送的送审款与发包人最终审定的工程结算价款（以下简称审定款）相比，应保证其误差率≤5％，如误差率＞5％，承包人应承担违约责任并支付违约金；误差率为5％—10％（含）的，违约金＝（送审款-审定款）×5%×50％；误差率大于10％的，违约金=（送审款-审定款）×5%。违约金由发包人从承包人工程结算款中扣除。注：误差率=（送审款-审定款）/送审款*100%。</w:t>
      </w:r>
    </w:p>
    <w:p w14:paraId="675F17A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3）发包人应按本专用条款约定和《建设工程价款结算暂行办法》（财建〔2004〕369号）规定及时办理工程竣工结算。办理时间从发包人收到承包人提交的《竣工结算报告》及完整合格的结算资料起算，因承包人原因造成结算工作拖延的，发包人审查时间应相应顺延</w:t>
      </w:r>
      <w:r>
        <w:rPr>
          <w:rFonts w:hint="eastAsia" w:ascii="宋体" w:hAnsi="宋体" w:eastAsia="宋体"/>
          <w:color w:val="auto"/>
          <w:szCs w:val="21"/>
          <w:highlight w:val="none"/>
        </w:rPr>
        <w:t>。</w:t>
      </w:r>
    </w:p>
    <w:p w14:paraId="180A84AD">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承包人向发包人递交竣工结算报告及完整的结算资料二套（含结算用竣工图纸电子文件光盘一套，结算用图纸、图纸电子文件光盘及相关资料应与现场施工实际情况相符，并且须报监理人确认，经发包人现场代表签字确认后方可作为结算依据，否则发包人有权拒绝签收相关资料，责任概由承包人负责）。同时，承包人提供采用符合当地造价管理机构要求使用的计价、计量软件的结算文件的电子光盘一套。双方按照合同约定内容，进行工程竣工结算。</w:t>
      </w:r>
    </w:p>
    <w:p w14:paraId="6690AF72">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（5）竣工结算资料包括但不限于以下的内容：</w:t>
      </w:r>
    </w:p>
    <w:p w14:paraId="57A7A282">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1）施工合同及补充协议：</w:t>
      </w:r>
    </w:p>
    <w:p w14:paraId="55124192">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2）竣工图纸（经发包人盖章确认）：</w:t>
      </w:r>
    </w:p>
    <w:p w14:paraId="386A70E8">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3）设计变更资料：</w:t>
      </w:r>
    </w:p>
    <w:p w14:paraId="667A3937">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4）施工现场签证：</w:t>
      </w:r>
    </w:p>
    <w:p w14:paraId="79F1D103">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5）竣工结算书（另附电子版软件版）：</w:t>
      </w:r>
    </w:p>
    <w:p w14:paraId="4CEC5EB8">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6）工程量计算书（另附电子版软件版）：</w:t>
      </w:r>
    </w:p>
    <w:p w14:paraId="22FA91C9">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7）开工报告或开工令</w:t>
      </w:r>
    </w:p>
    <w:p w14:paraId="01B796CD">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8）竣工验收意见书：</w:t>
      </w:r>
    </w:p>
    <w:p w14:paraId="7B20F496">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9）其他与结算有关的资料。</w:t>
      </w:r>
    </w:p>
    <w:p w14:paraId="3A540E97">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17.2竣工结算审核</w:t>
      </w:r>
    </w:p>
    <w:p w14:paraId="45C07738">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承包人在现场施工过程中应派专人负责结算相关资料的收集和整理。承包人报送的任何资料，如与现场实际情况不符时，发包人有权对该部分内容不予进行结算，无论其是否已经监理人和发包人现场代表确认。</w:t>
      </w:r>
    </w:p>
    <w:p w14:paraId="03AA7A50">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（2）最终审定造价以发包人委托的造价咨询机构出具的审定单的造价为准。</w:t>
      </w:r>
    </w:p>
    <w:p w14:paraId="3E22EFCE">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（3）发包人收到承包人递交的竣工结算报告及结算资料后应及时组织人员进行核实，给予确认或提出修改意见。修改期间的时间，应从发包人审核结算审计报告时间中相应扣除。</w:t>
      </w:r>
    </w:p>
    <w:p w14:paraId="5D569A22">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（4）工程竣工验收合格后3个月内,承包人未能向发包人递交竣工结算报告及完整的结算资料造成工程竣工结算不能正常进行或工程竣工结算价款不能及时支付，由承包人负责。</w:t>
      </w:r>
    </w:p>
    <w:p w14:paraId="5E64048F">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（5）发包人承包人对工程竣工结算价款发生争议时，按本合同第 19 条关于争议的约定处理。如承包人无实质性理由拒绝签认竣工结算审定单，发包人有权依据《建设工程造价咨询规范B51095-2015》第8.3.8条规定，会同造价咨询机构单独出具竣工结算审定单，自行结算。</w:t>
      </w:r>
    </w:p>
    <w:p w14:paraId="5EE91032">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6）发包人委托的造价咨询机构对承包人提供的结算报告（或结算书）进行审核后提供结算审核初稿，承包人认为需要派造价人员和发包人委托的造价咨询机构核对的，承包人核对前必需提供授权委托书委托该造价人员处理结算对数所有事项，该造价人员签字认可的数据即为承包人认可的数据，且承包人必须对该造价人员确认的结算承担责任。承包人委托的造价人员必须具有中华人民共和国造价工程师执业资格证或造价员相关资格证书。</w:t>
      </w:r>
    </w:p>
    <w:p w14:paraId="160DDF0F">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承包人结清所有用水、用电费用后进行预验收，预验收后再进行竣工验收，提交符合要求的完整的竣工资料及竣工验收报告。</w:t>
      </w:r>
    </w:p>
    <w:p w14:paraId="461C729C">
      <w:pPr>
        <w:pStyle w:val="4"/>
        <w:jc w:val="left"/>
        <w:rPr>
          <w:rFonts w:ascii="宋体" w:hAnsi="宋体" w:eastAsia="宋体"/>
          <w:color w:val="auto"/>
          <w:sz w:val="28"/>
          <w:szCs w:val="28"/>
          <w:highlight w:val="none"/>
        </w:rPr>
      </w:pPr>
      <w:bookmarkStart w:id="139" w:name="_Toc197530165"/>
      <w:bookmarkStart w:id="140" w:name="_Toc195459490"/>
      <w:r>
        <w:rPr>
          <w:rFonts w:hint="eastAsia" w:ascii="宋体" w:hAnsi="宋体" w:eastAsia="宋体"/>
          <w:color w:val="auto"/>
          <w:sz w:val="28"/>
          <w:szCs w:val="28"/>
          <w:highlight w:val="none"/>
        </w:rPr>
        <w:t>八、违约、索赔和争议</w:t>
      </w:r>
      <w:bookmarkEnd w:id="139"/>
      <w:bookmarkEnd w:id="140"/>
    </w:p>
    <w:p w14:paraId="4C65A2F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18.违约</w:t>
      </w:r>
    </w:p>
    <w:p w14:paraId="7228A9F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18.1本合同中关于发包人违约的具体责任：</w:t>
      </w:r>
      <w:r>
        <w:rPr>
          <w:rFonts w:hint="eastAsia" w:ascii="宋体" w:hAnsi="宋体" w:eastAsia="宋体"/>
          <w:color w:val="auto"/>
          <w:szCs w:val="21"/>
          <w:highlight w:val="none"/>
          <w:u w:val="single"/>
        </w:rPr>
        <w:t>除专用合同已有约定外，由双方另协商</w:t>
      </w:r>
      <w:r>
        <w:rPr>
          <w:rFonts w:hint="eastAsia" w:ascii="宋体" w:hAnsi="宋体" w:eastAsia="宋体"/>
          <w:color w:val="auto"/>
          <w:szCs w:val="21"/>
          <w:highlight w:val="none"/>
        </w:rPr>
        <w:t>。</w:t>
      </w:r>
    </w:p>
    <w:p w14:paraId="1D0DBF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18.2本合同中关于承包人违约的具体责任：</w:t>
      </w:r>
      <w:r>
        <w:rPr>
          <w:rFonts w:hint="eastAsia" w:ascii="宋体" w:hAnsi="宋体" w:eastAsia="宋体"/>
          <w:color w:val="auto"/>
          <w:szCs w:val="21"/>
          <w:highlight w:val="none"/>
          <w:u w:val="single"/>
        </w:rPr>
        <w:t>承包人发生本合同通用条款中列出的违约情形的，应自行承担因其违约行为而增加的费用和工期延误损失，工期延误违约金按本专用条款第8.2条执行</w:t>
      </w:r>
      <w:r>
        <w:rPr>
          <w:rFonts w:hint="eastAsia" w:ascii="宋体" w:hAnsi="宋体" w:eastAsia="宋体"/>
          <w:color w:val="auto"/>
          <w:szCs w:val="21"/>
          <w:highlight w:val="none"/>
        </w:rPr>
        <w:t>。</w:t>
      </w:r>
    </w:p>
    <w:p w14:paraId="336635E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18.3因承包人违约解除合同：</w:t>
      </w:r>
      <w:r>
        <w:rPr>
          <w:rFonts w:hint="eastAsia" w:ascii="宋体" w:hAnsi="宋体" w:eastAsia="宋体"/>
          <w:color w:val="auto"/>
          <w:szCs w:val="21"/>
          <w:highlight w:val="none"/>
          <w:u w:val="single"/>
        </w:rPr>
        <w:t>（1）承包人出现《通用合同条款》（承包人违约的情形）约定的违约情况，监理人、发包人发出整改通知后15日内仍不纠正的；（2）承包人出现《专用合同条款》第20.2项的违约情况，监理人、发包人发出整改通知后15日内仍不纠正的；（3）承包人无故停工连续超过25天或累计超过30天的</w:t>
      </w:r>
      <w:r>
        <w:rPr>
          <w:rFonts w:hint="eastAsia" w:ascii="宋体" w:hAnsi="宋体" w:eastAsia="宋体"/>
          <w:color w:val="auto"/>
          <w:szCs w:val="21"/>
          <w:highlight w:val="none"/>
        </w:rPr>
        <w:t>。</w:t>
      </w:r>
    </w:p>
    <w:p w14:paraId="732EA7E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19.争议</w:t>
      </w:r>
    </w:p>
    <w:p w14:paraId="5FEBF93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19.1双方约定，凡因本合同引起的或与本合同有关的任何争议，应向本合同履行地有管辖权的人民法院起诉。</w:t>
      </w:r>
    </w:p>
    <w:p w14:paraId="7AC5C5DE">
      <w:pPr>
        <w:pStyle w:val="4"/>
        <w:jc w:val="left"/>
        <w:rPr>
          <w:rFonts w:ascii="宋体" w:hAnsi="宋体" w:eastAsia="宋体"/>
          <w:color w:val="auto"/>
          <w:sz w:val="28"/>
          <w:szCs w:val="28"/>
          <w:highlight w:val="none"/>
        </w:rPr>
      </w:pPr>
      <w:bookmarkStart w:id="141" w:name="_Toc195459491"/>
      <w:bookmarkStart w:id="142" w:name="_Toc197530166"/>
      <w:r>
        <w:rPr>
          <w:rFonts w:hint="eastAsia" w:ascii="宋体" w:hAnsi="宋体" w:eastAsia="宋体"/>
          <w:color w:val="auto"/>
          <w:sz w:val="28"/>
          <w:szCs w:val="28"/>
          <w:highlight w:val="none"/>
        </w:rPr>
        <w:t>九、其他</w:t>
      </w:r>
      <w:bookmarkEnd w:id="141"/>
      <w:bookmarkEnd w:id="142"/>
    </w:p>
    <w:p w14:paraId="1044C9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20.工程分包</w:t>
      </w:r>
    </w:p>
    <w:p w14:paraId="39F852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20.1本工程不允许分包，由发包人另行发包的专业工程除外。</w:t>
      </w:r>
    </w:p>
    <w:p w14:paraId="0692FA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20.2承包人有以下情况之一者，应按合同总价的5％向发包人支付违约金，发包人有权解除合同，并向财政厅政府采购监督管理处反馈、投诉。</w:t>
      </w:r>
    </w:p>
    <w:p w14:paraId="4FAEA7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20.2.1承包人交本单位或外单位人员个人承包本工程，发包人不承认其个人拥有任何资质等级及营业许可资格。</w:t>
      </w:r>
    </w:p>
    <w:p w14:paraId="7A687A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20.2.2与其他人联合承包工程，就地组织暗分包队伍，不具备完成本工程的技术能力和必要设备条件。</w:t>
      </w:r>
    </w:p>
    <w:p w14:paraId="15316E1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20.2.3承包人就地转包全部的工程，以谋取高额转让费、管理费。</w:t>
      </w:r>
    </w:p>
    <w:p w14:paraId="2458B1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20.2.4承包人有部分分包行为（包括但不限于：冒充承包人下属单位的挂勾单位，凭口头协议参与施工的分包人及其他暗分包个体户），一经发现，发包人将驱逐该暗分包人。</w:t>
      </w:r>
    </w:p>
    <w:p w14:paraId="799BC3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21.不可抗力</w:t>
      </w:r>
    </w:p>
    <w:p w14:paraId="67AF4B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21.1双方关于不可抗力的约定：</w:t>
      </w:r>
      <w:r>
        <w:rPr>
          <w:rFonts w:hint="eastAsia" w:ascii="宋体" w:hAnsi="宋体" w:eastAsia="宋体"/>
          <w:color w:val="auto"/>
          <w:szCs w:val="21"/>
          <w:highlight w:val="none"/>
          <w:u w:val="single"/>
        </w:rPr>
        <w:t>按本合同通用条款约定和有关部门发布的文告或文件为准</w:t>
      </w:r>
      <w:r>
        <w:rPr>
          <w:rFonts w:hint="eastAsia" w:ascii="宋体" w:hAnsi="宋体" w:eastAsia="宋体"/>
          <w:color w:val="auto"/>
          <w:szCs w:val="21"/>
          <w:highlight w:val="none"/>
        </w:rPr>
        <w:t>。</w:t>
      </w:r>
    </w:p>
    <w:p w14:paraId="4AEB4EE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22.保险</w:t>
      </w:r>
    </w:p>
    <w:p w14:paraId="403EFA7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21.1本工程双方约定投保内容如下：</w:t>
      </w:r>
    </w:p>
    <w:p w14:paraId="4B1C6FF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（1）发包人投保内容：</w:t>
      </w:r>
      <w:r>
        <w:rPr>
          <w:rFonts w:hint="eastAsia" w:ascii="宋体" w:hAnsi="宋体" w:eastAsia="宋体"/>
          <w:color w:val="auto"/>
          <w:szCs w:val="21"/>
          <w:highlight w:val="none"/>
          <w:u w:val="single"/>
        </w:rPr>
        <w:t>自行负责办理</w:t>
      </w:r>
      <w:r>
        <w:rPr>
          <w:rFonts w:hint="eastAsia" w:ascii="宋体" w:hAnsi="宋体" w:eastAsia="宋体"/>
          <w:color w:val="auto"/>
          <w:szCs w:val="21"/>
          <w:highlight w:val="none"/>
        </w:rPr>
        <w:t>。</w:t>
      </w:r>
    </w:p>
    <w:p w14:paraId="1CFF44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发包人委托承包人办理的保险事项：</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0803D97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（2）承包人投保内容：</w:t>
      </w:r>
      <w:r>
        <w:rPr>
          <w:rFonts w:hint="eastAsia" w:ascii="宋体" w:hAnsi="宋体" w:eastAsia="宋体"/>
          <w:color w:val="auto"/>
          <w:szCs w:val="21"/>
          <w:highlight w:val="none"/>
          <w:u w:val="single"/>
        </w:rPr>
        <w:t>承包人必须为施工现场从事施工的所有作业人员和管理人员办理意外伤害保险，并支付保险费</w:t>
      </w:r>
      <w:r>
        <w:rPr>
          <w:rFonts w:hint="eastAsia" w:ascii="宋体" w:hAnsi="宋体" w:eastAsia="宋体"/>
          <w:color w:val="auto"/>
          <w:szCs w:val="21"/>
          <w:highlight w:val="none"/>
        </w:rPr>
        <w:t>。</w:t>
      </w:r>
    </w:p>
    <w:p w14:paraId="16B997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23.担保</w:t>
      </w:r>
    </w:p>
    <w:p w14:paraId="68F0F0C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23.1本工程双方约定担保事项如下：</w:t>
      </w:r>
      <w:r>
        <w:rPr>
          <w:rFonts w:hint="eastAsia" w:ascii="宋体" w:hAnsi="宋体" w:eastAsia="宋体"/>
          <w:color w:val="auto"/>
          <w:szCs w:val="21"/>
          <w:highlight w:val="none"/>
          <w:u w:val="single"/>
        </w:rPr>
        <w:t>无</w:t>
      </w:r>
    </w:p>
    <w:p w14:paraId="7E50DC6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23.2双方约定的其他担保事项：</w:t>
      </w:r>
      <w:r>
        <w:rPr>
          <w:rFonts w:hint="eastAsia" w:ascii="宋体" w:hAnsi="宋体" w:eastAsia="宋体"/>
          <w:color w:val="auto"/>
          <w:szCs w:val="21"/>
          <w:highlight w:val="none"/>
          <w:u w:val="single"/>
        </w:rPr>
        <w:t>无</w:t>
      </w:r>
    </w:p>
    <w:p w14:paraId="7F242F6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24.合同份数</w:t>
      </w:r>
    </w:p>
    <w:p w14:paraId="2A3BC0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24.1双方约定合同份数：</w:t>
      </w:r>
      <w:r>
        <w:rPr>
          <w:rFonts w:hint="eastAsia" w:ascii="宋体" w:hAnsi="宋体" w:eastAsia="宋体"/>
          <w:color w:val="auto"/>
          <w:szCs w:val="21"/>
          <w:highlight w:val="none"/>
          <w:u w:val="single"/>
        </w:rPr>
        <w:t>壹拾</w:t>
      </w:r>
      <w:r>
        <w:rPr>
          <w:rFonts w:hint="eastAsia" w:ascii="宋体" w:hAnsi="宋体" w:eastAsia="宋体"/>
          <w:color w:val="auto"/>
          <w:szCs w:val="21"/>
          <w:highlight w:val="none"/>
          <w:u w:val="single"/>
          <w:lang w:eastAsia="zh-CN"/>
        </w:rPr>
        <w:t>叁</w:t>
      </w:r>
      <w:r>
        <w:rPr>
          <w:rFonts w:hint="eastAsia" w:ascii="宋体" w:hAnsi="宋体" w:eastAsia="宋体"/>
          <w:color w:val="auto"/>
          <w:szCs w:val="21"/>
          <w:highlight w:val="none"/>
          <w:u w:val="single"/>
        </w:rPr>
        <w:t>份</w:t>
      </w:r>
      <w:r>
        <w:rPr>
          <w:rFonts w:hint="eastAsia" w:ascii="宋体" w:hAnsi="宋体" w:eastAsia="宋体"/>
          <w:color w:val="auto"/>
          <w:szCs w:val="21"/>
          <w:highlight w:val="none"/>
        </w:rPr>
        <w:t>。</w:t>
      </w:r>
    </w:p>
    <w:p w14:paraId="5160B42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25.补充条款</w:t>
      </w:r>
    </w:p>
    <w:p w14:paraId="05ECAFD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25.1发包人另行发包专业工程的，承包人应当给予配合、协调和服从管理，专业分包人需要承包人提供配合服务时，配合费由承包人与专业工程分包人根据配合、协调的内容另行协商。</w:t>
      </w:r>
    </w:p>
    <w:p w14:paraId="642272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25.2承包人应按照合同约定（附件3）办理进度款申请、变更、签证、现场工程量收方、竣工验收、结算等事项，否则发包人不予办理相关事项，由此造成的损失由承包人负责。</w:t>
      </w:r>
    </w:p>
    <w:p w14:paraId="189E7FF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25.3承包人应按照竞争性磋商时响应文件的约定，配备服务于本项目的管理人员必须与响应文件一致，未经发包人同意不能擅自变更，否则发包人有权计收违约金1000元/次（人民币），如上述原因造成严重影响工程进度和质量的，发包人有权单方解除本合同。</w:t>
      </w:r>
    </w:p>
    <w:p w14:paraId="13A069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25.4验收产生的费用由承包人承担。</w:t>
      </w:r>
    </w:p>
    <w:p w14:paraId="0C0C3C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25.5室内空气、环境的检测按GB50325-2001《民用建筑工程室内环境污染控制规范》的标准执行，检测项目包括检测室内空气中的甲醛等指标参数。检测由发包人委托第三方检测机构进行检测，检测费用由发包人支付。若检测不合格，承担以下责任：（1）承包人按（人民币）10万元/次向发包人支付违约金，（2）因检测不合格导致发包人不能按时使用学生公寓，发包人将安排相应受到此状况影响的学生入住酒店，由此产生的一切费用（住宿费、交通费等）将由发包人从应向承包人支付的任何款项中扣除，（3）由承包人负责整改，直至检测合格为止，再次发生的检测费用由承包人支付。</w:t>
      </w:r>
    </w:p>
    <w:p w14:paraId="4C885B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25.6本《专用条款》未作约定的事项，按本合同《通用条款》执行或由双方另行协商确定。</w:t>
      </w:r>
    </w:p>
    <w:p w14:paraId="2635CB8B">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78CE5CB3">
      <w:pPr>
        <w:pStyle w:val="3"/>
        <w:spacing w:before="0" w:after="0" w:line="240" w:lineRule="auto"/>
        <w:jc w:val="center"/>
        <w:rPr>
          <w:rFonts w:ascii="宋体" w:hAnsi="宋体" w:eastAsia="宋体"/>
          <w:color w:val="auto"/>
          <w:sz w:val="30"/>
          <w:szCs w:val="30"/>
          <w:highlight w:val="none"/>
        </w:rPr>
      </w:pPr>
      <w:bookmarkStart w:id="143" w:name="_Toc197530167"/>
      <w:bookmarkStart w:id="144" w:name="_Toc181816532"/>
      <w:bookmarkStart w:id="145" w:name="_Toc195459492"/>
      <w:r>
        <w:rPr>
          <w:rFonts w:hint="eastAsia" w:ascii="宋体" w:hAnsi="宋体" w:eastAsia="宋体"/>
          <w:color w:val="auto"/>
          <w:sz w:val="30"/>
          <w:szCs w:val="30"/>
          <w:highlight w:val="none"/>
        </w:rPr>
        <w:t>第四部分 专用合同条款附件</w:t>
      </w:r>
      <w:bookmarkEnd w:id="143"/>
      <w:bookmarkEnd w:id="144"/>
      <w:bookmarkEnd w:id="145"/>
    </w:p>
    <w:p w14:paraId="1FC72AA0">
      <w:pPr>
        <w:pStyle w:val="4"/>
        <w:jc w:val="left"/>
        <w:rPr>
          <w:rFonts w:ascii="宋体" w:hAnsi="宋体" w:eastAsia="宋体"/>
          <w:color w:val="auto"/>
          <w:sz w:val="28"/>
          <w:szCs w:val="28"/>
          <w:highlight w:val="none"/>
        </w:rPr>
      </w:pPr>
      <w:bookmarkStart w:id="146" w:name="_Toc197530168"/>
      <w:bookmarkStart w:id="147" w:name="_Toc195459493"/>
      <w:r>
        <w:rPr>
          <w:rFonts w:hint="eastAsia" w:ascii="宋体" w:hAnsi="宋体" w:eastAsia="宋体"/>
          <w:color w:val="auto"/>
          <w:sz w:val="28"/>
          <w:szCs w:val="28"/>
          <w:highlight w:val="none"/>
        </w:rPr>
        <w:t>附件1：工程质量保修书</w:t>
      </w:r>
      <w:bookmarkEnd w:id="146"/>
      <w:bookmarkEnd w:id="147"/>
    </w:p>
    <w:p w14:paraId="36BB0FAC">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工程质量保修书</w:t>
      </w:r>
    </w:p>
    <w:p w14:paraId="41550144">
      <w:pPr>
        <w:spacing w:line="360" w:lineRule="auto"/>
        <w:ind w:firstLine="420" w:firstLineChars="200"/>
        <w:rPr>
          <w:rFonts w:ascii="宋体" w:hAnsi="宋体" w:eastAsia="宋体"/>
          <w:color w:val="auto"/>
          <w:szCs w:val="21"/>
          <w:highlight w:val="none"/>
        </w:rPr>
      </w:pPr>
    </w:p>
    <w:p w14:paraId="751E67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发包人（全称）：广西大学</w:t>
      </w:r>
    </w:p>
    <w:p w14:paraId="2A8850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承包人（全称）：</w:t>
      </w:r>
      <w:r>
        <w:rPr>
          <w:rFonts w:ascii="宋体" w:hAnsi="宋体" w:eastAsia="宋体"/>
          <w:color w:val="auto"/>
          <w:szCs w:val="21"/>
          <w:highlight w:val="none"/>
        </w:rPr>
        <w:t>________</w:t>
      </w:r>
    </w:p>
    <w:p w14:paraId="4A80F3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为保证</w:t>
      </w:r>
      <w:r>
        <w:rPr>
          <w:rFonts w:ascii="宋体" w:hAnsi="宋体" w:eastAsia="宋体"/>
          <w:color w:val="auto"/>
          <w:szCs w:val="21"/>
          <w:highlight w:val="none"/>
        </w:rPr>
        <w:t>________</w:t>
      </w:r>
      <w:r>
        <w:rPr>
          <w:rFonts w:hint="eastAsia" w:ascii="宋体" w:hAnsi="宋体" w:eastAsia="宋体"/>
          <w:color w:val="auto"/>
          <w:szCs w:val="21"/>
          <w:highlight w:val="none"/>
        </w:rPr>
        <w:t>（工程名称）在合理使用期限内可以正常使用，发包人、承包人协商一致签订本工程质量保修书。承包人在质量保修期内应当按照法律、法规、规章规定和其他有关规定及双方约定承担工程质量保修责任。</w:t>
      </w:r>
    </w:p>
    <w:p w14:paraId="5004BA88">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一、工程质量保修范围和内容</w:t>
      </w:r>
    </w:p>
    <w:p w14:paraId="6074D06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承包人在质量保修期内，按照有关法律、法规、规章规定和其他有关规定及双方约定，承担本工程质量保修责任。</w:t>
      </w:r>
    </w:p>
    <w:p w14:paraId="7C6B76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质量保修范围包括：地基基础工程、主体结构工程、屋面防水工程和双方约定的其他土建工程，以及电气管线、上下水管线的安装工程，供热、供冷系统工程等项目。</w:t>
      </w:r>
    </w:p>
    <w:p w14:paraId="419F95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具体质量保修内容双方约定如下：</w:t>
      </w:r>
    </w:p>
    <w:p w14:paraId="22409E6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缺陷责任期内，如发生属承包人责任的质量问题，按工程质量保修书约定执行。承包人未按照法律法规有关规定和合同约定履行质量保修义务的，发包人有权从质量保证金中扣留用于质量保修的各项支出；若质量保证金不足以抵扣实际支出费用，发包人有权要求承包人补足差额。</w:t>
      </w:r>
    </w:p>
    <w:p w14:paraId="240A6D8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w:t>
      </w:r>
    </w:p>
    <w:p w14:paraId="3F17A04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二、质量保修期</w:t>
      </w:r>
    </w:p>
    <w:p w14:paraId="086D1A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质量保修期从工程实际竣工验收通过之日起算。分单项竣工验收的工程，按单项工程分别计算质量保修期。</w:t>
      </w:r>
    </w:p>
    <w:p w14:paraId="5C8EAA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双方根据国家有关规定，结合具体工程约定质量保修期如下：</w:t>
      </w:r>
    </w:p>
    <w:p w14:paraId="6837F7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1.地基基础工程和主体结构工程为设计文件规定的该工程合理使用年限；</w:t>
      </w:r>
    </w:p>
    <w:p w14:paraId="461D408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2.屋面防水工程、有防水要求的卫生间、房间和外墙面的防渗漏为5年；</w:t>
      </w:r>
    </w:p>
    <w:p w14:paraId="6B428DD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3.供热及供冷系统为</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个采暖期及供冷期；</w:t>
      </w:r>
    </w:p>
    <w:p w14:paraId="7348F7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4.电气管线、给排水管道、设备安装[含电气（器）、通风、照明、消防、防雷等设备]为</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年；</w:t>
      </w:r>
    </w:p>
    <w:p w14:paraId="514ECD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5.装修工程为</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年；</w:t>
      </w:r>
    </w:p>
    <w:p w14:paraId="5735F2E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6.住宅小区内的给排水设施、道路等配套工程为</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年；</w:t>
      </w:r>
    </w:p>
    <w:p w14:paraId="4BB4DF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7.绿化工程为工程验收合格后</w:t>
      </w:r>
      <w:r>
        <w:rPr>
          <w:rFonts w:hint="eastAsia" w:ascii="宋体" w:hAnsi="宋体" w:eastAsia="宋体"/>
          <w:color w:val="auto"/>
          <w:szCs w:val="21"/>
          <w:highlight w:val="none"/>
          <w:u w:val="single"/>
        </w:rPr>
        <w:t>6</w:t>
      </w:r>
      <w:r>
        <w:rPr>
          <w:rFonts w:hint="eastAsia" w:ascii="宋体" w:hAnsi="宋体" w:eastAsia="宋体"/>
          <w:color w:val="auto"/>
          <w:szCs w:val="21"/>
          <w:highlight w:val="none"/>
        </w:rPr>
        <w:t>个月（养护期以工程量清单为准）；</w:t>
      </w:r>
    </w:p>
    <w:p w14:paraId="74E5E8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8.其他项目</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1年</w:t>
      </w:r>
    </w:p>
    <w:p w14:paraId="33165F0E">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质量保修期自工程竣工验收合格之日起计算。供应商在响应文件中有优于上述要求的，按供应商承诺执行。</w:t>
      </w:r>
    </w:p>
    <w:p w14:paraId="7C49780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三、缺陷责任期</w:t>
      </w:r>
    </w:p>
    <w:p w14:paraId="298E53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工程缺陷责任期为</w:t>
      </w:r>
      <w:r>
        <w:rPr>
          <w:rFonts w:hint="eastAsia" w:ascii="宋体" w:hAnsi="宋体" w:eastAsia="宋体"/>
          <w:color w:val="auto"/>
          <w:szCs w:val="21"/>
          <w:highlight w:val="none"/>
          <w:u w:val="single"/>
        </w:rPr>
        <w:t>24</w:t>
      </w:r>
      <w:r>
        <w:rPr>
          <w:rFonts w:hint="eastAsia" w:ascii="宋体" w:hAnsi="宋体" w:eastAsia="宋体"/>
          <w:color w:val="auto"/>
          <w:szCs w:val="21"/>
          <w:highlight w:val="none"/>
        </w:rPr>
        <w:t>个月（最长不超过24个月），缺陷责任期自工程竣工验收合格之日起计算。单位工程先于全部工程进行验收，单位工程缺陷责任期自单位工程验收合格之日起算。</w:t>
      </w:r>
    </w:p>
    <w:p w14:paraId="5418B2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缺陷责任期满之日起</w:t>
      </w:r>
      <w:r>
        <w:rPr>
          <w:rFonts w:hint="eastAsia" w:ascii="宋体" w:hAnsi="宋体" w:eastAsia="宋体"/>
          <w:color w:val="auto"/>
          <w:szCs w:val="21"/>
          <w:highlight w:val="none"/>
          <w:u w:val="single"/>
        </w:rPr>
        <w:t>14</w:t>
      </w:r>
      <w:r>
        <w:rPr>
          <w:rFonts w:hint="eastAsia" w:ascii="宋体" w:hAnsi="宋体" w:eastAsia="宋体"/>
          <w:color w:val="auto"/>
          <w:szCs w:val="21"/>
          <w:highlight w:val="none"/>
        </w:rPr>
        <w:t>天（按合同约定期限），发包人应退还剩余的工程质量保修金。</w:t>
      </w:r>
    </w:p>
    <w:p w14:paraId="527336A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四、质量保修保质责任</w:t>
      </w:r>
    </w:p>
    <w:p w14:paraId="290452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1.属于保修范围和内容的项目，承包人应在接到修理通知之日后2天内派人修理。承包人不在约定期限内派人修理，发包人可委托其他人员修理，保修费用从工程质量保修金内扣除。</w:t>
      </w:r>
    </w:p>
    <w:p w14:paraId="25D61F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2.发生须紧急抢修事故的，承包人接到事故通知后，应立即到达事故现场抢修。非承包人施工质量引起的事故，抢修费用由发包人承担。</w:t>
      </w:r>
    </w:p>
    <w:p w14:paraId="2277CF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14:paraId="695E6C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4.保修完成后，由发包人组织有关单位人员验收。</w:t>
      </w:r>
    </w:p>
    <w:p w14:paraId="6675891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五、其他</w:t>
      </w:r>
    </w:p>
    <w:p w14:paraId="461A58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双方约定的其他工程质量保修事项：</w:t>
      </w:r>
    </w:p>
    <w:p w14:paraId="7BC427C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本工程质量保修书作为施工合同附件，由施工合同发包人和承包人双方共同签署。</w:t>
      </w:r>
    </w:p>
    <w:p w14:paraId="2F382371">
      <w:pPr>
        <w:spacing w:line="360" w:lineRule="auto"/>
        <w:ind w:firstLine="420" w:firstLineChars="200"/>
        <w:rPr>
          <w:rFonts w:ascii="宋体" w:hAnsi="宋体" w:eastAsia="宋体"/>
          <w:color w:val="auto"/>
          <w:szCs w:val="21"/>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02F6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17B4679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发包人（公章）：广西大学</w:t>
            </w:r>
          </w:p>
        </w:tc>
        <w:tc>
          <w:tcPr>
            <w:tcW w:w="4672" w:type="dxa"/>
          </w:tcPr>
          <w:p w14:paraId="7EF7C966">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承包人（公章）：</w:t>
            </w:r>
          </w:p>
        </w:tc>
      </w:tr>
      <w:tr w14:paraId="7B33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3CF4596F">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法定代表人（签字或盖章）：</w:t>
            </w:r>
          </w:p>
        </w:tc>
        <w:tc>
          <w:tcPr>
            <w:tcW w:w="4672" w:type="dxa"/>
          </w:tcPr>
          <w:p w14:paraId="0517C029">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法定代表人（签字或盖章）：</w:t>
            </w:r>
          </w:p>
        </w:tc>
      </w:tr>
      <w:tr w14:paraId="3A70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14:paraId="064C5BF8">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________</w:t>
            </w:r>
            <w:r>
              <w:rPr>
                <w:rFonts w:hint="eastAsia" w:ascii="宋体" w:hAnsi="宋体" w:eastAsia="宋体"/>
                <w:color w:val="auto"/>
                <w:szCs w:val="21"/>
                <w:highlight w:val="none"/>
              </w:rPr>
              <w:t>年</w:t>
            </w:r>
            <w:r>
              <w:rPr>
                <w:rFonts w:ascii="宋体" w:hAnsi="宋体" w:eastAsia="宋体"/>
                <w:color w:val="auto"/>
                <w:szCs w:val="21"/>
                <w:highlight w:val="none"/>
              </w:rPr>
              <w:t>________</w:t>
            </w:r>
            <w:r>
              <w:rPr>
                <w:rFonts w:hint="eastAsia" w:ascii="宋体" w:hAnsi="宋体" w:eastAsia="宋体"/>
                <w:color w:val="auto"/>
                <w:szCs w:val="21"/>
                <w:highlight w:val="none"/>
              </w:rPr>
              <w:t>月</w:t>
            </w:r>
            <w:r>
              <w:rPr>
                <w:rFonts w:ascii="宋体" w:hAnsi="宋体" w:eastAsia="宋体"/>
                <w:color w:val="auto"/>
                <w:szCs w:val="21"/>
                <w:highlight w:val="none"/>
              </w:rPr>
              <w:t>________</w:t>
            </w:r>
            <w:r>
              <w:rPr>
                <w:rFonts w:hint="eastAsia" w:ascii="宋体" w:hAnsi="宋体" w:eastAsia="宋体"/>
                <w:color w:val="auto"/>
                <w:szCs w:val="21"/>
                <w:highlight w:val="none"/>
              </w:rPr>
              <w:t>日</w:t>
            </w:r>
          </w:p>
        </w:tc>
      </w:tr>
    </w:tbl>
    <w:p w14:paraId="1C160D59">
      <w:pPr>
        <w:spacing w:line="360" w:lineRule="auto"/>
        <w:jc w:val="center"/>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150ACD4D">
      <w:pPr>
        <w:pStyle w:val="4"/>
        <w:jc w:val="left"/>
        <w:rPr>
          <w:rFonts w:ascii="宋体" w:hAnsi="宋体" w:eastAsia="宋体"/>
          <w:color w:val="auto"/>
          <w:sz w:val="28"/>
          <w:szCs w:val="28"/>
          <w:highlight w:val="none"/>
        </w:rPr>
      </w:pPr>
      <w:bookmarkStart w:id="148" w:name="_Toc197530169"/>
      <w:bookmarkStart w:id="149" w:name="_Toc195459494"/>
      <w:r>
        <w:rPr>
          <w:rFonts w:hint="eastAsia" w:ascii="宋体" w:hAnsi="宋体" w:eastAsia="宋体"/>
          <w:color w:val="auto"/>
          <w:sz w:val="28"/>
          <w:szCs w:val="28"/>
          <w:highlight w:val="none"/>
        </w:rPr>
        <w:t>附件2：安全生产合同</w:t>
      </w:r>
      <w:bookmarkEnd w:id="148"/>
      <w:bookmarkEnd w:id="149"/>
    </w:p>
    <w:p w14:paraId="5A72BEC4">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安全生产合同</w:t>
      </w:r>
    </w:p>
    <w:p w14:paraId="7F0D3D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为在</w:t>
      </w:r>
      <w:r>
        <w:rPr>
          <w:rFonts w:ascii="宋体" w:hAnsi="宋体" w:eastAsia="宋体"/>
          <w:color w:val="auto"/>
          <w:szCs w:val="21"/>
          <w:highlight w:val="none"/>
        </w:rPr>
        <w:t>________</w:t>
      </w:r>
      <w:r>
        <w:rPr>
          <w:rFonts w:hint="eastAsia" w:ascii="宋体" w:hAnsi="宋体" w:eastAsia="宋体"/>
          <w:color w:val="auto"/>
          <w:szCs w:val="21"/>
          <w:highlight w:val="none"/>
        </w:rPr>
        <w:t>工程施工合同的实施过程中创造安全、高效的施工环境，切实做好本项目的安全管理工作，本项目发包人</w:t>
      </w:r>
      <w:r>
        <w:rPr>
          <w:rFonts w:hint="eastAsia" w:ascii="宋体" w:hAnsi="宋体" w:eastAsia="宋体"/>
          <w:color w:val="auto"/>
          <w:szCs w:val="21"/>
          <w:highlight w:val="none"/>
          <w:u w:val="single"/>
        </w:rPr>
        <w:t>广西大学</w:t>
      </w:r>
      <w:r>
        <w:rPr>
          <w:rFonts w:hint="eastAsia" w:ascii="宋体" w:hAnsi="宋体" w:eastAsia="宋体"/>
          <w:color w:val="auto"/>
          <w:szCs w:val="21"/>
          <w:highlight w:val="none"/>
        </w:rPr>
        <w:t>（以下简称“甲方”）与承包人</w:t>
      </w:r>
      <w:r>
        <w:rPr>
          <w:rFonts w:ascii="宋体" w:hAnsi="宋体" w:eastAsia="宋体"/>
          <w:color w:val="auto"/>
          <w:szCs w:val="21"/>
          <w:highlight w:val="none"/>
        </w:rPr>
        <w:t>________</w:t>
      </w:r>
      <w:r>
        <w:rPr>
          <w:rFonts w:hint="eastAsia" w:ascii="宋体" w:hAnsi="宋体" w:eastAsia="宋体"/>
          <w:color w:val="auto"/>
          <w:szCs w:val="21"/>
          <w:highlight w:val="none"/>
        </w:rPr>
        <w:t>（以下简称“乙方”）特此签订安全生产合同：</w:t>
      </w:r>
    </w:p>
    <w:p w14:paraId="39ED9E08">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一、甲方职责</w:t>
      </w:r>
    </w:p>
    <w:p w14:paraId="6BD46A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1.严格遵守国家有关安全生产的法律法规，认真执行工程承包合同中的有关安全要求。</w:t>
      </w:r>
    </w:p>
    <w:p w14:paraId="4F00E9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2.按照“安全第一、预防为主”和坚持“管生产必须管安全”的原则进行安全生产管理，做到生产与安全工作同时计划、布置、检查、总结和评比。</w:t>
      </w:r>
    </w:p>
    <w:p w14:paraId="710C54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3.重要的安全设施必须坚持与主体工程“三同时”的原则，即：同时设计、审批，同时施工，同时验收，投入使用。</w:t>
      </w:r>
    </w:p>
    <w:p w14:paraId="01085A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4.定期召开安全生产调度会，及时传达中央及地方有关安全生产的精神。</w:t>
      </w:r>
    </w:p>
    <w:p w14:paraId="387F70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5.组织对乙方施工现场安全生产检查，监督乙方及时处理发现的各种安全隐患。</w:t>
      </w:r>
    </w:p>
    <w:p w14:paraId="0C018E7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二、乙方职责</w:t>
      </w:r>
    </w:p>
    <w:p w14:paraId="32C2E9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1.严格遵守国家有关安全生产的法律法规及建筑工程有关安全生产的规定，认真执行工程承包合同中的有关安全要求。</w:t>
      </w:r>
    </w:p>
    <w:p w14:paraId="7A87D3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7BB05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CCF1D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4.乙方在任何时候都应采取各种合理的预防措施，防止其员工发生任何违法、违禁、暴力或妨碍治安的行为。</w:t>
      </w:r>
    </w:p>
    <w:p w14:paraId="60A6BA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775B02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96AAA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7.操作人员上岗，必须按规定穿戴防护用品。项目经理和安全检查员应随时检查劳动防护用品的穿戴情况，不按规定穿戴防护用品的人员不得上岗。</w:t>
      </w:r>
    </w:p>
    <w:p w14:paraId="0C0E76B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8.所有施工机械设备和高空作业的设备均应定期检查，并有安全员的签字记录，保证其经常处于完好状态；不合格的机具、设备和劳动保护用品严禁使用。</w:t>
      </w:r>
    </w:p>
    <w:p w14:paraId="21ECBD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9.施工中采用新技术、新工艺、新设备、新材料时，必须制定相应的安全技术措施，施工现场必须具有相关的安全标志牌。</w:t>
      </w:r>
    </w:p>
    <w:p w14:paraId="123AE0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77BEC0D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三、违约责任</w:t>
      </w:r>
    </w:p>
    <w:p w14:paraId="6BF86B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甲方或乙方违反安全生产合同约定造成安全事故的，应按照法律、法规、规章的规定承担相应法律责任。</w:t>
      </w:r>
    </w:p>
    <w:p w14:paraId="344D12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本合同作为主合同附件，正本和副本份数与本合同专用条款第24.1条的约定相同。由双方法定代表人或其授权的代理人签署与加盖公章后生效，全部工程竣工验收后失效。</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6E1B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0BD944FC">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发包人（公章）：广西大学</w:t>
            </w:r>
          </w:p>
        </w:tc>
        <w:tc>
          <w:tcPr>
            <w:tcW w:w="4672" w:type="dxa"/>
          </w:tcPr>
          <w:p w14:paraId="293840D4">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承包人（公章）：</w:t>
            </w:r>
          </w:p>
        </w:tc>
      </w:tr>
      <w:tr w14:paraId="5D13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3C3620C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法定代表人（签字或盖章）：</w:t>
            </w:r>
          </w:p>
        </w:tc>
        <w:tc>
          <w:tcPr>
            <w:tcW w:w="4672" w:type="dxa"/>
          </w:tcPr>
          <w:p w14:paraId="0393EDB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法定代表人（签字或盖章）：</w:t>
            </w:r>
          </w:p>
        </w:tc>
      </w:tr>
      <w:tr w14:paraId="5FF8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14:paraId="56463F55">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________</w:t>
            </w:r>
            <w:r>
              <w:rPr>
                <w:rFonts w:hint="eastAsia" w:ascii="宋体" w:hAnsi="宋体" w:eastAsia="宋体"/>
                <w:color w:val="auto"/>
                <w:szCs w:val="21"/>
                <w:highlight w:val="none"/>
              </w:rPr>
              <w:t>年</w:t>
            </w:r>
            <w:r>
              <w:rPr>
                <w:rFonts w:ascii="宋体" w:hAnsi="宋体" w:eastAsia="宋体"/>
                <w:color w:val="auto"/>
                <w:szCs w:val="21"/>
                <w:highlight w:val="none"/>
              </w:rPr>
              <w:t>________</w:t>
            </w:r>
            <w:r>
              <w:rPr>
                <w:rFonts w:hint="eastAsia" w:ascii="宋体" w:hAnsi="宋体" w:eastAsia="宋体"/>
                <w:color w:val="auto"/>
                <w:szCs w:val="21"/>
                <w:highlight w:val="none"/>
              </w:rPr>
              <w:t>月</w:t>
            </w:r>
            <w:r>
              <w:rPr>
                <w:rFonts w:ascii="宋体" w:hAnsi="宋体" w:eastAsia="宋体"/>
                <w:color w:val="auto"/>
                <w:szCs w:val="21"/>
                <w:highlight w:val="none"/>
              </w:rPr>
              <w:t>________</w:t>
            </w:r>
            <w:r>
              <w:rPr>
                <w:rFonts w:hint="eastAsia" w:ascii="宋体" w:hAnsi="宋体" w:eastAsia="宋体"/>
                <w:color w:val="auto"/>
                <w:szCs w:val="21"/>
                <w:highlight w:val="none"/>
              </w:rPr>
              <w:t>日</w:t>
            </w:r>
          </w:p>
        </w:tc>
      </w:tr>
    </w:tbl>
    <w:p w14:paraId="5CA41F85">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1F5A1A5E">
      <w:pPr>
        <w:pStyle w:val="4"/>
        <w:jc w:val="left"/>
        <w:rPr>
          <w:rFonts w:ascii="宋体" w:hAnsi="宋体" w:eastAsia="宋体"/>
          <w:color w:val="auto"/>
          <w:sz w:val="28"/>
          <w:szCs w:val="28"/>
          <w:highlight w:val="none"/>
        </w:rPr>
      </w:pPr>
      <w:bookmarkStart w:id="150" w:name="_Toc195459495"/>
      <w:bookmarkStart w:id="151" w:name="_Toc197530170"/>
      <w:r>
        <w:rPr>
          <w:rFonts w:hint="eastAsia" w:ascii="宋体" w:hAnsi="宋体" w:eastAsia="宋体"/>
          <w:color w:val="auto"/>
          <w:sz w:val="28"/>
          <w:szCs w:val="28"/>
          <w:highlight w:val="none"/>
        </w:rPr>
        <w:t>附件3：发包人施工管理要求</w:t>
      </w:r>
      <w:bookmarkEnd w:id="150"/>
      <w:bookmarkEnd w:id="151"/>
    </w:p>
    <w:p w14:paraId="5EB254F3">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发包人施工管理要求</w:t>
      </w:r>
    </w:p>
    <w:p w14:paraId="7A71CF15">
      <w:pPr>
        <w:spacing w:line="360" w:lineRule="auto"/>
        <w:ind w:firstLine="420" w:firstLineChars="200"/>
        <w:rPr>
          <w:rFonts w:ascii="宋体" w:hAnsi="宋体" w:eastAsia="宋体"/>
          <w:color w:val="auto"/>
          <w:szCs w:val="21"/>
          <w:highlight w:val="none"/>
        </w:rPr>
      </w:pPr>
    </w:p>
    <w:p w14:paraId="7B224C8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一、安全、文明施工及环境保护措施</w:t>
      </w:r>
    </w:p>
    <w:p w14:paraId="6DDF4A5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承包人应该按照国家、南宁市及学校有关安全生产的要求，做好安全生产保证措施、特别安全生产事项、治安保卫、文明施工、紧急情况处理、事故处理、安全生产责任、职业健康、环境保护等工作。</w:t>
      </w:r>
    </w:p>
    <w:p w14:paraId="2A3396F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二、承包人项目经理（或项目负责人）到位情况、业务水平</w:t>
      </w:r>
    </w:p>
    <w:p w14:paraId="183448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（一）要求项目经理常驻现场管理，具备较强的责任心，良好的沟通能力；具备较强的专业技术水平，能及时发现施工问题，并提出较好的解决方案；配合发包人管理并办理相关手续。</w:t>
      </w:r>
    </w:p>
    <w:p w14:paraId="28C829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（二）承包人项目经理负责与发包人对接所有事宜，承包人未经发包人同意，不得调换项目经理。</w:t>
      </w:r>
    </w:p>
    <w:p w14:paraId="21DB530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三、控制工程质量的检测与保证措施</w:t>
      </w:r>
    </w:p>
    <w:p w14:paraId="760C16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承包人工程质量标准必须符合现行国家有关工程质量验收规范和标准的要求，有关工程质量的特殊标准或要求应符合专用合同条款约定。</w:t>
      </w:r>
    </w:p>
    <w:p w14:paraId="48BC44E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四、工程感观质量</w:t>
      </w:r>
    </w:p>
    <w:p w14:paraId="79ACD3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承包人应通过观察和必要的测量，对工程外在的布局、表面、色泽、整体协调性、局部做法以及使用的方便性等的质量是否符合发包人要求。</w:t>
      </w:r>
    </w:p>
    <w:p w14:paraId="763E617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五、施工进度计划及保证措施（合同工期）</w:t>
      </w:r>
    </w:p>
    <w:p w14:paraId="522DAD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除了按照合同约定的可以顺延的工期以外，承包人应该按期合同工期竣工验收。</w:t>
      </w:r>
    </w:p>
    <w:p w14:paraId="3D632C6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六、主材及设备进场</w:t>
      </w:r>
    </w:p>
    <w:p w14:paraId="20AB44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（一）承包人采购的材料与设备应按照施工说明和设计有关标准要求采购，严禁以次充好；</w:t>
      </w:r>
    </w:p>
    <w:p w14:paraId="6567685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（二）主要材料及设备进场时，承包人应将其规格、品牌、合格证书等质保资料以及进场照片一并提交发包人确认</w:t>
      </w:r>
    </w:p>
    <w:p w14:paraId="4B1A47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（三）所有主料与设备必须经监理、发包人确认后方可安装。</w:t>
      </w:r>
    </w:p>
    <w:p w14:paraId="4A27134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七、工程变更</w:t>
      </w:r>
    </w:p>
    <w:p w14:paraId="581A77C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（一）工程变更必须有发包人签发的变更通知单，否则发包人对该部分工程不予确认。</w:t>
      </w:r>
    </w:p>
    <w:p w14:paraId="0A72255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（二）承包人接到变更通知单后应立即实施，涉及工期顺延的应及时与发包人签证确认。</w:t>
      </w:r>
    </w:p>
    <w:p w14:paraId="580EA9A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（三）合同约定支付变更部分进度款的，承包人应及时编制变更预算报发包人审核，经发包人审核的变更预算仅作为支付变更部分工程进度款的依据，不作为结算依据。</w:t>
      </w:r>
    </w:p>
    <w:p w14:paraId="459071D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八、工程签证</w:t>
      </w:r>
    </w:p>
    <w:p w14:paraId="516B578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（一）工程签证必须由承包人填写签证单报发包人签认，签证单应写清楚签证原因、签证内容，因承包人填报签证不清楚所造成的一切后果由承包人负责。</w:t>
      </w:r>
    </w:p>
    <w:p w14:paraId="1E0AF3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1.签证涉及工程量的，要有详细的图纸尺寸、计算式、说明及现场照片等资料，以满足在结算时能够准确的计算工程量和造价；</w:t>
      </w:r>
    </w:p>
    <w:p w14:paraId="2534D3D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2.发生零星用工或无法准确套用定额的用工，经发包人同意按工日数计算的，必须描述清楚事实、所需的工日数；</w:t>
      </w:r>
    </w:p>
    <w:p w14:paraId="76AF3AC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3.签机械台班的，要写明所用机械的名称、功率、斗容量及具体用时；</w:t>
      </w:r>
    </w:p>
    <w:p w14:paraId="3B6E47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4.发生二次搬运的要写清事由、运距；</w:t>
      </w:r>
    </w:p>
    <w:p w14:paraId="10B4DD2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5.工期签证要写清楚符合合同顺延工期条款约定的事实以及计算顺延天数的依据，并附支撑材料。</w:t>
      </w:r>
    </w:p>
    <w:p w14:paraId="0595129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（二）承包人应在签证事项发生后两周内及时填报签证单，承包人在递交竣工验收报告后填报签证的发包人不予签认，因承包人填报签证单不及时所造成的一切后果由承包人负责。</w:t>
      </w:r>
    </w:p>
    <w:p w14:paraId="42F7C4A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九、工程量收方</w:t>
      </w:r>
    </w:p>
    <w:p w14:paraId="364067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工程变更、签证时不能确认工程量，或是不能以竣工图表示，需要现场收方确认工程量才能结算的，承包人应填写现场工程量收方单报发包人确认。因承包人填报工程量收方单不清楚、不详实所造成的一切后果由承包人负责。</w:t>
      </w:r>
    </w:p>
    <w:p w14:paraId="5FBC62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1.承包人需对现场收方工程量逐条列出，做到内容详实，条理清晰，尺寸准确，有必要的方位、部位等地点描述及每一单项的详细计算式及现场照片等资料；</w:t>
      </w:r>
    </w:p>
    <w:p w14:paraId="591C0A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2.涉及隐蔽工程的现场收方，除以上要求外，承包人还需提交工程隐蔽前后的不少于10张且能清晰反映实际情况的纸质相片。</w:t>
      </w:r>
    </w:p>
    <w:p w14:paraId="23CE216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（二）承包人应在工程量收方事项发生后两周内及时填报工程量收方单，承包人在递交竣工验收报告后填报收方单的发包人不予签认，因承包人填报收方单不及时所造成的一切后果由承包人负责。</w:t>
      </w:r>
    </w:p>
    <w:p w14:paraId="35E39C1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十、竣工结算</w:t>
      </w:r>
    </w:p>
    <w:p w14:paraId="77E829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（一）承包人要对报送的结算资料的完整性、真实性、合法性负责，并按规范要求整理资料，因结算资料不完整、不真实、不合法所引起的一切责任及后果由承包人负责。</w:t>
      </w:r>
    </w:p>
    <w:p w14:paraId="208713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发包人对结算资料中不合格的变更签证、收方等资料，如内容不明确、签字单位不齐全等情形按无效资料处理，不予计算相应造价。承包人有擅自篡改、伪造结算资料有关数据信息的，一经查实按篡改、伪造部分对应造价的三倍扣除承包人违约金。</w:t>
      </w:r>
    </w:p>
    <w:p w14:paraId="78F0AE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（三）承包人应在工程竣工验收合格后3个月内，一次性递交结算书及全部结算资料给发包人，逾期未提交，每延期一天，按工程结算款的万分之 0.5 扣除违约金，违约金最多不超过合同价的 5 %，由发包人从承包人工程结算款中直接扣除，发包人在竣工结算审核过程中，承包人不得再补充任何项目资料。如有特殊情况，项目中确实存在因缺少或视同无效的计价依据（如收方、签证材料等）涉及金额超过结算送审金额3%且超过3万元（含）的，经发包人同意后，承包人将一次性在对数结束后14个工作日内补充要求提供的书面材料至发包人，逾期不提交的，则自动放弃补送机会，并视为同意前期对数的结算结果。但承包人补充材料的行为有可能会被发包人在考核中计为“较差”。因报送结算资料不完整并进行事后补充，被发包人列入“黑名单”的，其责任及后果由承包人承担。</w:t>
      </w:r>
    </w:p>
    <w:p w14:paraId="4465695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审核过程中发现送审的竣工结算资料中已有对应计价依据（含竣工图、收方或签证材料等），但送审工程量少计或漏计的，经审计部门同意，承包人可以补充报送该部分少计或漏计工程量的结算（说明）书，并同意按补充报送结算价的10%支付违约金，补充报送结算价送审误差率偏高的，按合同有关约定支付送审误差违约金。</w:t>
      </w:r>
    </w:p>
    <w:p w14:paraId="0186C3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（四）承包人应积极主动配合发包人勘察现场及开展其他相关工作。</w:t>
      </w:r>
    </w:p>
    <w:p w14:paraId="2A07461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应在项目资料送审后10个工作日内作好相关准备工作，配合发包人现场实地核查，未能按时核查的，发包人有权中止结算审核工作，并退回所有项目结算资料，自停止之日起6个月内，不再安排对本工程项目的审核；</w:t>
      </w:r>
    </w:p>
    <w:p w14:paraId="7417CCF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收到发包人结算审核初稿后6个工作日内，赴现场配合核对，未能按时对数的，每延误一天，发包人按合同金额的万分之伍扣除违约金，但累计不超过合同金额的3%，延误超过60天的，发包人有权中止结算审核工作，并退回所有项目结算资料，自中止之日起6个月内不再安排对本工程项目的审核。对现场核对后经过双方一致确认的内容，承包人在后期不再提出异议；</w:t>
      </w:r>
    </w:p>
    <w:p w14:paraId="501F46C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3.承包人在审核过程中需补充资料的，按第三条的要求；</w:t>
      </w:r>
    </w:p>
    <w:p w14:paraId="5AEB527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在收到发包人的结算审核二稿后6个工作日内，应及时反馈意见，未能按时反馈的，每延误1天，发包人按合同金额的万分之伍扣除违约金，但累计不超过合同金额的3%，延误超过60天的，发包人则视为承包人同意审核结果，发包人出具正式结算审核报告，审核工作完结。</w:t>
      </w:r>
    </w:p>
    <w:p w14:paraId="10C7FAC6">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62EC3959">
      <w:pPr>
        <w:pStyle w:val="4"/>
        <w:jc w:val="left"/>
        <w:rPr>
          <w:rFonts w:ascii="宋体" w:hAnsi="宋体" w:eastAsia="宋体"/>
          <w:color w:val="auto"/>
          <w:sz w:val="28"/>
          <w:szCs w:val="28"/>
          <w:highlight w:val="none"/>
        </w:rPr>
      </w:pPr>
      <w:bookmarkStart w:id="152" w:name="_Toc195459496"/>
      <w:bookmarkStart w:id="153" w:name="_Toc197530171"/>
      <w:r>
        <w:rPr>
          <w:rFonts w:hint="eastAsia" w:ascii="宋体" w:hAnsi="宋体" w:eastAsia="宋体"/>
          <w:color w:val="auto"/>
          <w:sz w:val="28"/>
          <w:szCs w:val="28"/>
          <w:highlight w:val="none"/>
        </w:rPr>
        <w:t>附件4：施工单位项目考核表</w:t>
      </w:r>
      <w:bookmarkEnd w:id="152"/>
      <w:bookmarkEnd w:id="153"/>
    </w:p>
    <w:p w14:paraId="1B60E6BF">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施工单位项目考核表</w:t>
      </w:r>
    </w:p>
    <w:p w14:paraId="6F80F7F0">
      <w:pPr>
        <w:spacing w:line="360" w:lineRule="auto"/>
        <w:ind w:firstLine="420" w:firstLineChars="200"/>
        <w:rPr>
          <w:rFonts w:ascii="宋体" w:hAnsi="宋体" w:eastAsia="宋体"/>
          <w:color w:val="auto"/>
          <w:szCs w:val="21"/>
          <w:highlight w:val="none"/>
        </w:rPr>
      </w:pPr>
    </w:p>
    <w:p w14:paraId="41B4A8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项目名称：</w:t>
      </w:r>
      <w:r>
        <w:rPr>
          <w:rFonts w:ascii="宋体" w:hAnsi="宋体" w:eastAsia="宋体"/>
          <w:color w:val="auto"/>
          <w:szCs w:val="21"/>
          <w:highlight w:val="none"/>
        </w:rPr>
        <w:t>________</w:t>
      </w:r>
    </w:p>
    <w:p w14:paraId="4AA2A9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施工单位（承包人）：</w:t>
      </w:r>
      <w:r>
        <w:rPr>
          <w:rFonts w:ascii="宋体" w:hAnsi="宋体" w:eastAsia="宋体"/>
          <w:color w:val="auto"/>
          <w:szCs w:val="21"/>
          <w:highlight w:val="none"/>
        </w:rPr>
        <w:t>________</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4253"/>
        <w:gridCol w:w="708"/>
        <w:gridCol w:w="709"/>
        <w:gridCol w:w="702"/>
      </w:tblGrid>
      <w:tr w14:paraId="645F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D5B861C">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考核阶段</w:t>
            </w:r>
          </w:p>
        </w:tc>
        <w:tc>
          <w:tcPr>
            <w:tcW w:w="1843" w:type="dxa"/>
            <w:vAlign w:val="center"/>
          </w:tcPr>
          <w:p w14:paraId="1B34BF8F">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评价项目</w:t>
            </w:r>
          </w:p>
        </w:tc>
        <w:tc>
          <w:tcPr>
            <w:tcW w:w="4253" w:type="dxa"/>
            <w:vAlign w:val="center"/>
          </w:tcPr>
          <w:p w14:paraId="51A58D31">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考核内容</w:t>
            </w:r>
          </w:p>
        </w:tc>
        <w:tc>
          <w:tcPr>
            <w:tcW w:w="708" w:type="dxa"/>
            <w:vAlign w:val="center"/>
          </w:tcPr>
          <w:p w14:paraId="57266C23">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良好</w:t>
            </w:r>
          </w:p>
        </w:tc>
        <w:tc>
          <w:tcPr>
            <w:tcW w:w="709" w:type="dxa"/>
            <w:vAlign w:val="center"/>
          </w:tcPr>
          <w:p w14:paraId="780F64A9">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一般</w:t>
            </w:r>
          </w:p>
        </w:tc>
        <w:tc>
          <w:tcPr>
            <w:tcW w:w="702" w:type="dxa"/>
            <w:vAlign w:val="center"/>
          </w:tcPr>
          <w:p w14:paraId="0195A175">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较差</w:t>
            </w:r>
          </w:p>
        </w:tc>
      </w:tr>
      <w:tr w14:paraId="437B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14:paraId="46AD0DD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施工阶段</w:t>
            </w:r>
          </w:p>
        </w:tc>
        <w:tc>
          <w:tcPr>
            <w:tcW w:w="1843" w:type="dxa"/>
            <w:vAlign w:val="center"/>
          </w:tcPr>
          <w:p w14:paraId="77F8CE5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*安全、文明施工及环境保护措施</w:t>
            </w:r>
          </w:p>
        </w:tc>
        <w:tc>
          <w:tcPr>
            <w:tcW w:w="4253" w:type="dxa"/>
            <w:vAlign w:val="center"/>
          </w:tcPr>
          <w:p w14:paraId="1F0FD1C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3CEF2C09">
            <w:pPr>
              <w:spacing w:line="360" w:lineRule="auto"/>
              <w:jc w:val="center"/>
              <w:rPr>
                <w:rFonts w:ascii="宋体" w:hAnsi="宋体" w:eastAsia="宋体"/>
                <w:color w:val="auto"/>
                <w:szCs w:val="21"/>
                <w:highlight w:val="none"/>
              </w:rPr>
            </w:pPr>
          </w:p>
        </w:tc>
        <w:tc>
          <w:tcPr>
            <w:tcW w:w="709" w:type="dxa"/>
            <w:vAlign w:val="center"/>
          </w:tcPr>
          <w:p w14:paraId="3E793B53">
            <w:pPr>
              <w:spacing w:line="360" w:lineRule="auto"/>
              <w:jc w:val="center"/>
              <w:rPr>
                <w:rFonts w:ascii="宋体" w:hAnsi="宋体" w:eastAsia="宋体"/>
                <w:color w:val="auto"/>
                <w:szCs w:val="21"/>
                <w:highlight w:val="none"/>
              </w:rPr>
            </w:pPr>
          </w:p>
        </w:tc>
        <w:tc>
          <w:tcPr>
            <w:tcW w:w="702" w:type="dxa"/>
            <w:vAlign w:val="center"/>
          </w:tcPr>
          <w:p w14:paraId="4BE5A1C3">
            <w:pPr>
              <w:spacing w:line="360" w:lineRule="auto"/>
              <w:jc w:val="center"/>
              <w:rPr>
                <w:rFonts w:ascii="宋体" w:hAnsi="宋体" w:eastAsia="宋体"/>
                <w:color w:val="auto"/>
                <w:szCs w:val="21"/>
                <w:highlight w:val="none"/>
              </w:rPr>
            </w:pPr>
          </w:p>
        </w:tc>
      </w:tr>
      <w:tr w14:paraId="7938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79041832">
            <w:pPr>
              <w:spacing w:line="360" w:lineRule="auto"/>
              <w:jc w:val="center"/>
              <w:rPr>
                <w:rFonts w:ascii="宋体" w:hAnsi="宋体" w:eastAsia="宋体"/>
                <w:color w:val="auto"/>
                <w:szCs w:val="21"/>
                <w:highlight w:val="none"/>
              </w:rPr>
            </w:pPr>
          </w:p>
        </w:tc>
        <w:tc>
          <w:tcPr>
            <w:tcW w:w="1843" w:type="dxa"/>
            <w:vAlign w:val="center"/>
          </w:tcPr>
          <w:p w14:paraId="2D2129B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*项目经理（或项目负责人）到位情况、业务水平</w:t>
            </w:r>
          </w:p>
        </w:tc>
        <w:tc>
          <w:tcPr>
            <w:tcW w:w="4253" w:type="dxa"/>
            <w:vAlign w:val="center"/>
          </w:tcPr>
          <w:p w14:paraId="6C49BBD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按合同附3发包人施工管理相关要求</w:t>
            </w:r>
          </w:p>
        </w:tc>
        <w:tc>
          <w:tcPr>
            <w:tcW w:w="708" w:type="dxa"/>
            <w:vAlign w:val="center"/>
          </w:tcPr>
          <w:p w14:paraId="63B77AE5">
            <w:pPr>
              <w:spacing w:line="360" w:lineRule="auto"/>
              <w:jc w:val="center"/>
              <w:rPr>
                <w:rFonts w:ascii="宋体" w:hAnsi="宋体" w:eastAsia="宋体"/>
                <w:color w:val="auto"/>
                <w:szCs w:val="21"/>
                <w:highlight w:val="none"/>
              </w:rPr>
            </w:pPr>
          </w:p>
        </w:tc>
        <w:tc>
          <w:tcPr>
            <w:tcW w:w="709" w:type="dxa"/>
            <w:vAlign w:val="center"/>
          </w:tcPr>
          <w:p w14:paraId="10F29D1A">
            <w:pPr>
              <w:spacing w:line="360" w:lineRule="auto"/>
              <w:jc w:val="center"/>
              <w:rPr>
                <w:rFonts w:ascii="宋体" w:hAnsi="宋体" w:eastAsia="宋体"/>
                <w:color w:val="auto"/>
                <w:szCs w:val="21"/>
                <w:highlight w:val="none"/>
              </w:rPr>
            </w:pPr>
          </w:p>
        </w:tc>
        <w:tc>
          <w:tcPr>
            <w:tcW w:w="702" w:type="dxa"/>
            <w:vAlign w:val="center"/>
          </w:tcPr>
          <w:p w14:paraId="4681B63A">
            <w:pPr>
              <w:spacing w:line="360" w:lineRule="auto"/>
              <w:jc w:val="center"/>
              <w:rPr>
                <w:rFonts w:ascii="宋体" w:hAnsi="宋体" w:eastAsia="宋体"/>
                <w:color w:val="auto"/>
                <w:szCs w:val="21"/>
                <w:highlight w:val="none"/>
              </w:rPr>
            </w:pPr>
          </w:p>
        </w:tc>
      </w:tr>
      <w:tr w14:paraId="6ECD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0DC6038B">
            <w:pPr>
              <w:spacing w:line="360" w:lineRule="auto"/>
              <w:jc w:val="center"/>
              <w:rPr>
                <w:rFonts w:ascii="宋体" w:hAnsi="宋体" w:eastAsia="宋体"/>
                <w:color w:val="auto"/>
                <w:szCs w:val="21"/>
                <w:highlight w:val="none"/>
              </w:rPr>
            </w:pPr>
          </w:p>
        </w:tc>
        <w:tc>
          <w:tcPr>
            <w:tcW w:w="1843" w:type="dxa"/>
            <w:vAlign w:val="center"/>
          </w:tcPr>
          <w:p w14:paraId="0082AC2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*控制工程质量的检测与保证措施</w:t>
            </w:r>
          </w:p>
        </w:tc>
        <w:tc>
          <w:tcPr>
            <w:tcW w:w="4253" w:type="dxa"/>
            <w:vAlign w:val="center"/>
          </w:tcPr>
          <w:p w14:paraId="3013715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74F10022">
            <w:pPr>
              <w:spacing w:line="360" w:lineRule="auto"/>
              <w:jc w:val="center"/>
              <w:rPr>
                <w:rFonts w:ascii="宋体" w:hAnsi="宋体" w:eastAsia="宋体"/>
                <w:color w:val="auto"/>
                <w:szCs w:val="21"/>
                <w:highlight w:val="none"/>
              </w:rPr>
            </w:pPr>
          </w:p>
        </w:tc>
        <w:tc>
          <w:tcPr>
            <w:tcW w:w="709" w:type="dxa"/>
            <w:vAlign w:val="center"/>
          </w:tcPr>
          <w:p w14:paraId="5C9F0DA6">
            <w:pPr>
              <w:spacing w:line="360" w:lineRule="auto"/>
              <w:jc w:val="center"/>
              <w:rPr>
                <w:rFonts w:ascii="宋体" w:hAnsi="宋体" w:eastAsia="宋体"/>
                <w:color w:val="auto"/>
                <w:szCs w:val="21"/>
                <w:highlight w:val="none"/>
              </w:rPr>
            </w:pPr>
          </w:p>
        </w:tc>
        <w:tc>
          <w:tcPr>
            <w:tcW w:w="702" w:type="dxa"/>
            <w:vAlign w:val="center"/>
          </w:tcPr>
          <w:p w14:paraId="5CDB941C">
            <w:pPr>
              <w:spacing w:line="360" w:lineRule="auto"/>
              <w:jc w:val="center"/>
              <w:rPr>
                <w:rFonts w:ascii="宋体" w:hAnsi="宋体" w:eastAsia="宋体"/>
                <w:color w:val="auto"/>
                <w:szCs w:val="21"/>
                <w:highlight w:val="none"/>
              </w:rPr>
            </w:pPr>
          </w:p>
        </w:tc>
      </w:tr>
      <w:tr w14:paraId="2EC4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CC545D0">
            <w:pPr>
              <w:spacing w:line="360" w:lineRule="auto"/>
              <w:jc w:val="center"/>
              <w:rPr>
                <w:rFonts w:ascii="宋体" w:hAnsi="宋体" w:eastAsia="宋体"/>
                <w:color w:val="auto"/>
                <w:szCs w:val="21"/>
                <w:highlight w:val="none"/>
              </w:rPr>
            </w:pPr>
          </w:p>
        </w:tc>
        <w:tc>
          <w:tcPr>
            <w:tcW w:w="1843" w:type="dxa"/>
            <w:vAlign w:val="center"/>
          </w:tcPr>
          <w:p w14:paraId="67143C9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*工程感观质量</w:t>
            </w:r>
          </w:p>
        </w:tc>
        <w:tc>
          <w:tcPr>
            <w:tcW w:w="4253" w:type="dxa"/>
            <w:vAlign w:val="center"/>
          </w:tcPr>
          <w:p w14:paraId="0E663D3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034702DC">
            <w:pPr>
              <w:spacing w:line="360" w:lineRule="auto"/>
              <w:jc w:val="center"/>
              <w:rPr>
                <w:rFonts w:ascii="宋体" w:hAnsi="宋体" w:eastAsia="宋体"/>
                <w:color w:val="auto"/>
                <w:szCs w:val="21"/>
                <w:highlight w:val="none"/>
              </w:rPr>
            </w:pPr>
          </w:p>
        </w:tc>
        <w:tc>
          <w:tcPr>
            <w:tcW w:w="709" w:type="dxa"/>
            <w:vAlign w:val="center"/>
          </w:tcPr>
          <w:p w14:paraId="564554EA">
            <w:pPr>
              <w:spacing w:line="360" w:lineRule="auto"/>
              <w:jc w:val="center"/>
              <w:rPr>
                <w:rFonts w:ascii="宋体" w:hAnsi="宋体" w:eastAsia="宋体"/>
                <w:color w:val="auto"/>
                <w:szCs w:val="21"/>
                <w:highlight w:val="none"/>
              </w:rPr>
            </w:pPr>
          </w:p>
        </w:tc>
        <w:tc>
          <w:tcPr>
            <w:tcW w:w="702" w:type="dxa"/>
            <w:vAlign w:val="center"/>
          </w:tcPr>
          <w:p w14:paraId="3CD7682E">
            <w:pPr>
              <w:spacing w:line="360" w:lineRule="auto"/>
              <w:jc w:val="center"/>
              <w:rPr>
                <w:rFonts w:ascii="宋体" w:hAnsi="宋体" w:eastAsia="宋体"/>
                <w:color w:val="auto"/>
                <w:szCs w:val="21"/>
                <w:highlight w:val="none"/>
              </w:rPr>
            </w:pPr>
          </w:p>
        </w:tc>
      </w:tr>
      <w:tr w14:paraId="564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45AF7248">
            <w:pPr>
              <w:spacing w:line="360" w:lineRule="auto"/>
              <w:jc w:val="center"/>
              <w:rPr>
                <w:rFonts w:ascii="宋体" w:hAnsi="宋体" w:eastAsia="宋体"/>
                <w:color w:val="auto"/>
                <w:szCs w:val="21"/>
                <w:highlight w:val="none"/>
              </w:rPr>
            </w:pPr>
          </w:p>
        </w:tc>
        <w:tc>
          <w:tcPr>
            <w:tcW w:w="1843" w:type="dxa"/>
            <w:vAlign w:val="center"/>
          </w:tcPr>
          <w:p w14:paraId="76C0083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*施工进度计划及保证措施（合同工期）</w:t>
            </w:r>
          </w:p>
        </w:tc>
        <w:tc>
          <w:tcPr>
            <w:tcW w:w="4253" w:type="dxa"/>
            <w:vAlign w:val="center"/>
          </w:tcPr>
          <w:p w14:paraId="40086B4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按合同附件3发包人施工管理相关要求（注：扣除承包人确认的工期顺延天数后，按期竣工为“良好”；超工期不到20天的为“一般”；超工期20天以上的为“较差”）</w:t>
            </w:r>
          </w:p>
        </w:tc>
        <w:tc>
          <w:tcPr>
            <w:tcW w:w="708" w:type="dxa"/>
            <w:vAlign w:val="center"/>
          </w:tcPr>
          <w:p w14:paraId="1E07F396">
            <w:pPr>
              <w:spacing w:line="360" w:lineRule="auto"/>
              <w:jc w:val="center"/>
              <w:rPr>
                <w:rFonts w:ascii="宋体" w:hAnsi="宋体" w:eastAsia="宋体"/>
                <w:color w:val="auto"/>
                <w:szCs w:val="21"/>
                <w:highlight w:val="none"/>
              </w:rPr>
            </w:pPr>
          </w:p>
        </w:tc>
        <w:tc>
          <w:tcPr>
            <w:tcW w:w="709" w:type="dxa"/>
            <w:vAlign w:val="center"/>
          </w:tcPr>
          <w:p w14:paraId="321879D7">
            <w:pPr>
              <w:spacing w:line="360" w:lineRule="auto"/>
              <w:jc w:val="center"/>
              <w:rPr>
                <w:rFonts w:ascii="宋体" w:hAnsi="宋体" w:eastAsia="宋体"/>
                <w:color w:val="auto"/>
                <w:szCs w:val="21"/>
                <w:highlight w:val="none"/>
              </w:rPr>
            </w:pPr>
          </w:p>
        </w:tc>
        <w:tc>
          <w:tcPr>
            <w:tcW w:w="702" w:type="dxa"/>
            <w:vAlign w:val="center"/>
          </w:tcPr>
          <w:p w14:paraId="7006F75B">
            <w:pPr>
              <w:spacing w:line="360" w:lineRule="auto"/>
              <w:jc w:val="center"/>
              <w:rPr>
                <w:rFonts w:ascii="宋体" w:hAnsi="宋体" w:eastAsia="宋体"/>
                <w:color w:val="auto"/>
                <w:szCs w:val="21"/>
                <w:highlight w:val="none"/>
              </w:rPr>
            </w:pPr>
          </w:p>
        </w:tc>
      </w:tr>
      <w:tr w14:paraId="3323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4AD1A1C6">
            <w:pPr>
              <w:spacing w:line="360" w:lineRule="auto"/>
              <w:jc w:val="center"/>
              <w:rPr>
                <w:rFonts w:ascii="宋体" w:hAnsi="宋体" w:eastAsia="宋体"/>
                <w:color w:val="auto"/>
                <w:szCs w:val="21"/>
                <w:highlight w:val="none"/>
              </w:rPr>
            </w:pPr>
          </w:p>
        </w:tc>
        <w:tc>
          <w:tcPr>
            <w:tcW w:w="1843" w:type="dxa"/>
            <w:vAlign w:val="center"/>
          </w:tcPr>
          <w:p w14:paraId="673803E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材料与设备</w:t>
            </w:r>
          </w:p>
        </w:tc>
        <w:tc>
          <w:tcPr>
            <w:tcW w:w="4253" w:type="dxa"/>
            <w:vAlign w:val="center"/>
          </w:tcPr>
          <w:p w14:paraId="6AFA2F4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1AF55EEA">
            <w:pPr>
              <w:spacing w:line="360" w:lineRule="auto"/>
              <w:jc w:val="center"/>
              <w:rPr>
                <w:rFonts w:ascii="宋体" w:hAnsi="宋体" w:eastAsia="宋体"/>
                <w:color w:val="auto"/>
                <w:szCs w:val="21"/>
                <w:highlight w:val="none"/>
              </w:rPr>
            </w:pPr>
          </w:p>
        </w:tc>
        <w:tc>
          <w:tcPr>
            <w:tcW w:w="709" w:type="dxa"/>
            <w:vAlign w:val="center"/>
          </w:tcPr>
          <w:p w14:paraId="5246E47D">
            <w:pPr>
              <w:spacing w:line="360" w:lineRule="auto"/>
              <w:jc w:val="center"/>
              <w:rPr>
                <w:rFonts w:ascii="宋体" w:hAnsi="宋体" w:eastAsia="宋体"/>
                <w:color w:val="auto"/>
                <w:szCs w:val="21"/>
                <w:highlight w:val="none"/>
              </w:rPr>
            </w:pPr>
          </w:p>
        </w:tc>
        <w:tc>
          <w:tcPr>
            <w:tcW w:w="702" w:type="dxa"/>
            <w:vAlign w:val="center"/>
          </w:tcPr>
          <w:p w14:paraId="04B87312">
            <w:pPr>
              <w:spacing w:line="360" w:lineRule="auto"/>
              <w:jc w:val="center"/>
              <w:rPr>
                <w:rFonts w:ascii="宋体" w:hAnsi="宋体" w:eastAsia="宋体"/>
                <w:color w:val="auto"/>
                <w:szCs w:val="21"/>
                <w:highlight w:val="none"/>
              </w:rPr>
            </w:pPr>
          </w:p>
        </w:tc>
      </w:tr>
      <w:tr w14:paraId="543A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51B9FCC">
            <w:pPr>
              <w:spacing w:line="360" w:lineRule="auto"/>
              <w:jc w:val="center"/>
              <w:rPr>
                <w:rFonts w:ascii="宋体" w:hAnsi="宋体" w:eastAsia="宋体"/>
                <w:color w:val="auto"/>
                <w:szCs w:val="21"/>
                <w:highlight w:val="none"/>
              </w:rPr>
            </w:pPr>
          </w:p>
        </w:tc>
        <w:tc>
          <w:tcPr>
            <w:tcW w:w="1843" w:type="dxa"/>
            <w:vAlign w:val="center"/>
          </w:tcPr>
          <w:p w14:paraId="6FCE546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工程变更</w:t>
            </w:r>
          </w:p>
        </w:tc>
        <w:tc>
          <w:tcPr>
            <w:tcW w:w="4253" w:type="dxa"/>
            <w:vAlign w:val="center"/>
          </w:tcPr>
          <w:p w14:paraId="5989314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7F34A225">
            <w:pPr>
              <w:spacing w:line="360" w:lineRule="auto"/>
              <w:jc w:val="center"/>
              <w:rPr>
                <w:rFonts w:ascii="宋体" w:hAnsi="宋体" w:eastAsia="宋体"/>
                <w:color w:val="auto"/>
                <w:szCs w:val="21"/>
                <w:highlight w:val="none"/>
              </w:rPr>
            </w:pPr>
          </w:p>
        </w:tc>
        <w:tc>
          <w:tcPr>
            <w:tcW w:w="709" w:type="dxa"/>
            <w:vAlign w:val="center"/>
          </w:tcPr>
          <w:p w14:paraId="213D6379">
            <w:pPr>
              <w:spacing w:line="360" w:lineRule="auto"/>
              <w:jc w:val="center"/>
              <w:rPr>
                <w:rFonts w:ascii="宋体" w:hAnsi="宋体" w:eastAsia="宋体"/>
                <w:color w:val="auto"/>
                <w:szCs w:val="21"/>
                <w:highlight w:val="none"/>
              </w:rPr>
            </w:pPr>
          </w:p>
        </w:tc>
        <w:tc>
          <w:tcPr>
            <w:tcW w:w="702" w:type="dxa"/>
            <w:vAlign w:val="center"/>
          </w:tcPr>
          <w:p w14:paraId="4B1DE083">
            <w:pPr>
              <w:spacing w:line="360" w:lineRule="auto"/>
              <w:jc w:val="center"/>
              <w:rPr>
                <w:rFonts w:ascii="宋体" w:hAnsi="宋体" w:eastAsia="宋体"/>
                <w:color w:val="auto"/>
                <w:szCs w:val="21"/>
                <w:highlight w:val="none"/>
              </w:rPr>
            </w:pPr>
          </w:p>
        </w:tc>
      </w:tr>
      <w:tr w14:paraId="551D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73AFDDB9">
            <w:pPr>
              <w:spacing w:line="360" w:lineRule="auto"/>
              <w:jc w:val="center"/>
              <w:rPr>
                <w:rFonts w:ascii="宋体" w:hAnsi="宋体" w:eastAsia="宋体"/>
                <w:color w:val="auto"/>
                <w:szCs w:val="21"/>
                <w:highlight w:val="none"/>
              </w:rPr>
            </w:pPr>
          </w:p>
        </w:tc>
        <w:tc>
          <w:tcPr>
            <w:tcW w:w="1843" w:type="dxa"/>
            <w:vAlign w:val="center"/>
          </w:tcPr>
          <w:p w14:paraId="3CD9E81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工程签证</w:t>
            </w:r>
          </w:p>
        </w:tc>
        <w:tc>
          <w:tcPr>
            <w:tcW w:w="4253" w:type="dxa"/>
            <w:vAlign w:val="center"/>
          </w:tcPr>
          <w:p w14:paraId="0EAA553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3793C6B1">
            <w:pPr>
              <w:spacing w:line="360" w:lineRule="auto"/>
              <w:jc w:val="center"/>
              <w:rPr>
                <w:rFonts w:ascii="宋体" w:hAnsi="宋体" w:eastAsia="宋体"/>
                <w:color w:val="auto"/>
                <w:szCs w:val="21"/>
                <w:highlight w:val="none"/>
              </w:rPr>
            </w:pPr>
          </w:p>
        </w:tc>
        <w:tc>
          <w:tcPr>
            <w:tcW w:w="709" w:type="dxa"/>
            <w:vAlign w:val="center"/>
          </w:tcPr>
          <w:p w14:paraId="3B3A587B">
            <w:pPr>
              <w:spacing w:line="360" w:lineRule="auto"/>
              <w:jc w:val="center"/>
              <w:rPr>
                <w:rFonts w:ascii="宋体" w:hAnsi="宋体" w:eastAsia="宋体"/>
                <w:color w:val="auto"/>
                <w:szCs w:val="21"/>
                <w:highlight w:val="none"/>
              </w:rPr>
            </w:pPr>
          </w:p>
        </w:tc>
        <w:tc>
          <w:tcPr>
            <w:tcW w:w="702" w:type="dxa"/>
            <w:vAlign w:val="center"/>
          </w:tcPr>
          <w:p w14:paraId="48613AE7">
            <w:pPr>
              <w:spacing w:line="360" w:lineRule="auto"/>
              <w:jc w:val="center"/>
              <w:rPr>
                <w:rFonts w:ascii="宋体" w:hAnsi="宋体" w:eastAsia="宋体"/>
                <w:color w:val="auto"/>
                <w:szCs w:val="21"/>
                <w:highlight w:val="none"/>
              </w:rPr>
            </w:pPr>
          </w:p>
        </w:tc>
      </w:tr>
      <w:tr w14:paraId="0709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A2C1E48">
            <w:pPr>
              <w:spacing w:line="360" w:lineRule="auto"/>
              <w:jc w:val="center"/>
              <w:rPr>
                <w:rFonts w:ascii="宋体" w:hAnsi="宋体" w:eastAsia="宋体"/>
                <w:color w:val="auto"/>
                <w:szCs w:val="21"/>
                <w:highlight w:val="none"/>
              </w:rPr>
            </w:pPr>
          </w:p>
        </w:tc>
        <w:tc>
          <w:tcPr>
            <w:tcW w:w="1843" w:type="dxa"/>
            <w:vAlign w:val="center"/>
          </w:tcPr>
          <w:p w14:paraId="3992AF0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工程量现场收方</w:t>
            </w:r>
          </w:p>
        </w:tc>
        <w:tc>
          <w:tcPr>
            <w:tcW w:w="4253" w:type="dxa"/>
            <w:vAlign w:val="center"/>
          </w:tcPr>
          <w:p w14:paraId="4B50CD6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75E57F13">
            <w:pPr>
              <w:spacing w:line="360" w:lineRule="auto"/>
              <w:jc w:val="center"/>
              <w:rPr>
                <w:rFonts w:ascii="宋体" w:hAnsi="宋体" w:eastAsia="宋体"/>
                <w:color w:val="auto"/>
                <w:szCs w:val="21"/>
                <w:highlight w:val="none"/>
              </w:rPr>
            </w:pPr>
          </w:p>
        </w:tc>
        <w:tc>
          <w:tcPr>
            <w:tcW w:w="709" w:type="dxa"/>
            <w:vAlign w:val="center"/>
          </w:tcPr>
          <w:p w14:paraId="0048E9C0">
            <w:pPr>
              <w:spacing w:line="360" w:lineRule="auto"/>
              <w:jc w:val="center"/>
              <w:rPr>
                <w:rFonts w:ascii="宋体" w:hAnsi="宋体" w:eastAsia="宋体"/>
                <w:color w:val="auto"/>
                <w:szCs w:val="21"/>
                <w:highlight w:val="none"/>
              </w:rPr>
            </w:pPr>
          </w:p>
        </w:tc>
        <w:tc>
          <w:tcPr>
            <w:tcW w:w="702" w:type="dxa"/>
            <w:vAlign w:val="center"/>
          </w:tcPr>
          <w:p w14:paraId="083C2952">
            <w:pPr>
              <w:spacing w:line="360" w:lineRule="auto"/>
              <w:jc w:val="center"/>
              <w:rPr>
                <w:rFonts w:ascii="宋体" w:hAnsi="宋体" w:eastAsia="宋体"/>
                <w:color w:val="auto"/>
                <w:szCs w:val="21"/>
                <w:highlight w:val="none"/>
              </w:rPr>
            </w:pPr>
          </w:p>
        </w:tc>
      </w:tr>
      <w:tr w14:paraId="12AF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14:paraId="1F54609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竣工阶段</w:t>
            </w:r>
          </w:p>
        </w:tc>
        <w:tc>
          <w:tcPr>
            <w:tcW w:w="1843" w:type="dxa"/>
            <w:vAlign w:val="center"/>
          </w:tcPr>
          <w:p w14:paraId="030B0BE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竣工结算</w:t>
            </w:r>
          </w:p>
        </w:tc>
        <w:tc>
          <w:tcPr>
            <w:tcW w:w="4253" w:type="dxa"/>
            <w:vAlign w:val="center"/>
          </w:tcPr>
          <w:p w14:paraId="59D5727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6C942FBE">
            <w:pPr>
              <w:spacing w:line="360" w:lineRule="auto"/>
              <w:jc w:val="center"/>
              <w:rPr>
                <w:rFonts w:ascii="宋体" w:hAnsi="宋体" w:eastAsia="宋体"/>
                <w:color w:val="auto"/>
                <w:szCs w:val="21"/>
                <w:highlight w:val="none"/>
              </w:rPr>
            </w:pPr>
          </w:p>
        </w:tc>
        <w:tc>
          <w:tcPr>
            <w:tcW w:w="709" w:type="dxa"/>
            <w:vAlign w:val="center"/>
          </w:tcPr>
          <w:p w14:paraId="0BF882F0">
            <w:pPr>
              <w:spacing w:line="360" w:lineRule="auto"/>
              <w:jc w:val="center"/>
              <w:rPr>
                <w:rFonts w:ascii="宋体" w:hAnsi="宋体" w:eastAsia="宋体"/>
                <w:color w:val="auto"/>
                <w:szCs w:val="21"/>
                <w:highlight w:val="none"/>
              </w:rPr>
            </w:pPr>
          </w:p>
        </w:tc>
        <w:tc>
          <w:tcPr>
            <w:tcW w:w="702" w:type="dxa"/>
            <w:vAlign w:val="center"/>
          </w:tcPr>
          <w:p w14:paraId="57C3EEDA">
            <w:pPr>
              <w:spacing w:line="360" w:lineRule="auto"/>
              <w:jc w:val="center"/>
              <w:rPr>
                <w:rFonts w:ascii="宋体" w:hAnsi="宋体" w:eastAsia="宋体"/>
                <w:color w:val="auto"/>
                <w:szCs w:val="21"/>
                <w:highlight w:val="none"/>
              </w:rPr>
            </w:pPr>
          </w:p>
        </w:tc>
      </w:tr>
      <w:tr w14:paraId="4C2D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0B2D97B">
            <w:pPr>
              <w:spacing w:line="360" w:lineRule="auto"/>
              <w:jc w:val="center"/>
              <w:rPr>
                <w:rFonts w:ascii="宋体" w:hAnsi="宋体" w:eastAsia="宋体"/>
                <w:color w:val="auto"/>
                <w:szCs w:val="21"/>
                <w:highlight w:val="none"/>
              </w:rPr>
            </w:pPr>
          </w:p>
        </w:tc>
        <w:tc>
          <w:tcPr>
            <w:tcW w:w="1843" w:type="dxa"/>
            <w:vAlign w:val="center"/>
          </w:tcPr>
          <w:p w14:paraId="484E1E7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*廉政及反商业贿赂方面的情况、其他事项</w:t>
            </w:r>
          </w:p>
        </w:tc>
        <w:tc>
          <w:tcPr>
            <w:tcW w:w="4253" w:type="dxa"/>
            <w:vAlign w:val="center"/>
          </w:tcPr>
          <w:p w14:paraId="77F4CDA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发现有违反廉政及反商业贿赂规定的；在审计过程中发现有违反法律规定，或者有严重违反合同约定的其他事项为较差，如果没有发现的，应划斜杠表示不评价</w:t>
            </w:r>
          </w:p>
        </w:tc>
        <w:tc>
          <w:tcPr>
            <w:tcW w:w="708" w:type="dxa"/>
            <w:vAlign w:val="center"/>
          </w:tcPr>
          <w:p w14:paraId="058309AB">
            <w:pPr>
              <w:spacing w:line="360" w:lineRule="auto"/>
              <w:jc w:val="center"/>
              <w:rPr>
                <w:rFonts w:ascii="宋体" w:hAnsi="宋体" w:eastAsia="宋体"/>
                <w:color w:val="auto"/>
                <w:szCs w:val="21"/>
                <w:highlight w:val="none"/>
              </w:rPr>
            </w:pPr>
          </w:p>
        </w:tc>
        <w:tc>
          <w:tcPr>
            <w:tcW w:w="709" w:type="dxa"/>
            <w:vAlign w:val="center"/>
          </w:tcPr>
          <w:p w14:paraId="0F169202">
            <w:pPr>
              <w:spacing w:line="360" w:lineRule="auto"/>
              <w:jc w:val="center"/>
              <w:rPr>
                <w:rFonts w:ascii="宋体" w:hAnsi="宋体" w:eastAsia="宋体"/>
                <w:color w:val="auto"/>
                <w:szCs w:val="21"/>
                <w:highlight w:val="none"/>
              </w:rPr>
            </w:pPr>
          </w:p>
        </w:tc>
        <w:tc>
          <w:tcPr>
            <w:tcW w:w="702" w:type="dxa"/>
            <w:vAlign w:val="center"/>
          </w:tcPr>
          <w:p w14:paraId="6FEC02A2">
            <w:pPr>
              <w:spacing w:line="360" w:lineRule="auto"/>
              <w:jc w:val="center"/>
              <w:rPr>
                <w:rFonts w:ascii="宋体" w:hAnsi="宋体" w:eastAsia="宋体"/>
                <w:color w:val="auto"/>
                <w:szCs w:val="21"/>
                <w:highlight w:val="none"/>
              </w:rPr>
            </w:pPr>
          </w:p>
        </w:tc>
      </w:tr>
    </w:tbl>
    <w:p w14:paraId="18B52CD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承包人有下列情形之一的，承包人及其项目负责人将被发包人列入“黑名单”，纳入发包人（学校）内部制度管理：</w:t>
      </w:r>
    </w:p>
    <w:p w14:paraId="79854A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（一）承包人在单次项目施工阶段的考核评价中出现2项以上“较差”的；</w:t>
      </w:r>
    </w:p>
    <w:p w14:paraId="097500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（二）承包人在累计项目施工阶段的考核评价中出现3项以上“较差”的；</w:t>
      </w:r>
    </w:p>
    <w:p w14:paraId="68AB81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（三）承包人在累计项目竣工阶段的考核评价中出现3项以上“较差”的；</w:t>
      </w:r>
    </w:p>
    <w:p w14:paraId="16A22E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（四）承包人在年度考核评价中总体评价为“一般”的；</w:t>
      </w:r>
    </w:p>
    <w:p w14:paraId="66F083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（五）承包人违反合同约定被解除合同的；</w:t>
      </w:r>
    </w:p>
    <w:p w14:paraId="33E775E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（六）承包人存在违法行为或违反相关制度，损害发包人利益的；</w:t>
      </w:r>
    </w:p>
    <w:p w14:paraId="51A308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（七）经发现有其他重大违法记录的情形。</w:t>
      </w:r>
    </w:p>
    <w:p w14:paraId="7683E13F">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3C652074">
      <w:pPr>
        <w:pStyle w:val="4"/>
        <w:jc w:val="left"/>
        <w:rPr>
          <w:rFonts w:ascii="宋体" w:hAnsi="宋体" w:eastAsia="宋体"/>
          <w:color w:val="auto"/>
          <w:sz w:val="28"/>
          <w:szCs w:val="28"/>
          <w:highlight w:val="none"/>
        </w:rPr>
      </w:pPr>
      <w:bookmarkStart w:id="154" w:name="_Toc195459497"/>
      <w:bookmarkStart w:id="155" w:name="_Toc197530172"/>
      <w:r>
        <w:rPr>
          <w:rFonts w:hint="eastAsia" w:ascii="宋体" w:hAnsi="宋体" w:eastAsia="宋体"/>
          <w:color w:val="auto"/>
          <w:sz w:val="28"/>
          <w:szCs w:val="28"/>
          <w:highlight w:val="none"/>
        </w:rPr>
        <w:t>附件5：履约保函示范文本</w:t>
      </w:r>
      <w:bookmarkEnd w:id="154"/>
      <w:bookmarkEnd w:id="155"/>
    </w:p>
    <w:p w14:paraId="0E9AD1A5">
      <w:pPr>
        <w:spacing w:line="360" w:lineRule="auto"/>
        <w:ind w:firstLine="420" w:firstLineChars="200"/>
        <w:rPr>
          <w:rFonts w:ascii="宋体" w:hAnsi="宋体" w:eastAsia="宋体"/>
          <w:color w:val="auto"/>
          <w:szCs w:val="21"/>
          <w:highlight w:val="none"/>
        </w:rPr>
      </w:pPr>
    </w:p>
    <w:p w14:paraId="64694FB3">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履约保函示范文本</w:t>
      </w:r>
    </w:p>
    <w:p w14:paraId="37237F0A">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（独立保函）</w:t>
      </w:r>
    </w:p>
    <w:p w14:paraId="67CD638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编号：</w:t>
      </w:r>
    </w:p>
    <w:p w14:paraId="4D6FCAB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申请人：</w:t>
      </w:r>
    </w:p>
    <w:p w14:paraId="54BFDF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p>
    <w:p w14:paraId="5FE5DE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受益人：</w:t>
      </w:r>
    </w:p>
    <w:p w14:paraId="109376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p>
    <w:p w14:paraId="043A052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开立人：</w:t>
      </w:r>
    </w:p>
    <w:p w14:paraId="40E58C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p>
    <w:p w14:paraId="4150CAF0">
      <w:pPr>
        <w:spacing w:line="360" w:lineRule="auto"/>
        <w:ind w:firstLine="420" w:firstLineChars="200"/>
        <w:rPr>
          <w:rFonts w:ascii="宋体" w:hAnsi="宋体" w:eastAsia="宋体"/>
          <w:color w:val="auto"/>
          <w:szCs w:val="21"/>
          <w:highlight w:val="none"/>
        </w:rPr>
      </w:pPr>
    </w:p>
    <w:p w14:paraId="538639D8">
      <w:pPr>
        <w:spacing w:line="360" w:lineRule="auto"/>
        <w:rPr>
          <w:rFonts w:ascii="宋体" w:hAnsi="宋体" w:eastAsia="宋体"/>
          <w:color w:val="auto"/>
          <w:szCs w:val="21"/>
          <w:highlight w:val="none"/>
        </w:rPr>
      </w:pPr>
      <w:bookmarkStart w:id="156" w:name="OLE_LINK51"/>
      <w:bookmarkStart w:id="157" w:name="OLE_LINK50"/>
      <w:r>
        <w:rPr>
          <w:rFonts w:ascii="宋体" w:hAnsi="宋体" w:eastAsia="宋体"/>
          <w:color w:val="auto"/>
          <w:szCs w:val="21"/>
          <w:highlight w:val="none"/>
        </w:rPr>
        <w:t>______</w:t>
      </w:r>
      <w:bookmarkEnd w:id="156"/>
      <w:bookmarkEnd w:id="157"/>
      <w:r>
        <w:rPr>
          <w:rFonts w:hint="eastAsia" w:ascii="宋体" w:hAnsi="宋体" w:eastAsia="宋体"/>
          <w:color w:val="auto"/>
          <w:szCs w:val="21"/>
          <w:highlight w:val="none"/>
        </w:rPr>
        <w:t>（受益人名称）：</w:t>
      </w:r>
    </w:p>
    <w:p w14:paraId="5F65F97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鉴于</w:t>
      </w:r>
      <w:r>
        <w:rPr>
          <w:rFonts w:ascii="宋体" w:hAnsi="宋体" w:eastAsia="宋体"/>
          <w:color w:val="auto"/>
          <w:szCs w:val="21"/>
          <w:highlight w:val="none"/>
        </w:rPr>
        <w:t>______</w:t>
      </w:r>
      <w:r>
        <w:rPr>
          <w:rFonts w:hint="eastAsia" w:ascii="宋体" w:hAnsi="宋体" w:eastAsia="宋体"/>
          <w:color w:val="auto"/>
          <w:szCs w:val="21"/>
          <w:highlight w:val="none"/>
        </w:rPr>
        <w:t>（以下简称“受益人”）与</w:t>
      </w:r>
      <w:r>
        <w:rPr>
          <w:rFonts w:ascii="宋体" w:hAnsi="宋体" w:eastAsia="宋体"/>
          <w:color w:val="auto"/>
          <w:szCs w:val="21"/>
          <w:highlight w:val="none"/>
        </w:rPr>
        <w:t>______</w:t>
      </w:r>
      <w:r>
        <w:rPr>
          <w:rFonts w:hint="eastAsia" w:ascii="宋体" w:hAnsi="宋体" w:eastAsia="宋体"/>
          <w:color w:val="auto"/>
          <w:szCs w:val="21"/>
          <w:highlight w:val="none"/>
        </w:rPr>
        <w:t>（以下简称“申请人”）于</w:t>
      </w:r>
      <w:r>
        <w:rPr>
          <w:rFonts w:ascii="宋体" w:hAnsi="宋体" w:eastAsia="宋体"/>
          <w:color w:val="auto"/>
          <w:szCs w:val="21"/>
          <w:highlight w:val="none"/>
        </w:rPr>
        <w:t>______</w:t>
      </w:r>
      <w:r>
        <w:rPr>
          <w:rFonts w:hint="eastAsia" w:ascii="宋体" w:hAnsi="宋体" w:eastAsia="宋体"/>
          <w:color w:val="auto"/>
          <w:szCs w:val="21"/>
          <w:highlight w:val="none"/>
        </w:rPr>
        <w:t>年</w:t>
      </w:r>
      <w:r>
        <w:rPr>
          <w:rFonts w:ascii="宋体" w:hAnsi="宋体" w:eastAsia="宋体"/>
          <w:color w:val="auto"/>
          <w:szCs w:val="21"/>
          <w:highlight w:val="none"/>
        </w:rPr>
        <w:t>______</w:t>
      </w:r>
      <w:r>
        <w:rPr>
          <w:rFonts w:hint="eastAsia" w:ascii="宋体" w:hAnsi="宋体" w:eastAsia="宋体"/>
          <w:color w:val="auto"/>
          <w:szCs w:val="21"/>
          <w:highlight w:val="none"/>
        </w:rPr>
        <w:t>月</w:t>
      </w:r>
      <w:r>
        <w:rPr>
          <w:rFonts w:ascii="宋体" w:hAnsi="宋体" w:eastAsia="宋体"/>
          <w:color w:val="auto"/>
          <w:szCs w:val="21"/>
          <w:highlight w:val="none"/>
        </w:rPr>
        <w:t>______</w:t>
      </w:r>
      <w:r>
        <w:rPr>
          <w:rFonts w:hint="eastAsia" w:ascii="宋体" w:hAnsi="宋体" w:eastAsia="宋体"/>
          <w:color w:val="auto"/>
          <w:szCs w:val="21"/>
          <w:highlight w:val="none"/>
        </w:rPr>
        <w:t>日就</w:t>
      </w:r>
      <w:r>
        <w:rPr>
          <w:rFonts w:ascii="宋体" w:hAnsi="宋体" w:eastAsia="宋体"/>
          <w:color w:val="auto"/>
          <w:szCs w:val="21"/>
          <w:highlight w:val="none"/>
        </w:rPr>
        <w:t>______</w:t>
      </w:r>
      <w:r>
        <w:rPr>
          <w:rFonts w:hint="eastAsia" w:ascii="宋体" w:hAnsi="宋体" w:eastAsia="宋体"/>
          <w:color w:val="auto"/>
          <w:szCs w:val="21"/>
          <w:highlight w:val="none"/>
        </w:rPr>
        <w:t>工程（以下简称“本工程”）施工和有关事项协商一致共同签订《</w:t>
      </w:r>
      <w:r>
        <w:rPr>
          <w:rFonts w:ascii="宋体" w:hAnsi="宋体" w:eastAsia="宋体"/>
          <w:color w:val="auto"/>
          <w:szCs w:val="21"/>
          <w:highlight w:val="none"/>
        </w:rPr>
        <w:t>______</w:t>
      </w:r>
      <w:r>
        <w:rPr>
          <w:rFonts w:hint="eastAsia" w:ascii="宋体" w:hAnsi="宋体" w:eastAsia="宋体"/>
          <w:color w:val="auto"/>
          <w:szCs w:val="21"/>
          <w:highlight w:val="none"/>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661F6C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一、本保函担保范围：承包人未按照基础合同的约定履行义务，应当向贵方承担的违约责任和赔偿因此造成的损失、利息、律师费、诉讼费用、财产保全费用、强制执行申请费等实现债权的费用。</w:t>
      </w:r>
    </w:p>
    <w:p w14:paraId="5E8F353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二、本保函担保金额最高不超过人民币（大写）</w:t>
      </w:r>
      <w:r>
        <w:rPr>
          <w:rFonts w:ascii="宋体" w:hAnsi="宋体" w:eastAsia="宋体"/>
          <w:color w:val="auto"/>
          <w:szCs w:val="21"/>
          <w:highlight w:val="none"/>
        </w:rPr>
        <w:t>______</w:t>
      </w:r>
      <w:r>
        <w:rPr>
          <w:rFonts w:hint="eastAsia" w:ascii="宋体" w:hAnsi="宋体" w:eastAsia="宋体"/>
          <w:color w:val="auto"/>
          <w:szCs w:val="21"/>
          <w:highlight w:val="none"/>
        </w:rPr>
        <w:t>（¥</w:t>
      </w:r>
      <w:r>
        <w:rPr>
          <w:rFonts w:ascii="宋体" w:hAnsi="宋体" w:eastAsia="宋体"/>
          <w:color w:val="auto"/>
          <w:szCs w:val="21"/>
          <w:highlight w:val="none"/>
        </w:rPr>
        <w:t>______</w:t>
      </w:r>
      <w:r>
        <w:rPr>
          <w:rFonts w:hint="eastAsia" w:ascii="宋体" w:hAnsi="宋体" w:eastAsia="宋体"/>
          <w:color w:val="auto"/>
          <w:szCs w:val="21"/>
          <w:highlight w:val="none"/>
        </w:rPr>
        <w:t>）。</w:t>
      </w:r>
    </w:p>
    <w:p w14:paraId="36F856F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三、本保函有效期自开立之日起至基础合同约定的缺陷责任期后日止，最迟不超过</w:t>
      </w:r>
      <w:r>
        <w:rPr>
          <w:rFonts w:ascii="宋体" w:hAnsi="宋体" w:eastAsia="宋体"/>
          <w:color w:val="auto"/>
          <w:szCs w:val="21"/>
          <w:highlight w:val="none"/>
        </w:rPr>
        <w:t>______</w:t>
      </w:r>
      <w:r>
        <w:rPr>
          <w:rFonts w:hint="eastAsia" w:ascii="宋体" w:hAnsi="宋体" w:eastAsia="宋体"/>
          <w:color w:val="auto"/>
          <w:szCs w:val="21"/>
          <w:highlight w:val="none"/>
        </w:rPr>
        <w:t>年</w:t>
      </w:r>
      <w:r>
        <w:rPr>
          <w:rFonts w:ascii="宋体" w:hAnsi="宋体" w:eastAsia="宋体"/>
          <w:color w:val="auto"/>
          <w:szCs w:val="21"/>
          <w:highlight w:val="none"/>
        </w:rPr>
        <w:t>______</w:t>
      </w:r>
      <w:r>
        <w:rPr>
          <w:rFonts w:hint="eastAsia" w:ascii="宋体" w:hAnsi="宋体" w:eastAsia="宋体"/>
          <w:color w:val="auto"/>
          <w:szCs w:val="21"/>
          <w:highlight w:val="none"/>
        </w:rPr>
        <w:t>月</w:t>
      </w:r>
      <w:r>
        <w:rPr>
          <w:rFonts w:ascii="宋体" w:hAnsi="宋体" w:eastAsia="宋体"/>
          <w:color w:val="auto"/>
          <w:szCs w:val="21"/>
          <w:highlight w:val="none"/>
        </w:rPr>
        <w:t>______</w:t>
      </w:r>
      <w:r>
        <w:rPr>
          <w:rFonts w:hint="eastAsia" w:ascii="宋体" w:hAnsi="宋体" w:eastAsia="宋体"/>
          <w:color w:val="auto"/>
          <w:szCs w:val="21"/>
          <w:highlight w:val="none"/>
        </w:rPr>
        <w:t>日。</w:t>
      </w:r>
    </w:p>
    <w:p w14:paraId="702E1EF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四、我方承诺，在收到受益人发来的书面付款通知后的</w:t>
      </w:r>
      <w:r>
        <w:rPr>
          <w:rFonts w:ascii="宋体" w:hAnsi="宋体" w:eastAsia="宋体"/>
          <w:color w:val="auto"/>
          <w:szCs w:val="21"/>
          <w:highlight w:val="none"/>
        </w:rPr>
        <w:t>______</w:t>
      </w:r>
      <w:r>
        <w:rPr>
          <w:rFonts w:hint="eastAsia" w:ascii="宋体" w:hAnsi="宋体" w:eastAsia="宋体"/>
          <w:color w:val="auto"/>
          <w:szCs w:val="21"/>
          <w:highlight w:val="none"/>
        </w:rPr>
        <w:t>日内无条件支付，前述书面付款通知即为付款要求之单据，且应满足以下要求：</w:t>
      </w:r>
    </w:p>
    <w:p w14:paraId="346701F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（1）付款通知到达的日期在本保函的有效期内；</w:t>
      </w:r>
    </w:p>
    <w:p w14:paraId="6EC3FD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（2）载明要求支付的金额；</w:t>
      </w:r>
    </w:p>
    <w:p w14:paraId="6FF373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（3）载明申请人违反合同义务的条款和内容；</w:t>
      </w:r>
    </w:p>
    <w:p w14:paraId="69A016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（4）声明不存在合同文件约定或我国法律规定免除申请人或开立人支付责任的情形；</w:t>
      </w:r>
    </w:p>
    <w:p w14:paraId="3D8C411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（5）付款通知应在本保函有效期内到达的地址是：</w:t>
      </w:r>
      <w:r>
        <w:rPr>
          <w:rFonts w:ascii="宋体" w:hAnsi="宋体" w:eastAsia="宋体"/>
          <w:color w:val="auto"/>
          <w:szCs w:val="21"/>
          <w:highlight w:val="none"/>
        </w:rPr>
        <w:t>______</w:t>
      </w:r>
      <w:r>
        <w:rPr>
          <w:rFonts w:hint="eastAsia" w:ascii="宋体" w:hAnsi="宋体" w:eastAsia="宋体"/>
          <w:color w:val="auto"/>
          <w:szCs w:val="21"/>
          <w:highlight w:val="none"/>
        </w:rPr>
        <w:t>。</w:t>
      </w:r>
    </w:p>
    <w:p w14:paraId="48A9A3E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受益人发出的书面付款通知应由其为鉴明受益人法定代表人（负责人）或授权代理人签字并加盖公章。</w:t>
      </w:r>
    </w:p>
    <w:p w14:paraId="2F010C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五、本保函项下的权利不得转让，不得设定担保。贵方未经我方书面同意转让本保函或其项下任何权利，对我方不发生法律效力。</w:t>
      </w:r>
    </w:p>
    <w:p w14:paraId="5647F2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六、与本保函有关的基础合同不成立、不生效、无效、被撤销、被解除，不影响本保函的独立有效。</w:t>
      </w:r>
    </w:p>
    <w:p w14:paraId="21260E0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4BF49E3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八、本保函适用的法律为中华人民共和国法律，争议裁判管辖地为中华人民共和国</w:t>
      </w:r>
      <w:r>
        <w:rPr>
          <w:rFonts w:hint="eastAsia" w:ascii="宋体" w:hAnsi="宋体" w:eastAsia="宋体"/>
          <w:color w:val="auto"/>
          <w:szCs w:val="21"/>
          <w:highlight w:val="none"/>
          <w:u w:val="single"/>
        </w:rPr>
        <w:t>广西壮族自治区南宁市西乡塘区</w:t>
      </w:r>
      <w:r>
        <w:rPr>
          <w:rFonts w:hint="eastAsia" w:ascii="宋体" w:hAnsi="宋体" w:eastAsia="宋体"/>
          <w:color w:val="auto"/>
          <w:szCs w:val="21"/>
          <w:highlight w:val="none"/>
        </w:rPr>
        <w:t>。</w:t>
      </w:r>
    </w:p>
    <w:p w14:paraId="0265CFD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九、本保函自我方法定代表人或授权代表签字并加盖公章之日起生效。</w:t>
      </w:r>
    </w:p>
    <w:p w14:paraId="16E31F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开立人：</w:t>
      </w:r>
      <w:bookmarkStart w:id="158" w:name="OLE_LINK52"/>
      <w:r>
        <w:rPr>
          <w:rFonts w:ascii="宋体" w:hAnsi="宋体" w:eastAsia="宋体"/>
          <w:color w:val="auto"/>
          <w:szCs w:val="21"/>
          <w:highlight w:val="none"/>
        </w:rPr>
        <w:t>______</w:t>
      </w:r>
      <w:bookmarkEnd w:id="158"/>
      <w:r>
        <w:rPr>
          <w:rFonts w:hint="eastAsia" w:ascii="宋体" w:hAnsi="宋体" w:eastAsia="宋体"/>
          <w:color w:val="auto"/>
          <w:szCs w:val="21"/>
          <w:highlight w:val="none"/>
        </w:rPr>
        <w:t>（公章）</w:t>
      </w:r>
    </w:p>
    <w:p w14:paraId="2232EA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法定代表人（或授权代表）：</w:t>
      </w:r>
      <w:r>
        <w:rPr>
          <w:rFonts w:ascii="宋体" w:hAnsi="宋体" w:eastAsia="宋体"/>
          <w:color w:val="auto"/>
          <w:szCs w:val="21"/>
          <w:highlight w:val="none"/>
        </w:rPr>
        <w:t>______</w:t>
      </w:r>
      <w:r>
        <w:rPr>
          <w:rFonts w:hint="eastAsia" w:ascii="宋体" w:hAnsi="宋体" w:eastAsia="宋体"/>
          <w:color w:val="auto"/>
          <w:szCs w:val="21"/>
          <w:highlight w:val="none"/>
        </w:rPr>
        <w:t>（签字）</w:t>
      </w:r>
    </w:p>
    <w:p w14:paraId="166060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宋体" w:hAnsi="宋体" w:eastAsia="宋体"/>
          <w:color w:val="auto"/>
          <w:szCs w:val="21"/>
          <w:highlight w:val="none"/>
        </w:rPr>
        <w:t>______</w:t>
      </w:r>
    </w:p>
    <w:p w14:paraId="0A7186A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邮政编码：</w:t>
      </w:r>
      <w:r>
        <w:rPr>
          <w:rFonts w:ascii="宋体" w:hAnsi="宋体" w:eastAsia="宋体"/>
          <w:color w:val="auto"/>
          <w:szCs w:val="21"/>
          <w:highlight w:val="none"/>
        </w:rPr>
        <w:t>______</w:t>
      </w:r>
    </w:p>
    <w:p w14:paraId="4046C8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电话：</w:t>
      </w:r>
      <w:r>
        <w:rPr>
          <w:rFonts w:ascii="宋体" w:hAnsi="宋体" w:eastAsia="宋体"/>
          <w:color w:val="auto"/>
          <w:szCs w:val="21"/>
          <w:highlight w:val="none"/>
        </w:rPr>
        <w:t>______</w:t>
      </w:r>
    </w:p>
    <w:p w14:paraId="767739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传真：</w:t>
      </w:r>
      <w:r>
        <w:rPr>
          <w:rFonts w:ascii="宋体" w:hAnsi="宋体" w:eastAsia="宋体"/>
          <w:color w:val="auto"/>
          <w:szCs w:val="21"/>
          <w:highlight w:val="none"/>
        </w:rPr>
        <w:t>______</w:t>
      </w:r>
    </w:p>
    <w:p w14:paraId="56E01C7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开立时间：</w:t>
      </w:r>
      <w:r>
        <w:rPr>
          <w:rFonts w:ascii="宋体" w:hAnsi="宋体" w:eastAsia="宋体"/>
          <w:color w:val="auto"/>
          <w:szCs w:val="21"/>
          <w:highlight w:val="none"/>
        </w:rPr>
        <w:t>______</w:t>
      </w:r>
      <w:r>
        <w:rPr>
          <w:rFonts w:hint="eastAsia" w:ascii="宋体" w:hAnsi="宋体" w:eastAsia="宋体"/>
          <w:color w:val="auto"/>
          <w:szCs w:val="21"/>
          <w:highlight w:val="none"/>
        </w:rPr>
        <w:t>年</w:t>
      </w:r>
      <w:r>
        <w:rPr>
          <w:rFonts w:ascii="宋体" w:hAnsi="宋体" w:eastAsia="宋体"/>
          <w:color w:val="auto"/>
          <w:szCs w:val="21"/>
          <w:highlight w:val="none"/>
        </w:rPr>
        <w:t>______</w:t>
      </w:r>
      <w:r>
        <w:rPr>
          <w:rFonts w:hint="eastAsia" w:ascii="宋体" w:hAnsi="宋体" w:eastAsia="宋体"/>
          <w:color w:val="auto"/>
          <w:szCs w:val="21"/>
          <w:highlight w:val="none"/>
        </w:rPr>
        <w:t>月</w:t>
      </w:r>
      <w:r>
        <w:rPr>
          <w:rFonts w:ascii="宋体" w:hAnsi="宋体" w:eastAsia="宋体"/>
          <w:color w:val="auto"/>
          <w:szCs w:val="21"/>
          <w:highlight w:val="none"/>
        </w:rPr>
        <w:t>______</w:t>
      </w:r>
      <w:bookmarkEnd w:id="126"/>
    </w:p>
    <w:p w14:paraId="6EB0FB49">
      <w:pP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16A51B9B">
      <w:pPr>
        <w:pStyle w:val="4"/>
        <w:jc w:val="left"/>
        <w:rPr>
          <w:rFonts w:ascii="宋体" w:hAnsi="宋体" w:eastAsia="宋体"/>
          <w:color w:val="auto"/>
          <w:sz w:val="28"/>
          <w:szCs w:val="28"/>
          <w:highlight w:val="none"/>
        </w:rPr>
      </w:pPr>
      <w:bookmarkStart w:id="159" w:name="_Toc197530173"/>
      <w:r>
        <w:rPr>
          <w:rFonts w:hint="eastAsia" w:ascii="宋体" w:hAnsi="宋体" w:eastAsia="宋体"/>
          <w:color w:val="auto"/>
          <w:sz w:val="28"/>
          <w:szCs w:val="28"/>
          <w:highlight w:val="none"/>
        </w:rPr>
        <w:t>附件</w:t>
      </w:r>
      <w:r>
        <w:rPr>
          <w:rFonts w:ascii="宋体" w:hAnsi="宋体" w:eastAsia="宋体"/>
          <w:color w:val="auto"/>
          <w:sz w:val="28"/>
          <w:szCs w:val="28"/>
          <w:highlight w:val="none"/>
        </w:rPr>
        <w:t>6</w:t>
      </w:r>
      <w:r>
        <w:rPr>
          <w:rFonts w:hint="eastAsia" w:ascii="宋体" w:hAnsi="宋体" w:eastAsia="宋体"/>
          <w:color w:val="auto"/>
          <w:sz w:val="28"/>
          <w:szCs w:val="28"/>
          <w:highlight w:val="none"/>
        </w:rPr>
        <w:t>：广西壮族自治区工程建设领域农民工工资专用账户资金管理三方协议</w:t>
      </w:r>
      <w:bookmarkEnd w:id="159"/>
    </w:p>
    <w:p w14:paraId="5720B4FE">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广西壮族自治区工程建设领域农民工工资专用账户资金管理三方协议</w:t>
      </w:r>
    </w:p>
    <w:p w14:paraId="1CCC4A25">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协议编号：</w:t>
      </w:r>
    </w:p>
    <w:p w14:paraId="644527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甲方（建设单位）：</w:t>
      </w:r>
    </w:p>
    <w:p w14:paraId="4BF85E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乙方（总包单位）：</w:t>
      </w:r>
    </w:p>
    <w:p w14:paraId="124BCF6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丙方（开户银行）：</w:t>
      </w:r>
    </w:p>
    <w:p w14:paraId="016128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根据广西壮族自治区工程建设领域农民工工资专用账户管理的相关规定，结合实际，经三方同意，共同设置项目农民工工资专用账户（以下简称专用账户），共同对专用账户进行监管，具体协议如下：</w:t>
      </w:r>
    </w:p>
    <w:p w14:paraId="0767B7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账户的设立。乙方须在丙方处开立农民工工资专用账户，用于项目农民工工资发放，专用账户内资金不得开通现金支取和其他转账结算服务，不得将专用账户资金转入除本项目农民工本人银行账户以外的账户。</w:t>
      </w:r>
    </w:p>
    <w:p w14:paraId="310370E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二、人工费用的拨付。甲方必须按工程项目施工合同约定拨付工程款给乙方，每月20日前将不低于当期工程款% 的人工费用拨入乙方开设的专用账户，并加强对乙方按月足额支付农民工工资的监督。</w:t>
      </w:r>
    </w:p>
    <w:p w14:paraId="6C0EC7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三、账户的监管。丙方必须协助乙方做好农民工工资支付专用账户的开设、使用、撤销以及农民工工资个人账户的绑定，加强对专用账户的资金监管，确保专用账户资金专门用于支付农民工工资。</w:t>
      </w:r>
    </w:p>
    <w:p w14:paraId="0E0305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四、账户的基本信息。</w:t>
      </w:r>
    </w:p>
    <w:p w14:paraId="24F7D9E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账户名称：农民工工资专用账户；</w:t>
      </w:r>
    </w:p>
    <w:p w14:paraId="536EF5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简    称：农民工工资专用账户（用于专用账户标识）；</w:t>
      </w:r>
    </w:p>
    <w:p w14:paraId="62CBB6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账    号：；</w:t>
      </w:r>
    </w:p>
    <w:p w14:paraId="3C31289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开户银行：；</w:t>
      </w:r>
    </w:p>
    <w:p w14:paraId="44EE4F2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开户时间：；</w:t>
      </w:r>
    </w:p>
    <w:p w14:paraId="055FEE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项目地址：。</w:t>
      </w:r>
    </w:p>
    <w:p w14:paraId="4C42029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项目所在地人力资源社会保障行政部门名称：</w:t>
      </w:r>
    </w:p>
    <w:p w14:paraId="1B6AB3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联系人：联系方式：</w:t>
      </w:r>
    </w:p>
    <w:p w14:paraId="676B67E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项目所在地行业工程建设主管部门名称：</w:t>
      </w:r>
    </w:p>
    <w:p w14:paraId="1E7DF7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联系人：联系方式：</w:t>
      </w:r>
    </w:p>
    <w:p w14:paraId="619E79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五、农民工工资支付。乙方必需按月向丙方提供加盖乙方单位公章和农民工签字确认的工资支付明细表，由丙方直接从乙方专用账户转账至绑定的农民工本人工资个人账户。</w:t>
      </w:r>
    </w:p>
    <w:p w14:paraId="17A9E04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工资支付专用账户余额不足以支付当月工资时，丙方应及时通知乙方，由乙方应向甲方提出申请，及时追加拨付人工费用。</w:t>
      </w:r>
    </w:p>
    <w:p w14:paraId="6B0CE2C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人工费用支付提醒。丙方每月15日前向甲方发送拨付人工费用提醒。每月20日后，甲方仍未按约定拨付人工费用的，丙方应当通知乙方，由乙方报告项目所在地人力资源社会保障行政部门和相关行业工程建设主管部门。</w:t>
      </w:r>
    </w:p>
    <w:p w14:paraId="686492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七、拖欠农民工工资预警。乙方应确保项目及时足额支付农民工工资。丙方如发现乙方将专用账户的资金用于其他用途的，应向甲方以及项目所在地人力资源社会保障行政部门、相关行业工程建设主管部门通报。</w:t>
      </w:r>
    </w:p>
    <w:p w14:paraId="7555514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甲方已按约定足额向专用账户拨付资金，但乙方依然拖欠农民工工资的，或者发现乙方将专用账户的款项用于其他用途的，甲方应向项目所在地人力资源社会保障行政部门、相关行业工程建设主管部门报告。</w:t>
      </w:r>
    </w:p>
    <w:p w14:paraId="651BF8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八、信息披露。甲、乙双方授权丙方将专用账户开立、撤销、资金拨付、划转等详细信息披露给项目所在地人力资源社会保障部门和相关行业工程建设主管部门。</w:t>
      </w:r>
    </w:p>
    <w:p w14:paraId="7D1EA2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九、优惠服务。丙方支持农民工使用本人的具有金融功能的社会保障卡或者现有银行卡领取工资，农民工使用他行社会保障卡银行账户或他行银行卡的，开户行应当减免跨行代发工资手续费率。丙方根据农民工本人意愿为其办理新工资卡的，应免除新工资卡的异地取款手续费、跨行取款手续费、短信提醒费、账户管理费、首次开卡工本费。</w:t>
      </w:r>
    </w:p>
    <w:p w14:paraId="1B4C79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十、违约责任。本协议生效以后，三方应认真履行，如有违约，自行承担法律、法规、规章及《广西壮族自治区工程建设领域农民工工资专用账户管理暂行办法实施细则》规定的相关监管失职的责任，由于任何一方的过错给其他方造成的损失，过错方应承担相应的赔偿责任。</w:t>
      </w:r>
    </w:p>
    <w:p w14:paraId="5FD8CA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丙方在接到人民法院等有权机关对账户资金查封、冻结或者划拨指令时，应当向该机关提示专用账户性质，并将相关情况告知项目所在地人力资源社会保障行政部门、相关行业工程建设主管部门。丙方在履行以上义务后仍被查封、冻结、扣划，致使无法履行本协议约定义务的，丙方不承担任何责任。</w:t>
      </w:r>
    </w:p>
    <w:p w14:paraId="1AE1BD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十一、不可抗力。任何一方遭到不可抗力时，应及时通知其他方，并在合理期限内提供不可抗力影响的证明，采取适当措施防止其他方损失的扩大和保护资金的完整。如果本协议任何一方因不可抗力不能履行本协议的，可根据不可抗力的影响，可以部分或全部免除责任。</w:t>
      </w:r>
    </w:p>
    <w:p w14:paraId="612087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十二、保密义务。除法律、法规及规章规定，以及因本项目专用账户资金监管业务的需要，非经三方同意，不得对外泄露本协议内容。</w:t>
      </w:r>
    </w:p>
    <w:p w14:paraId="37E8152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十三、协议变更。本协议生效后，任何一方需要变更协议条款时，应经三方协商一致，并签订补充协议，补充协议与本协议具有同等法律效力。</w:t>
      </w:r>
    </w:p>
    <w:p w14:paraId="5D80EA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十四、协议生效及终止。本协议经甲、乙、丙三方法定代表人或其授权代理人签字或签章并加盖公章（业务章、合同专用章）之日起生效。专用账户依规定程序撤销，丙方解除对专用账户监管后，本协议终止。</w:t>
      </w:r>
    </w:p>
    <w:p w14:paraId="35ABC0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本协议一式五份，经甲、乙、丙三方签字盖章后生效。甲、乙、丙三方各执一份，报项目所在地人力资源社会保障行政部门及相关行业工程建设主管部门各一份。</w:t>
      </w:r>
    </w:p>
    <w:p w14:paraId="18F7BE9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甲方（印章）：</w:t>
      </w:r>
    </w:p>
    <w:p w14:paraId="735744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法定代表人或授权代理人：（签字）</w:t>
      </w:r>
    </w:p>
    <w:p w14:paraId="75E146B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乙方（印章）：</w:t>
      </w:r>
    </w:p>
    <w:p w14:paraId="5E6234F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法定代表人或授权代理人：（签字）</w:t>
      </w:r>
    </w:p>
    <w:p w14:paraId="7895DB6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丙方（印章）：</w:t>
      </w:r>
    </w:p>
    <w:p w14:paraId="280E5D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法定代表人或授权代理人：（签字）</w:t>
      </w:r>
    </w:p>
    <w:p w14:paraId="4A12A28A">
      <w:pPr>
        <w:spacing w:line="360" w:lineRule="auto"/>
        <w:ind w:firstLine="420" w:firstLineChars="200"/>
        <w:rPr>
          <w:rFonts w:ascii="宋体" w:hAnsi="宋体" w:eastAsia="宋体"/>
          <w:color w:val="auto"/>
          <w:szCs w:val="21"/>
          <w:highlight w:val="none"/>
        </w:rPr>
      </w:pPr>
    </w:p>
    <w:p w14:paraId="47F2644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签订日期：年月日</w:t>
      </w:r>
    </w:p>
    <w:p w14:paraId="38FE7B1F">
      <w:pPr>
        <w:pStyle w:val="4"/>
        <w:spacing w:before="0" w:after="0" w:line="480" w:lineRule="auto"/>
        <w:jc w:val="center"/>
        <w:rPr>
          <w:rFonts w:ascii="宋体" w:hAnsi="宋体" w:eastAsia="宋体"/>
          <w:color w:val="auto"/>
          <w:sz w:val="24"/>
          <w:szCs w:val="24"/>
          <w:highlight w:val="none"/>
        </w:rPr>
        <w:sectPr>
          <w:pgSz w:w="11906" w:h="16838"/>
          <w:pgMar w:top="1440" w:right="1134" w:bottom="1440" w:left="1418" w:header="851" w:footer="992" w:gutter="0"/>
          <w:cols w:space="425" w:num="1"/>
          <w:docGrid w:type="lines" w:linePitch="312" w:charSpace="0"/>
        </w:sectPr>
      </w:pPr>
    </w:p>
    <w:p w14:paraId="15C620FE">
      <w:pPr>
        <w:spacing w:line="360" w:lineRule="auto"/>
        <w:ind w:firstLine="420" w:firstLineChars="200"/>
        <w:rPr>
          <w:rFonts w:ascii="宋体" w:hAnsi="宋体" w:eastAsia="宋体"/>
          <w:color w:val="auto"/>
          <w:szCs w:val="21"/>
          <w:highlight w:val="none"/>
        </w:rPr>
      </w:pPr>
    </w:p>
    <w:p w14:paraId="6CEC63BF">
      <w:pPr>
        <w:spacing w:line="360" w:lineRule="auto"/>
        <w:ind w:firstLine="420" w:firstLineChars="200"/>
        <w:rPr>
          <w:rFonts w:ascii="宋体" w:hAnsi="宋体" w:eastAsia="宋体"/>
          <w:color w:val="auto"/>
          <w:szCs w:val="21"/>
          <w:highlight w:val="none"/>
        </w:rPr>
      </w:pPr>
    </w:p>
    <w:p w14:paraId="43BB8E6C">
      <w:pPr>
        <w:spacing w:line="360" w:lineRule="auto"/>
        <w:ind w:firstLine="420" w:firstLineChars="200"/>
        <w:rPr>
          <w:rFonts w:ascii="宋体" w:hAnsi="宋体" w:eastAsia="宋体"/>
          <w:color w:val="auto"/>
          <w:szCs w:val="21"/>
          <w:highlight w:val="none"/>
        </w:rPr>
      </w:pPr>
    </w:p>
    <w:p w14:paraId="0D539EC7">
      <w:pPr>
        <w:spacing w:line="360" w:lineRule="auto"/>
        <w:ind w:firstLine="420" w:firstLineChars="200"/>
        <w:rPr>
          <w:rFonts w:ascii="宋体" w:hAnsi="宋体" w:eastAsia="宋体"/>
          <w:color w:val="auto"/>
          <w:szCs w:val="21"/>
          <w:highlight w:val="none"/>
        </w:rPr>
      </w:pPr>
    </w:p>
    <w:p w14:paraId="5BFEEE17">
      <w:pPr>
        <w:spacing w:line="360" w:lineRule="auto"/>
        <w:ind w:firstLine="420" w:firstLineChars="200"/>
        <w:rPr>
          <w:rFonts w:ascii="宋体" w:hAnsi="宋体" w:eastAsia="宋体"/>
          <w:color w:val="auto"/>
          <w:szCs w:val="21"/>
          <w:highlight w:val="none"/>
        </w:rPr>
      </w:pPr>
    </w:p>
    <w:p w14:paraId="5E00D23A">
      <w:pPr>
        <w:spacing w:line="360" w:lineRule="auto"/>
        <w:ind w:firstLine="420" w:firstLineChars="200"/>
        <w:rPr>
          <w:rFonts w:ascii="宋体" w:hAnsi="宋体" w:eastAsia="宋体"/>
          <w:color w:val="auto"/>
          <w:szCs w:val="21"/>
          <w:highlight w:val="none"/>
        </w:rPr>
      </w:pPr>
    </w:p>
    <w:p w14:paraId="608DEE29">
      <w:pPr>
        <w:spacing w:line="360" w:lineRule="auto"/>
        <w:ind w:firstLine="420" w:firstLineChars="200"/>
        <w:rPr>
          <w:rFonts w:ascii="宋体" w:hAnsi="宋体" w:eastAsia="宋体"/>
          <w:color w:val="auto"/>
          <w:szCs w:val="21"/>
          <w:highlight w:val="none"/>
        </w:rPr>
      </w:pPr>
    </w:p>
    <w:p w14:paraId="3FF674BC">
      <w:pPr>
        <w:spacing w:line="360" w:lineRule="auto"/>
        <w:ind w:firstLine="420" w:firstLineChars="200"/>
        <w:rPr>
          <w:rFonts w:ascii="宋体" w:hAnsi="宋体" w:eastAsia="宋体"/>
          <w:color w:val="auto"/>
          <w:szCs w:val="21"/>
          <w:highlight w:val="none"/>
        </w:rPr>
      </w:pPr>
    </w:p>
    <w:p w14:paraId="6CE921F7">
      <w:pPr>
        <w:spacing w:line="360" w:lineRule="auto"/>
        <w:ind w:firstLine="420" w:firstLineChars="200"/>
        <w:rPr>
          <w:rFonts w:ascii="宋体" w:hAnsi="宋体" w:eastAsia="宋体"/>
          <w:color w:val="auto"/>
          <w:szCs w:val="21"/>
          <w:highlight w:val="none"/>
        </w:rPr>
      </w:pPr>
    </w:p>
    <w:p w14:paraId="46C9007C">
      <w:pPr>
        <w:spacing w:line="360" w:lineRule="auto"/>
        <w:ind w:firstLine="420" w:firstLineChars="200"/>
        <w:rPr>
          <w:rFonts w:ascii="宋体" w:hAnsi="宋体" w:eastAsia="宋体"/>
          <w:color w:val="auto"/>
          <w:szCs w:val="21"/>
          <w:highlight w:val="none"/>
        </w:rPr>
      </w:pPr>
    </w:p>
    <w:p w14:paraId="28246359">
      <w:pPr>
        <w:spacing w:line="360" w:lineRule="auto"/>
        <w:ind w:firstLine="420" w:firstLineChars="200"/>
        <w:rPr>
          <w:rFonts w:ascii="宋体" w:hAnsi="宋体" w:eastAsia="宋体"/>
          <w:color w:val="auto"/>
          <w:szCs w:val="21"/>
          <w:highlight w:val="none"/>
        </w:rPr>
      </w:pPr>
    </w:p>
    <w:p w14:paraId="1704200E">
      <w:pPr>
        <w:spacing w:line="360" w:lineRule="auto"/>
        <w:ind w:firstLine="420" w:firstLineChars="200"/>
        <w:rPr>
          <w:rFonts w:ascii="宋体" w:hAnsi="宋体" w:eastAsia="宋体"/>
          <w:color w:val="auto"/>
          <w:szCs w:val="21"/>
          <w:highlight w:val="none"/>
        </w:rPr>
      </w:pPr>
    </w:p>
    <w:p w14:paraId="144E80F2">
      <w:pPr>
        <w:pStyle w:val="2"/>
        <w:jc w:val="center"/>
        <w:rPr>
          <w:color w:val="auto"/>
          <w:highlight w:val="none"/>
        </w:rPr>
      </w:pPr>
      <w:bookmarkStart w:id="160" w:name="_Toc145955960"/>
      <w:bookmarkStart w:id="161" w:name="_Toc197530174"/>
      <w:r>
        <w:rPr>
          <w:rFonts w:hint="eastAsia"/>
          <w:color w:val="auto"/>
          <w:highlight w:val="none"/>
        </w:rPr>
        <w:t>第八</w:t>
      </w:r>
      <w:r>
        <w:rPr>
          <w:rFonts w:hint="eastAsia" w:ascii="宋体" w:hAnsi="宋体" w:eastAsia="宋体"/>
          <w:color w:val="auto"/>
          <w:spacing w:val="100"/>
          <w:highlight w:val="none"/>
        </w:rPr>
        <w:t>章</w:t>
      </w:r>
      <w:r>
        <w:rPr>
          <w:rFonts w:hint="eastAsia"/>
          <w:color w:val="auto"/>
          <w:highlight w:val="none"/>
        </w:rPr>
        <w:t>质疑、投诉材料格式</w:t>
      </w:r>
      <w:bookmarkEnd w:id="160"/>
      <w:bookmarkEnd w:id="161"/>
    </w:p>
    <w:p w14:paraId="22B57ECF">
      <w:pPr>
        <w:rPr>
          <w:color w:val="auto"/>
          <w:highlight w:val="none"/>
        </w:rPr>
        <w:sectPr>
          <w:pgSz w:w="11906" w:h="16838"/>
          <w:pgMar w:top="1134" w:right="1134" w:bottom="1134" w:left="1134" w:header="851" w:footer="992" w:gutter="0"/>
          <w:cols w:space="425" w:num="1"/>
          <w:docGrid w:type="lines" w:linePitch="312" w:charSpace="0"/>
        </w:sectPr>
      </w:pPr>
    </w:p>
    <w:p w14:paraId="27CE9C33">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质疑函（格式）</w:t>
      </w:r>
    </w:p>
    <w:p w14:paraId="3C4B119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一、质疑供应商基本信息：</w:t>
      </w:r>
    </w:p>
    <w:p w14:paraId="26EDB4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质疑供应商：</w:t>
      </w:r>
      <w:r>
        <w:rPr>
          <w:rFonts w:ascii="Times New Roman" w:hAnsi="Times New Roman" w:eastAsia="宋体" w:cs="Times New Roman"/>
          <w:color w:val="auto"/>
          <w:szCs w:val="21"/>
          <w:highlight w:val="none"/>
        </w:rPr>
        <w:t>____________________________________________________________________________</w:t>
      </w:r>
    </w:p>
    <w:p w14:paraId="08374C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w:t>
      </w:r>
    </w:p>
    <w:p w14:paraId="4C8CCC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w:t>
      </w:r>
    </w:p>
    <w:p w14:paraId="508740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授权代表：</w:t>
      </w:r>
      <w:r>
        <w:rPr>
          <w:rFonts w:ascii="Times New Roman" w:hAnsi="Times New Roman" w:eastAsia="宋体" w:cs="Times New Roman"/>
          <w:color w:val="auto"/>
          <w:szCs w:val="21"/>
          <w:highlight w:val="none"/>
        </w:rPr>
        <w:t>______________________________________________________________________________</w:t>
      </w:r>
    </w:p>
    <w:p w14:paraId="6FBAB3F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______________________________________________________________________________</w:t>
      </w:r>
    </w:p>
    <w:p w14:paraId="6898184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2DE913B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二、质疑项目基本情况：</w:t>
      </w:r>
    </w:p>
    <w:p w14:paraId="61A65A3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质疑项目的名称：</w:t>
      </w:r>
      <w:r>
        <w:rPr>
          <w:rFonts w:ascii="Times New Roman" w:hAnsi="Times New Roman" w:eastAsia="宋体" w:cs="Times New Roman"/>
          <w:color w:val="auto"/>
          <w:szCs w:val="21"/>
          <w:highlight w:val="none"/>
        </w:rPr>
        <w:t>_______________________________________________________________________</w:t>
      </w:r>
    </w:p>
    <w:p w14:paraId="45DF46F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质疑项目的编号：</w:t>
      </w:r>
      <w:r>
        <w:rPr>
          <w:rFonts w:ascii="Times New Roman" w:hAnsi="Times New Roman" w:eastAsia="宋体" w:cs="Times New Roman"/>
          <w:color w:val="auto"/>
          <w:szCs w:val="21"/>
          <w:highlight w:val="none"/>
        </w:rPr>
        <w:t>_______________________________________________________________________</w:t>
      </w:r>
    </w:p>
    <w:p w14:paraId="21B370C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采购人名称：</w:t>
      </w:r>
      <w:r>
        <w:rPr>
          <w:rFonts w:ascii="Times New Roman" w:hAnsi="Times New Roman" w:eastAsia="宋体" w:cs="Times New Roman"/>
          <w:color w:val="auto"/>
          <w:szCs w:val="21"/>
          <w:highlight w:val="none"/>
        </w:rPr>
        <w:t>___________________________________________________________________________</w:t>
      </w:r>
    </w:p>
    <w:p w14:paraId="7BF9D7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w:t>
      </w:r>
    </w:p>
    <w:p w14:paraId="3AD33AA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□采购文件，采购文件获取日期：</w:t>
      </w:r>
      <w:r>
        <w:rPr>
          <w:rFonts w:ascii="Times New Roman" w:hAnsi="Times New Roman" w:eastAsia="宋体" w:cs="Times New Roman"/>
          <w:color w:val="auto"/>
          <w:szCs w:val="21"/>
          <w:highlight w:val="none"/>
        </w:rPr>
        <w:t>__________________________________________________________</w:t>
      </w:r>
    </w:p>
    <w:p w14:paraId="547EAF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□采购过程</w:t>
      </w:r>
    </w:p>
    <w:p w14:paraId="1B0D71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□成交结果</w:t>
      </w:r>
    </w:p>
    <w:p w14:paraId="6DC8A3D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三、质疑事项具体内容</w:t>
      </w:r>
    </w:p>
    <w:p w14:paraId="4542C6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质疑事项1：</w:t>
      </w:r>
      <w:r>
        <w:rPr>
          <w:rFonts w:ascii="Times New Roman" w:hAnsi="Times New Roman" w:eastAsia="宋体" w:cs="Times New Roman"/>
          <w:color w:val="auto"/>
          <w:szCs w:val="21"/>
          <w:highlight w:val="none"/>
        </w:rPr>
        <w:t>____________________________________________________________________________</w:t>
      </w:r>
    </w:p>
    <w:p w14:paraId="2DBE45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事实依据：</w:t>
      </w:r>
      <w:r>
        <w:rPr>
          <w:rFonts w:ascii="Times New Roman" w:hAnsi="Times New Roman" w:eastAsia="宋体" w:cs="Times New Roman"/>
          <w:color w:val="auto"/>
          <w:szCs w:val="21"/>
          <w:highlight w:val="none"/>
        </w:rPr>
        <w:t>______________________________________________________________________________</w:t>
      </w:r>
    </w:p>
    <w:p w14:paraId="77727F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法律依据：</w:t>
      </w:r>
      <w:r>
        <w:rPr>
          <w:rFonts w:ascii="Times New Roman" w:hAnsi="Times New Roman" w:eastAsia="宋体" w:cs="Times New Roman"/>
          <w:color w:val="auto"/>
          <w:szCs w:val="21"/>
          <w:highlight w:val="none"/>
        </w:rPr>
        <w:t>______________________________________________________________________________</w:t>
      </w:r>
    </w:p>
    <w:p w14:paraId="7EA3DB8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质疑事项2：</w:t>
      </w:r>
      <w:r>
        <w:rPr>
          <w:rFonts w:ascii="Times New Roman" w:hAnsi="Times New Roman" w:eastAsia="宋体" w:cs="Times New Roman"/>
          <w:color w:val="auto"/>
          <w:szCs w:val="21"/>
          <w:highlight w:val="none"/>
        </w:rPr>
        <w:t>____________________________________________________________________________</w:t>
      </w:r>
    </w:p>
    <w:p w14:paraId="6F2AB2A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5415537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四、与质疑事项相关的质疑请求：</w:t>
      </w:r>
    </w:p>
    <w:p w14:paraId="512FD41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请求：</w:t>
      </w:r>
      <w:r>
        <w:rPr>
          <w:rFonts w:ascii="Times New Roman" w:hAnsi="Times New Roman" w:eastAsia="宋体" w:cs="Times New Roman"/>
          <w:color w:val="auto"/>
          <w:szCs w:val="21"/>
          <w:highlight w:val="none"/>
        </w:rPr>
        <w:t>__________________________________________________________________________________</w:t>
      </w:r>
    </w:p>
    <w:p w14:paraId="32E985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签字（签章）：</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公章：</w:t>
      </w:r>
      <w:r>
        <w:rPr>
          <w:rFonts w:ascii="Times New Roman" w:hAnsi="Times New Roman" w:eastAsia="宋体" w:cs="Times New Roman"/>
          <w:color w:val="auto"/>
          <w:szCs w:val="21"/>
          <w:highlight w:val="none"/>
        </w:rPr>
        <w:t>___________________________________</w:t>
      </w:r>
    </w:p>
    <w:p w14:paraId="43B629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日期：</w:t>
      </w:r>
      <w:r>
        <w:rPr>
          <w:rFonts w:ascii="宋体" w:hAnsi="宋体" w:eastAsia="宋体"/>
          <w:color w:val="auto"/>
          <w:szCs w:val="21"/>
          <w:highlight w:val="none"/>
        </w:rPr>
        <w:t>______</w:t>
      </w:r>
      <w:r>
        <w:rPr>
          <w:rFonts w:hint="eastAsia" w:ascii="宋体" w:hAnsi="宋体" w:eastAsia="宋体"/>
          <w:color w:val="auto"/>
          <w:szCs w:val="21"/>
          <w:highlight w:val="none"/>
        </w:rPr>
        <w:t>年</w:t>
      </w:r>
      <w:r>
        <w:rPr>
          <w:rFonts w:ascii="宋体" w:hAnsi="宋体" w:eastAsia="宋体"/>
          <w:color w:val="auto"/>
          <w:szCs w:val="21"/>
          <w:highlight w:val="none"/>
        </w:rPr>
        <w:t>______</w:t>
      </w:r>
      <w:r>
        <w:rPr>
          <w:rFonts w:hint="eastAsia" w:ascii="宋体" w:hAnsi="宋体" w:eastAsia="宋体"/>
          <w:color w:val="auto"/>
          <w:szCs w:val="21"/>
          <w:highlight w:val="none"/>
        </w:rPr>
        <w:t>月</w:t>
      </w:r>
      <w:r>
        <w:rPr>
          <w:rFonts w:ascii="宋体" w:hAnsi="宋体" w:eastAsia="宋体"/>
          <w:color w:val="auto"/>
          <w:szCs w:val="21"/>
          <w:highlight w:val="none"/>
        </w:rPr>
        <w:t>______</w:t>
      </w:r>
      <w:r>
        <w:rPr>
          <w:rFonts w:hint="eastAsia" w:ascii="宋体" w:hAnsi="宋体" w:eastAsia="宋体"/>
          <w:color w:val="auto"/>
          <w:szCs w:val="21"/>
          <w:highlight w:val="none"/>
        </w:rPr>
        <w:t>日</w:t>
      </w:r>
    </w:p>
    <w:p w14:paraId="3E7054A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说明：</w:t>
      </w:r>
    </w:p>
    <w:p w14:paraId="766D71C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1.供应商提出质疑时，应提交质疑函和必要的证明材料。</w:t>
      </w:r>
    </w:p>
    <w:p w14:paraId="5FB3901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AC0BF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3.质疑函的质疑事项应具体、明确，并有必要的事实依据和法律依据。</w:t>
      </w:r>
    </w:p>
    <w:p w14:paraId="1154BAE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4.质疑函的质疑请求应与质疑事项相关。</w:t>
      </w:r>
    </w:p>
    <w:p w14:paraId="7A923EF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5.质疑供应商为法人或者其他组织的，质疑函应由法定代表人、主要负责人，或者其授权代表签字或者盖章，并加盖公章。</w:t>
      </w:r>
    </w:p>
    <w:p w14:paraId="5787C71A">
      <w:pPr>
        <w:spacing w:line="360" w:lineRule="auto"/>
        <w:ind w:firstLine="422" w:firstLineChars="200"/>
        <w:rPr>
          <w:rFonts w:ascii="宋体" w:hAnsi="宋体" w:eastAsia="宋体"/>
          <w:b/>
          <w:color w:val="auto"/>
          <w:szCs w:val="21"/>
          <w:highlight w:val="none"/>
        </w:rPr>
        <w:sectPr>
          <w:pgSz w:w="11906" w:h="16838"/>
          <w:pgMar w:top="1134" w:right="1134" w:bottom="1134" w:left="1134" w:header="851" w:footer="992" w:gutter="0"/>
          <w:cols w:space="425" w:num="1"/>
          <w:docGrid w:type="lines" w:linePitch="312" w:charSpace="0"/>
        </w:sectPr>
      </w:pPr>
    </w:p>
    <w:p w14:paraId="0EEE2410">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投诉书（格式）</w:t>
      </w:r>
    </w:p>
    <w:p w14:paraId="60EA37B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一、投诉相关主体基本情况：</w:t>
      </w:r>
    </w:p>
    <w:p w14:paraId="1467CF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w:t>
      </w:r>
      <w:r>
        <w:rPr>
          <w:rFonts w:ascii="Times New Roman" w:hAnsi="Times New Roman" w:eastAsia="宋体" w:cs="Times New Roman"/>
          <w:color w:val="auto"/>
          <w:szCs w:val="21"/>
          <w:highlight w:val="none"/>
        </w:rPr>
        <w:t>______________________________________________________________________________</w:t>
      </w:r>
    </w:p>
    <w:p w14:paraId="6D933C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448F7A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法定代表人/主要负责人：</w:t>
      </w:r>
      <w:r>
        <w:rPr>
          <w:rFonts w:ascii="Times New Roman" w:hAnsi="Times New Roman" w:eastAsia="宋体" w:cs="Times New Roman"/>
          <w:color w:val="auto"/>
          <w:szCs w:val="21"/>
          <w:highlight w:val="none"/>
        </w:rPr>
        <w:t>_______________________________________________________________</w:t>
      </w:r>
    </w:p>
    <w:p w14:paraId="4F50FE7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____________________________________________________________________________</w:t>
      </w:r>
    </w:p>
    <w:p w14:paraId="713F6E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授权代表：</w:t>
      </w:r>
      <w:r>
        <w:rPr>
          <w:rFonts w:ascii="Times New Roman" w:hAnsi="Times New Roman" w:eastAsia="宋体" w:cs="Times New Roman"/>
          <w:color w:val="auto"/>
          <w:szCs w:val="21"/>
          <w:highlight w:val="none"/>
        </w:rPr>
        <w:t>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w:t>
      </w:r>
    </w:p>
    <w:p w14:paraId="297A53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w:t>
      </w:r>
    </w:p>
    <w:p w14:paraId="54EEEF1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________________________________________________________________________________</w:t>
      </w:r>
    </w:p>
    <w:p w14:paraId="6D562D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被投诉人1：</w:t>
      </w:r>
      <w:r>
        <w:rPr>
          <w:rFonts w:ascii="Times New Roman" w:hAnsi="Times New Roman" w:eastAsia="宋体" w:cs="Times New Roman"/>
          <w:color w:val="auto"/>
          <w:szCs w:val="21"/>
          <w:highlight w:val="none"/>
        </w:rPr>
        <w:t>__________________________________________________________________________</w:t>
      </w:r>
    </w:p>
    <w:p w14:paraId="1E0D14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w:t>
      </w:r>
    </w:p>
    <w:p w14:paraId="76DF80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________________________________________________________________________________</w:t>
      </w:r>
    </w:p>
    <w:p w14:paraId="775088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w:t>
      </w:r>
    </w:p>
    <w:p w14:paraId="678A1D5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被投诉人2：</w:t>
      </w:r>
      <w:r>
        <w:rPr>
          <w:rFonts w:ascii="Times New Roman" w:hAnsi="Times New Roman" w:eastAsia="宋体" w:cs="Times New Roman"/>
          <w:color w:val="auto"/>
          <w:szCs w:val="21"/>
          <w:highlight w:val="none"/>
        </w:rPr>
        <w:t>__________________________________________________________________________</w:t>
      </w:r>
    </w:p>
    <w:p w14:paraId="38942F9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27F30C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相关供应商：</w:t>
      </w:r>
      <w:r>
        <w:rPr>
          <w:rFonts w:ascii="Times New Roman" w:hAnsi="Times New Roman" w:eastAsia="宋体" w:cs="Times New Roman"/>
          <w:color w:val="auto"/>
          <w:szCs w:val="21"/>
          <w:highlight w:val="none"/>
        </w:rPr>
        <w:t>__________________________________________________________________________</w:t>
      </w:r>
    </w:p>
    <w:p w14:paraId="3223FD2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29B4052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w:t>
      </w:r>
    </w:p>
    <w:p w14:paraId="7A37962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二、投诉项目基本情况：</w:t>
      </w:r>
    </w:p>
    <w:p w14:paraId="4187DA8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采购项目的名称：</w:t>
      </w:r>
      <w:r>
        <w:rPr>
          <w:rFonts w:ascii="Times New Roman" w:hAnsi="Times New Roman" w:eastAsia="宋体" w:cs="Times New Roman"/>
          <w:color w:val="auto"/>
          <w:szCs w:val="21"/>
          <w:highlight w:val="none"/>
        </w:rPr>
        <w:t>____________________________________________________________________</w:t>
      </w:r>
    </w:p>
    <w:p w14:paraId="13D6C21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采购项目的编号：</w:t>
      </w:r>
      <w:r>
        <w:rPr>
          <w:rFonts w:ascii="Times New Roman" w:hAnsi="Times New Roman" w:eastAsia="宋体" w:cs="Times New Roman"/>
          <w:color w:val="auto"/>
          <w:szCs w:val="21"/>
          <w:highlight w:val="none"/>
        </w:rPr>
        <w:t>____________________________________________________________________</w:t>
      </w:r>
    </w:p>
    <w:p w14:paraId="30E182F1">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采购人名称：</w:t>
      </w:r>
      <w:r>
        <w:rPr>
          <w:rFonts w:ascii="Times New Roman" w:hAnsi="Times New Roman" w:eastAsia="宋体" w:cs="Times New Roman"/>
          <w:color w:val="auto"/>
          <w:szCs w:val="21"/>
          <w:highlight w:val="none"/>
        </w:rPr>
        <w:t>________________________________________________________________________</w:t>
      </w:r>
    </w:p>
    <w:p w14:paraId="5669181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代理机构名称：</w:t>
      </w:r>
      <w:r>
        <w:rPr>
          <w:rFonts w:ascii="Times New Roman" w:hAnsi="Times New Roman" w:eastAsia="宋体" w:cs="Times New Roman"/>
          <w:color w:val="auto"/>
          <w:szCs w:val="21"/>
          <w:highlight w:val="none"/>
        </w:rPr>
        <w:t>______________________________________________________________________</w:t>
      </w:r>
    </w:p>
    <w:p w14:paraId="18CD06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招标文件公告：</w:t>
      </w:r>
      <w:r>
        <w:rPr>
          <w:rFonts w:hint="eastAsia" w:ascii="宋体" w:hAnsi="宋体" w:eastAsia="宋体"/>
          <w:color w:val="auto"/>
          <w:szCs w:val="21"/>
          <w:highlight w:val="none"/>
          <w:u w:val="single"/>
        </w:rPr>
        <w:t>是/否</w:t>
      </w:r>
      <w:r>
        <w:rPr>
          <w:rFonts w:hint="eastAsia" w:ascii="宋体" w:hAnsi="宋体" w:eastAsia="宋体"/>
          <w:color w:val="auto"/>
          <w:szCs w:val="21"/>
          <w:highlight w:val="none"/>
        </w:rPr>
        <w:t>公告期限：</w:t>
      </w:r>
      <w:r>
        <w:rPr>
          <w:rFonts w:ascii="Times New Roman" w:hAnsi="Times New Roman" w:eastAsia="宋体" w:cs="Times New Roman"/>
          <w:color w:val="auto"/>
          <w:szCs w:val="21"/>
          <w:highlight w:val="none"/>
        </w:rPr>
        <w:t>__________________________________________________________</w:t>
      </w:r>
    </w:p>
    <w:p w14:paraId="0C87595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采购结果公告：是/否公告期限：</w:t>
      </w:r>
      <w:r>
        <w:rPr>
          <w:rFonts w:ascii="Times New Roman" w:hAnsi="Times New Roman" w:eastAsia="宋体" w:cs="Times New Roman"/>
          <w:color w:val="auto"/>
          <w:szCs w:val="21"/>
          <w:highlight w:val="none"/>
        </w:rPr>
        <w:t>__________________________________________________________</w:t>
      </w:r>
    </w:p>
    <w:p w14:paraId="3F7B6E0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三、质疑基本情况</w:t>
      </w:r>
    </w:p>
    <w:p w14:paraId="7D38829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投诉人于</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日，向</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提出质疑，质疑事项为：</w:t>
      </w:r>
      <w:r>
        <w:rPr>
          <w:rFonts w:ascii="Times New Roman" w:hAnsi="Times New Roman" w:eastAsia="宋体" w:cs="Times New Roman"/>
          <w:color w:val="auto"/>
          <w:szCs w:val="21"/>
          <w:highlight w:val="none"/>
        </w:rPr>
        <w:t>_______________________</w:t>
      </w:r>
    </w:p>
    <w:p w14:paraId="7BF7C8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采购人/代理机构</w:t>
      </w:r>
      <w:r>
        <w:rPr>
          <w:rFonts w:hint="eastAsia" w:ascii="宋体" w:hAnsi="宋体" w:eastAsia="宋体"/>
          <w:color w:val="auto"/>
          <w:szCs w:val="21"/>
          <w:highlight w:val="none"/>
        </w:rPr>
        <w:t>于</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日，就质疑事项作出了答复/没有在法定期限内作出答复。</w:t>
      </w:r>
    </w:p>
    <w:p w14:paraId="6BC866C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四、投诉事项具体内容</w:t>
      </w:r>
    </w:p>
    <w:p w14:paraId="021CC6A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投诉事项1：</w:t>
      </w:r>
      <w:r>
        <w:rPr>
          <w:rFonts w:ascii="Times New Roman" w:hAnsi="Times New Roman" w:eastAsia="宋体" w:cs="Times New Roman"/>
          <w:color w:val="auto"/>
          <w:szCs w:val="21"/>
          <w:highlight w:val="none"/>
        </w:rPr>
        <w:t>__________________________________________________________________________</w:t>
      </w:r>
    </w:p>
    <w:p w14:paraId="24FEAC9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事实依据：</w:t>
      </w:r>
      <w:r>
        <w:rPr>
          <w:rFonts w:ascii="Times New Roman" w:hAnsi="Times New Roman" w:eastAsia="宋体" w:cs="Times New Roman"/>
          <w:color w:val="auto"/>
          <w:szCs w:val="21"/>
          <w:highlight w:val="none"/>
        </w:rPr>
        <w:t>____________________________________________________________________________</w:t>
      </w:r>
    </w:p>
    <w:p w14:paraId="593023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法律依据：</w:t>
      </w:r>
      <w:r>
        <w:rPr>
          <w:rFonts w:ascii="Times New Roman" w:hAnsi="Times New Roman" w:eastAsia="宋体" w:cs="Times New Roman"/>
          <w:color w:val="auto"/>
          <w:szCs w:val="21"/>
          <w:highlight w:val="none"/>
        </w:rPr>
        <w:t>____________________________________________________________________________</w:t>
      </w:r>
    </w:p>
    <w:p w14:paraId="26D1C5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投诉事项2：</w:t>
      </w:r>
      <w:r>
        <w:rPr>
          <w:rFonts w:ascii="Times New Roman" w:hAnsi="Times New Roman" w:eastAsia="宋体" w:cs="Times New Roman"/>
          <w:color w:val="auto"/>
          <w:szCs w:val="21"/>
          <w:highlight w:val="none"/>
        </w:rPr>
        <w:t>__________________________________________________________________________</w:t>
      </w:r>
    </w:p>
    <w:p w14:paraId="58A0E5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2F8EC2F8">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五、与投诉事项相关的投诉请求：</w:t>
      </w:r>
    </w:p>
    <w:p w14:paraId="12DA70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请求：</w:t>
      </w:r>
      <w:r>
        <w:rPr>
          <w:rFonts w:ascii="Times New Roman" w:hAnsi="Times New Roman" w:eastAsia="宋体" w:cs="Times New Roman"/>
          <w:color w:val="auto"/>
          <w:szCs w:val="21"/>
          <w:highlight w:val="none"/>
        </w:rPr>
        <w:t>________________________________________________________________________________</w:t>
      </w:r>
    </w:p>
    <w:p w14:paraId="6112E308">
      <w:pPr>
        <w:spacing w:line="360" w:lineRule="auto"/>
        <w:ind w:firstLine="420" w:firstLineChars="200"/>
        <w:rPr>
          <w:rFonts w:ascii="宋体" w:hAnsi="宋体" w:eastAsia="宋体"/>
          <w:color w:val="auto"/>
          <w:szCs w:val="21"/>
          <w:highlight w:val="none"/>
        </w:rPr>
      </w:pPr>
    </w:p>
    <w:p w14:paraId="2C9C98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签字（签章）：</w:t>
      </w:r>
      <w:r>
        <w:rPr>
          <w:rFonts w:ascii="Times New Roman" w:hAnsi="Times New Roman" w:eastAsia="宋体" w:cs="Times New Roman"/>
          <w:color w:val="auto"/>
          <w:szCs w:val="21"/>
          <w:highlight w:val="none"/>
        </w:rPr>
        <w:t>___________________________________</w:t>
      </w:r>
      <w:r>
        <w:rPr>
          <w:rFonts w:hint="eastAsia" w:ascii="宋体" w:hAnsi="宋体" w:eastAsia="宋体"/>
          <w:color w:val="auto"/>
          <w:szCs w:val="21"/>
          <w:highlight w:val="none"/>
        </w:rPr>
        <w:t>公章：</w:t>
      </w:r>
      <w:r>
        <w:rPr>
          <w:rFonts w:ascii="Times New Roman" w:hAnsi="Times New Roman" w:eastAsia="宋体" w:cs="Times New Roman"/>
          <w:color w:val="auto"/>
          <w:szCs w:val="21"/>
          <w:highlight w:val="none"/>
        </w:rPr>
        <w:t>__________________________________</w:t>
      </w:r>
    </w:p>
    <w:p w14:paraId="0E90645E">
      <w:pPr>
        <w:spacing w:line="360" w:lineRule="auto"/>
        <w:ind w:firstLine="420" w:firstLineChars="200"/>
        <w:rPr>
          <w:rFonts w:ascii="宋体" w:hAnsi="宋体" w:eastAsia="宋体"/>
          <w:color w:val="auto"/>
          <w:szCs w:val="21"/>
          <w:highlight w:val="none"/>
        </w:rPr>
      </w:pPr>
    </w:p>
    <w:p w14:paraId="54672AA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日</w:t>
      </w:r>
    </w:p>
    <w:p w14:paraId="14DC7E4C">
      <w:pPr>
        <w:spacing w:line="360" w:lineRule="auto"/>
        <w:ind w:firstLine="420" w:firstLineChars="200"/>
        <w:rPr>
          <w:rFonts w:ascii="宋体" w:hAnsi="宋体" w:eastAsia="宋体"/>
          <w:color w:val="auto"/>
          <w:szCs w:val="21"/>
          <w:highlight w:val="none"/>
        </w:rPr>
      </w:pPr>
    </w:p>
    <w:p w14:paraId="69E5E879">
      <w:pPr>
        <w:spacing w:line="360" w:lineRule="auto"/>
        <w:ind w:firstLine="420" w:firstLineChars="200"/>
        <w:rPr>
          <w:rFonts w:ascii="宋体" w:hAnsi="宋体" w:eastAsia="宋体"/>
          <w:color w:val="auto"/>
          <w:szCs w:val="21"/>
          <w:highlight w:val="none"/>
        </w:rPr>
      </w:pPr>
    </w:p>
    <w:p w14:paraId="3414530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说明：</w:t>
      </w:r>
    </w:p>
    <w:p w14:paraId="0AC14088">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1.投诉人提起投诉时，应当提交投诉书和必要的证明材料，并按照被投诉人和与投诉事项有关的供应商数量提供投诉书副本。</w:t>
      </w:r>
    </w:p>
    <w:p w14:paraId="32D55BD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E3187B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3.投诉书应简要列明质疑事项，质疑函、质疑答复等作为附件材料提供。</w:t>
      </w:r>
    </w:p>
    <w:p w14:paraId="0D31842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4.投诉书的投诉事项应具体、明确，并有必要的事实依据和法律依据。</w:t>
      </w:r>
    </w:p>
    <w:p w14:paraId="3FA796D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5.投诉书的投诉请求应与投诉事项相关。</w:t>
      </w:r>
    </w:p>
    <w:p w14:paraId="1B53C686">
      <w:pPr>
        <w:spacing w:line="36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6.投诉人为法人或者其他组织的，投诉书应由法定代表人、主要负责人，或者其授权代表签字或者盖章，并加盖公章。</w:t>
      </w:r>
    </w:p>
    <w:p w14:paraId="77F3D087">
      <w:pPr>
        <w:spacing w:line="360" w:lineRule="auto"/>
        <w:ind w:firstLine="420" w:firstLineChars="200"/>
        <w:rPr>
          <w:rFonts w:ascii="宋体" w:hAnsi="宋体" w:eastAsia="宋体"/>
          <w:color w:val="auto"/>
          <w:szCs w:val="21"/>
          <w:highlight w:val="none"/>
        </w:rPr>
      </w:pPr>
    </w:p>
    <w:bookmarkEnd w:id="162"/>
    <w:sectPr>
      <w:pgSz w:w="11906" w:h="16838"/>
      <w:pgMar w:top="1440"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5054276"/>
    </w:sdtPr>
    <w:sdtContent>
      <w:p w14:paraId="0B1E55A8">
        <w:pPr>
          <w:pStyle w:val="26"/>
          <w:jc w:val="center"/>
        </w:pPr>
        <w:r>
          <w:fldChar w:fldCharType="begin"/>
        </w:r>
        <w:r>
          <w:instrText xml:space="preserve">PAGE   \* MERGEFORMAT</w:instrText>
        </w:r>
        <w:r>
          <w:fldChar w:fldCharType="separate"/>
        </w:r>
        <w:r>
          <w:rPr>
            <w:lang w:val="zh-CN"/>
          </w:rPr>
          <w:t>2</w:t>
        </w:r>
        <w:r>
          <w:rPr>
            <w:lang w:val="zh-CN"/>
          </w:rPr>
          <w:fldChar w:fldCharType="end"/>
        </w:r>
      </w:p>
    </w:sdtContent>
  </w:sdt>
  <w:p w14:paraId="25C8C5B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213757"/>
    </w:sdtPr>
    <w:sdtContent>
      <w:p w14:paraId="40B69FD2">
        <w:pPr>
          <w:pStyle w:val="26"/>
          <w:jc w:val="center"/>
        </w:pPr>
        <w:r>
          <w:fldChar w:fldCharType="begin"/>
        </w:r>
        <w:r>
          <w:instrText xml:space="preserve">PAGE   \* MERGEFORMAT</w:instrText>
        </w:r>
        <w:r>
          <w:fldChar w:fldCharType="separate"/>
        </w:r>
        <w:r>
          <w:rPr>
            <w:lang w:val="zh-CN"/>
          </w:rPr>
          <w:t>17</w:t>
        </w:r>
        <w:r>
          <w:rPr>
            <w:lang w:val="zh-CN"/>
          </w:rPr>
          <w:fldChar w:fldCharType="end"/>
        </w:r>
      </w:p>
    </w:sdtContent>
  </w:sdt>
  <w:p w14:paraId="391E1E7F">
    <w:pPr>
      <w:pStyle w:val="2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hideSpellingErrors/>
  <w:documentProtection w:edit="readOnly" w:enforcement="1" w:cryptProviderType="rsaFull" w:cryptAlgorithmClass="hash" w:cryptAlgorithmType="typeAny" w:cryptAlgorithmSid="4" w:cryptSpinCount="0" w:hash="ZbE7jA2Ywrqsflc/7vM8taEd5Kg=" w:salt="Y/fRqTeTnI3qOYdmsXhmn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YzY0NmViODE5ZDVkNThlODM5YjNjOTRkMWQ2N2IifQ=="/>
    <w:docVar w:name="KSO_WPS_MARK_KEY" w:val="4ad9e56a-09ce-4a91-9a4f-480a10e03d06"/>
  </w:docVars>
  <w:rsids>
    <w:rsidRoot w:val="000C7F7F"/>
    <w:rsid w:val="00000469"/>
    <w:rsid w:val="000004B9"/>
    <w:rsid w:val="000011A4"/>
    <w:rsid w:val="00004EBB"/>
    <w:rsid w:val="00006940"/>
    <w:rsid w:val="00006DAB"/>
    <w:rsid w:val="00007965"/>
    <w:rsid w:val="0001238C"/>
    <w:rsid w:val="00012627"/>
    <w:rsid w:val="000129D1"/>
    <w:rsid w:val="00012B78"/>
    <w:rsid w:val="0001356F"/>
    <w:rsid w:val="00013793"/>
    <w:rsid w:val="00014E74"/>
    <w:rsid w:val="00014F88"/>
    <w:rsid w:val="00015887"/>
    <w:rsid w:val="00016881"/>
    <w:rsid w:val="00017946"/>
    <w:rsid w:val="00021A1E"/>
    <w:rsid w:val="00022515"/>
    <w:rsid w:val="00022A56"/>
    <w:rsid w:val="00022D30"/>
    <w:rsid w:val="00023CAD"/>
    <w:rsid w:val="0002404E"/>
    <w:rsid w:val="00027F56"/>
    <w:rsid w:val="00030CE3"/>
    <w:rsid w:val="0003171A"/>
    <w:rsid w:val="00032C31"/>
    <w:rsid w:val="000352BB"/>
    <w:rsid w:val="00035F35"/>
    <w:rsid w:val="000366E0"/>
    <w:rsid w:val="000379ED"/>
    <w:rsid w:val="00037B44"/>
    <w:rsid w:val="00037BE8"/>
    <w:rsid w:val="00037EC6"/>
    <w:rsid w:val="00040A38"/>
    <w:rsid w:val="00041525"/>
    <w:rsid w:val="00042B8A"/>
    <w:rsid w:val="00042D78"/>
    <w:rsid w:val="00043E08"/>
    <w:rsid w:val="0004453A"/>
    <w:rsid w:val="00044767"/>
    <w:rsid w:val="00044B86"/>
    <w:rsid w:val="0004552B"/>
    <w:rsid w:val="00047840"/>
    <w:rsid w:val="000502EA"/>
    <w:rsid w:val="00050367"/>
    <w:rsid w:val="0005091C"/>
    <w:rsid w:val="000515A3"/>
    <w:rsid w:val="00053A1C"/>
    <w:rsid w:val="00053E09"/>
    <w:rsid w:val="00053F5D"/>
    <w:rsid w:val="00054334"/>
    <w:rsid w:val="00054D5C"/>
    <w:rsid w:val="000552B5"/>
    <w:rsid w:val="0005658E"/>
    <w:rsid w:val="000571F6"/>
    <w:rsid w:val="000606A8"/>
    <w:rsid w:val="00061631"/>
    <w:rsid w:val="0006319A"/>
    <w:rsid w:val="00063484"/>
    <w:rsid w:val="000643B6"/>
    <w:rsid w:val="000669EA"/>
    <w:rsid w:val="000669EC"/>
    <w:rsid w:val="000700D0"/>
    <w:rsid w:val="000702E2"/>
    <w:rsid w:val="00071F4E"/>
    <w:rsid w:val="000729FC"/>
    <w:rsid w:val="00072C9A"/>
    <w:rsid w:val="00073735"/>
    <w:rsid w:val="0007675C"/>
    <w:rsid w:val="000774FC"/>
    <w:rsid w:val="00080AAC"/>
    <w:rsid w:val="000813CD"/>
    <w:rsid w:val="000822E5"/>
    <w:rsid w:val="00085705"/>
    <w:rsid w:val="00085AFD"/>
    <w:rsid w:val="00085CA0"/>
    <w:rsid w:val="00085D81"/>
    <w:rsid w:val="00085EBD"/>
    <w:rsid w:val="00086B72"/>
    <w:rsid w:val="000917E3"/>
    <w:rsid w:val="00092B5E"/>
    <w:rsid w:val="0009308B"/>
    <w:rsid w:val="00094A4E"/>
    <w:rsid w:val="00094AB0"/>
    <w:rsid w:val="00095770"/>
    <w:rsid w:val="000A006D"/>
    <w:rsid w:val="000A168D"/>
    <w:rsid w:val="000A2712"/>
    <w:rsid w:val="000A2825"/>
    <w:rsid w:val="000A311E"/>
    <w:rsid w:val="000A545C"/>
    <w:rsid w:val="000B0A69"/>
    <w:rsid w:val="000B281E"/>
    <w:rsid w:val="000B4548"/>
    <w:rsid w:val="000C07C3"/>
    <w:rsid w:val="000C0F7C"/>
    <w:rsid w:val="000C1A45"/>
    <w:rsid w:val="000C2780"/>
    <w:rsid w:val="000C2F38"/>
    <w:rsid w:val="000C3887"/>
    <w:rsid w:val="000C4174"/>
    <w:rsid w:val="000C5656"/>
    <w:rsid w:val="000C7320"/>
    <w:rsid w:val="000C7F7F"/>
    <w:rsid w:val="000D0283"/>
    <w:rsid w:val="000D155E"/>
    <w:rsid w:val="000D18C8"/>
    <w:rsid w:val="000D2025"/>
    <w:rsid w:val="000D4631"/>
    <w:rsid w:val="000D6443"/>
    <w:rsid w:val="000E1743"/>
    <w:rsid w:val="000E4FE8"/>
    <w:rsid w:val="000E5641"/>
    <w:rsid w:val="000E5C09"/>
    <w:rsid w:val="000E6D4B"/>
    <w:rsid w:val="000F0A70"/>
    <w:rsid w:val="000F0A7F"/>
    <w:rsid w:val="000F1C5E"/>
    <w:rsid w:val="000F28CA"/>
    <w:rsid w:val="000F38A4"/>
    <w:rsid w:val="000F53AF"/>
    <w:rsid w:val="000F628E"/>
    <w:rsid w:val="00100362"/>
    <w:rsid w:val="00101F51"/>
    <w:rsid w:val="00102138"/>
    <w:rsid w:val="0010362E"/>
    <w:rsid w:val="00103760"/>
    <w:rsid w:val="00103866"/>
    <w:rsid w:val="0010413E"/>
    <w:rsid w:val="0010422A"/>
    <w:rsid w:val="00104CDF"/>
    <w:rsid w:val="001073FB"/>
    <w:rsid w:val="00111618"/>
    <w:rsid w:val="00112191"/>
    <w:rsid w:val="00112C8E"/>
    <w:rsid w:val="00112FE5"/>
    <w:rsid w:val="0011383D"/>
    <w:rsid w:val="00116490"/>
    <w:rsid w:val="00116797"/>
    <w:rsid w:val="00117831"/>
    <w:rsid w:val="00117DB2"/>
    <w:rsid w:val="00120A35"/>
    <w:rsid w:val="00121B13"/>
    <w:rsid w:val="00123697"/>
    <w:rsid w:val="001238E8"/>
    <w:rsid w:val="001301B9"/>
    <w:rsid w:val="00130270"/>
    <w:rsid w:val="00130DDA"/>
    <w:rsid w:val="001313A1"/>
    <w:rsid w:val="00131D05"/>
    <w:rsid w:val="0013250F"/>
    <w:rsid w:val="00132E24"/>
    <w:rsid w:val="001332A4"/>
    <w:rsid w:val="001353FC"/>
    <w:rsid w:val="00136317"/>
    <w:rsid w:val="00136439"/>
    <w:rsid w:val="00140BE1"/>
    <w:rsid w:val="00141508"/>
    <w:rsid w:val="00143507"/>
    <w:rsid w:val="0014354F"/>
    <w:rsid w:val="00143ACB"/>
    <w:rsid w:val="0014472F"/>
    <w:rsid w:val="00146995"/>
    <w:rsid w:val="00146E1A"/>
    <w:rsid w:val="00147BF3"/>
    <w:rsid w:val="00151C02"/>
    <w:rsid w:val="00151E23"/>
    <w:rsid w:val="00151F3C"/>
    <w:rsid w:val="00154183"/>
    <w:rsid w:val="00155123"/>
    <w:rsid w:val="00156595"/>
    <w:rsid w:val="00156DBE"/>
    <w:rsid w:val="00156E76"/>
    <w:rsid w:val="00157818"/>
    <w:rsid w:val="00160219"/>
    <w:rsid w:val="00161651"/>
    <w:rsid w:val="00161B59"/>
    <w:rsid w:val="00162CCC"/>
    <w:rsid w:val="0016380C"/>
    <w:rsid w:val="00164B7E"/>
    <w:rsid w:val="00164EF5"/>
    <w:rsid w:val="0016537D"/>
    <w:rsid w:val="001663D7"/>
    <w:rsid w:val="00173348"/>
    <w:rsid w:val="00173B3F"/>
    <w:rsid w:val="0017607B"/>
    <w:rsid w:val="00176249"/>
    <w:rsid w:val="001768B4"/>
    <w:rsid w:val="00176BA6"/>
    <w:rsid w:val="00177DF7"/>
    <w:rsid w:val="00184C40"/>
    <w:rsid w:val="001875BE"/>
    <w:rsid w:val="00192389"/>
    <w:rsid w:val="00192A46"/>
    <w:rsid w:val="00192B1B"/>
    <w:rsid w:val="00193AAE"/>
    <w:rsid w:val="001975DF"/>
    <w:rsid w:val="00197CE8"/>
    <w:rsid w:val="00197E44"/>
    <w:rsid w:val="001A0B98"/>
    <w:rsid w:val="001A2403"/>
    <w:rsid w:val="001A3E7A"/>
    <w:rsid w:val="001A480D"/>
    <w:rsid w:val="001A4B74"/>
    <w:rsid w:val="001A513F"/>
    <w:rsid w:val="001A5A95"/>
    <w:rsid w:val="001A5FE1"/>
    <w:rsid w:val="001A66C2"/>
    <w:rsid w:val="001B2B12"/>
    <w:rsid w:val="001B31E4"/>
    <w:rsid w:val="001B5613"/>
    <w:rsid w:val="001B59F5"/>
    <w:rsid w:val="001C037C"/>
    <w:rsid w:val="001C103A"/>
    <w:rsid w:val="001C35C2"/>
    <w:rsid w:val="001C38F8"/>
    <w:rsid w:val="001C6F3C"/>
    <w:rsid w:val="001C7EA1"/>
    <w:rsid w:val="001C7FBE"/>
    <w:rsid w:val="001D019B"/>
    <w:rsid w:val="001D15C3"/>
    <w:rsid w:val="001D1C3C"/>
    <w:rsid w:val="001D27A3"/>
    <w:rsid w:val="001D5A41"/>
    <w:rsid w:val="001D61D9"/>
    <w:rsid w:val="001D6497"/>
    <w:rsid w:val="001D70D6"/>
    <w:rsid w:val="001D7F4A"/>
    <w:rsid w:val="001D7F9E"/>
    <w:rsid w:val="001E019E"/>
    <w:rsid w:val="001E0399"/>
    <w:rsid w:val="001E15F3"/>
    <w:rsid w:val="001E1DC2"/>
    <w:rsid w:val="001E44D1"/>
    <w:rsid w:val="001E51CD"/>
    <w:rsid w:val="001E5346"/>
    <w:rsid w:val="001E6341"/>
    <w:rsid w:val="001E6897"/>
    <w:rsid w:val="001E7B0F"/>
    <w:rsid w:val="001E7F3C"/>
    <w:rsid w:val="001F179C"/>
    <w:rsid w:val="001F28A8"/>
    <w:rsid w:val="001F2919"/>
    <w:rsid w:val="001F2D10"/>
    <w:rsid w:val="001F328E"/>
    <w:rsid w:val="001F3DAB"/>
    <w:rsid w:val="001F503B"/>
    <w:rsid w:val="001F5E77"/>
    <w:rsid w:val="001F60EB"/>
    <w:rsid w:val="001F7363"/>
    <w:rsid w:val="001F76E5"/>
    <w:rsid w:val="001F7863"/>
    <w:rsid w:val="001F7B66"/>
    <w:rsid w:val="001F7BA3"/>
    <w:rsid w:val="0020036A"/>
    <w:rsid w:val="00200ABD"/>
    <w:rsid w:val="0020135E"/>
    <w:rsid w:val="00202239"/>
    <w:rsid w:val="00202838"/>
    <w:rsid w:val="00204068"/>
    <w:rsid w:val="0020527A"/>
    <w:rsid w:val="002064B9"/>
    <w:rsid w:val="0020667A"/>
    <w:rsid w:val="00206F47"/>
    <w:rsid w:val="0020788E"/>
    <w:rsid w:val="0021037A"/>
    <w:rsid w:val="00212C25"/>
    <w:rsid w:val="00213158"/>
    <w:rsid w:val="0021338A"/>
    <w:rsid w:val="0021344A"/>
    <w:rsid w:val="00214155"/>
    <w:rsid w:val="00214510"/>
    <w:rsid w:val="00215964"/>
    <w:rsid w:val="00217D9C"/>
    <w:rsid w:val="00217DE9"/>
    <w:rsid w:val="00217E3B"/>
    <w:rsid w:val="002200B2"/>
    <w:rsid w:val="002200F9"/>
    <w:rsid w:val="00220345"/>
    <w:rsid w:val="00220D89"/>
    <w:rsid w:val="0022117E"/>
    <w:rsid w:val="002218E4"/>
    <w:rsid w:val="00222374"/>
    <w:rsid w:val="00223536"/>
    <w:rsid w:val="00224F30"/>
    <w:rsid w:val="00225ADE"/>
    <w:rsid w:val="00227150"/>
    <w:rsid w:val="0023407E"/>
    <w:rsid w:val="00237652"/>
    <w:rsid w:val="00241DEE"/>
    <w:rsid w:val="00242EBE"/>
    <w:rsid w:val="00247086"/>
    <w:rsid w:val="00250324"/>
    <w:rsid w:val="00250CDA"/>
    <w:rsid w:val="00252301"/>
    <w:rsid w:val="00254821"/>
    <w:rsid w:val="00254D90"/>
    <w:rsid w:val="00255FE9"/>
    <w:rsid w:val="00261435"/>
    <w:rsid w:val="002625C8"/>
    <w:rsid w:val="00263F2E"/>
    <w:rsid w:val="002640DD"/>
    <w:rsid w:val="002642C4"/>
    <w:rsid w:val="0026582D"/>
    <w:rsid w:val="002676D7"/>
    <w:rsid w:val="00267B5A"/>
    <w:rsid w:val="00271BB1"/>
    <w:rsid w:val="00272EF5"/>
    <w:rsid w:val="0027323A"/>
    <w:rsid w:val="00273733"/>
    <w:rsid w:val="00273AC2"/>
    <w:rsid w:val="00273C11"/>
    <w:rsid w:val="002744DA"/>
    <w:rsid w:val="00274962"/>
    <w:rsid w:val="0027680F"/>
    <w:rsid w:val="002806F0"/>
    <w:rsid w:val="00280A07"/>
    <w:rsid w:val="00280A09"/>
    <w:rsid w:val="00280BBF"/>
    <w:rsid w:val="002830A7"/>
    <w:rsid w:val="00283DFC"/>
    <w:rsid w:val="00285CD0"/>
    <w:rsid w:val="0028605C"/>
    <w:rsid w:val="002907F5"/>
    <w:rsid w:val="00290D04"/>
    <w:rsid w:val="00294881"/>
    <w:rsid w:val="002948E4"/>
    <w:rsid w:val="00294B01"/>
    <w:rsid w:val="00294E34"/>
    <w:rsid w:val="002951C9"/>
    <w:rsid w:val="002956A1"/>
    <w:rsid w:val="002963A2"/>
    <w:rsid w:val="002A0559"/>
    <w:rsid w:val="002A1BCA"/>
    <w:rsid w:val="002A4870"/>
    <w:rsid w:val="002A5A68"/>
    <w:rsid w:val="002B0388"/>
    <w:rsid w:val="002B0632"/>
    <w:rsid w:val="002B1CEB"/>
    <w:rsid w:val="002B240D"/>
    <w:rsid w:val="002B3107"/>
    <w:rsid w:val="002B45F2"/>
    <w:rsid w:val="002B4BAB"/>
    <w:rsid w:val="002B4DC1"/>
    <w:rsid w:val="002B655A"/>
    <w:rsid w:val="002B6C6C"/>
    <w:rsid w:val="002B7592"/>
    <w:rsid w:val="002C0360"/>
    <w:rsid w:val="002C0C59"/>
    <w:rsid w:val="002C20A2"/>
    <w:rsid w:val="002C2B39"/>
    <w:rsid w:val="002C2FCB"/>
    <w:rsid w:val="002C3810"/>
    <w:rsid w:val="002C3933"/>
    <w:rsid w:val="002C4432"/>
    <w:rsid w:val="002C46C2"/>
    <w:rsid w:val="002C49A8"/>
    <w:rsid w:val="002C68A1"/>
    <w:rsid w:val="002C6BEF"/>
    <w:rsid w:val="002C7364"/>
    <w:rsid w:val="002C7AD6"/>
    <w:rsid w:val="002D0460"/>
    <w:rsid w:val="002D1097"/>
    <w:rsid w:val="002D1CB0"/>
    <w:rsid w:val="002D263E"/>
    <w:rsid w:val="002D48D9"/>
    <w:rsid w:val="002D5F30"/>
    <w:rsid w:val="002D672E"/>
    <w:rsid w:val="002E0227"/>
    <w:rsid w:val="002E1A6A"/>
    <w:rsid w:val="002E3C78"/>
    <w:rsid w:val="002E4593"/>
    <w:rsid w:val="002E56CA"/>
    <w:rsid w:val="002E6393"/>
    <w:rsid w:val="002E74D1"/>
    <w:rsid w:val="002F05A7"/>
    <w:rsid w:val="002F08E0"/>
    <w:rsid w:val="002F0AE7"/>
    <w:rsid w:val="002F791F"/>
    <w:rsid w:val="00301E72"/>
    <w:rsid w:val="00302315"/>
    <w:rsid w:val="003024A3"/>
    <w:rsid w:val="00302D4D"/>
    <w:rsid w:val="00302FBF"/>
    <w:rsid w:val="00303CCD"/>
    <w:rsid w:val="003058D0"/>
    <w:rsid w:val="003067DF"/>
    <w:rsid w:val="00311F8D"/>
    <w:rsid w:val="00312D26"/>
    <w:rsid w:val="00313ADB"/>
    <w:rsid w:val="00314860"/>
    <w:rsid w:val="00314A4F"/>
    <w:rsid w:val="00315085"/>
    <w:rsid w:val="00315C04"/>
    <w:rsid w:val="00317320"/>
    <w:rsid w:val="00317EC8"/>
    <w:rsid w:val="003208C7"/>
    <w:rsid w:val="00323FD6"/>
    <w:rsid w:val="0032409F"/>
    <w:rsid w:val="00324364"/>
    <w:rsid w:val="00324394"/>
    <w:rsid w:val="00324D76"/>
    <w:rsid w:val="00325118"/>
    <w:rsid w:val="00325140"/>
    <w:rsid w:val="00326069"/>
    <w:rsid w:val="00326BB4"/>
    <w:rsid w:val="00326C6E"/>
    <w:rsid w:val="00330195"/>
    <w:rsid w:val="00330AA4"/>
    <w:rsid w:val="00333331"/>
    <w:rsid w:val="00334978"/>
    <w:rsid w:val="003353CD"/>
    <w:rsid w:val="00341CBC"/>
    <w:rsid w:val="0034215D"/>
    <w:rsid w:val="00343073"/>
    <w:rsid w:val="00343A92"/>
    <w:rsid w:val="003460A2"/>
    <w:rsid w:val="0034689C"/>
    <w:rsid w:val="003479E9"/>
    <w:rsid w:val="003502D7"/>
    <w:rsid w:val="00350311"/>
    <w:rsid w:val="003523D0"/>
    <w:rsid w:val="00355D2C"/>
    <w:rsid w:val="003566B8"/>
    <w:rsid w:val="00356F57"/>
    <w:rsid w:val="003572E6"/>
    <w:rsid w:val="00357A65"/>
    <w:rsid w:val="003605B8"/>
    <w:rsid w:val="00361F7E"/>
    <w:rsid w:val="003625C1"/>
    <w:rsid w:val="00364104"/>
    <w:rsid w:val="00371037"/>
    <w:rsid w:val="00371177"/>
    <w:rsid w:val="00374152"/>
    <w:rsid w:val="00375345"/>
    <w:rsid w:val="00375443"/>
    <w:rsid w:val="00375487"/>
    <w:rsid w:val="003754DE"/>
    <w:rsid w:val="003763CF"/>
    <w:rsid w:val="003767E9"/>
    <w:rsid w:val="00376B5D"/>
    <w:rsid w:val="00377C17"/>
    <w:rsid w:val="00380CDD"/>
    <w:rsid w:val="00380D18"/>
    <w:rsid w:val="00383774"/>
    <w:rsid w:val="00383DA5"/>
    <w:rsid w:val="00386BBA"/>
    <w:rsid w:val="00386E6E"/>
    <w:rsid w:val="00387293"/>
    <w:rsid w:val="00390C6A"/>
    <w:rsid w:val="00394AC8"/>
    <w:rsid w:val="00395110"/>
    <w:rsid w:val="00395366"/>
    <w:rsid w:val="003965ED"/>
    <w:rsid w:val="0039758D"/>
    <w:rsid w:val="003A230E"/>
    <w:rsid w:val="003A2DEA"/>
    <w:rsid w:val="003A3335"/>
    <w:rsid w:val="003A3B44"/>
    <w:rsid w:val="003A4363"/>
    <w:rsid w:val="003A7A1D"/>
    <w:rsid w:val="003A7C22"/>
    <w:rsid w:val="003B1AE5"/>
    <w:rsid w:val="003C1B67"/>
    <w:rsid w:val="003C1D3A"/>
    <w:rsid w:val="003C2742"/>
    <w:rsid w:val="003C51C7"/>
    <w:rsid w:val="003C6C5E"/>
    <w:rsid w:val="003C7641"/>
    <w:rsid w:val="003C782D"/>
    <w:rsid w:val="003C7917"/>
    <w:rsid w:val="003D2D13"/>
    <w:rsid w:val="003D3148"/>
    <w:rsid w:val="003D4E1A"/>
    <w:rsid w:val="003D5004"/>
    <w:rsid w:val="003D5F73"/>
    <w:rsid w:val="003E0EA2"/>
    <w:rsid w:val="003E126B"/>
    <w:rsid w:val="003E1509"/>
    <w:rsid w:val="003E15DD"/>
    <w:rsid w:val="003E18D1"/>
    <w:rsid w:val="003E1CC7"/>
    <w:rsid w:val="003E2568"/>
    <w:rsid w:val="003E2D04"/>
    <w:rsid w:val="003E3F6C"/>
    <w:rsid w:val="003E40A5"/>
    <w:rsid w:val="003E5EBC"/>
    <w:rsid w:val="003E708F"/>
    <w:rsid w:val="003E7E45"/>
    <w:rsid w:val="003E7F72"/>
    <w:rsid w:val="003F158B"/>
    <w:rsid w:val="003F1C9D"/>
    <w:rsid w:val="003F213F"/>
    <w:rsid w:val="003F2BC4"/>
    <w:rsid w:val="003F4451"/>
    <w:rsid w:val="003F4BAF"/>
    <w:rsid w:val="003F5B0D"/>
    <w:rsid w:val="003F69C1"/>
    <w:rsid w:val="003F7DDF"/>
    <w:rsid w:val="004009D6"/>
    <w:rsid w:val="00401148"/>
    <w:rsid w:val="004018C1"/>
    <w:rsid w:val="00402CF9"/>
    <w:rsid w:val="0040450C"/>
    <w:rsid w:val="00405780"/>
    <w:rsid w:val="00407D19"/>
    <w:rsid w:val="00410A5A"/>
    <w:rsid w:val="00410DAB"/>
    <w:rsid w:val="004135BC"/>
    <w:rsid w:val="004172EA"/>
    <w:rsid w:val="00417F55"/>
    <w:rsid w:val="00420432"/>
    <w:rsid w:val="00421063"/>
    <w:rsid w:val="004223D1"/>
    <w:rsid w:val="0042291D"/>
    <w:rsid w:val="004233D9"/>
    <w:rsid w:val="00425024"/>
    <w:rsid w:val="0042568C"/>
    <w:rsid w:val="0042627D"/>
    <w:rsid w:val="00426CD1"/>
    <w:rsid w:val="00430A18"/>
    <w:rsid w:val="00431A38"/>
    <w:rsid w:val="00432788"/>
    <w:rsid w:val="00433393"/>
    <w:rsid w:val="00435697"/>
    <w:rsid w:val="004364AC"/>
    <w:rsid w:val="00442632"/>
    <w:rsid w:val="004435DD"/>
    <w:rsid w:val="0044483A"/>
    <w:rsid w:val="00445A20"/>
    <w:rsid w:val="004460B2"/>
    <w:rsid w:val="00446CE5"/>
    <w:rsid w:val="00446E44"/>
    <w:rsid w:val="00447FE9"/>
    <w:rsid w:val="00450FC4"/>
    <w:rsid w:val="00451052"/>
    <w:rsid w:val="00451D08"/>
    <w:rsid w:val="00451FB0"/>
    <w:rsid w:val="00451FB4"/>
    <w:rsid w:val="0045386A"/>
    <w:rsid w:val="004548AD"/>
    <w:rsid w:val="00454F4B"/>
    <w:rsid w:val="004556D1"/>
    <w:rsid w:val="00455767"/>
    <w:rsid w:val="0045657A"/>
    <w:rsid w:val="00457444"/>
    <w:rsid w:val="004608FD"/>
    <w:rsid w:val="004611C3"/>
    <w:rsid w:val="004615E5"/>
    <w:rsid w:val="0046311F"/>
    <w:rsid w:val="00463A33"/>
    <w:rsid w:val="00464782"/>
    <w:rsid w:val="004672E6"/>
    <w:rsid w:val="00467B37"/>
    <w:rsid w:val="00470299"/>
    <w:rsid w:val="004707CF"/>
    <w:rsid w:val="00470CEA"/>
    <w:rsid w:val="004716E0"/>
    <w:rsid w:val="00472D7E"/>
    <w:rsid w:val="0047366E"/>
    <w:rsid w:val="004744A2"/>
    <w:rsid w:val="00474D3C"/>
    <w:rsid w:val="00474DF2"/>
    <w:rsid w:val="004756D9"/>
    <w:rsid w:val="00477055"/>
    <w:rsid w:val="0047779A"/>
    <w:rsid w:val="00480129"/>
    <w:rsid w:val="00480B88"/>
    <w:rsid w:val="00481D5D"/>
    <w:rsid w:val="00482AD5"/>
    <w:rsid w:val="00482DF8"/>
    <w:rsid w:val="00483DEA"/>
    <w:rsid w:val="00485D65"/>
    <w:rsid w:val="00485E6A"/>
    <w:rsid w:val="004865B9"/>
    <w:rsid w:val="0049278B"/>
    <w:rsid w:val="0049288F"/>
    <w:rsid w:val="00492E3F"/>
    <w:rsid w:val="00493A1B"/>
    <w:rsid w:val="00494839"/>
    <w:rsid w:val="00494935"/>
    <w:rsid w:val="004958B9"/>
    <w:rsid w:val="004A0D52"/>
    <w:rsid w:val="004A0D92"/>
    <w:rsid w:val="004A1FAD"/>
    <w:rsid w:val="004A25C8"/>
    <w:rsid w:val="004A3C9F"/>
    <w:rsid w:val="004A4263"/>
    <w:rsid w:val="004A7174"/>
    <w:rsid w:val="004B14E7"/>
    <w:rsid w:val="004B1C35"/>
    <w:rsid w:val="004B1F18"/>
    <w:rsid w:val="004B2C63"/>
    <w:rsid w:val="004B340A"/>
    <w:rsid w:val="004B4C58"/>
    <w:rsid w:val="004B5263"/>
    <w:rsid w:val="004B53B0"/>
    <w:rsid w:val="004B553B"/>
    <w:rsid w:val="004B5706"/>
    <w:rsid w:val="004B7B2B"/>
    <w:rsid w:val="004B7DE1"/>
    <w:rsid w:val="004C0922"/>
    <w:rsid w:val="004C1374"/>
    <w:rsid w:val="004C1E47"/>
    <w:rsid w:val="004C21F3"/>
    <w:rsid w:val="004C3D62"/>
    <w:rsid w:val="004C6136"/>
    <w:rsid w:val="004C69D9"/>
    <w:rsid w:val="004C6BB2"/>
    <w:rsid w:val="004C73D8"/>
    <w:rsid w:val="004D01E2"/>
    <w:rsid w:val="004D04D7"/>
    <w:rsid w:val="004D0C86"/>
    <w:rsid w:val="004D16C6"/>
    <w:rsid w:val="004D23FE"/>
    <w:rsid w:val="004D2A48"/>
    <w:rsid w:val="004D3CDD"/>
    <w:rsid w:val="004D4C4E"/>
    <w:rsid w:val="004D5879"/>
    <w:rsid w:val="004D5ED4"/>
    <w:rsid w:val="004D6A7A"/>
    <w:rsid w:val="004E084C"/>
    <w:rsid w:val="004E3217"/>
    <w:rsid w:val="004E3FCA"/>
    <w:rsid w:val="004E450B"/>
    <w:rsid w:val="004E5ADD"/>
    <w:rsid w:val="004E5FF4"/>
    <w:rsid w:val="004E6ADF"/>
    <w:rsid w:val="004E7187"/>
    <w:rsid w:val="004E74B1"/>
    <w:rsid w:val="004E7665"/>
    <w:rsid w:val="004F2AF5"/>
    <w:rsid w:val="004F377A"/>
    <w:rsid w:val="004F3E76"/>
    <w:rsid w:val="004F516F"/>
    <w:rsid w:val="004F64C8"/>
    <w:rsid w:val="004F7573"/>
    <w:rsid w:val="004F7AEF"/>
    <w:rsid w:val="004F7B6A"/>
    <w:rsid w:val="00502DDA"/>
    <w:rsid w:val="00504545"/>
    <w:rsid w:val="00504C90"/>
    <w:rsid w:val="00506613"/>
    <w:rsid w:val="00511DD9"/>
    <w:rsid w:val="00513230"/>
    <w:rsid w:val="00515CBF"/>
    <w:rsid w:val="005164F5"/>
    <w:rsid w:val="00517202"/>
    <w:rsid w:val="00521928"/>
    <w:rsid w:val="005240BE"/>
    <w:rsid w:val="00524D7E"/>
    <w:rsid w:val="0052502B"/>
    <w:rsid w:val="0052555D"/>
    <w:rsid w:val="00527AD1"/>
    <w:rsid w:val="005325CD"/>
    <w:rsid w:val="0053290D"/>
    <w:rsid w:val="00533071"/>
    <w:rsid w:val="00535FBD"/>
    <w:rsid w:val="00537FD2"/>
    <w:rsid w:val="00540BD1"/>
    <w:rsid w:val="00540D91"/>
    <w:rsid w:val="0054176D"/>
    <w:rsid w:val="00544140"/>
    <w:rsid w:val="0054486B"/>
    <w:rsid w:val="00546486"/>
    <w:rsid w:val="00546CCE"/>
    <w:rsid w:val="005503AF"/>
    <w:rsid w:val="0055059C"/>
    <w:rsid w:val="00552D6F"/>
    <w:rsid w:val="00553547"/>
    <w:rsid w:val="005546D1"/>
    <w:rsid w:val="005547C6"/>
    <w:rsid w:val="0055566D"/>
    <w:rsid w:val="0055668E"/>
    <w:rsid w:val="0055711A"/>
    <w:rsid w:val="0056002B"/>
    <w:rsid w:val="00562BC3"/>
    <w:rsid w:val="005650CC"/>
    <w:rsid w:val="005669AF"/>
    <w:rsid w:val="0056780A"/>
    <w:rsid w:val="00567D4B"/>
    <w:rsid w:val="00567E67"/>
    <w:rsid w:val="00570832"/>
    <w:rsid w:val="00570B4C"/>
    <w:rsid w:val="00573DD5"/>
    <w:rsid w:val="0057471C"/>
    <w:rsid w:val="0057680F"/>
    <w:rsid w:val="00577BCC"/>
    <w:rsid w:val="0058055B"/>
    <w:rsid w:val="00581B50"/>
    <w:rsid w:val="0058398D"/>
    <w:rsid w:val="00583A4B"/>
    <w:rsid w:val="00584E7A"/>
    <w:rsid w:val="00585C99"/>
    <w:rsid w:val="005868A5"/>
    <w:rsid w:val="005869F2"/>
    <w:rsid w:val="0058792F"/>
    <w:rsid w:val="00587C87"/>
    <w:rsid w:val="00590D41"/>
    <w:rsid w:val="0059178A"/>
    <w:rsid w:val="00592CAF"/>
    <w:rsid w:val="00594739"/>
    <w:rsid w:val="005956E0"/>
    <w:rsid w:val="00596811"/>
    <w:rsid w:val="005A031C"/>
    <w:rsid w:val="005A1BF2"/>
    <w:rsid w:val="005A2455"/>
    <w:rsid w:val="005A353B"/>
    <w:rsid w:val="005A3BE5"/>
    <w:rsid w:val="005A417B"/>
    <w:rsid w:val="005A6198"/>
    <w:rsid w:val="005A620B"/>
    <w:rsid w:val="005B02CC"/>
    <w:rsid w:val="005B1E97"/>
    <w:rsid w:val="005B2424"/>
    <w:rsid w:val="005B2F6D"/>
    <w:rsid w:val="005B329B"/>
    <w:rsid w:val="005B3520"/>
    <w:rsid w:val="005B384B"/>
    <w:rsid w:val="005B4FCB"/>
    <w:rsid w:val="005B66B4"/>
    <w:rsid w:val="005B6ADC"/>
    <w:rsid w:val="005B7AF4"/>
    <w:rsid w:val="005B7EF8"/>
    <w:rsid w:val="005C13C0"/>
    <w:rsid w:val="005C18AF"/>
    <w:rsid w:val="005C22CD"/>
    <w:rsid w:val="005C4197"/>
    <w:rsid w:val="005C4275"/>
    <w:rsid w:val="005C5AA8"/>
    <w:rsid w:val="005C68AF"/>
    <w:rsid w:val="005C6DE3"/>
    <w:rsid w:val="005D2888"/>
    <w:rsid w:val="005D44F3"/>
    <w:rsid w:val="005D4D38"/>
    <w:rsid w:val="005D564D"/>
    <w:rsid w:val="005D58E1"/>
    <w:rsid w:val="005D78CA"/>
    <w:rsid w:val="005D7ACA"/>
    <w:rsid w:val="005D7D3E"/>
    <w:rsid w:val="005D7F71"/>
    <w:rsid w:val="005E0016"/>
    <w:rsid w:val="005E1924"/>
    <w:rsid w:val="005E2AD2"/>
    <w:rsid w:val="005E466A"/>
    <w:rsid w:val="005E50C2"/>
    <w:rsid w:val="005E5D14"/>
    <w:rsid w:val="005E5F43"/>
    <w:rsid w:val="005F0BFF"/>
    <w:rsid w:val="005F1FC0"/>
    <w:rsid w:val="005F2106"/>
    <w:rsid w:val="005F2A43"/>
    <w:rsid w:val="005F4FEC"/>
    <w:rsid w:val="005F5924"/>
    <w:rsid w:val="005F5CA6"/>
    <w:rsid w:val="005F6E7B"/>
    <w:rsid w:val="0060229E"/>
    <w:rsid w:val="00602C83"/>
    <w:rsid w:val="00604CF9"/>
    <w:rsid w:val="00612922"/>
    <w:rsid w:val="00613E15"/>
    <w:rsid w:val="00615419"/>
    <w:rsid w:val="00615A83"/>
    <w:rsid w:val="006163D8"/>
    <w:rsid w:val="00616E99"/>
    <w:rsid w:val="00617B20"/>
    <w:rsid w:val="00620751"/>
    <w:rsid w:val="00622A28"/>
    <w:rsid w:val="0062415A"/>
    <w:rsid w:val="00625FA9"/>
    <w:rsid w:val="006261C5"/>
    <w:rsid w:val="0062628A"/>
    <w:rsid w:val="00626D67"/>
    <w:rsid w:val="00626E71"/>
    <w:rsid w:val="00627E09"/>
    <w:rsid w:val="006327FE"/>
    <w:rsid w:val="00632CE1"/>
    <w:rsid w:val="006340DA"/>
    <w:rsid w:val="00634713"/>
    <w:rsid w:val="006347B2"/>
    <w:rsid w:val="00636454"/>
    <w:rsid w:val="0063724A"/>
    <w:rsid w:val="006414A2"/>
    <w:rsid w:val="0064260F"/>
    <w:rsid w:val="00642DDE"/>
    <w:rsid w:val="00643DE3"/>
    <w:rsid w:val="00644880"/>
    <w:rsid w:val="00645B6D"/>
    <w:rsid w:val="00646EA3"/>
    <w:rsid w:val="00647226"/>
    <w:rsid w:val="0065105C"/>
    <w:rsid w:val="0065391C"/>
    <w:rsid w:val="006540A7"/>
    <w:rsid w:val="00656ABA"/>
    <w:rsid w:val="0066085D"/>
    <w:rsid w:val="00660F7A"/>
    <w:rsid w:val="006619E7"/>
    <w:rsid w:val="0066235F"/>
    <w:rsid w:val="00662774"/>
    <w:rsid w:val="00662877"/>
    <w:rsid w:val="00662CF2"/>
    <w:rsid w:val="00663B2E"/>
    <w:rsid w:val="00664C15"/>
    <w:rsid w:val="00664F8B"/>
    <w:rsid w:val="00665018"/>
    <w:rsid w:val="006651E5"/>
    <w:rsid w:val="006658DA"/>
    <w:rsid w:val="00666034"/>
    <w:rsid w:val="00670D58"/>
    <w:rsid w:val="00672B2F"/>
    <w:rsid w:val="00672E84"/>
    <w:rsid w:val="006746AC"/>
    <w:rsid w:val="00674A06"/>
    <w:rsid w:val="00674E11"/>
    <w:rsid w:val="006752EA"/>
    <w:rsid w:val="00676DB0"/>
    <w:rsid w:val="006824AA"/>
    <w:rsid w:val="006825D4"/>
    <w:rsid w:val="00682781"/>
    <w:rsid w:val="00685F09"/>
    <w:rsid w:val="00690684"/>
    <w:rsid w:val="006923D2"/>
    <w:rsid w:val="0069452B"/>
    <w:rsid w:val="006945FF"/>
    <w:rsid w:val="00694DB0"/>
    <w:rsid w:val="00695072"/>
    <w:rsid w:val="00695470"/>
    <w:rsid w:val="00696538"/>
    <w:rsid w:val="00696873"/>
    <w:rsid w:val="006A07AE"/>
    <w:rsid w:val="006A2117"/>
    <w:rsid w:val="006A27F5"/>
    <w:rsid w:val="006A3C76"/>
    <w:rsid w:val="006A5932"/>
    <w:rsid w:val="006A60F5"/>
    <w:rsid w:val="006A7CAC"/>
    <w:rsid w:val="006B1231"/>
    <w:rsid w:val="006B18A0"/>
    <w:rsid w:val="006B1F85"/>
    <w:rsid w:val="006B1FD2"/>
    <w:rsid w:val="006B2E17"/>
    <w:rsid w:val="006B4FF1"/>
    <w:rsid w:val="006B55D2"/>
    <w:rsid w:val="006B6437"/>
    <w:rsid w:val="006B79F3"/>
    <w:rsid w:val="006C11A9"/>
    <w:rsid w:val="006C242D"/>
    <w:rsid w:val="006C3018"/>
    <w:rsid w:val="006C31F6"/>
    <w:rsid w:val="006C4D6C"/>
    <w:rsid w:val="006C596D"/>
    <w:rsid w:val="006C7CA1"/>
    <w:rsid w:val="006D011E"/>
    <w:rsid w:val="006D1552"/>
    <w:rsid w:val="006D15B9"/>
    <w:rsid w:val="006D2914"/>
    <w:rsid w:val="006D2B17"/>
    <w:rsid w:val="006D30B6"/>
    <w:rsid w:val="006D4351"/>
    <w:rsid w:val="006D5BF7"/>
    <w:rsid w:val="006D6093"/>
    <w:rsid w:val="006D64BE"/>
    <w:rsid w:val="006E0044"/>
    <w:rsid w:val="006E1E73"/>
    <w:rsid w:val="006E2BDC"/>
    <w:rsid w:val="006E313E"/>
    <w:rsid w:val="006E35D8"/>
    <w:rsid w:val="006E3A6C"/>
    <w:rsid w:val="006E4BC2"/>
    <w:rsid w:val="006E53FD"/>
    <w:rsid w:val="006E61CF"/>
    <w:rsid w:val="006E70F1"/>
    <w:rsid w:val="006E73EC"/>
    <w:rsid w:val="006F4316"/>
    <w:rsid w:val="006F4B22"/>
    <w:rsid w:val="006F51AD"/>
    <w:rsid w:val="006F5EB6"/>
    <w:rsid w:val="006F613A"/>
    <w:rsid w:val="006F6631"/>
    <w:rsid w:val="007005D0"/>
    <w:rsid w:val="00700A50"/>
    <w:rsid w:val="00700DEF"/>
    <w:rsid w:val="00701502"/>
    <w:rsid w:val="007017B4"/>
    <w:rsid w:val="00702416"/>
    <w:rsid w:val="00702458"/>
    <w:rsid w:val="00703060"/>
    <w:rsid w:val="00706D40"/>
    <w:rsid w:val="007119ED"/>
    <w:rsid w:val="0071231A"/>
    <w:rsid w:val="007129E7"/>
    <w:rsid w:val="00713AF0"/>
    <w:rsid w:val="007146B5"/>
    <w:rsid w:val="007153D7"/>
    <w:rsid w:val="007157A0"/>
    <w:rsid w:val="00716AB6"/>
    <w:rsid w:val="00716AEC"/>
    <w:rsid w:val="00717C66"/>
    <w:rsid w:val="00717E4B"/>
    <w:rsid w:val="007218BD"/>
    <w:rsid w:val="00721C86"/>
    <w:rsid w:val="00721FA8"/>
    <w:rsid w:val="007239BB"/>
    <w:rsid w:val="00726780"/>
    <w:rsid w:val="00726B3B"/>
    <w:rsid w:val="00726CF1"/>
    <w:rsid w:val="007315E7"/>
    <w:rsid w:val="00732D2F"/>
    <w:rsid w:val="0073317B"/>
    <w:rsid w:val="00733F55"/>
    <w:rsid w:val="00736E89"/>
    <w:rsid w:val="007408CD"/>
    <w:rsid w:val="00741308"/>
    <w:rsid w:val="0074166D"/>
    <w:rsid w:val="00741781"/>
    <w:rsid w:val="00741BE8"/>
    <w:rsid w:val="0074675C"/>
    <w:rsid w:val="00750282"/>
    <w:rsid w:val="007522E7"/>
    <w:rsid w:val="00752CF2"/>
    <w:rsid w:val="00752E63"/>
    <w:rsid w:val="00756EBF"/>
    <w:rsid w:val="00760AB5"/>
    <w:rsid w:val="00760F02"/>
    <w:rsid w:val="00761EA6"/>
    <w:rsid w:val="00762206"/>
    <w:rsid w:val="00762387"/>
    <w:rsid w:val="007647AC"/>
    <w:rsid w:val="00764C09"/>
    <w:rsid w:val="00764ED9"/>
    <w:rsid w:val="00765CCF"/>
    <w:rsid w:val="007666DC"/>
    <w:rsid w:val="00766C01"/>
    <w:rsid w:val="007705B1"/>
    <w:rsid w:val="0077151A"/>
    <w:rsid w:val="00773261"/>
    <w:rsid w:val="00775277"/>
    <w:rsid w:val="00777140"/>
    <w:rsid w:val="00780240"/>
    <w:rsid w:val="00783D45"/>
    <w:rsid w:val="00786254"/>
    <w:rsid w:val="00790007"/>
    <w:rsid w:val="00790CAC"/>
    <w:rsid w:val="00793F11"/>
    <w:rsid w:val="00795169"/>
    <w:rsid w:val="007953A0"/>
    <w:rsid w:val="00796061"/>
    <w:rsid w:val="007961F2"/>
    <w:rsid w:val="007965F2"/>
    <w:rsid w:val="0079781D"/>
    <w:rsid w:val="007A0276"/>
    <w:rsid w:val="007A033C"/>
    <w:rsid w:val="007A0C35"/>
    <w:rsid w:val="007A0FDA"/>
    <w:rsid w:val="007A2DFF"/>
    <w:rsid w:val="007A35D8"/>
    <w:rsid w:val="007A3C14"/>
    <w:rsid w:val="007A3E1A"/>
    <w:rsid w:val="007A6350"/>
    <w:rsid w:val="007A65A9"/>
    <w:rsid w:val="007B1FF2"/>
    <w:rsid w:val="007B2FBC"/>
    <w:rsid w:val="007B431B"/>
    <w:rsid w:val="007B44E8"/>
    <w:rsid w:val="007B4F68"/>
    <w:rsid w:val="007B5FC6"/>
    <w:rsid w:val="007B7CA2"/>
    <w:rsid w:val="007C01E6"/>
    <w:rsid w:val="007C2076"/>
    <w:rsid w:val="007C3F15"/>
    <w:rsid w:val="007C4BE1"/>
    <w:rsid w:val="007C503F"/>
    <w:rsid w:val="007C5E2C"/>
    <w:rsid w:val="007C6489"/>
    <w:rsid w:val="007D01E5"/>
    <w:rsid w:val="007D0221"/>
    <w:rsid w:val="007D047C"/>
    <w:rsid w:val="007D1DEB"/>
    <w:rsid w:val="007D3453"/>
    <w:rsid w:val="007D4483"/>
    <w:rsid w:val="007D7BBF"/>
    <w:rsid w:val="007E183F"/>
    <w:rsid w:val="007E2843"/>
    <w:rsid w:val="007E52A9"/>
    <w:rsid w:val="007E5508"/>
    <w:rsid w:val="007E5EB7"/>
    <w:rsid w:val="007E6D4E"/>
    <w:rsid w:val="007F1EB2"/>
    <w:rsid w:val="007F208E"/>
    <w:rsid w:val="007F20FF"/>
    <w:rsid w:val="007F4D3F"/>
    <w:rsid w:val="007F528F"/>
    <w:rsid w:val="007F5EED"/>
    <w:rsid w:val="007F6511"/>
    <w:rsid w:val="008055CF"/>
    <w:rsid w:val="0080747A"/>
    <w:rsid w:val="00807A97"/>
    <w:rsid w:val="008104A2"/>
    <w:rsid w:val="0081199C"/>
    <w:rsid w:val="00813C59"/>
    <w:rsid w:val="00814BD3"/>
    <w:rsid w:val="00815C54"/>
    <w:rsid w:val="00824CBC"/>
    <w:rsid w:val="00825CB1"/>
    <w:rsid w:val="008260B5"/>
    <w:rsid w:val="008265FD"/>
    <w:rsid w:val="00830997"/>
    <w:rsid w:val="00833B13"/>
    <w:rsid w:val="0083630B"/>
    <w:rsid w:val="008367A0"/>
    <w:rsid w:val="008409D8"/>
    <w:rsid w:val="0084154A"/>
    <w:rsid w:val="008431EE"/>
    <w:rsid w:val="008436A7"/>
    <w:rsid w:val="00844BEA"/>
    <w:rsid w:val="0084699C"/>
    <w:rsid w:val="00846BE8"/>
    <w:rsid w:val="008501D1"/>
    <w:rsid w:val="00850FB3"/>
    <w:rsid w:val="00851E36"/>
    <w:rsid w:val="0085237A"/>
    <w:rsid w:val="00853298"/>
    <w:rsid w:val="008537C1"/>
    <w:rsid w:val="008539E7"/>
    <w:rsid w:val="00853DF0"/>
    <w:rsid w:val="0085514E"/>
    <w:rsid w:val="00856CFB"/>
    <w:rsid w:val="00856DA7"/>
    <w:rsid w:val="008622BA"/>
    <w:rsid w:val="008648EA"/>
    <w:rsid w:val="00865112"/>
    <w:rsid w:val="00866BA6"/>
    <w:rsid w:val="00867073"/>
    <w:rsid w:val="00867A3C"/>
    <w:rsid w:val="00867B12"/>
    <w:rsid w:val="00867D71"/>
    <w:rsid w:val="00870836"/>
    <w:rsid w:val="0087084D"/>
    <w:rsid w:val="00871EF5"/>
    <w:rsid w:val="00874C1F"/>
    <w:rsid w:val="00874D71"/>
    <w:rsid w:val="00876692"/>
    <w:rsid w:val="00876777"/>
    <w:rsid w:val="0087752D"/>
    <w:rsid w:val="00880548"/>
    <w:rsid w:val="00881831"/>
    <w:rsid w:val="00881B82"/>
    <w:rsid w:val="00882E4A"/>
    <w:rsid w:val="00885BE0"/>
    <w:rsid w:val="008860A7"/>
    <w:rsid w:val="008865D2"/>
    <w:rsid w:val="00886EB8"/>
    <w:rsid w:val="00890DD5"/>
    <w:rsid w:val="00893A4D"/>
    <w:rsid w:val="00895573"/>
    <w:rsid w:val="008955DD"/>
    <w:rsid w:val="00896596"/>
    <w:rsid w:val="00896AD1"/>
    <w:rsid w:val="00896B91"/>
    <w:rsid w:val="00896E48"/>
    <w:rsid w:val="008A048C"/>
    <w:rsid w:val="008A0E39"/>
    <w:rsid w:val="008A2667"/>
    <w:rsid w:val="008A34E6"/>
    <w:rsid w:val="008A3BB2"/>
    <w:rsid w:val="008A4BB2"/>
    <w:rsid w:val="008A4F71"/>
    <w:rsid w:val="008A6AA6"/>
    <w:rsid w:val="008A72C5"/>
    <w:rsid w:val="008A7536"/>
    <w:rsid w:val="008A7A37"/>
    <w:rsid w:val="008A7F71"/>
    <w:rsid w:val="008B018A"/>
    <w:rsid w:val="008B2879"/>
    <w:rsid w:val="008B325E"/>
    <w:rsid w:val="008B3D95"/>
    <w:rsid w:val="008B41AA"/>
    <w:rsid w:val="008B4C3B"/>
    <w:rsid w:val="008B533F"/>
    <w:rsid w:val="008B64CC"/>
    <w:rsid w:val="008B6902"/>
    <w:rsid w:val="008B7377"/>
    <w:rsid w:val="008C09AA"/>
    <w:rsid w:val="008C1358"/>
    <w:rsid w:val="008C26F9"/>
    <w:rsid w:val="008C33AE"/>
    <w:rsid w:val="008C5C69"/>
    <w:rsid w:val="008C6E88"/>
    <w:rsid w:val="008D05B6"/>
    <w:rsid w:val="008D0E1C"/>
    <w:rsid w:val="008D398D"/>
    <w:rsid w:val="008D3EA2"/>
    <w:rsid w:val="008D45AC"/>
    <w:rsid w:val="008D68C8"/>
    <w:rsid w:val="008D693D"/>
    <w:rsid w:val="008E0D3D"/>
    <w:rsid w:val="008E1269"/>
    <w:rsid w:val="008E1937"/>
    <w:rsid w:val="008E1AE3"/>
    <w:rsid w:val="008E2E46"/>
    <w:rsid w:val="008E4CB3"/>
    <w:rsid w:val="008E50A9"/>
    <w:rsid w:val="008E5AF7"/>
    <w:rsid w:val="008F04C5"/>
    <w:rsid w:val="008F0DA8"/>
    <w:rsid w:val="008F0F87"/>
    <w:rsid w:val="008F13B9"/>
    <w:rsid w:val="008F1E1A"/>
    <w:rsid w:val="008F292C"/>
    <w:rsid w:val="008F56EA"/>
    <w:rsid w:val="008F752C"/>
    <w:rsid w:val="00903411"/>
    <w:rsid w:val="00905981"/>
    <w:rsid w:val="00907131"/>
    <w:rsid w:val="00907E7E"/>
    <w:rsid w:val="00910FA5"/>
    <w:rsid w:val="00914773"/>
    <w:rsid w:val="00915B64"/>
    <w:rsid w:val="00921E33"/>
    <w:rsid w:val="009221FE"/>
    <w:rsid w:val="009222CF"/>
    <w:rsid w:val="0092506B"/>
    <w:rsid w:val="00927820"/>
    <w:rsid w:val="009304B8"/>
    <w:rsid w:val="00930952"/>
    <w:rsid w:val="00931769"/>
    <w:rsid w:val="00932E47"/>
    <w:rsid w:val="0093458E"/>
    <w:rsid w:val="00936D74"/>
    <w:rsid w:val="00937E58"/>
    <w:rsid w:val="00940638"/>
    <w:rsid w:val="00941030"/>
    <w:rsid w:val="00941080"/>
    <w:rsid w:val="00942951"/>
    <w:rsid w:val="00943283"/>
    <w:rsid w:val="009436D0"/>
    <w:rsid w:val="00943B1A"/>
    <w:rsid w:val="009448FA"/>
    <w:rsid w:val="009456AF"/>
    <w:rsid w:val="009459D2"/>
    <w:rsid w:val="009477C8"/>
    <w:rsid w:val="00947951"/>
    <w:rsid w:val="00951387"/>
    <w:rsid w:val="00952127"/>
    <w:rsid w:val="00952CCE"/>
    <w:rsid w:val="00954A38"/>
    <w:rsid w:val="009569A7"/>
    <w:rsid w:val="0095722B"/>
    <w:rsid w:val="00957708"/>
    <w:rsid w:val="0096690F"/>
    <w:rsid w:val="009714A0"/>
    <w:rsid w:val="00971D66"/>
    <w:rsid w:val="00972AE8"/>
    <w:rsid w:val="009752E3"/>
    <w:rsid w:val="009764D7"/>
    <w:rsid w:val="009778F1"/>
    <w:rsid w:val="00977E5A"/>
    <w:rsid w:val="009828F2"/>
    <w:rsid w:val="00982F51"/>
    <w:rsid w:val="009839C0"/>
    <w:rsid w:val="0098558E"/>
    <w:rsid w:val="009905BB"/>
    <w:rsid w:val="009929D2"/>
    <w:rsid w:val="00992D21"/>
    <w:rsid w:val="00993856"/>
    <w:rsid w:val="009940FE"/>
    <w:rsid w:val="00994E76"/>
    <w:rsid w:val="00997573"/>
    <w:rsid w:val="009A0865"/>
    <w:rsid w:val="009A2642"/>
    <w:rsid w:val="009A2DEF"/>
    <w:rsid w:val="009A431B"/>
    <w:rsid w:val="009A44F3"/>
    <w:rsid w:val="009A7C7B"/>
    <w:rsid w:val="009B0B62"/>
    <w:rsid w:val="009B0E70"/>
    <w:rsid w:val="009B1DC2"/>
    <w:rsid w:val="009B3E90"/>
    <w:rsid w:val="009B4B09"/>
    <w:rsid w:val="009B58CC"/>
    <w:rsid w:val="009B7B18"/>
    <w:rsid w:val="009C018A"/>
    <w:rsid w:val="009C0590"/>
    <w:rsid w:val="009C1171"/>
    <w:rsid w:val="009C1CBE"/>
    <w:rsid w:val="009C250E"/>
    <w:rsid w:val="009C32F8"/>
    <w:rsid w:val="009C447E"/>
    <w:rsid w:val="009C602D"/>
    <w:rsid w:val="009C64CB"/>
    <w:rsid w:val="009C71F4"/>
    <w:rsid w:val="009C77D6"/>
    <w:rsid w:val="009D1395"/>
    <w:rsid w:val="009D13CE"/>
    <w:rsid w:val="009D34CE"/>
    <w:rsid w:val="009D433C"/>
    <w:rsid w:val="009D637C"/>
    <w:rsid w:val="009D6C65"/>
    <w:rsid w:val="009D6F3B"/>
    <w:rsid w:val="009E0037"/>
    <w:rsid w:val="009E1452"/>
    <w:rsid w:val="009E1C1C"/>
    <w:rsid w:val="009E1CF2"/>
    <w:rsid w:val="009E1E04"/>
    <w:rsid w:val="009E2254"/>
    <w:rsid w:val="009E29FF"/>
    <w:rsid w:val="009E3D61"/>
    <w:rsid w:val="009E3F7A"/>
    <w:rsid w:val="009E42AE"/>
    <w:rsid w:val="009E4777"/>
    <w:rsid w:val="009E7169"/>
    <w:rsid w:val="009F0E27"/>
    <w:rsid w:val="009F11F0"/>
    <w:rsid w:val="009F186E"/>
    <w:rsid w:val="009F2060"/>
    <w:rsid w:val="009F3220"/>
    <w:rsid w:val="009F35B0"/>
    <w:rsid w:val="009F3E84"/>
    <w:rsid w:val="009F4B52"/>
    <w:rsid w:val="009F4DBC"/>
    <w:rsid w:val="009F5EF8"/>
    <w:rsid w:val="00A001C4"/>
    <w:rsid w:val="00A0090E"/>
    <w:rsid w:val="00A00D40"/>
    <w:rsid w:val="00A01101"/>
    <w:rsid w:val="00A01390"/>
    <w:rsid w:val="00A01662"/>
    <w:rsid w:val="00A0360F"/>
    <w:rsid w:val="00A03830"/>
    <w:rsid w:val="00A05824"/>
    <w:rsid w:val="00A07BFE"/>
    <w:rsid w:val="00A1114A"/>
    <w:rsid w:val="00A116E1"/>
    <w:rsid w:val="00A12426"/>
    <w:rsid w:val="00A128A6"/>
    <w:rsid w:val="00A134A8"/>
    <w:rsid w:val="00A14B23"/>
    <w:rsid w:val="00A17E15"/>
    <w:rsid w:val="00A17EAC"/>
    <w:rsid w:val="00A20DAA"/>
    <w:rsid w:val="00A22CD0"/>
    <w:rsid w:val="00A24787"/>
    <w:rsid w:val="00A25AAE"/>
    <w:rsid w:val="00A262E7"/>
    <w:rsid w:val="00A263C2"/>
    <w:rsid w:val="00A27728"/>
    <w:rsid w:val="00A27BEE"/>
    <w:rsid w:val="00A300C9"/>
    <w:rsid w:val="00A323A0"/>
    <w:rsid w:val="00A3499F"/>
    <w:rsid w:val="00A3556F"/>
    <w:rsid w:val="00A355D8"/>
    <w:rsid w:val="00A35778"/>
    <w:rsid w:val="00A3606C"/>
    <w:rsid w:val="00A36BB5"/>
    <w:rsid w:val="00A3729E"/>
    <w:rsid w:val="00A37723"/>
    <w:rsid w:val="00A37A44"/>
    <w:rsid w:val="00A40C77"/>
    <w:rsid w:val="00A414D5"/>
    <w:rsid w:val="00A41AC4"/>
    <w:rsid w:val="00A41E5D"/>
    <w:rsid w:val="00A438B5"/>
    <w:rsid w:val="00A43D63"/>
    <w:rsid w:val="00A452EE"/>
    <w:rsid w:val="00A46CC3"/>
    <w:rsid w:val="00A478F0"/>
    <w:rsid w:val="00A51203"/>
    <w:rsid w:val="00A52202"/>
    <w:rsid w:val="00A5357D"/>
    <w:rsid w:val="00A53DB2"/>
    <w:rsid w:val="00A569C5"/>
    <w:rsid w:val="00A60645"/>
    <w:rsid w:val="00A62590"/>
    <w:rsid w:val="00A62790"/>
    <w:rsid w:val="00A652A5"/>
    <w:rsid w:val="00A65864"/>
    <w:rsid w:val="00A65999"/>
    <w:rsid w:val="00A65F97"/>
    <w:rsid w:val="00A66892"/>
    <w:rsid w:val="00A66DBD"/>
    <w:rsid w:val="00A7076B"/>
    <w:rsid w:val="00A7097F"/>
    <w:rsid w:val="00A73BC4"/>
    <w:rsid w:val="00A76978"/>
    <w:rsid w:val="00A76C1A"/>
    <w:rsid w:val="00A7792B"/>
    <w:rsid w:val="00A80EC6"/>
    <w:rsid w:val="00A8101E"/>
    <w:rsid w:val="00A812B9"/>
    <w:rsid w:val="00A81396"/>
    <w:rsid w:val="00A81D81"/>
    <w:rsid w:val="00A81EAC"/>
    <w:rsid w:val="00A82567"/>
    <w:rsid w:val="00A83789"/>
    <w:rsid w:val="00A83CEA"/>
    <w:rsid w:val="00A83D94"/>
    <w:rsid w:val="00A84087"/>
    <w:rsid w:val="00A84B1A"/>
    <w:rsid w:val="00A85333"/>
    <w:rsid w:val="00A86276"/>
    <w:rsid w:val="00A862C9"/>
    <w:rsid w:val="00A90390"/>
    <w:rsid w:val="00A90980"/>
    <w:rsid w:val="00A90D62"/>
    <w:rsid w:val="00A912ED"/>
    <w:rsid w:val="00A9495D"/>
    <w:rsid w:val="00A94F1B"/>
    <w:rsid w:val="00A9536C"/>
    <w:rsid w:val="00A969EF"/>
    <w:rsid w:val="00A97941"/>
    <w:rsid w:val="00A97DEF"/>
    <w:rsid w:val="00A97DFA"/>
    <w:rsid w:val="00AA173F"/>
    <w:rsid w:val="00AA1DE8"/>
    <w:rsid w:val="00AA405E"/>
    <w:rsid w:val="00AA5F84"/>
    <w:rsid w:val="00AA718C"/>
    <w:rsid w:val="00AA71A3"/>
    <w:rsid w:val="00AB067C"/>
    <w:rsid w:val="00AB0F98"/>
    <w:rsid w:val="00AB1D5C"/>
    <w:rsid w:val="00AB2530"/>
    <w:rsid w:val="00AB2EB8"/>
    <w:rsid w:val="00AB31D8"/>
    <w:rsid w:val="00AB5001"/>
    <w:rsid w:val="00AB6870"/>
    <w:rsid w:val="00AC0555"/>
    <w:rsid w:val="00AC0F1F"/>
    <w:rsid w:val="00AC3B2F"/>
    <w:rsid w:val="00AC3DA9"/>
    <w:rsid w:val="00AC4E69"/>
    <w:rsid w:val="00AC500D"/>
    <w:rsid w:val="00AC59A7"/>
    <w:rsid w:val="00AC5A9D"/>
    <w:rsid w:val="00AC7225"/>
    <w:rsid w:val="00AD0780"/>
    <w:rsid w:val="00AD1E5F"/>
    <w:rsid w:val="00AD303C"/>
    <w:rsid w:val="00AD41F6"/>
    <w:rsid w:val="00AD479B"/>
    <w:rsid w:val="00AD4F28"/>
    <w:rsid w:val="00AD544D"/>
    <w:rsid w:val="00AE25BC"/>
    <w:rsid w:val="00AF0169"/>
    <w:rsid w:val="00AF2849"/>
    <w:rsid w:val="00AF2A9E"/>
    <w:rsid w:val="00AF2E9F"/>
    <w:rsid w:val="00AF37B2"/>
    <w:rsid w:val="00AF4C47"/>
    <w:rsid w:val="00AF4FC9"/>
    <w:rsid w:val="00AF53EB"/>
    <w:rsid w:val="00AF5689"/>
    <w:rsid w:val="00AF69A2"/>
    <w:rsid w:val="00AF6B5D"/>
    <w:rsid w:val="00B004B1"/>
    <w:rsid w:val="00B00CEC"/>
    <w:rsid w:val="00B01930"/>
    <w:rsid w:val="00B025EB"/>
    <w:rsid w:val="00B03079"/>
    <w:rsid w:val="00B033F2"/>
    <w:rsid w:val="00B05982"/>
    <w:rsid w:val="00B06AE4"/>
    <w:rsid w:val="00B06ED5"/>
    <w:rsid w:val="00B070B7"/>
    <w:rsid w:val="00B11327"/>
    <w:rsid w:val="00B12524"/>
    <w:rsid w:val="00B1338F"/>
    <w:rsid w:val="00B15956"/>
    <w:rsid w:val="00B1641E"/>
    <w:rsid w:val="00B17513"/>
    <w:rsid w:val="00B20EFF"/>
    <w:rsid w:val="00B21137"/>
    <w:rsid w:val="00B23481"/>
    <w:rsid w:val="00B23649"/>
    <w:rsid w:val="00B2438C"/>
    <w:rsid w:val="00B27329"/>
    <w:rsid w:val="00B27700"/>
    <w:rsid w:val="00B27FDB"/>
    <w:rsid w:val="00B3028D"/>
    <w:rsid w:val="00B32723"/>
    <w:rsid w:val="00B33CE5"/>
    <w:rsid w:val="00B3529C"/>
    <w:rsid w:val="00B36273"/>
    <w:rsid w:val="00B36814"/>
    <w:rsid w:val="00B40C1A"/>
    <w:rsid w:val="00B427C3"/>
    <w:rsid w:val="00B42A79"/>
    <w:rsid w:val="00B4319E"/>
    <w:rsid w:val="00B4355C"/>
    <w:rsid w:val="00B444C4"/>
    <w:rsid w:val="00B459D0"/>
    <w:rsid w:val="00B45D57"/>
    <w:rsid w:val="00B45F6D"/>
    <w:rsid w:val="00B469FE"/>
    <w:rsid w:val="00B471EC"/>
    <w:rsid w:val="00B502F8"/>
    <w:rsid w:val="00B50370"/>
    <w:rsid w:val="00B5046A"/>
    <w:rsid w:val="00B53673"/>
    <w:rsid w:val="00B55419"/>
    <w:rsid w:val="00B602AF"/>
    <w:rsid w:val="00B60E4B"/>
    <w:rsid w:val="00B63310"/>
    <w:rsid w:val="00B642DD"/>
    <w:rsid w:val="00B65AB9"/>
    <w:rsid w:val="00B6622D"/>
    <w:rsid w:val="00B665D5"/>
    <w:rsid w:val="00B67B00"/>
    <w:rsid w:val="00B67B2D"/>
    <w:rsid w:val="00B7141B"/>
    <w:rsid w:val="00B7307F"/>
    <w:rsid w:val="00B73148"/>
    <w:rsid w:val="00B76CFB"/>
    <w:rsid w:val="00B771B1"/>
    <w:rsid w:val="00B77344"/>
    <w:rsid w:val="00B776D9"/>
    <w:rsid w:val="00B80316"/>
    <w:rsid w:val="00B806AB"/>
    <w:rsid w:val="00B82118"/>
    <w:rsid w:val="00B825E2"/>
    <w:rsid w:val="00B82884"/>
    <w:rsid w:val="00B83445"/>
    <w:rsid w:val="00B848F1"/>
    <w:rsid w:val="00B84A41"/>
    <w:rsid w:val="00B85442"/>
    <w:rsid w:val="00B908D8"/>
    <w:rsid w:val="00B912DC"/>
    <w:rsid w:val="00B93071"/>
    <w:rsid w:val="00B930EB"/>
    <w:rsid w:val="00B9385A"/>
    <w:rsid w:val="00B963A6"/>
    <w:rsid w:val="00B96AE9"/>
    <w:rsid w:val="00B96FC0"/>
    <w:rsid w:val="00B97435"/>
    <w:rsid w:val="00BA158F"/>
    <w:rsid w:val="00BA247C"/>
    <w:rsid w:val="00BA3A3A"/>
    <w:rsid w:val="00BA44D3"/>
    <w:rsid w:val="00BA4ADC"/>
    <w:rsid w:val="00BA6447"/>
    <w:rsid w:val="00BA6781"/>
    <w:rsid w:val="00BA6B41"/>
    <w:rsid w:val="00BA6DC8"/>
    <w:rsid w:val="00BB0598"/>
    <w:rsid w:val="00BB1483"/>
    <w:rsid w:val="00BB2E67"/>
    <w:rsid w:val="00BB60B7"/>
    <w:rsid w:val="00BB6ED9"/>
    <w:rsid w:val="00BB7827"/>
    <w:rsid w:val="00BC2103"/>
    <w:rsid w:val="00BC3930"/>
    <w:rsid w:val="00BC4EE8"/>
    <w:rsid w:val="00BC586A"/>
    <w:rsid w:val="00BC6736"/>
    <w:rsid w:val="00BC7BB5"/>
    <w:rsid w:val="00BD0435"/>
    <w:rsid w:val="00BD2C02"/>
    <w:rsid w:val="00BD589B"/>
    <w:rsid w:val="00BD68EC"/>
    <w:rsid w:val="00BE166E"/>
    <w:rsid w:val="00BE2455"/>
    <w:rsid w:val="00BE34D3"/>
    <w:rsid w:val="00BE3CEB"/>
    <w:rsid w:val="00BE4424"/>
    <w:rsid w:val="00BE4AEF"/>
    <w:rsid w:val="00BE5317"/>
    <w:rsid w:val="00BE7A47"/>
    <w:rsid w:val="00BF23B8"/>
    <w:rsid w:val="00BF29C7"/>
    <w:rsid w:val="00BF3DD4"/>
    <w:rsid w:val="00BF411F"/>
    <w:rsid w:val="00BF6CA6"/>
    <w:rsid w:val="00BF7A63"/>
    <w:rsid w:val="00C000D6"/>
    <w:rsid w:val="00C00DC1"/>
    <w:rsid w:val="00C012EC"/>
    <w:rsid w:val="00C03780"/>
    <w:rsid w:val="00C046E4"/>
    <w:rsid w:val="00C04911"/>
    <w:rsid w:val="00C05206"/>
    <w:rsid w:val="00C060DC"/>
    <w:rsid w:val="00C064C9"/>
    <w:rsid w:val="00C06C3D"/>
    <w:rsid w:val="00C079F7"/>
    <w:rsid w:val="00C11BDD"/>
    <w:rsid w:val="00C13B3C"/>
    <w:rsid w:val="00C13EE4"/>
    <w:rsid w:val="00C14293"/>
    <w:rsid w:val="00C15094"/>
    <w:rsid w:val="00C16590"/>
    <w:rsid w:val="00C21941"/>
    <w:rsid w:val="00C22975"/>
    <w:rsid w:val="00C23113"/>
    <w:rsid w:val="00C24AC6"/>
    <w:rsid w:val="00C25C45"/>
    <w:rsid w:val="00C25CBC"/>
    <w:rsid w:val="00C25FF5"/>
    <w:rsid w:val="00C269CF"/>
    <w:rsid w:val="00C26F6D"/>
    <w:rsid w:val="00C274F7"/>
    <w:rsid w:val="00C2760D"/>
    <w:rsid w:val="00C2785B"/>
    <w:rsid w:val="00C31726"/>
    <w:rsid w:val="00C32A9F"/>
    <w:rsid w:val="00C35099"/>
    <w:rsid w:val="00C36141"/>
    <w:rsid w:val="00C36221"/>
    <w:rsid w:val="00C37228"/>
    <w:rsid w:val="00C37FE0"/>
    <w:rsid w:val="00C41F25"/>
    <w:rsid w:val="00C42DEB"/>
    <w:rsid w:val="00C42E7A"/>
    <w:rsid w:val="00C43999"/>
    <w:rsid w:val="00C43F47"/>
    <w:rsid w:val="00C51246"/>
    <w:rsid w:val="00C51415"/>
    <w:rsid w:val="00C545A9"/>
    <w:rsid w:val="00C55F9E"/>
    <w:rsid w:val="00C55FA5"/>
    <w:rsid w:val="00C5614E"/>
    <w:rsid w:val="00C5618F"/>
    <w:rsid w:val="00C630EA"/>
    <w:rsid w:val="00C64DE9"/>
    <w:rsid w:val="00C65991"/>
    <w:rsid w:val="00C67449"/>
    <w:rsid w:val="00C67D35"/>
    <w:rsid w:val="00C705D4"/>
    <w:rsid w:val="00C708F7"/>
    <w:rsid w:val="00C709BF"/>
    <w:rsid w:val="00C7180E"/>
    <w:rsid w:val="00C73B00"/>
    <w:rsid w:val="00C74587"/>
    <w:rsid w:val="00C74ECC"/>
    <w:rsid w:val="00C75E59"/>
    <w:rsid w:val="00C76940"/>
    <w:rsid w:val="00C76ABF"/>
    <w:rsid w:val="00C76F85"/>
    <w:rsid w:val="00C77CC1"/>
    <w:rsid w:val="00C83869"/>
    <w:rsid w:val="00C84404"/>
    <w:rsid w:val="00C847FD"/>
    <w:rsid w:val="00C84BA1"/>
    <w:rsid w:val="00C85499"/>
    <w:rsid w:val="00C85806"/>
    <w:rsid w:val="00C85900"/>
    <w:rsid w:val="00C85DCB"/>
    <w:rsid w:val="00C85F2A"/>
    <w:rsid w:val="00C86DFB"/>
    <w:rsid w:val="00C91427"/>
    <w:rsid w:val="00C91A13"/>
    <w:rsid w:val="00C92667"/>
    <w:rsid w:val="00C92A1C"/>
    <w:rsid w:val="00C93148"/>
    <w:rsid w:val="00C93563"/>
    <w:rsid w:val="00C93950"/>
    <w:rsid w:val="00C94F00"/>
    <w:rsid w:val="00C94FC4"/>
    <w:rsid w:val="00C95A2A"/>
    <w:rsid w:val="00C9724D"/>
    <w:rsid w:val="00CA05D9"/>
    <w:rsid w:val="00CA0C32"/>
    <w:rsid w:val="00CA65CD"/>
    <w:rsid w:val="00CA6959"/>
    <w:rsid w:val="00CB3BBF"/>
    <w:rsid w:val="00CB41C7"/>
    <w:rsid w:val="00CB480E"/>
    <w:rsid w:val="00CB54E2"/>
    <w:rsid w:val="00CB55E4"/>
    <w:rsid w:val="00CB561A"/>
    <w:rsid w:val="00CB5AC3"/>
    <w:rsid w:val="00CB5B32"/>
    <w:rsid w:val="00CB6044"/>
    <w:rsid w:val="00CB631E"/>
    <w:rsid w:val="00CB7649"/>
    <w:rsid w:val="00CC07B9"/>
    <w:rsid w:val="00CC2D9A"/>
    <w:rsid w:val="00CC3C5F"/>
    <w:rsid w:val="00CC4EC4"/>
    <w:rsid w:val="00CC5183"/>
    <w:rsid w:val="00CC57BC"/>
    <w:rsid w:val="00CC6751"/>
    <w:rsid w:val="00CC7F8A"/>
    <w:rsid w:val="00CD1114"/>
    <w:rsid w:val="00CD209C"/>
    <w:rsid w:val="00CD2C48"/>
    <w:rsid w:val="00CD3CD9"/>
    <w:rsid w:val="00CD5D15"/>
    <w:rsid w:val="00CD6882"/>
    <w:rsid w:val="00CE0916"/>
    <w:rsid w:val="00CE1652"/>
    <w:rsid w:val="00CE1BB1"/>
    <w:rsid w:val="00CE3D59"/>
    <w:rsid w:val="00CE6407"/>
    <w:rsid w:val="00CE6E00"/>
    <w:rsid w:val="00CE7F8A"/>
    <w:rsid w:val="00CF11EF"/>
    <w:rsid w:val="00CF419A"/>
    <w:rsid w:val="00CF56F7"/>
    <w:rsid w:val="00CF5BF1"/>
    <w:rsid w:val="00CF77DD"/>
    <w:rsid w:val="00CF7911"/>
    <w:rsid w:val="00CF7A4F"/>
    <w:rsid w:val="00D01724"/>
    <w:rsid w:val="00D01894"/>
    <w:rsid w:val="00D024FA"/>
    <w:rsid w:val="00D02B12"/>
    <w:rsid w:val="00D0498B"/>
    <w:rsid w:val="00D04B1C"/>
    <w:rsid w:val="00D0624B"/>
    <w:rsid w:val="00D06E2B"/>
    <w:rsid w:val="00D10BB2"/>
    <w:rsid w:val="00D11311"/>
    <w:rsid w:val="00D12FA4"/>
    <w:rsid w:val="00D13FF2"/>
    <w:rsid w:val="00D14A31"/>
    <w:rsid w:val="00D15721"/>
    <w:rsid w:val="00D15965"/>
    <w:rsid w:val="00D17D8A"/>
    <w:rsid w:val="00D205B7"/>
    <w:rsid w:val="00D2330C"/>
    <w:rsid w:val="00D24101"/>
    <w:rsid w:val="00D24CEB"/>
    <w:rsid w:val="00D250E3"/>
    <w:rsid w:val="00D2680B"/>
    <w:rsid w:val="00D26EBD"/>
    <w:rsid w:val="00D31B4E"/>
    <w:rsid w:val="00D325B4"/>
    <w:rsid w:val="00D3753A"/>
    <w:rsid w:val="00D37BDA"/>
    <w:rsid w:val="00D37C03"/>
    <w:rsid w:val="00D37CB1"/>
    <w:rsid w:val="00D37E0A"/>
    <w:rsid w:val="00D41A24"/>
    <w:rsid w:val="00D41D77"/>
    <w:rsid w:val="00D43E6F"/>
    <w:rsid w:val="00D4421C"/>
    <w:rsid w:val="00D44AB3"/>
    <w:rsid w:val="00D44FAF"/>
    <w:rsid w:val="00D4625E"/>
    <w:rsid w:val="00D47FEC"/>
    <w:rsid w:val="00D503B5"/>
    <w:rsid w:val="00D50BDF"/>
    <w:rsid w:val="00D51633"/>
    <w:rsid w:val="00D523C2"/>
    <w:rsid w:val="00D531D4"/>
    <w:rsid w:val="00D53BDF"/>
    <w:rsid w:val="00D541F2"/>
    <w:rsid w:val="00D547F8"/>
    <w:rsid w:val="00D55022"/>
    <w:rsid w:val="00D60C87"/>
    <w:rsid w:val="00D61494"/>
    <w:rsid w:val="00D6153A"/>
    <w:rsid w:val="00D61E1C"/>
    <w:rsid w:val="00D6206B"/>
    <w:rsid w:val="00D628DE"/>
    <w:rsid w:val="00D64013"/>
    <w:rsid w:val="00D66707"/>
    <w:rsid w:val="00D66C5F"/>
    <w:rsid w:val="00D66E50"/>
    <w:rsid w:val="00D67F52"/>
    <w:rsid w:val="00D71A92"/>
    <w:rsid w:val="00D72549"/>
    <w:rsid w:val="00D74578"/>
    <w:rsid w:val="00D749E8"/>
    <w:rsid w:val="00D74AA2"/>
    <w:rsid w:val="00D75FDE"/>
    <w:rsid w:val="00D7714C"/>
    <w:rsid w:val="00D7763B"/>
    <w:rsid w:val="00D80DF2"/>
    <w:rsid w:val="00D81C82"/>
    <w:rsid w:val="00D81D32"/>
    <w:rsid w:val="00D83A50"/>
    <w:rsid w:val="00D842D6"/>
    <w:rsid w:val="00D8540C"/>
    <w:rsid w:val="00D858EC"/>
    <w:rsid w:val="00D85928"/>
    <w:rsid w:val="00D8726F"/>
    <w:rsid w:val="00D876EB"/>
    <w:rsid w:val="00D87BFF"/>
    <w:rsid w:val="00D90497"/>
    <w:rsid w:val="00D91EA8"/>
    <w:rsid w:val="00D94D9C"/>
    <w:rsid w:val="00D95F37"/>
    <w:rsid w:val="00D97A43"/>
    <w:rsid w:val="00DA06A0"/>
    <w:rsid w:val="00DA2B23"/>
    <w:rsid w:val="00DA30A1"/>
    <w:rsid w:val="00DA466A"/>
    <w:rsid w:val="00DA5498"/>
    <w:rsid w:val="00DA61C0"/>
    <w:rsid w:val="00DA6F73"/>
    <w:rsid w:val="00DA7560"/>
    <w:rsid w:val="00DB22D5"/>
    <w:rsid w:val="00DB2ACC"/>
    <w:rsid w:val="00DB6B59"/>
    <w:rsid w:val="00DC03F3"/>
    <w:rsid w:val="00DC080D"/>
    <w:rsid w:val="00DC0A9F"/>
    <w:rsid w:val="00DC41A1"/>
    <w:rsid w:val="00DD043D"/>
    <w:rsid w:val="00DD0C20"/>
    <w:rsid w:val="00DD1A2D"/>
    <w:rsid w:val="00DD2279"/>
    <w:rsid w:val="00DD241E"/>
    <w:rsid w:val="00DD2674"/>
    <w:rsid w:val="00DD31C9"/>
    <w:rsid w:val="00DD6C9C"/>
    <w:rsid w:val="00DE0ECD"/>
    <w:rsid w:val="00DE1838"/>
    <w:rsid w:val="00DE4268"/>
    <w:rsid w:val="00DE432E"/>
    <w:rsid w:val="00DE4D1F"/>
    <w:rsid w:val="00DE50A7"/>
    <w:rsid w:val="00DE7284"/>
    <w:rsid w:val="00DF0197"/>
    <w:rsid w:val="00DF1698"/>
    <w:rsid w:val="00DF1725"/>
    <w:rsid w:val="00DF4372"/>
    <w:rsid w:val="00DF487D"/>
    <w:rsid w:val="00DF52C9"/>
    <w:rsid w:val="00DF5650"/>
    <w:rsid w:val="00DF5B63"/>
    <w:rsid w:val="00DF5C8A"/>
    <w:rsid w:val="00DF5EEE"/>
    <w:rsid w:val="00DF67A4"/>
    <w:rsid w:val="00DF76DA"/>
    <w:rsid w:val="00DF78E2"/>
    <w:rsid w:val="00DF7A5D"/>
    <w:rsid w:val="00E02516"/>
    <w:rsid w:val="00E02FD0"/>
    <w:rsid w:val="00E0350D"/>
    <w:rsid w:val="00E03AAC"/>
    <w:rsid w:val="00E068E5"/>
    <w:rsid w:val="00E06BAB"/>
    <w:rsid w:val="00E07257"/>
    <w:rsid w:val="00E11A34"/>
    <w:rsid w:val="00E11A67"/>
    <w:rsid w:val="00E11B05"/>
    <w:rsid w:val="00E11B0B"/>
    <w:rsid w:val="00E11E09"/>
    <w:rsid w:val="00E124A0"/>
    <w:rsid w:val="00E12BEC"/>
    <w:rsid w:val="00E14272"/>
    <w:rsid w:val="00E1470C"/>
    <w:rsid w:val="00E14F75"/>
    <w:rsid w:val="00E150C1"/>
    <w:rsid w:val="00E15717"/>
    <w:rsid w:val="00E16640"/>
    <w:rsid w:val="00E17305"/>
    <w:rsid w:val="00E20FC0"/>
    <w:rsid w:val="00E233D4"/>
    <w:rsid w:val="00E235E8"/>
    <w:rsid w:val="00E23E94"/>
    <w:rsid w:val="00E2577E"/>
    <w:rsid w:val="00E26759"/>
    <w:rsid w:val="00E303E4"/>
    <w:rsid w:val="00E31828"/>
    <w:rsid w:val="00E31B18"/>
    <w:rsid w:val="00E323D7"/>
    <w:rsid w:val="00E33995"/>
    <w:rsid w:val="00E34B93"/>
    <w:rsid w:val="00E36664"/>
    <w:rsid w:val="00E369E9"/>
    <w:rsid w:val="00E400A8"/>
    <w:rsid w:val="00E4062C"/>
    <w:rsid w:val="00E4384E"/>
    <w:rsid w:val="00E44BC3"/>
    <w:rsid w:val="00E4511D"/>
    <w:rsid w:val="00E459EE"/>
    <w:rsid w:val="00E47109"/>
    <w:rsid w:val="00E47480"/>
    <w:rsid w:val="00E522E1"/>
    <w:rsid w:val="00E5315B"/>
    <w:rsid w:val="00E53760"/>
    <w:rsid w:val="00E54DE7"/>
    <w:rsid w:val="00E55978"/>
    <w:rsid w:val="00E55D71"/>
    <w:rsid w:val="00E5635D"/>
    <w:rsid w:val="00E57D1C"/>
    <w:rsid w:val="00E6068E"/>
    <w:rsid w:val="00E606BE"/>
    <w:rsid w:val="00E60C7F"/>
    <w:rsid w:val="00E6143B"/>
    <w:rsid w:val="00E6398A"/>
    <w:rsid w:val="00E64515"/>
    <w:rsid w:val="00E65CEA"/>
    <w:rsid w:val="00E66385"/>
    <w:rsid w:val="00E73E06"/>
    <w:rsid w:val="00E74117"/>
    <w:rsid w:val="00E80785"/>
    <w:rsid w:val="00E80FF9"/>
    <w:rsid w:val="00E82DCB"/>
    <w:rsid w:val="00E8380D"/>
    <w:rsid w:val="00E8519F"/>
    <w:rsid w:val="00E8521F"/>
    <w:rsid w:val="00E85A2B"/>
    <w:rsid w:val="00E87A4B"/>
    <w:rsid w:val="00E87FC2"/>
    <w:rsid w:val="00E930EF"/>
    <w:rsid w:val="00E939DE"/>
    <w:rsid w:val="00E96E3F"/>
    <w:rsid w:val="00E97BAA"/>
    <w:rsid w:val="00EA0980"/>
    <w:rsid w:val="00EA2272"/>
    <w:rsid w:val="00EA24E2"/>
    <w:rsid w:val="00EA3315"/>
    <w:rsid w:val="00EA3385"/>
    <w:rsid w:val="00EA3821"/>
    <w:rsid w:val="00EA5F70"/>
    <w:rsid w:val="00EA7C69"/>
    <w:rsid w:val="00EB16A0"/>
    <w:rsid w:val="00EB1E9E"/>
    <w:rsid w:val="00EB2860"/>
    <w:rsid w:val="00EB39E9"/>
    <w:rsid w:val="00EB5416"/>
    <w:rsid w:val="00EB7465"/>
    <w:rsid w:val="00EC2EE6"/>
    <w:rsid w:val="00EC3715"/>
    <w:rsid w:val="00EC3F6E"/>
    <w:rsid w:val="00EC5788"/>
    <w:rsid w:val="00EC5AF4"/>
    <w:rsid w:val="00EC6365"/>
    <w:rsid w:val="00EC6581"/>
    <w:rsid w:val="00EC6E9A"/>
    <w:rsid w:val="00EC7A75"/>
    <w:rsid w:val="00ED1921"/>
    <w:rsid w:val="00ED5AD9"/>
    <w:rsid w:val="00ED6C9D"/>
    <w:rsid w:val="00ED7382"/>
    <w:rsid w:val="00ED7BB9"/>
    <w:rsid w:val="00EE0468"/>
    <w:rsid w:val="00EE2A05"/>
    <w:rsid w:val="00EE2AD2"/>
    <w:rsid w:val="00EE3EB2"/>
    <w:rsid w:val="00EE4BFA"/>
    <w:rsid w:val="00EE50FE"/>
    <w:rsid w:val="00EE546F"/>
    <w:rsid w:val="00EE5C3C"/>
    <w:rsid w:val="00EE6A37"/>
    <w:rsid w:val="00EF05AD"/>
    <w:rsid w:val="00EF388F"/>
    <w:rsid w:val="00EF430B"/>
    <w:rsid w:val="00EF5928"/>
    <w:rsid w:val="00EF6DCE"/>
    <w:rsid w:val="00EF70B1"/>
    <w:rsid w:val="00EF7C4A"/>
    <w:rsid w:val="00EF7C5E"/>
    <w:rsid w:val="00F00200"/>
    <w:rsid w:val="00F004B0"/>
    <w:rsid w:val="00F03559"/>
    <w:rsid w:val="00F0355D"/>
    <w:rsid w:val="00F05011"/>
    <w:rsid w:val="00F05A35"/>
    <w:rsid w:val="00F05DDE"/>
    <w:rsid w:val="00F05FE9"/>
    <w:rsid w:val="00F06D81"/>
    <w:rsid w:val="00F07D2D"/>
    <w:rsid w:val="00F1012D"/>
    <w:rsid w:val="00F165B0"/>
    <w:rsid w:val="00F17C3A"/>
    <w:rsid w:val="00F17C53"/>
    <w:rsid w:val="00F203E3"/>
    <w:rsid w:val="00F20A84"/>
    <w:rsid w:val="00F2473C"/>
    <w:rsid w:val="00F24AAB"/>
    <w:rsid w:val="00F253F7"/>
    <w:rsid w:val="00F261B5"/>
    <w:rsid w:val="00F26C38"/>
    <w:rsid w:val="00F26FE9"/>
    <w:rsid w:val="00F308A2"/>
    <w:rsid w:val="00F32DCE"/>
    <w:rsid w:val="00F33623"/>
    <w:rsid w:val="00F337C0"/>
    <w:rsid w:val="00F33FE7"/>
    <w:rsid w:val="00F351AC"/>
    <w:rsid w:val="00F354DD"/>
    <w:rsid w:val="00F35B14"/>
    <w:rsid w:val="00F365E8"/>
    <w:rsid w:val="00F36B83"/>
    <w:rsid w:val="00F36BC0"/>
    <w:rsid w:val="00F3728C"/>
    <w:rsid w:val="00F37C79"/>
    <w:rsid w:val="00F404AC"/>
    <w:rsid w:val="00F44281"/>
    <w:rsid w:val="00F45411"/>
    <w:rsid w:val="00F45757"/>
    <w:rsid w:val="00F502EC"/>
    <w:rsid w:val="00F50485"/>
    <w:rsid w:val="00F50CCB"/>
    <w:rsid w:val="00F52CAD"/>
    <w:rsid w:val="00F537B4"/>
    <w:rsid w:val="00F551DD"/>
    <w:rsid w:val="00F605DD"/>
    <w:rsid w:val="00F61050"/>
    <w:rsid w:val="00F64BC7"/>
    <w:rsid w:val="00F65914"/>
    <w:rsid w:val="00F66D64"/>
    <w:rsid w:val="00F70CAB"/>
    <w:rsid w:val="00F7121B"/>
    <w:rsid w:val="00F71CC5"/>
    <w:rsid w:val="00F72D83"/>
    <w:rsid w:val="00F72E37"/>
    <w:rsid w:val="00F755FC"/>
    <w:rsid w:val="00F75C1F"/>
    <w:rsid w:val="00F75EF7"/>
    <w:rsid w:val="00F7658C"/>
    <w:rsid w:val="00F773C4"/>
    <w:rsid w:val="00F77C2B"/>
    <w:rsid w:val="00F801D2"/>
    <w:rsid w:val="00F822D2"/>
    <w:rsid w:val="00F82ACC"/>
    <w:rsid w:val="00F83CE3"/>
    <w:rsid w:val="00F84EBA"/>
    <w:rsid w:val="00F85571"/>
    <w:rsid w:val="00F86065"/>
    <w:rsid w:val="00F92427"/>
    <w:rsid w:val="00F933A1"/>
    <w:rsid w:val="00F93A14"/>
    <w:rsid w:val="00F95DCD"/>
    <w:rsid w:val="00F95DED"/>
    <w:rsid w:val="00F96204"/>
    <w:rsid w:val="00F967E0"/>
    <w:rsid w:val="00F973CA"/>
    <w:rsid w:val="00FA035F"/>
    <w:rsid w:val="00FA1533"/>
    <w:rsid w:val="00FA1EDF"/>
    <w:rsid w:val="00FA24CC"/>
    <w:rsid w:val="00FA29E9"/>
    <w:rsid w:val="00FA2C7D"/>
    <w:rsid w:val="00FA39A7"/>
    <w:rsid w:val="00FA4ADB"/>
    <w:rsid w:val="00FA4C93"/>
    <w:rsid w:val="00FA6186"/>
    <w:rsid w:val="00FA65E1"/>
    <w:rsid w:val="00FA73B9"/>
    <w:rsid w:val="00FA7EFB"/>
    <w:rsid w:val="00FB093E"/>
    <w:rsid w:val="00FB19FD"/>
    <w:rsid w:val="00FB2767"/>
    <w:rsid w:val="00FB47AD"/>
    <w:rsid w:val="00FB61C5"/>
    <w:rsid w:val="00FC0F40"/>
    <w:rsid w:val="00FC3FBF"/>
    <w:rsid w:val="00FD0C94"/>
    <w:rsid w:val="00FD1C8B"/>
    <w:rsid w:val="00FD299C"/>
    <w:rsid w:val="00FD3E06"/>
    <w:rsid w:val="00FD4946"/>
    <w:rsid w:val="00FD56DB"/>
    <w:rsid w:val="00FD6259"/>
    <w:rsid w:val="00FD79C1"/>
    <w:rsid w:val="00FD7B7C"/>
    <w:rsid w:val="00FD7C0E"/>
    <w:rsid w:val="00FE01B6"/>
    <w:rsid w:val="00FE0378"/>
    <w:rsid w:val="00FE1EC1"/>
    <w:rsid w:val="00FE41F2"/>
    <w:rsid w:val="00FE55E8"/>
    <w:rsid w:val="00FE692D"/>
    <w:rsid w:val="00FE773A"/>
    <w:rsid w:val="00FE77C4"/>
    <w:rsid w:val="00FF012D"/>
    <w:rsid w:val="00FF0DF8"/>
    <w:rsid w:val="00FF11E1"/>
    <w:rsid w:val="00FF53C8"/>
    <w:rsid w:val="00FF5A35"/>
    <w:rsid w:val="00FF77AC"/>
    <w:rsid w:val="037232D6"/>
    <w:rsid w:val="072C7501"/>
    <w:rsid w:val="08313B80"/>
    <w:rsid w:val="09C13EC2"/>
    <w:rsid w:val="0EB92499"/>
    <w:rsid w:val="0F042511"/>
    <w:rsid w:val="0F836035"/>
    <w:rsid w:val="12285930"/>
    <w:rsid w:val="12FE1A4A"/>
    <w:rsid w:val="13FB14F8"/>
    <w:rsid w:val="16830618"/>
    <w:rsid w:val="1750385F"/>
    <w:rsid w:val="175A3CEF"/>
    <w:rsid w:val="1A9D122E"/>
    <w:rsid w:val="20990887"/>
    <w:rsid w:val="234E2D3D"/>
    <w:rsid w:val="25843D51"/>
    <w:rsid w:val="258C3110"/>
    <w:rsid w:val="2D592C51"/>
    <w:rsid w:val="353E2C35"/>
    <w:rsid w:val="3A887D30"/>
    <w:rsid w:val="3C77784A"/>
    <w:rsid w:val="3FD64855"/>
    <w:rsid w:val="41BE64DD"/>
    <w:rsid w:val="46D9291E"/>
    <w:rsid w:val="485E7440"/>
    <w:rsid w:val="49991E5C"/>
    <w:rsid w:val="49E02B07"/>
    <w:rsid w:val="4ACB77A2"/>
    <w:rsid w:val="4BF10FBD"/>
    <w:rsid w:val="4D747F9E"/>
    <w:rsid w:val="4DCC3EE3"/>
    <w:rsid w:val="4E340BD7"/>
    <w:rsid w:val="51EC522D"/>
    <w:rsid w:val="52C55120"/>
    <w:rsid w:val="58CC429A"/>
    <w:rsid w:val="59E74C9B"/>
    <w:rsid w:val="5B4B1659"/>
    <w:rsid w:val="5B7616C4"/>
    <w:rsid w:val="5F7B2BA2"/>
    <w:rsid w:val="5FB1348A"/>
    <w:rsid w:val="620D4C5F"/>
    <w:rsid w:val="63AD6150"/>
    <w:rsid w:val="6422373F"/>
    <w:rsid w:val="64E27050"/>
    <w:rsid w:val="66365EA9"/>
    <w:rsid w:val="6A9A6657"/>
    <w:rsid w:val="6B9A7D6E"/>
    <w:rsid w:val="70F108B8"/>
    <w:rsid w:val="73D4120F"/>
    <w:rsid w:val="760E4D91"/>
    <w:rsid w:val="78372035"/>
    <w:rsid w:val="79187897"/>
    <w:rsid w:val="79C25500"/>
    <w:rsid w:val="7B405C62"/>
    <w:rsid w:val="7C94443C"/>
    <w:rsid w:val="7ED9425E"/>
    <w:rsid w:val="7F8A1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qFormat/>
    <w:uiPriority w:val="99"/>
    <w:pPr>
      <w:keepNext/>
      <w:keepLines/>
      <w:spacing w:line="360" w:lineRule="auto"/>
      <w:outlineLvl w:val="3"/>
    </w:pPr>
    <w:rPr>
      <w:rFonts w:ascii="Arial" w:hAnsi="Arial" w:eastAsia="宋体" w:cs="Times New Roman"/>
      <w:b/>
      <w:bCs/>
      <w:sz w:val="28"/>
      <w:szCs w:val="28"/>
    </w:rPr>
  </w:style>
  <w:style w:type="paragraph" w:styleId="6">
    <w:name w:val="heading 5"/>
    <w:basedOn w:val="1"/>
    <w:next w:val="1"/>
    <w:link w:val="51"/>
    <w:qFormat/>
    <w:uiPriority w:val="99"/>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52"/>
    <w:qFormat/>
    <w:uiPriority w:val="9"/>
    <w:pPr>
      <w:keepNext/>
      <w:keepLines/>
      <w:spacing w:before="240" w:after="64" w:line="317" w:lineRule="auto"/>
      <w:outlineLvl w:val="5"/>
    </w:pPr>
    <w:rPr>
      <w:rFonts w:ascii="Cambria" w:hAnsi="Cambria" w:eastAsia="宋体" w:cs="Times New Roman"/>
      <w:b/>
      <w:bCs/>
      <w:kern w:val="0"/>
      <w:sz w:val="24"/>
      <w:szCs w:val="24"/>
      <w:lang w:val="zh-CN"/>
    </w:rPr>
  </w:style>
  <w:style w:type="paragraph" w:styleId="8">
    <w:name w:val="heading 7"/>
    <w:basedOn w:val="1"/>
    <w:next w:val="1"/>
    <w:link w:val="53"/>
    <w:qFormat/>
    <w:uiPriority w:val="9"/>
    <w:pPr>
      <w:keepNext/>
      <w:keepLines/>
      <w:spacing w:before="240" w:after="64" w:line="317" w:lineRule="auto"/>
      <w:outlineLvl w:val="6"/>
    </w:pPr>
    <w:rPr>
      <w:rFonts w:ascii="Calibri" w:hAnsi="Calibri" w:eastAsia="宋体" w:cs="Times New Roman"/>
      <w:b/>
      <w:bCs/>
      <w:kern w:val="0"/>
      <w:sz w:val="24"/>
      <w:szCs w:val="24"/>
      <w:lang w:val="zh-CN"/>
    </w:rPr>
  </w:style>
  <w:style w:type="paragraph" w:styleId="9">
    <w:name w:val="heading 8"/>
    <w:basedOn w:val="1"/>
    <w:next w:val="1"/>
    <w:link w:val="54"/>
    <w:qFormat/>
    <w:uiPriority w:val="9"/>
    <w:pPr>
      <w:keepNext/>
      <w:keepLines/>
      <w:spacing w:before="240" w:after="64" w:line="317" w:lineRule="auto"/>
      <w:outlineLvl w:val="7"/>
    </w:pPr>
    <w:rPr>
      <w:rFonts w:ascii="Cambria" w:hAnsi="Cambria" w:eastAsia="宋体" w:cs="Times New Roman"/>
      <w:kern w:val="0"/>
      <w:sz w:val="24"/>
      <w:szCs w:val="24"/>
      <w:lang w:val="zh-CN"/>
    </w:rPr>
  </w:style>
  <w:style w:type="paragraph" w:styleId="10">
    <w:name w:val="heading 9"/>
    <w:basedOn w:val="1"/>
    <w:next w:val="1"/>
    <w:link w:val="55"/>
    <w:qFormat/>
    <w:uiPriority w:val="9"/>
    <w:pPr>
      <w:keepNext/>
      <w:keepLines/>
      <w:spacing w:before="240" w:after="64" w:line="317" w:lineRule="auto"/>
      <w:outlineLvl w:val="8"/>
    </w:pPr>
    <w:rPr>
      <w:rFonts w:ascii="Cambria" w:hAnsi="Cambria" w:eastAsia="宋体" w:cs="Times New Roman"/>
      <w:kern w:val="0"/>
      <w:sz w:val="20"/>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eastAsia="宋体" w:cs="Calibri"/>
    </w:rPr>
  </w:style>
  <w:style w:type="paragraph" w:styleId="12">
    <w:name w:val="Normal Indent"/>
    <w:basedOn w:val="1"/>
    <w:unhideWhenUsed/>
    <w:qFormat/>
    <w:uiPriority w:val="99"/>
    <w:pPr>
      <w:ind w:firstLine="420"/>
    </w:pPr>
    <w:rPr>
      <w:rFonts w:ascii="Times New Roman" w:hAnsi="Times New Roman" w:eastAsia="宋体" w:cs="Times New Roman"/>
      <w:szCs w:val="20"/>
    </w:rPr>
  </w:style>
  <w:style w:type="paragraph" w:styleId="13">
    <w:name w:val="caption"/>
    <w:basedOn w:val="1"/>
    <w:next w:val="1"/>
    <w:qFormat/>
    <w:uiPriority w:val="99"/>
    <w:rPr>
      <w:rFonts w:ascii="Cambria" w:hAnsi="Cambria" w:eastAsia="黑体" w:cs="Cambria"/>
      <w:sz w:val="20"/>
      <w:szCs w:val="20"/>
    </w:rPr>
  </w:style>
  <w:style w:type="paragraph" w:styleId="14">
    <w:name w:val="Document Map"/>
    <w:basedOn w:val="1"/>
    <w:link w:val="72"/>
    <w:semiHidden/>
    <w:qFormat/>
    <w:uiPriority w:val="99"/>
    <w:pPr>
      <w:shd w:val="clear" w:color="auto" w:fill="000080"/>
    </w:pPr>
    <w:rPr>
      <w:kern w:val="0"/>
      <w:sz w:val="24"/>
      <w:szCs w:val="24"/>
      <w:shd w:val="clear" w:color="auto" w:fill="000080"/>
    </w:rPr>
  </w:style>
  <w:style w:type="paragraph" w:styleId="15">
    <w:name w:val="annotation text"/>
    <w:basedOn w:val="1"/>
    <w:link w:val="56"/>
    <w:unhideWhenUsed/>
    <w:qFormat/>
    <w:uiPriority w:val="99"/>
    <w:pPr>
      <w:jc w:val="left"/>
    </w:pPr>
  </w:style>
  <w:style w:type="paragraph" w:styleId="16">
    <w:name w:val="Body Text"/>
    <w:basedOn w:val="1"/>
    <w:link w:val="97"/>
    <w:qFormat/>
    <w:uiPriority w:val="99"/>
    <w:pPr>
      <w:adjustRightInd w:val="0"/>
      <w:spacing w:after="60" w:line="360" w:lineRule="atLeast"/>
      <w:ind w:left="72" w:leftChars="30" w:right="30" w:rightChars="30"/>
      <w:jc w:val="center"/>
      <w:textAlignment w:val="baseline"/>
    </w:pPr>
    <w:rPr>
      <w:rFonts w:eastAsia="宋体"/>
      <w:kern w:val="0"/>
      <w:sz w:val="22"/>
      <w:szCs w:val="20"/>
    </w:rPr>
  </w:style>
  <w:style w:type="paragraph" w:styleId="17">
    <w:name w:val="Body Text Indent"/>
    <w:basedOn w:val="1"/>
    <w:link w:val="133"/>
    <w:qFormat/>
    <w:uiPriority w:val="99"/>
    <w:pPr>
      <w:spacing w:before="240" w:line="360" w:lineRule="auto"/>
      <w:ind w:firstLine="552" w:firstLineChars="263"/>
    </w:pPr>
    <w:rPr>
      <w:rFonts w:ascii="宋体" w:eastAsia="宋体" w:cs="宋体"/>
      <w:kern w:val="0"/>
      <w:sz w:val="20"/>
      <w:szCs w:val="21"/>
    </w:rPr>
  </w:style>
  <w:style w:type="paragraph" w:styleId="18">
    <w:name w:val="index 4"/>
    <w:basedOn w:val="1"/>
    <w:next w:val="1"/>
    <w:semiHidden/>
    <w:qFormat/>
    <w:uiPriority w:val="99"/>
    <w:pPr>
      <w:ind w:left="600" w:leftChars="600"/>
    </w:pPr>
    <w:rPr>
      <w:rFonts w:ascii="Calibri" w:hAnsi="Calibri" w:eastAsia="宋体" w:cs="Times New Roman"/>
    </w:rPr>
  </w:style>
  <w:style w:type="paragraph" w:styleId="19">
    <w:name w:val="toc 5"/>
    <w:basedOn w:val="1"/>
    <w:next w:val="1"/>
    <w:qFormat/>
    <w:uiPriority w:val="39"/>
    <w:pPr>
      <w:ind w:left="1680" w:leftChars="800"/>
    </w:pPr>
    <w:rPr>
      <w:rFonts w:ascii="Calibri" w:hAnsi="Calibri" w:eastAsia="宋体" w:cs="Calibri"/>
    </w:rPr>
  </w:style>
  <w:style w:type="paragraph" w:styleId="20">
    <w:name w:val="toc 3"/>
    <w:basedOn w:val="1"/>
    <w:next w:val="1"/>
    <w:unhideWhenUsed/>
    <w:qFormat/>
    <w:uiPriority w:val="39"/>
    <w:pPr>
      <w:ind w:left="840" w:leftChars="400"/>
    </w:pPr>
  </w:style>
  <w:style w:type="paragraph" w:styleId="21">
    <w:name w:val="Plain Text"/>
    <w:basedOn w:val="1"/>
    <w:link w:val="124"/>
    <w:qFormat/>
    <w:uiPriority w:val="0"/>
    <w:rPr>
      <w:rFonts w:ascii="宋体" w:hAnsi="Courier New" w:eastAsia="宋体" w:cs="宋体"/>
      <w:kern w:val="0"/>
      <w:sz w:val="24"/>
      <w:szCs w:val="24"/>
    </w:rPr>
  </w:style>
  <w:style w:type="paragraph" w:styleId="22">
    <w:name w:val="toc 8"/>
    <w:basedOn w:val="1"/>
    <w:next w:val="1"/>
    <w:qFormat/>
    <w:uiPriority w:val="39"/>
    <w:pPr>
      <w:ind w:left="2940" w:leftChars="1400"/>
    </w:pPr>
    <w:rPr>
      <w:rFonts w:ascii="Calibri" w:hAnsi="Calibri" w:eastAsia="宋体" w:cs="Calibri"/>
    </w:rPr>
  </w:style>
  <w:style w:type="paragraph" w:styleId="23">
    <w:name w:val="Date"/>
    <w:basedOn w:val="1"/>
    <w:next w:val="1"/>
    <w:link w:val="137"/>
    <w:qFormat/>
    <w:uiPriority w:val="99"/>
    <w:pPr>
      <w:ind w:left="100" w:leftChars="2500"/>
    </w:pPr>
    <w:rPr>
      <w:kern w:val="0"/>
      <w:sz w:val="24"/>
      <w:szCs w:val="24"/>
    </w:rPr>
  </w:style>
  <w:style w:type="paragraph" w:styleId="24">
    <w:name w:val="Body Text Indent 2"/>
    <w:basedOn w:val="1"/>
    <w:link w:val="129"/>
    <w:qFormat/>
    <w:uiPriority w:val="99"/>
    <w:pPr>
      <w:spacing w:after="120" w:line="480" w:lineRule="auto"/>
      <w:ind w:left="420" w:leftChars="200"/>
    </w:pPr>
    <w:rPr>
      <w:kern w:val="0"/>
      <w:sz w:val="24"/>
      <w:szCs w:val="24"/>
    </w:rPr>
  </w:style>
  <w:style w:type="paragraph" w:styleId="25">
    <w:name w:val="Balloon Text"/>
    <w:basedOn w:val="1"/>
    <w:link w:val="57"/>
    <w:semiHidden/>
    <w:unhideWhenUsed/>
    <w:qFormat/>
    <w:uiPriority w:val="99"/>
    <w:rPr>
      <w:sz w:val="18"/>
      <w:szCs w:val="18"/>
    </w:rPr>
  </w:style>
  <w:style w:type="paragraph" w:styleId="26">
    <w:name w:val="footer"/>
    <w:basedOn w:val="1"/>
    <w:link w:val="58"/>
    <w:unhideWhenUsed/>
    <w:qFormat/>
    <w:uiPriority w:val="99"/>
    <w:pPr>
      <w:tabs>
        <w:tab w:val="center" w:pos="4153"/>
        <w:tab w:val="right" w:pos="8306"/>
      </w:tabs>
      <w:snapToGrid w:val="0"/>
      <w:jc w:val="left"/>
    </w:pPr>
    <w:rPr>
      <w:sz w:val="18"/>
      <w:szCs w:val="18"/>
    </w:rPr>
  </w:style>
  <w:style w:type="paragraph" w:styleId="27">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style>
  <w:style w:type="paragraph" w:styleId="29">
    <w:name w:val="toc 4"/>
    <w:basedOn w:val="1"/>
    <w:next w:val="1"/>
    <w:qFormat/>
    <w:uiPriority w:val="39"/>
    <w:pPr>
      <w:ind w:left="1260" w:leftChars="600"/>
    </w:pPr>
    <w:rPr>
      <w:rFonts w:ascii="Calibri" w:hAnsi="Calibri" w:eastAsia="宋体" w:cs="Calibri"/>
    </w:rPr>
  </w:style>
  <w:style w:type="paragraph" w:styleId="30">
    <w:name w:val="Subtitle"/>
    <w:basedOn w:val="1"/>
    <w:next w:val="1"/>
    <w:link w:val="101"/>
    <w:qFormat/>
    <w:uiPriority w:val="11"/>
    <w:pPr>
      <w:spacing w:before="240" w:after="60" w:line="312" w:lineRule="auto"/>
      <w:jc w:val="center"/>
      <w:outlineLvl w:val="1"/>
    </w:pPr>
    <w:rPr>
      <w:rFonts w:ascii="Cambria" w:hAnsi="Cambria" w:cs="Times New Roman"/>
      <w:b/>
      <w:bCs/>
      <w:kern w:val="28"/>
      <w:sz w:val="32"/>
      <w:szCs w:val="32"/>
    </w:rPr>
  </w:style>
  <w:style w:type="paragraph" w:styleId="31">
    <w:name w:val="footnote text"/>
    <w:basedOn w:val="1"/>
    <w:link w:val="127"/>
    <w:semiHidden/>
    <w:qFormat/>
    <w:uiPriority w:val="99"/>
    <w:pPr>
      <w:adjustRightInd w:val="0"/>
      <w:spacing w:line="312" w:lineRule="atLeast"/>
      <w:jc w:val="left"/>
      <w:textAlignment w:val="baseline"/>
    </w:pPr>
    <w:rPr>
      <w:kern w:val="0"/>
      <w:sz w:val="18"/>
      <w:szCs w:val="18"/>
    </w:rPr>
  </w:style>
  <w:style w:type="paragraph" w:styleId="32">
    <w:name w:val="toc 6"/>
    <w:basedOn w:val="1"/>
    <w:next w:val="1"/>
    <w:qFormat/>
    <w:uiPriority w:val="39"/>
    <w:pPr>
      <w:ind w:left="2100" w:leftChars="1000"/>
    </w:pPr>
    <w:rPr>
      <w:rFonts w:ascii="Calibri" w:hAnsi="Calibri" w:eastAsia="宋体" w:cs="Calibri"/>
    </w:rPr>
  </w:style>
  <w:style w:type="paragraph" w:styleId="33">
    <w:name w:val="toc 2"/>
    <w:basedOn w:val="1"/>
    <w:next w:val="1"/>
    <w:unhideWhenUsed/>
    <w:qFormat/>
    <w:uiPriority w:val="39"/>
    <w:pPr>
      <w:ind w:left="420" w:leftChars="200"/>
    </w:pPr>
  </w:style>
  <w:style w:type="paragraph" w:styleId="34">
    <w:name w:val="toc 9"/>
    <w:basedOn w:val="1"/>
    <w:next w:val="1"/>
    <w:qFormat/>
    <w:uiPriority w:val="39"/>
    <w:pPr>
      <w:ind w:left="3360" w:leftChars="1600"/>
    </w:pPr>
    <w:rPr>
      <w:rFonts w:ascii="Calibri" w:hAnsi="Calibri" w:eastAsia="宋体" w:cs="Calibri"/>
    </w:rPr>
  </w:style>
  <w:style w:type="paragraph" w:styleId="3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84"/>
    <w:qFormat/>
    <w:uiPriority w:val="99"/>
    <w:pPr>
      <w:spacing w:before="240" w:after="60"/>
      <w:jc w:val="center"/>
      <w:outlineLvl w:val="0"/>
    </w:pPr>
    <w:rPr>
      <w:rFonts w:ascii="Cambria" w:hAnsi="Cambria" w:cs="Cambria"/>
      <w:b/>
      <w:bCs/>
      <w:kern w:val="0"/>
      <w:sz w:val="32"/>
      <w:szCs w:val="32"/>
    </w:rPr>
  </w:style>
  <w:style w:type="paragraph" w:styleId="37">
    <w:name w:val="annotation subject"/>
    <w:basedOn w:val="15"/>
    <w:next w:val="15"/>
    <w:link w:val="60"/>
    <w:semiHidden/>
    <w:unhideWhenUsed/>
    <w:qFormat/>
    <w:uiPriority w:val="99"/>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basedOn w:val="40"/>
    <w:qFormat/>
    <w:uiPriority w:val="99"/>
  </w:style>
  <w:style w:type="character" w:styleId="43">
    <w:name w:val="FollowedHyperlink"/>
    <w:qFormat/>
    <w:uiPriority w:val="99"/>
    <w:rPr>
      <w:color w:val="800080"/>
      <w:u w:val="single"/>
    </w:rPr>
  </w:style>
  <w:style w:type="character" w:styleId="44">
    <w:name w:val="Emphasis"/>
    <w:qFormat/>
    <w:uiPriority w:val="99"/>
    <w:rPr>
      <w:i/>
      <w:iCs/>
    </w:rPr>
  </w:style>
  <w:style w:type="character" w:styleId="45">
    <w:name w:val="Hyperlink"/>
    <w:basedOn w:val="40"/>
    <w:unhideWhenUsed/>
    <w:qFormat/>
    <w:uiPriority w:val="99"/>
    <w:rPr>
      <w:color w:val="0563C1" w:themeColor="hyperlink"/>
      <w:u w:val="single"/>
      <w14:textFill>
        <w14:solidFill>
          <w14:schemeClr w14:val="hlink"/>
        </w14:solidFill>
      </w14:textFill>
    </w:rPr>
  </w:style>
  <w:style w:type="character" w:styleId="46">
    <w:name w:val="annotation reference"/>
    <w:basedOn w:val="40"/>
    <w:unhideWhenUsed/>
    <w:qFormat/>
    <w:uiPriority w:val="99"/>
    <w:rPr>
      <w:sz w:val="21"/>
      <w:szCs w:val="21"/>
    </w:rPr>
  </w:style>
  <w:style w:type="character" w:customStyle="1" w:styleId="47">
    <w:name w:val="标题 2 Char"/>
    <w:basedOn w:val="40"/>
    <w:link w:val="3"/>
    <w:qFormat/>
    <w:uiPriority w:val="9"/>
    <w:rPr>
      <w:rFonts w:asciiTheme="majorHAnsi" w:hAnsiTheme="majorHAnsi" w:eastAsiaTheme="majorEastAsia" w:cstheme="majorBidi"/>
      <w:b/>
      <w:bCs/>
      <w:sz w:val="32"/>
      <w:szCs w:val="32"/>
    </w:rPr>
  </w:style>
  <w:style w:type="character" w:customStyle="1" w:styleId="48">
    <w:name w:val="标题 1 Char"/>
    <w:basedOn w:val="40"/>
    <w:link w:val="2"/>
    <w:qFormat/>
    <w:uiPriority w:val="9"/>
    <w:rPr>
      <w:b/>
      <w:bCs/>
      <w:kern w:val="44"/>
      <w:sz w:val="44"/>
      <w:szCs w:val="44"/>
    </w:rPr>
  </w:style>
  <w:style w:type="character" w:customStyle="1" w:styleId="49">
    <w:name w:val="标题 3 Char"/>
    <w:basedOn w:val="40"/>
    <w:link w:val="4"/>
    <w:qFormat/>
    <w:uiPriority w:val="9"/>
    <w:rPr>
      <w:b/>
      <w:bCs/>
      <w:sz w:val="32"/>
      <w:szCs w:val="32"/>
    </w:rPr>
  </w:style>
  <w:style w:type="character" w:customStyle="1" w:styleId="50">
    <w:name w:val="标题 4 Char"/>
    <w:basedOn w:val="40"/>
    <w:link w:val="5"/>
    <w:qFormat/>
    <w:uiPriority w:val="99"/>
    <w:rPr>
      <w:rFonts w:ascii="Arial" w:hAnsi="Arial" w:eastAsia="宋体" w:cs="Times New Roman"/>
      <w:b/>
      <w:bCs/>
      <w:kern w:val="2"/>
      <w:sz w:val="28"/>
      <w:szCs w:val="28"/>
    </w:rPr>
  </w:style>
  <w:style w:type="character" w:customStyle="1" w:styleId="51">
    <w:name w:val="标题 5 Char"/>
    <w:basedOn w:val="40"/>
    <w:link w:val="6"/>
    <w:qFormat/>
    <w:uiPriority w:val="99"/>
    <w:rPr>
      <w:rFonts w:ascii="Calibri" w:hAnsi="Calibri" w:eastAsia="宋体" w:cs="Times New Roman"/>
      <w:b/>
      <w:bCs/>
      <w:kern w:val="2"/>
      <w:sz w:val="28"/>
      <w:szCs w:val="28"/>
    </w:rPr>
  </w:style>
  <w:style w:type="character" w:customStyle="1" w:styleId="52">
    <w:name w:val="标题 6 Char"/>
    <w:basedOn w:val="40"/>
    <w:link w:val="7"/>
    <w:qFormat/>
    <w:uiPriority w:val="9"/>
    <w:rPr>
      <w:rFonts w:ascii="Cambria" w:hAnsi="Cambria" w:eastAsia="宋体" w:cs="Times New Roman"/>
      <w:b/>
      <w:bCs/>
      <w:sz w:val="24"/>
      <w:szCs w:val="24"/>
      <w:lang w:val="zh-CN" w:eastAsia="zh-CN"/>
    </w:rPr>
  </w:style>
  <w:style w:type="character" w:customStyle="1" w:styleId="53">
    <w:name w:val="标题 7 Char"/>
    <w:basedOn w:val="40"/>
    <w:link w:val="8"/>
    <w:qFormat/>
    <w:uiPriority w:val="9"/>
    <w:rPr>
      <w:rFonts w:ascii="Calibri" w:hAnsi="Calibri" w:eastAsia="宋体" w:cs="Times New Roman"/>
      <w:b/>
      <w:bCs/>
      <w:sz w:val="24"/>
      <w:szCs w:val="24"/>
      <w:lang w:val="zh-CN" w:eastAsia="zh-CN"/>
    </w:rPr>
  </w:style>
  <w:style w:type="character" w:customStyle="1" w:styleId="54">
    <w:name w:val="标题 8 Char"/>
    <w:basedOn w:val="40"/>
    <w:link w:val="9"/>
    <w:qFormat/>
    <w:uiPriority w:val="9"/>
    <w:rPr>
      <w:rFonts w:ascii="Cambria" w:hAnsi="Cambria" w:eastAsia="宋体" w:cs="Times New Roman"/>
      <w:sz w:val="24"/>
      <w:szCs w:val="24"/>
      <w:lang w:val="zh-CN" w:eastAsia="zh-CN"/>
    </w:rPr>
  </w:style>
  <w:style w:type="character" w:customStyle="1" w:styleId="55">
    <w:name w:val="标题 9 Char"/>
    <w:basedOn w:val="40"/>
    <w:link w:val="10"/>
    <w:qFormat/>
    <w:uiPriority w:val="9"/>
    <w:rPr>
      <w:rFonts w:ascii="Cambria" w:hAnsi="Cambria" w:eastAsia="宋体" w:cs="Times New Roman"/>
      <w:szCs w:val="22"/>
      <w:lang w:val="zh-CN" w:eastAsia="zh-CN"/>
    </w:rPr>
  </w:style>
  <w:style w:type="character" w:customStyle="1" w:styleId="56">
    <w:name w:val="批注文字 Char"/>
    <w:basedOn w:val="40"/>
    <w:link w:val="15"/>
    <w:qFormat/>
    <w:uiPriority w:val="99"/>
  </w:style>
  <w:style w:type="character" w:customStyle="1" w:styleId="57">
    <w:name w:val="批注框文本 Char"/>
    <w:basedOn w:val="40"/>
    <w:link w:val="25"/>
    <w:qFormat/>
    <w:uiPriority w:val="99"/>
    <w:rPr>
      <w:sz w:val="18"/>
      <w:szCs w:val="18"/>
    </w:rPr>
  </w:style>
  <w:style w:type="character" w:customStyle="1" w:styleId="58">
    <w:name w:val="页脚 Char"/>
    <w:basedOn w:val="40"/>
    <w:link w:val="26"/>
    <w:qFormat/>
    <w:uiPriority w:val="99"/>
    <w:rPr>
      <w:sz w:val="18"/>
      <w:szCs w:val="18"/>
    </w:rPr>
  </w:style>
  <w:style w:type="character" w:customStyle="1" w:styleId="59">
    <w:name w:val="页眉 Char"/>
    <w:basedOn w:val="40"/>
    <w:link w:val="27"/>
    <w:qFormat/>
    <w:uiPriority w:val="99"/>
    <w:rPr>
      <w:sz w:val="18"/>
      <w:szCs w:val="18"/>
    </w:rPr>
  </w:style>
  <w:style w:type="character" w:customStyle="1" w:styleId="60">
    <w:name w:val="批注主题 Char"/>
    <w:basedOn w:val="56"/>
    <w:link w:val="37"/>
    <w:qFormat/>
    <w:uiPriority w:val="99"/>
    <w:rPr>
      <w:b/>
      <w:bCs/>
    </w:rPr>
  </w:style>
  <w:style w:type="character" w:customStyle="1" w:styleId="61">
    <w:name w:val="批注文字 Char2"/>
    <w:qFormat/>
    <w:locked/>
    <w:uiPriority w:val="0"/>
    <w:rPr>
      <w:rFonts w:eastAsia="宋体"/>
      <w:kern w:val="2"/>
      <w:sz w:val="24"/>
      <w:szCs w:val="24"/>
      <w:lang w:val="en-US" w:eastAsia="zh-CN"/>
    </w:rPr>
  </w:style>
  <w:style w:type="paragraph" w:customStyle="1" w:styleId="62">
    <w:name w:val="修订1"/>
    <w:hidden/>
    <w:qFormat/>
    <w:uiPriority w:val="99"/>
    <w:rPr>
      <w:rFonts w:asciiTheme="minorHAnsi" w:hAnsiTheme="minorHAnsi" w:eastAsiaTheme="minorEastAsia" w:cstheme="minorBidi"/>
      <w:kern w:val="2"/>
      <w:sz w:val="21"/>
      <w:szCs w:val="22"/>
      <w:lang w:val="en-US" w:eastAsia="zh-CN" w:bidi="ar-SA"/>
    </w:rPr>
  </w:style>
  <w:style w:type="paragraph" w:customStyle="1" w:styleId="6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批注文字 Char Char"/>
    <w:qFormat/>
    <w:uiPriority w:val="99"/>
    <w:rPr>
      <w:rFonts w:ascii="宋体" w:hAnsi="Times New Roman" w:eastAsia="宋体" w:cs="宋体"/>
      <w:sz w:val="20"/>
      <w:szCs w:val="20"/>
    </w:rPr>
  </w:style>
  <w:style w:type="character" w:customStyle="1" w:styleId="68">
    <w:name w:val="Heading 3 Char"/>
    <w:qFormat/>
    <w:uiPriority w:val="99"/>
    <w:rPr>
      <w:b/>
      <w:bCs/>
      <w:kern w:val="2"/>
      <w:sz w:val="32"/>
      <w:szCs w:val="32"/>
    </w:rPr>
  </w:style>
  <w:style w:type="character" w:customStyle="1" w:styleId="69">
    <w:name w:val="Heading 2 Char"/>
    <w:qFormat/>
    <w:uiPriority w:val="99"/>
    <w:rPr>
      <w:rFonts w:ascii="Arial" w:hAnsi="Arial" w:eastAsia="黑体" w:cs="Arial"/>
      <w:b/>
      <w:bCs/>
      <w:kern w:val="2"/>
      <w:sz w:val="32"/>
      <w:szCs w:val="32"/>
      <w:lang w:val="en-US" w:eastAsia="zh-CN"/>
    </w:rPr>
  </w:style>
  <w:style w:type="character" w:customStyle="1" w:styleId="70">
    <w:name w:val="Balloon Text Char"/>
    <w:qFormat/>
    <w:uiPriority w:val="99"/>
    <w:rPr>
      <w:sz w:val="18"/>
      <w:szCs w:val="18"/>
    </w:rPr>
  </w:style>
  <w:style w:type="character" w:customStyle="1" w:styleId="71">
    <w:name w:val="文档结构图 Char1"/>
    <w:qFormat/>
    <w:uiPriority w:val="99"/>
    <w:rPr>
      <w:rFonts w:ascii="宋体" w:hAnsi="Times New Roman" w:eastAsia="宋体" w:cs="宋体"/>
      <w:sz w:val="18"/>
      <w:szCs w:val="18"/>
    </w:rPr>
  </w:style>
  <w:style w:type="character" w:customStyle="1" w:styleId="72">
    <w:name w:val="文档结构图 Char"/>
    <w:link w:val="14"/>
    <w:qFormat/>
    <w:locked/>
    <w:uiPriority w:val="99"/>
    <w:rPr>
      <w:sz w:val="24"/>
      <w:szCs w:val="24"/>
      <w:shd w:val="clear" w:color="auto" w:fill="000080"/>
    </w:rPr>
  </w:style>
  <w:style w:type="character" w:customStyle="1" w:styleId="73">
    <w:name w:val="文档结构图 Char2"/>
    <w:basedOn w:val="40"/>
    <w:semiHidden/>
    <w:qFormat/>
    <w:uiPriority w:val="99"/>
    <w:rPr>
      <w:rFonts w:ascii="Microsoft YaHei UI" w:eastAsia="Microsoft YaHei UI"/>
      <w:kern w:val="2"/>
      <w:sz w:val="18"/>
      <w:szCs w:val="18"/>
    </w:rPr>
  </w:style>
  <w:style w:type="character" w:customStyle="1" w:styleId="74">
    <w:name w:val="Footnote Text Char"/>
    <w:qFormat/>
    <w:uiPriority w:val="99"/>
    <w:rPr>
      <w:rFonts w:eastAsia="宋体"/>
      <w:sz w:val="18"/>
      <w:szCs w:val="18"/>
      <w:lang w:val="en-US" w:eastAsia="zh-CN"/>
    </w:rPr>
  </w:style>
  <w:style w:type="character" w:customStyle="1" w:styleId="75">
    <w:name w:val="Char Char21"/>
    <w:qFormat/>
    <w:uiPriority w:val="99"/>
    <w:rPr>
      <w:rFonts w:ascii="Arial" w:hAnsi="Arial" w:eastAsia="黑体" w:cs="Arial"/>
      <w:b/>
      <w:bCs/>
      <w:sz w:val="32"/>
      <w:szCs w:val="32"/>
    </w:rPr>
  </w:style>
  <w:style w:type="character" w:customStyle="1" w:styleId="76">
    <w:name w:val="批注文字 Char1"/>
    <w:qFormat/>
    <w:uiPriority w:val="99"/>
    <w:rPr>
      <w:rFonts w:ascii="Times New Roman" w:hAnsi="Times New Roman" w:eastAsia="宋体" w:cs="Times New Roman"/>
      <w:sz w:val="24"/>
      <w:szCs w:val="24"/>
    </w:rPr>
  </w:style>
  <w:style w:type="character" w:customStyle="1" w:styleId="77">
    <w:name w:val="Body Text Indent Char"/>
    <w:qFormat/>
    <w:uiPriority w:val="99"/>
    <w:rPr>
      <w:rFonts w:ascii="宋体" w:hAnsi="宋体" w:eastAsia="宋体" w:cs="宋体"/>
      <w:kern w:val="2"/>
      <w:sz w:val="21"/>
      <w:szCs w:val="21"/>
      <w:lang w:val="en-US" w:eastAsia="zh-CN"/>
    </w:rPr>
  </w:style>
  <w:style w:type="character" w:customStyle="1" w:styleId="78">
    <w:name w:val="不明显参考1"/>
    <w:qFormat/>
    <w:uiPriority w:val="99"/>
    <w:rPr>
      <w:smallCaps/>
      <w:color w:val="auto"/>
      <w:u w:val="single"/>
    </w:rPr>
  </w:style>
  <w:style w:type="character" w:customStyle="1" w:styleId="79">
    <w:name w:val="Heading 4 Char"/>
    <w:qFormat/>
    <w:uiPriority w:val="99"/>
    <w:rPr>
      <w:rFonts w:ascii="Arial" w:hAnsi="Arial" w:eastAsia="宋体" w:cs="Arial"/>
      <w:b/>
      <w:bCs/>
      <w:kern w:val="2"/>
      <w:sz w:val="28"/>
      <w:szCs w:val="28"/>
      <w:lang w:val="en-US" w:eastAsia="zh-CN"/>
    </w:rPr>
  </w:style>
  <w:style w:type="character" w:customStyle="1" w:styleId="80">
    <w:name w:val="Char Char20"/>
    <w:qFormat/>
    <w:uiPriority w:val="99"/>
    <w:rPr>
      <w:rFonts w:ascii="Times New Roman" w:hAnsi="Times New Roman" w:eastAsia="宋体" w:cs="Times New Roman"/>
      <w:b/>
      <w:bCs/>
      <w:sz w:val="32"/>
      <w:szCs w:val="32"/>
    </w:rPr>
  </w:style>
  <w:style w:type="character" w:customStyle="1" w:styleId="81">
    <w:name w:val="Comment Subject Char"/>
    <w:qFormat/>
    <w:uiPriority w:val="99"/>
    <w:rPr>
      <w:b/>
      <w:bCs/>
      <w:sz w:val="24"/>
      <w:szCs w:val="24"/>
    </w:rPr>
  </w:style>
  <w:style w:type="character" w:customStyle="1" w:styleId="82">
    <w:name w:val="Heading 1 Char"/>
    <w:qFormat/>
    <w:uiPriority w:val="99"/>
    <w:rPr>
      <w:rFonts w:eastAsia="宋体"/>
      <w:b/>
      <w:bCs/>
      <w:kern w:val="44"/>
      <w:sz w:val="44"/>
      <w:szCs w:val="44"/>
      <w:lang w:val="en-US" w:eastAsia="zh-CN"/>
    </w:rPr>
  </w:style>
  <w:style w:type="character" w:customStyle="1" w:styleId="83">
    <w:name w:val="批注框文本 Char1"/>
    <w:qFormat/>
    <w:uiPriority w:val="99"/>
    <w:rPr>
      <w:rFonts w:ascii="Times New Roman" w:hAnsi="Times New Roman" w:eastAsia="宋体" w:cs="Times New Roman"/>
      <w:sz w:val="18"/>
      <w:szCs w:val="18"/>
    </w:rPr>
  </w:style>
  <w:style w:type="character" w:customStyle="1" w:styleId="84">
    <w:name w:val="标题 Char"/>
    <w:link w:val="36"/>
    <w:qFormat/>
    <w:locked/>
    <w:uiPriority w:val="99"/>
    <w:rPr>
      <w:rFonts w:ascii="Cambria" w:hAnsi="Cambria" w:cs="Cambria"/>
      <w:b/>
      <w:bCs/>
      <w:sz w:val="32"/>
      <w:szCs w:val="32"/>
    </w:rPr>
  </w:style>
  <w:style w:type="character" w:customStyle="1" w:styleId="85">
    <w:name w:val="标题 Char1"/>
    <w:basedOn w:val="40"/>
    <w:qFormat/>
    <w:uiPriority w:val="99"/>
    <w:rPr>
      <w:rFonts w:eastAsia="宋体" w:asciiTheme="majorHAnsi" w:hAnsiTheme="majorHAnsi" w:cstheme="majorBidi"/>
      <w:b/>
      <w:bCs/>
      <w:kern w:val="2"/>
      <w:sz w:val="32"/>
      <w:szCs w:val="32"/>
    </w:rPr>
  </w:style>
  <w:style w:type="character" w:customStyle="1" w:styleId="86">
    <w:name w:val="Char Char6"/>
    <w:qFormat/>
    <w:uiPriority w:val="99"/>
    <w:rPr>
      <w:rFonts w:eastAsia="宋体"/>
      <w:b/>
      <w:bCs/>
      <w:kern w:val="44"/>
      <w:sz w:val="44"/>
      <w:szCs w:val="44"/>
      <w:lang w:val="en-US" w:eastAsia="zh-CN"/>
    </w:rPr>
  </w:style>
  <w:style w:type="character" w:customStyle="1" w:styleId="87">
    <w:name w:val="Char Char18"/>
    <w:qFormat/>
    <w:uiPriority w:val="99"/>
    <w:rPr>
      <w:rFonts w:ascii="Times New Roman" w:hAnsi="Times New Roman" w:eastAsia="宋体" w:cs="Times New Roman"/>
      <w:b/>
      <w:bCs/>
      <w:sz w:val="28"/>
      <w:szCs w:val="28"/>
    </w:rPr>
  </w:style>
  <w:style w:type="character" w:customStyle="1" w:styleId="88">
    <w:name w:val="Body Text Indent 2 Char"/>
    <w:qFormat/>
    <w:uiPriority w:val="99"/>
    <w:rPr>
      <w:rFonts w:eastAsia="宋体"/>
      <w:kern w:val="2"/>
      <w:sz w:val="24"/>
      <w:szCs w:val="24"/>
      <w:lang w:val="en-US" w:eastAsia="zh-CN"/>
    </w:rPr>
  </w:style>
  <w:style w:type="character" w:customStyle="1" w:styleId="89">
    <w:name w:val="Comment Text Char1"/>
    <w:qFormat/>
    <w:uiPriority w:val="99"/>
    <w:rPr>
      <w:sz w:val="24"/>
      <w:szCs w:val="24"/>
    </w:rPr>
  </w:style>
  <w:style w:type="character" w:customStyle="1" w:styleId="90">
    <w:name w:val="正文文本 Char1"/>
    <w:qFormat/>
    <w:uiPriority w:val="99"/>
    <w:rPr>
      <w:kern w:val="2"/>
      <w:sz w:val="22"/>
      <w:szCs w:val="22"/>
    </w:rPr>
  </w:style>
  <w:style w:type="character" w:customStyle="1" w:styleId="91">
    <w:name w:val="标题5 Char Char"/>
    <w:link w:val="92"/>
    <w:qFormat/>
    <w:locked/>
    <w:uiPriority w:val="99"/>
    <w:rPr>
      <w:rFonts w:ascii="Arial" w:hAnsi="Arial" w:cs="Arial"/>
      <w:b/>
      <w:bCs/>
      <w:sz w:val="32"/>
      <w:szCs w:val="32"/>
    </w:rPr>
  </w:style>
  <w:style w:type="paragraph" w:customStyle="1" w:styleId="92">
    <w:name w:val="标题5"/>
    <w:basedOn w:val="4"/>
    <w:link w:val="91"/>
    <w:qFormat/>
    <w:uiPriority w:val="99"/>
    <w:pPr>
      <w:spacing w:line="413" w:lineRule="auto"/>
    </w:pPr>
    <w:rPr>
      <w:rFonts w:ascii="Arial" w:hAnsi="Arial" w:cs="Arial"/>
      <w:kern w:val="0"/>
    </w:rPr>
  </w:style>
  <w:style w:type="character" w:customStyle="1" w:styleId="93">
    <w:name w:val="批注主题 Char1"/>
    <w:qFormat/>
    <w:uiPriority w:val="99"/>
    <w:rPr>
      <w:rFonts w:ascii="Times New Roman" w:hAnsi="Times New Roman" w:eastAsia="宋体" w:cs="Times New Roman"/>
      <w:b/>
      <w:bCs/>
      <w:sz w:val="24"/>
      <w:szCs w:val="24"/>
    </w:rPr>
  </w:style>
  <w:style w:type="character" w:customStyle="1" w:styleId="94">
    <w:name w:val="Char Char24"/>
    <w:qFormat/>
    <w:uiPriority w:val="99"/>
    <w:rPr>
      <w:rFonts w:eastAsia="宋体"/>
      <w:b/>
      <w:bCs/>
      <w:kern w:val="44"/>
      <w:sz w:val="44"/>
      <w:szCs w:val="44"/>
      <w:lang w:val="en-US" w:eastAsia="zh-CN"/>
    </w:rPr>
  </w:style>
  <w:style w:type="character" w:customStyle="1" w:styleId="95">
    <w:name w:val="Footer Char"/>
    <w:qFormat/>
    <w:uiPriority w:val="99"/>
    <w:rPr>
      <w:rFonts w:eastAsia="宋体"/>
      <w:kern w:val="2"/>
      <w:sz w:val="18"/>
      <w:szCs w:val="18"/>
      <w:lang w:val="en-US" w:eastAsia="zh-CN"/>
    </w:rPr>
  </w:style>
  <w:style w:type="character" w:customStyle="1" w:styleId="96">
    <w:name w:val="Char Char9"/>
    <w:qFormat/>
    <w:uiPriority w:val="99"/>
    <w:rPr>
      <w:rFonts w:eastAsia="宋体"/>
      <w:b/>
      <w:bCs/>
      <w:kern w:val="44"/>
      <w:sz w:val="44"/>
      <w:szCs w:val="44"/>
      <w:lang w:val="en-US" w:eastAsia="zh-CN"/>
    </w:rPr>
  </w:style>
  <w:style w:type="character" w:customStyle="1" w:styleId="97">
    <w:name w:val="正文文本 Char"/>
    <w:link w:val="16"/>
    <w:qFormat/>
    <w:locked/>
    <w:uiPriority w:val="99"/>
    <w:rPr>
      <w:rFonts w:eastAsia="宋体"/>
      <w:sz w:val="22"/>
    </w:rPr>
  </w:style>
  <w:style w:type="character" w:customStyle="1" w:styleId="98">
    <w:name w:val="正文文本 Char2"/>
    <w:basedOn w:val="40"/>
    <w:semiHidden/>
    <w:qFormat/>
    <w:uiPriority w:val="99"/>
    <w:rPr>
      <w:kern w:val="2"/>
      <w:sz w:val="21"/>
      <w:szCs w:val="22"/>
    </w:rPr>
  </w:style>
  <w:style w:type="character" w:customStyle="1" w:styleId="99">
    <w:name w:val="Heading 3 Char1"/>
    <w:qFormat/>
    <w:uiPriority w:val="99"/>
    <w:rPr>
      <w:rFonts w:eastAsia="宋体"/>
      <w:b/>
      <w:bCs/>
      <w:kern w:val="2"/>
      <w:sz w:val="32"/>
      <w:szCs w:val="32"/>
      <w:lang w:val="en-US" w:eastAsia="zh-CN"/>
    </w:rPr>
  </w:style>
  <w:style w:type="character" w:customStyle="1" w:styleId="100">
    <w:name w:val="Document Map Char"/>
    <w:qFormat/>
    <w:uiPriority w:val="99"/>
    <w:rPr>
      <w:rFonts w:eastAsia="宋体"/>
      <w:kern w:val="2"/>
      <w:sz w:val="24"/>
      <w:szCs w:val="24"/>
      <w:lang w:val="en-US" w:eastAsia="zh-CN"/>
    </w:rPr>
  </w:style>
  <w:style w:type="character" w:customStyle="1" w:styleId="101">
    <w:name w:val="副标题 Char"/>
    <w:link w:val="30"/>
    <w:qFormat/>
    <w:uiPriority w:val="11"/>
    <w:rPr>
      <w:rFonts w:ascii="Cambria" w:hAnsi="Cambria" w:cs="Times New Roman"/>
      <w:b/>
      <w:bCs/>
      <w:kern w:val="28"/>
      <w:sz w:val="32"/>
      <w:szCs w:val="32"/>
    </w:rPr>
  </w:style>
  <w:style w:type="character" w:customStyle="1" w:styleId="102">
    <w:name w:val="副标题 Char1"/>
    <w:basedOn w:val="40"/>
    <w:qFormat/>
    <w:uiPriority w:val="11"/>
    <w:rPr>
      <w:rFonts w:eastAsia="宋体" w:asciiTheme="majorHAnsi" w:hAnsiTheme="majorHAnsi" w:cstheme="majorBidi"/>
      <w:b/>
      <w:bCs/>
      <w:kern w:val="28"/>
      <w:sz w:val="32"/>
      <w:szCs w:val="32"/>
    </w:rPr>
  </w:style>
  <w:style w:type="character" w:customStyle="1" w:styleId="103">
    <w:name w:val="Char Char22"/>
    <w:qFormat/>
    <w:uiPriority w:val="99"/>
    <w:rPr>
      <w:rFonts w:ascii="Times New Roman" w:hAnsi="Times New Roman" w:eastAsia="宋体" w:cs="Times New Roman"/>
      <w:b/>
      <w:bCs/>
      <w:kern w:val="44"/>
      <w:sz w:val="44"/>
      <w:szCs w:val="44"/>
    </w:rPr>
  </w:style>
  <w:style w:type="character" w:customStyle="1" w:styleId="104">
    <w:name w:val="明显引用 Char"/>
    <w:link w:val="105"/>
    <w:qFormat/>
    <w:locked/>
    <w:uiPriority w:val="99"/>
    <w:rPr>
      <w:b/>
      <w:bCs/>
      <w:i/>
      <w:iCs/>
      <w:color w:val="4F81BD"/>
    </w:rPr>
  </w:style>
  <w:style w:type="paragraph" w:customStyle="1" w:styleId="105">
    <w:name w:val="明显引用1"/>
    <w:basedOn w:val="1"/>
    <w:next w:val="1"/>
    <w:link w:val="104"/>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6">
    <w:name w:val="标题4 Char Char"/>
    <w:link w:val="107"/>
    <w:qFormat/>
    <w:locked/>
    <w:uiPriority w:val="99"/>
    <w:rPr>
      <w:rFonts w:ascii="Arial" w:hAnsi="Arial" w:cs="Arial"/>
      <w:b/>
      <w:bCs/>
      <w:sz w:val="32"/>
      <w:szCs w:val="32"/>
    </w:rPr>
  </w:style>
  <w:style w:type="paragraph" w:customStyle="1" w:styleId="107">
    <w:name w:val="标题4"/>
    <w:basedOn w:val="3"/>
    <w:next w:val="18"/>
    <w:link w:val="106"/>
    <w:qFormat/>
    <w:uiPriority w:val="99"/>
    <w:pPr>
      <w:spacing w:before="60" w:after="60" w:line="413" w:lineRule="auto"/>
    </w:pPr>
    <w:rPr>
      <w:rFonts w:ascii="Arial" w:hAnsi="Arial" w:cs="Arial" w:eastAsiaTheme="minorEastAsia"/>
      <w:kern w:val="0"/>
    </w:rPr>
  </w:style>
  <w:style w:type="character" w:customStyle="1" w:styleId="108">
    <w:name w:val="Header Char"/>
    <w:qFormat/>
    <w:uiPriority w:val="99"/>
    <w:rPr>
      <w:rFonts w:eastAsia="宋体"/>
      <w:kern w:val="2"/>
      <w:sz w:val="18"/>
      <w:szCs w:val="18"/>
      <w:lang w:val="en-US" w:eastAsia="zh-CN"/>
    </w:rPr>
  </w:style>
  <w:style w:type="character" w:customStyle="1" w:styleId="109">
    <w:name w:val="明显引用 Char1"/>
    <w:qFormat/>
    <w:uiPriority w:val="99"/>
    <w:rPr>
      <w:rFonts w:ascii="Times New Roman" w:hAnsi="Times New Roman" w:eastAsia="宋体" w:cs="Times New Roman"/>
      <w:b/>
      <w:bCs/>
      <w:i/>
      <w:iCs/>
      <w:color w:val="4F81BD"/>
      <w:sz w:val="24"/>
      <w:szCs w:val="24"/>
    </w:rPr>
  </w:style>
  <w:style w:type="character" w:customStyle="1" w:styleId="110">
    <w:name w:val="Comment Text Char"/>
    <w:qFormat/>
    <w:uiPriority w:val="99"/>
    <w:rPr>
      <w:sz w:val="24"/>
      <w:szCs w:val="24"/>
    </w:rPr>
  </w:style>
  <w:style w:type="character" w:customStyle="1" w:styleId="111">
    <w:name w:val="明显参考1"/>
    <w:qFormat/>
    <w:uiPriority w:val="99"/>
    <w:rPr>
      <w:b/>
      <w:bCs/>
      <w:smallCaps/>
      <w:color w:val="auto"/>
      <w:spacing w:val="5"/>
      <w:u w:val="single"/>
    </w:rPr>
  </w:style>
  <w:style w:type="character" w:customStyle="1" w:styleId="112">
    <w:name w:val="明显强调1"/>
    <w:qFormat/>
    <w:uiPriority w:val="99"/>
    <w:rPr>
      <w:b/>
      <w:bCs/>
      <w:i/>
      <w:iCs/>
      <w:color w:val="4F81BD"/>
    </w:rPr>
  </w:style>
  <w:style w:type="character" w:customStyle="1" w:styleId="113">
    <w:name w:val="引用 Char1"/>
    <w:qFormat/>
    <w:uiPriority w:val="99"/>
    <w:rPr>
      <w:rFonts w:ascii="Times New Roman" w:hAnsi="Times New Roman" w:eastAsia="宋体" w:cs="Times New Roman"/>
      <w:i/>
      <w:iCs/>
      <w:color w:val="000000"/>
      <w:sz w:val="24"/>
      <w:szCs w:val="24"/>
    </w:rPr>
  </w:style>
  <w:style w:type="character" w:customStyle="1" w:styleId="114">
    <w:name w:val="引用 Char"/>
    <w:link w:val="115"/>
    <w:qFormat/>
    <w:locked/>
    <w:uiPriority w:val="99"/>
    <w:rPr>
      <w:i/>
      <w:iCs/>
      <w:color w:val="000000"/>
    </w:rPr>
  </w:style>
  <w:style w:type="paragraph" w:customStyle="1" w:styleId="115">
    <w:name w:val="引用1"/>
    <w:basedOn w:val="1"/>
    <w:next w:val="1"/>
    <w:link w:val="114"/>
    <w:qFormat/>
    <w:uiPriority w:val="99"/>
    <w:rPr>
      <w:i/>
      <w:iCs/>
      <w:color w:val="000000"/>
      <w:kern w:val="0"/>
      <w:sz w:val="20"/>
      <w:szCs w:val="20"/>
    </w:rPr>
  </w:style>
  <w:style w:type="character" w:customStyle="1" w:styleId="116">
    <w:name w:val="标题 Char2"/>
    <w:qFormat/>
    <w:uiPriority w:val="99"/>
    <w:rPr>
      <w:rFonts w:ascii="Cambria" w:hAnsi="Cambria" w:eastAsia="宋体" w:cs="Cambria"/>
      <w:b/>
      <w:bCs/>
      <w:sz w:val="32"/>
      <w:szCs w:val="32"/>
    </w:rPr>
  </w:style>
  <w:style w:type="character" w:customStyle="1" w:styleId="117">
    <w:name w:val="Char Char23"/>
    <w:qFormat/>
    <w:uiPriority w:val="99"/>
    <w:rPr>
      <w:rFonts w:eastAsia="宋体"/>
      <w:b/>
      <w:bCs/>
      <w:kern w:val="44"/>
      <w:sz w:val="44"/>
      <w:szCs w:val="44"/>
      <w:lang w:val="en-US" w:eastAsia="zh-CN"/>
    </w:rPr>
  </w:style>
  <w:style w:type="character" w:customStyle="1" w:styleId="118">
    <w:name w:val="Plain Text Char"/>
    <w:qFormat/>
    <w:uiPriority w:val="99"/>
    <w:rPr>
      <w:rFonts w:ascii="宋体" w:hAnsi="Courier New" w:eastAsia="宋体" w:cs="宋体"/>
      <w:sz w:val="24"/>
      <w:szCs w:val="24"/>
    </w:rPr>
  </w:style>
  <w:style w:type="character" w:customStyle="1" w:styleId="119">
    <w:name w:val="Char Char91"/>
    <w:qFormat/>
    <w:uiPriority w:val="99"/>
    <w:rPr>
      <w:rFonts w:eastAsia="宋体"/>
      <w:b/>
      <w:bCs/>
      <w:kern w:val="44"/>
      <w:sz w:val="44"/>
      <w:szCs w:val="44"/>
      <w:lang w:val="en-US" w:eastAsia="zh-CN"/>
    </w:rPr>
  </w:style>
  <w:style w:type="character" w:customStyle="1" w:styleId="120">
    <w:name w:val="纯文本 Char1"/>
    <w:qFormat/>
    <w:uiPriority w:val="99"/>
    <w:rPr>
      <w:rFonts w:ascii="宋体" w:hAnsi="Courier New" w:eastAsia="宋体" w:cs="宋体"/>
      <w:sz w:val="21"/>
      <w:szCs w:val="21"/>
    </w:rPr>
  </w:style>
  <w:style w:type="character" w:customStyle="1" w:styleId="121">
    <w:name w:val="Char Char181"/>
    <w:qFormat/>
    <w:uiPriority w:val="99"/>
    <w:rPr>
      <w:b/>
      <w:bCs/>
      <w:kern w:val="44"/>
      <w:sz w:val="44"/>
      <w:szCs w:val="44"/>
    </w:rPr>
  </w:style>
  <w:style w:type="character" w:customStyle="1" w:styleId="122">
    <w:name w:val="Heading 5 Char"/>
    <w:qFormat/>
    <w:uiPriority w:val="99"/>
    <w:rPr>
      <w:rFonts w:eastAsia="宋体"/>
      <w:b/>
      <w:bCs/>
      <w:kern w:val="2"/>
      <w:sz w:val="28"/>
      <w:szCs w:val="28"/>
      <w:lang w:val="en-US" w:eastAsia="zh-CN"/>
    </w:rPr>
  </w:style>
  <w:style w:type="character" w:customStyle="1" w:styleId="123">
    <w:name w:val="Char Char19"/>
    <w:qFormat/>
    <w:uiPriority w:val="99"/>
    <w:rPr>
      <w:rFonts w:ascii="Arial" w:hAnsi="Arial" w:eastAsia="宋体" w:cs="Arial"/>
      <w:b/>
      <w:bCs/>
      <w:sz w:val="28"/>
      <w:szCs w:val="28"/>
    </w:rPr>
  </w:style>
  <w:style w:type="character" w:customStyle="1" w:styleId="124">
    <w:name w:val="纯文本 Char"/>
    <w:link w:val="21"/>
    <w:qFormat/>
    <w:locked/>
    <w:uiPriority w:val="0"/>
    <w:rPr>
      <w:rFonts w:ascii="宋体" w:hAnsi="Courier New" w:eastAsia="宋体" w:cs="宋体"/>
      <w:sz w:val="24"/>
      <w:szCs w:val="24"/>
    </w:rPr>
  </w:style>
  <w:style w:type="character" w:customStyle="1" w:styleId="125">
    <w:name w:val="纯文本 Char2"/>
    <w:basedOn w:val="40"/>
    <w:semiHidden/>
    <w:qFormat/>
    <w:uiPriority w:val="0"/>
    <w:rPr>
      <w:rFonts w:ascii="宋体" w:hAnsi="Courier New" w:eastAsia="宋体" w:cs="Courier New"/>
      <w:kern w:val="2"/>
      <w:sz w:val="21"/>
      <w:szCs w:val="21"/>
    </w:rPr>
  </w:style>
  <w:style w:type="character" w:customStyle="1" w:styleId="126">
    <w:name w:val="日期 Char1"/>
    <w:qFormat/>
    <w:uiPriority w:val="99"/>
    <w:rPr>
      <w:rFonts w:ascii="Times New Roman" w:hAnsi="Times New Roman" w:eastAsia="宋体" w:cs="Times New Roman"/>
      <w:sz w:val="24"/>
      <w:szCs w:val="24"/>
    </w:rPr>
  </w:style>
  <w:style w:type="character" w:customStyle="1" w:styleId="127">
    <w:name w:val="脚注文本 Char"/>
    <w:link w:val="31"/>
    <w:qFormat/>
    <w:locked/>
    <w:uiPriority w:val="99"/>
    <w:rPr>
      <w:sz w:val="18"/>
      <w:szCs w:val="18"/>
    </w:rPr>
  </w:style>
  <w:style w:type="character" w:customStyle="1" w:styleId="128">
    <w:name w:val="脚注文本 Char1"/>
    <w:basedOn w:val="40"/>
    <w:semiHidden/>
    <w:qFormat/>
    <w:uiPriority w:val="99"/>
    <w:rPr>
      <w:kern w:val="2"/>
      <w:sz w:val="18"/>
      <w:szCs w:val="18"/>
    </w:rPr>
  </w:style>
  <w:style w:type="character" w:customStyle="1" w:styleId="129">
    <w:name w:val="正文文本缩进 2 Char"/>
    <w:link w:val="24"/>
    <w:qFormat/>
    <w:locked/>
    <w:uiPriority w:val="99"/>
    <w:rPr>
      <w:sz w:val="24"/>
      <w:szCs w:val="24"/>
    </w:rPr>
  </w:style>
  <w:style w:type="character" w:customStyle="1" w:styleId="130">
    <w:name w:val="正文文本缩进 2 Char1"/>
    <w:basedOn w:val="40"/>
    <w:semiHidden/>
    <w:qFormat/>
    <w:uiPriority w:val="99"/>
    <w:rPr>
      <w:kern w:val="2"/>
      <w:sz w:val="21"/>
      <w:szCs w:val="22"/>
    </w:rPr>
  </w:style>
  <w:style w:type="character" w:customStyle="1" w:styleId="131">
    <w:name w:val="Date Char"/>
    <w:qFormat/>
    <w:uiPriority w:val="99"/>
    <w:rPr>
      <w:rFonts w:eastAsia="宋体"/>
      <w:kern w:val="2"/>
      <w:sz w:val="24"/>
      <w:szCs w:val="24"/>
      <w:lang w:val="en-US" w:eastAsia="zh-CN"/>
    </w:rPr>
  </w:style>
  <w:style w:type="character" w:customStyle="1" w:styleId="132">
    <w:name w:val="Title Char"/>
    <w:qFormat/>
    <w:uiPriority w:val="99"/>
    <w:rPr>
      <w:rFonts w:ascii="Cambria" w:hAnsi="Cambria" w:cs="Cambria"/>
      <w:b/>
      <w:bCs/>
      <w:sz w:val="32"/>
      <w:szCs w:val="32"/>
    </w:rPr>
  </w:style>
  <w:style w:type="character" w:customStyle="1" w:styleId="133">
    <w:name w:val="正文文本缩进 Char"/>
    <w:link w:val="17"/>
    <w:qFormat/>
    <w:locked/>
    <w:uiPriority w:val="99"/>
    <w:rPr>
      <w:rFonts w:ascii="宋体" w:eastAsia="宋体" w:cs="宋体"/>
      <w:szCs w:val="21"/>
    </w:rPr>
  </w:style>
  <w:style w:type="character" w:customStyle="1" w:styleId="134">
    <w:name w:val="正文文本缩进 Char1"/>
    <w:basedOn w:val="40"/>
    <w:semiHidden/>
    <w:qFormat/>
    <w:uiPriority w:val="99"/>
    <w:rPr>
      <w:kern w:val="2"/>
      <w:sz w:val="21"/>
      <w:szCs w:val="22"/>
    </w:rPr>
  </w:style>
  <w:style w:type="character" w:customStyle="1" w:styleId="135">
    <w:name w:val="书籍标题1"/>
    <w:qFormat/>
    <w:uiPriority w:val="99"/>
    <w:rPr>
      <w:b/>
      <w:bCs/>
      <w:smallCaps/>
      <w:spacing w:val="5"/>
    </w:rPr>
  </w:style>
  <w:style w:type="character" w:customStyle="1" w:styleId="136">
    <w:name w:val="不明显强调1"/>
    <w:qFormat/>
    <w:uiPriority w:val="99"/>
    <w:rPr>
      <w:i/>
      <w:iCs/>
      <w:color w:val="808080"/>
    </w:rPr>
  </w:style>
  <w:style w:type="character" w:customStyle="1" w:styleId="137">
    <w:name w:val="日期 Char"/>
    <w:link w:val="23"/>
    <w:qFormat/>
    <w:locked/>
    <w:uiPriority w:val="99"/>
    <w:rPr>
      <w:sz w:val="24"/>
      <w:szCs w:val="24"/>
    </w:rPr>
  </w:style>
  <w:style w:type="character" w:customStyle="1" w:styleId="138">
    <w:name w:val="日期 Char2"/>
    <w:basedOn w:val="40"/>
    <w:semiHidden/>
    <w:qFormat/>
    <w:uiPriority w:val="99"/>
    <w:rPr>
      <w:kern w:val="2"/>
      <w:sz w:val="21"/>
      <w:szCs w:val="22"/>
    </w:rPr>
  </w:style>
  <w:style w:type="character" w:customStyle="1" w:styleId="139">
    <w:name w:val="textcontents"/>
    <w:qFormat/>
    <w:uiPriority w:val="99"/>
  </w:style>
  <w:style w:type="paragraph" w:customStyle="1" w:styleId="140">
    <w:name w:val="样式1"/>
    <w:basedOn w:val="1"/>
    <w:next w:val="5"/>
    <w:qFormat/>
    <w:uiPriority w:val="99"/>
    <w:pPr>
      <w:spacing w:line="360" w:lineRule="auto"/>
      <w:ind w:firstLine="420" w:firstLineChars="200"/>
    </w:pPr>
    <w:rPr>
      <w:rFonts w:ascii="宋体" w:hAnsi="宋体" w:eastAsia="宋体" w:cs="宋体"/>
    </w:rPr>
  </w:style>
  <w:style w:type="paragraph" w:customStyle="1" w:styleId="141">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42">
    <w:name w:val="Char Char Char Char Char Char Char"/>
    <w:basedOn w:val="1"/>
    <w:qFormat/>
    <w:uiPriority w:val="99"/>
    <w:pPr>
      <w:widowControl/>
      <w:spacing w:after="160" w:line="240" w:lineRule="exact"/>
      <w:jc w:val="left"/>
    </w:pPr>
    <w:rPr>
      <w:rFonts w:ascii="Calibri" w:hAnsi="Calibri" w:eastAsia="宋体" w:cs="Times New Roman"/>
    </w:rPr>
  </w:style>
  <w:style w:type="paragraph" w:customStyle="1" w:styleId="143">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4">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5">
    <w:name w:val="TOC 标题1"/>
    <w:basedOn w:val="2"/>
    <w:next w:val="1"/>
    <w:qFormat/>
    <w:uiPriority w:val="99"/>
    <w:pPr>
      <w:spacing w:line="576" w:lineRule="auto"/>
      <w:outlineLvl w:val="9"/>
    </w:pPr>
    <w:rPr>
      <w:rFonts w:ascii="Calibri" w:hAnsi="Calibri" w:eastAsia="黑体" w:cs="Calibri"/>
      <w:lang w:val="zh-CN"/>
    </w:rPr>
  </w:style>
  <w:style w:type="paragraph" w:customStyle="1" w:styleId="146">
    <w:name w:val="空半行"/>
    <w:basedOn w:val="1"/>
    <w:qFormat/>
    <w:uiPriority w:val="99"/>
    <w:pPr>
      <w:adjustRightInd w:val="0"/>
      <w:spacing w:line="120" w:lineRule="exact"/>
      <w:textAlignment w:val="baseline"/>
    </w:pPr>
    <w:rPr>
      <w:rFonts w:ascii="Calibri" w:hAnsi="Calibri" w:eastAsia="仿宋_GB2312" w:cs="Times New Roman"/>
      <w:color w:val="FFFFFF"/>
      <w:kern w:val="0"/>
      <w:sz w:val="30"/>
      <w:szCs w:val="30"/>
    </w:rPr>
  </w:style>
  <w:style w:type="paragraph" w:customStyle="1" w:styleId="147">
    <w:name w:val="p0"/>
    <w:basedOn w:val="1"/>
    <w:qFormat/>
    <w:uiPriority w:val="99"/>
    <w:pPr>
      <w:widowControl/>
    </w:pPr>
    <w:rPr>
      <w:rFonts w:ascii="Calibri" w:hAnsi="Calibri" w:eastAsia="宋体" w:cs="Calibri"/>
      <w:kern w:val="0"/>
    </w:rPr>
  </w:style>
  <w:style w:type="paragraph" w:customStyle="1" w:styleId="148">
    <w:name w:val="Char"/>
    <w:basedOn w:val="1"/>
    <w:qFormat/>
    <w:uiPriority w:val="99"/>
    <w:pPr>
      <w:widowControl/>
      <w:spacing w:after="160" w:line="240" w:lineRule="exact"/>
      <w:jc w:val="left"/>
    </w:pPr>
    <w:rPr>
      <w:rFonts w:ascii="Calibri" w:hAnsi="Calibri" w:eastAsia="宋体" w:cs="Times New Roman"/>
    </w:rPr>
  </w:style>
  <w:style w:type="paragraph" w:customStyle="1" w:styleId="149">
    <w:name w:val="1"/>
    <w:basedOn w:val="1"/>
    <w:next w:val="1"/>
    <w:qFormat/>
    <w:uiPriority w:val="99"/>
    <w:rPr>
      <w:rFonts w:ascii="Calibri" w:hAnsi="Calibri" w:eastAsia="宋体" w:cs="Times New Roman"/>
    </w:rPr>
  </w:style>
  <w:style w:type="paragraph" w:customStyle="1" w:styleId="150">
    <w:name w:val="列出段落2"/>
    <w:basedOn w:val="1"/>
    <w:qFormat/>
    <w:uiPriority w:val="99"/>
    <w:pPr>
      <w:ind w:firstLine="420" w:firstLineChars="200"/>
    </w:pPr>
    <w:rPr>
      <w:rFonts w:ascii="Calibri" w:hAnsi="Calibri" w:eastAsia="宋体" w:cs="Calibri"/>
    </w:rPr>
  </w:style>
  <w:style w:type="paragraph" w:customStyle="1" w:styleId="151">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2">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Times New Roman"/>
      <w:b w:val="0"/>
      <w:bCs w:val="0"/>
      <w:kern w:val="0"/>
      <w:sz w:val="28"/>
      <w:szCs w:val="28"/>
      <w:lang w:val="zh-CN"/>
    </w:rPr>
  </w:style>
  <w:style w:type="paragraph" w:customStyle="1" w:styleId="153">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54">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5">
    <w:name w:val="标题 Char3"/>
    <w:basedOn w:val="40"/>
    <w:qFormat/>
    <w:uiPriority w:val="99"/>
    <w:rPr>
      <w:rFonts w:eastAsia="宋体" w:asciiTheme="majorHAnsi" w:hAnsiTheme="majorHAnsi" w:cstheme="majorBidi"/>
      <w:b/>
      <w:bCs/>
      <w:sz w:val="32"/>
      <w:szCs w:val="32"/>
    </w:rPr>
  </w:style>
  <w:style w:type="paragraph" w:customStyle="1" w:styleId="156">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styleId="157">
    <w:name w:val="List Paragraph"/>
    <w:basedOn w:val="1"/>
    <w:qFormat/>
    <w:uiPriority w:val="34"/>
    <w:pPr>
      <w:ind w:firstLine="420" w:firstLineChars="200"/>
    </w:pPr>
    <w:rPr>
      <w:rFonts w:ascii="Calibri" w:hAnsi="Calibri" w:eastAsia="宋体" w:cs="Times New Roman"/>
    </w:rPr>
  </w:style>
  <w:style w:type="paragraph" w:customStyle="1" w:styleId="158">
    <w:name w:val="列出段落1"/>
    <w:basedOn w:val="1"/>
    <w:qFormat/>
    <w:uiPriority w:val="99"/>
    <w:pPr>
      <w:ind w:firstLine="420" w:firstLineChars="200"/>
    </w:pPr>
    <w:rPr>
      <w:rFonts w:ascii="Calibri" w:hAnsi="Calibri" w:eastAsia="宋体" w:cs="Calibri"/>
    </w:rPr>
  </w:style>
  <w:style w:type="paragraph" w:customStyle="1" w:styleId="159">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60">
    <w:name w:val="Char1"/>
    <w:basedOn w:val="1"/>
    <w:qFormat/>
    <w:uiPriority w:val="99"/>
    <w:pPr>
      <w:widowControl/>
      <w:spacing w:after="160" w:line="240" w:lineRule="exact"/>
      <w:jc w:val="left"/>
    </w:pPr>
    <w:rPr>
      <w:rFonts w:ascii="Calibri" w:hAnsi="Calibri" w:eastAsia="宋体" w:cs="Times New Roman"/>
    </w:rPr>
  </w:style>
  <w:style w:type="paragraph" w:customStyle="1" w:styleId="161">
    <w:name w:val="_Style 37"/>
    <w:basedOn w:val="1"/>
    <w:next w:val="1"/>
    <w:qFormat/>
    <w:uiPriority w:val="99"/>
    <w:rPr>
      <w:rFonts w:ascii="Calibri" w:hAnsi="Calibri" w:eastAsia="宋体" w:cs="Times New Roman"/>
    </w:rPr>
  </w:style>
  <w:style w:type="paragraph" w:customStyle="1" w:styleId="162">
    <w:name w:val="样式 标题 3 + (中文) 黑体 小四 非加粗 段前: 7.8 磅 段后: 0 磅 行距: 固定值 20 磅"/>
    <w:basedOn w:val="4"/>
    <w:qFormat/>
    <w:uiPriority w:val="99"/>
    <w:pPr>
      <w:spacing w:before="0" w:after="0" w:line="400" w:lineRule="exact"/>
    </w:pPr>
    <w:rPr>
      <w:rFonts w:ascii="Calibri" w:hAnsi="Calibri" w:eastAsia="黑体" w:cs="Times New Roman"/>
      <w:b w:val="0"/>
      <w:bCs w:val="0"/>
      <w:lang w:val="zh-CN"/>
    </w:rPr>
  </w:style>
  <w:style w:type="character" w:customStyle="1" w:styleId="163">
    <w:name w:val="fontstyle01"/>
    <w:qFormat/>
    <w:uiPriority w:val="0"/>
    <w:rPr>
      <w:rFonts w:hint="eastAsia" w:ascii="宋体" w:hAnsi="宋体" w:eastAsia="宋体"/>
      <w:color w:val="000000"/>
      <w:sz w:val="22"/>
      <w:szCs w:val="22"/>
    </w:rPr>
  </w:style>
  <w:style w:type="character" w:customStyle="1" w:styleId="164">
    <w:name w:val="fontstyle21"/>
    <w:qFormat/>
    <w:uiPriority w:val="0"/>
    <w:rPr>
      <w:rFonts w:hint="default" w:ascii="Times New Roman" w:hAnsi="Times New Roman" w:cs="Times New Roman"/>
      <w:b/>
      <w:bCs/>
      <w:color w:val="000000"/>
      <w:sz w:val="22"/>
      <w:szCs w:val="22"/>
    </w:rPr>
  </w:style>
  <w:style w:type="character" w:customStyle="1" w:styleId="165">
    <w:name w:val="fontstyle31"/>
    <w:qFormat/>
    <w:uiPriority w:val="0"/>
    <w:rPr>
      <w:rFonts w:hint="eastAsia" w:ascii="黑体" w:hAnsi="黑体" w:eastAsia="黑体"/>
      <w:color w:val="000000"/>
      <w:sz w:val="28"/>
      <w:szCs w:val="28"/>
    </w:rPr>
  </w:style>
  <w:style w:type="character" w:customStyle="1" w:styleId="166">
    <w:name w:val="fontstyle41"/>
    <w:qFormat/>
    <w:uiPriority w:val="0"/>
    <w:rPr>
      <w:rFonts w:hint="default" w:ascii="Times New Roman" w:hAnsi="Times New Roman" w:cs="Times New Roman"/>
      <w:color w:val="000000"/>
      <w:sz w:val="18"/>
      <w:szCs w:val="18"/>
    </w:rPr>
  </w:style>
  <w:style w:type="character" w:customStyle="1" w:styleId="167">
    <w:name w:val="fontstyle51"/>
    <w:qFormat/>
    <w:uiPriority w:val="0"/>
    <w:rPr>
      <w:rFonts w:hint="eastAsia" w:ascii="楷体" w:hAnsi="楷体" w:eastAsia="楷体"/>
      <w:color w:val="000000"/>
      <w:sz w:val="22"/>
      <w:szCs w:val="22"/>
    </w:rPr>
  </w:style>
  <w:style w:type="paragraph" w:styleId="16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9">
    <w:name w:val="超链接_0"/>
    <w:qFormat/>
    <w:uiPriority w:val="99"/>
    <w:rPr>
      <w:rFonts w:ascii="Calibri" w:hAnsi="Calibri"/>
      <w:color w:val="0000FF"/>
      <w:u w:val="single"/>
    </w:rPr>
  </w:style>
  <w:style w:type="paragraph" w:customStyle="1" w:styleId="170">
    <w:name w:val="标题 2_0"/>
    <w:basedOn w:val="63"/>
    <w:next w:val="63"/>
    <w:link w:val="171"/>
    <w:qFormat/>
    <w:uiPriority w:val="9"/>
    <w:pPr>
      <w:keepNext/>
      <w:keepLines/>
      <w:spacing w:before="260" w:after="260" w:line="412" w:lineRule="auto"/>
      <w:outlineLvl w:val="1"/>
    </w:pPr>
    <w:rPr>
      <w:rFonts w:ascii="Arial" w:hAnsi="Arial" w:eastAsia="黑体"/>
      <w:b/>
      <w:sz w:val="32"/>
      <w:szCs w:val="20"/>
    </w:rPr>
  </w:style>
  <w:style w:type="character" w:customStyle="1" w:styleId="171">
    <w:name w:val="标题 2 Char_0"/>
    <w:link w:val="170"/>
    <w:qFormat/>
    <w:uiPriority w:val="9"/>
    <w:rPr>
      <w:rFonts w:ascii="Arial" w:hAnsi="Arial" w:eastAsia="黑体" w:cs="Times New Roman"/>
      <w:b/>
      <w:kern w:val="2"/>
      <w:sz w:val="32"/>
    </w:rPr>
  </w:style>
  <w:style w:type="paragraph" w:customStyle="1" w:styleId="172">
    <w:name w:val="标题 3_0"/>
    <w:basedOn w:val="63"/>
    <w:next w:val="63"/>
    <w:link w:val="173"/>
    <w:unhideWhenUsed/>
    <w:qFormat/>
    <w:uiPriority w:val="9"/>
    <w:pPr>
      <w:keepNext/>
      <w:keepLines/>
      <w:spacing w:before="260" w:after="260" w:line="416" w:lineRule="auto"/>
      <w:outlineLvl w:val="2"/>
    </w:pPr>
    <w:rPr>
      <w:b/>
      <w:bCs/>
      <w:sz w:val="32"/>
      <w:szCs w:val="32"/>
    </w:rPr>
  </w:style>
  <w:style w:type="character" w:customStyle="1" w:styleId="173">
    <w:name w:val="标题 3 Char_0"/>
    <w:link w:val="172"/>
    <w:qFormat/>
    <w:uiPriority w:val="9"/>
    <w:rPr>
      <w:rFonts w:ascii="Calibri" w:hAnsi="Calibri" w:eastAsia="宋体" w:cs="Times New Roman"/>
      <w:b/>
      <w:bCs/>
      <w:kern w:val="2"/>
      <w:sz w:val="32"/>
      <w:szCs w:val="32"/>
    </w:rPr>
  </w:style>
  <w:style w:type="paragraph" w:customStyle="1" w:styleId="17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Normal_0"/>
    <w:qFormat/>
    <w:uiPriority w:val="0"/>
    <w:rPr>
      <w:rFonts w:ascii="Times New Roman" w:hAnsi="Times New Roman" w:eastAsia="Times New Roman" w:cs="Times New Roman"/>
      <w:sz w:val="24"/>
      <w:szCs w:val="24"/>
      <w:lang w:val="en-US" w:eastAsia="zh-CN" w:bidi="ar-SA"/>
    </w:rPr>
  </w:style>
  <w:style w:type="paragraph" w:customStyle="1" w:styleId="17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6DF1-A400-438A-B9CF-91D9789F33F0}">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174</Pages>
  <Words>4184</Words>
  <Characters>4961</Characters>
  <Lines>923</Lines>
  <Paragraphs>259</Paragraphs>
  <TotalTime>54</TotalTime>
  <ScaleCrop>false</ScaleCrop>
  <LinksUpToDate>false</LinksUpToDate>
  <CharactersWithSpaces>5060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2025-05-15T09:31:00Z</dcterms:created>
  <dc:creator>Windows 用户</dc:creator>
  <cp:lastModifiedBy>NTKO</cp:lastModifiedBy>
  <cp:lastPrinted>2025-04-24T03:51:00Z</cp:lastPrinted>
  <dcterms:modified xsi:type="dcterms:W3CDTF">2025-05-22T08:11:51Z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724CD887C1CB49BFAB1F5ACD3FCA8684_13</vt:lpwstr>
  </property>
  <property fmtid="{D5CDD505-2E9C-101B-9397-08002B2CF9AE}" pid="4" name="KSOTemplateDocerSaveRecord">
    <vt:lpwstr>eyJoZGlkIjoiZDQzNmVhNGE2YzEyNzE4YzY0Y2I1OGQ4NTBmYzE4MzUifQ==</vt:lpwstr>
  </property>
</Properties>
</file>