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43741">
      <w:pPr>
        <w:spacing w:before="120" w:beforeLines="50" w:line="360" w:lineRule="auto"/>
        <w:jc w:val="center"/>
        <w:rPr>
          <w:color w:val="auto"/>
          <w:highlight w:val="none"/>
        </w:rPr>
      </w:pPr>
      <w:bookmarkStart w:id="163" w:name="_GoBack"/>
    </w:p>
    <w:p w14:paraId="695FC6DC">
      <w:pPr>
        <w:spacing w:before="120" w:beforeLines="50" w:line="360" w:lineRule="auto"/>
        <w:jc w:val="center"/>
        <w:rPr>
          <w:rFonts w:hint="eastAsia" w:asciiTheme="majorEastAsia" w:hAnsiTheme="majorEastAsia" w:eastAsiaTheme="majorEastAsia"/>
          <w:color w:val="auto"/>
          <w:sz w:val="52"/>
          <w:szCs w:val="52"/>
          <w:highlight w:val="none"/>
        </w:rPr>
      </w:pPr>
      <w:r>
        <w:rPr>
          <w:rFonts w:hint="eastAsia"/>
          <w:color w:val="auto"/>
          <w:highlight w:val="none"/>
        </w:rPr>
        <w:drawing>
          <wp:inline distT="0" distB="0" distL="114300" distR="114300">
            <wp:extent cx="1071245" cy="1397635"/>
            <wp:effectExtent l="0" t="0" r="146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1071245" cy="1397635"/>
                    </a:xfrm>
                    <a:prstGeom prst="rect">
                      <a:avLst/>
                    </a:prstGeom>
                    <a:noFill/>
                    <a:ln>
                      <a:noFill/>
                    </a:ln>
                  </pic:spPr>
                </pic:pic>
              </a:graphicData>
            </a:graphic>
          </wp:inline>
        </w:drawing>
      </w:r>
    </w:p>
    <w:p w14:paraId="29B47E4C">
      <w:pPr>
        <w:pStyle w:val="125"/>
        <w:spacing w:after="120"/>
        <w:ind w:firstLine="0" w:firstLineChars="0"/>
        <w:rPr>
          <w:rFonts w:hint="eastAsia" w:asciiTheme="majorEastAsia" w:hAnsiTheme="majorEastAsia" w:eastAsiaTheme="majorEastAsia"/>
          <w:color w:val="auto"/>
          <w:highlight w:val="none"/>
        </w:rPr>
      </w:pPr>
    </w:p>
    <w:p w14:paraId="194D8A91">
      <w:pPr>
        <w:snapToGrid w:val="0"/>
        <w:spacing w:before="120" w:beforeLines="50" w:line="360" w:lineRule="auto"/>
        <w:jc w:val="center"/>
        <w:rPr>
          <w:rFonts w:hint="eastAsia" w:asciiTheme="majorEastAsia" w:hAnsiTheme="majorEastAsia" w:eastAsiaTheme="majorEastAsia"/>
          <w:color w:val="auto"/>
          <w:sz w:val="120"/>
          <w:szCs w:val="120"/>
          <w:highlight w:val="none"/>
        </w:rPr>
      </w:pPr>
      <w:r>
        <w:rPr>
          <w:rFonts w:hint="eastAsia" w:asciiTheme="majorEastAsia" w:hAnsiTheme="majorEastAsia" w:eastAsiaTheme="majorEastAsia"/>
          <w:color w:val="auto"/>
          <w:sz w:val="120"/>
          <w:szCs w:val="120"/>
          <w:highlight w:val="none"/>
        </w:rPr>
        <w:t>招 标 文 件</w:t>
      </w:r>
    </w:p>
    <w:p w14:paraId="676EE398">
      <w:pPr>
        <w:snapToGrid w:val="0"/>
        <w:spacing w:before="120" w:beforeLines="50" w:line="360" w:lineRule="auto"/>
        <w:jc w:val="center"/>
        <w:rPr>
          <w:rFonts w:hint="eastAsia" w:asciiTheme="majorEastAsia" w:hAnsiTheme="majorEastAsia" w:eastAsiaTheme="majorEastAsia"/>
          <w:b/>
          <w:color w:val="auto"/>
          <w:sz w:val="48"/>
          <w:szCs w:val="48"/>
          <w:highlight w:val="none"/>
        </w:rPr>
      </w:pPr>
      <w:r>
        <w:rPr>
          <w:rFonts w:hint="eastAsia" w:asciiTheme="majorEastAsia" w:hAnsiTheme="majorEastAsia" w:eastAsiaTheme="majorEastAsia"/>
          <w:b/>
          <w:color w:val="auto"/>
          <w:sz w:val="48"/>
          <w:szCs w:val="48"/>
          <w:highlight w:val="none"/>
        </w:rPr>
        <w:t>（全流程电子化采购）</w:t>
      </w:r>
    </w:p>
    <w:p w14:paraId="3A198562">
      <w:pPr>
        <w:snapToGrid w:val="0"/>
        <w:spacing w:line="360" w:lineRule="auto"/>
        <w:rPr>
          <w:rFonts w:hint="eastAsia" w:asciiTheme="majorEastAsia" w:hAnsiTheme="majorEastAsia" w:eastAsiaTheme="majorEastAsia"/>
          <w:color w:val="auto"/>
          <w:sz w:val="30"/>
          <w:szCs w:val="72"/>
          <w:highlight w:val="none"/>
        </w:rPr>
      </w:pPr>
    </w:p>
    <w:p w14:paraId="5123C0C9">
      <w:pPr>
        <w:pStyle w:val="27"/>
        <w:snapToGrid w:val="0"/>
        <w:spacing w:line="360" w:lineRule="auto"/>
        <w:ind w:left="2696" w:leftChars="852" w:hanging="907" w:hangingChars="301"/>
        <w:rPr>
          <w:rFonts w:hint="eastAsia" w:cs="仿宋" w:asciiTheme="majorEastAsia" w:hAnsiTheme="majorEastAsia" w:eastAsiaTheme="majorEastAsia"/>
          <w:b/>
          <w:bCs/>
          <w:color w:val="auto"/>
          <w:sz w:val="30"/>
          <w:szCs w:val="30"/>
          <w:highlight w:val="none"/>
          <w:lang w:eastAsia="zh-CN"/>
        </w:rPr>
      </w:pPr>
      <w:r>
        <w:rPr>
          <w:rFonts w:hint="eastAsia" w:cs="仿宋" w:asciiTheme="majorEastAsia" w:hAnsiTheme="majorEastAsia" w:eastAsiaTheme="majorEastAsia"/>
          <w:b/>
          <w:bCs/>
          <w:color w:val="auto"/>
          <w:sz w:val="30"/>
          <w:szCs w:val="30"/>
          <w:highlight w:val="none"/>
        </w:rPr>
        <w:t>项目</w:t>
      </w:r>
      <w:r>
        <w:rPr>
          <w:rFonts w:hint="eastAsia" w:cs="仿宋" w:asciiTheme="majorEastAsia" w:hAnsiTheme="majorEastAsia" w:eastAsiaTheme="majorEastAsia"/>
          <w:b/>
          <w:bCs/>
          <w:color w:val="auto"/>
          <w:w w:val="95"/>
          <w:sz w:val="30"/>
          <w:szCs w:val="30"/>
          <w:highlight w:val="none"/>
        </w:rPr>
        <w:t>名称</w:t>
      </w:r>
      <w:r>
        <w:rPr>
          <w:rFonts w:hint="eastAsia" w:cs="仿宋" w:asciiTheme="majorEastAsia" w:hAnsiTheme="majorEastAsia" w:eastAsiaTheme="majorEastAsia"/>
          <w:b/>
          <w:bCs/>
          <w:color w:val="auto"/>
          <w:sz w:val="30"/>
          <w:szCs w:val="30"/>
          <w:highlight w:val="none"/>
        </w:rPr>
        <w:t>：</w:t>
      </w:r>
      <w:r>
        <w:rPr>
          <w:rFonts w:hint="eastAsia" w:cs="仿宋" w:asciiTheme="majorEastAsia" w:hAnsiTheme="majorEastAsia" w:eastAsiaTheme="majorEastAsia"/>
          <w:b/>
          <w:bCs/>
          <w:color w:val="auto"/>
          <w:sz w:val="30"/>
          <w:szCs w:val="30"/>
          <w:highlight w:val="none"/>
          <w:lang w:eastAsia="zh-CN"/>
        </w:rPr>
        <w:t>射击训练器材采购项目</w:t>
      </w:r>
    </w:p>
    <w:p w14:paraId="5A0EBA56">
      <w:pPr>
        <w:snapToGrid w:val="0"/>
        <w:spacing w:line="360" w:lineRule="auto"/>
        <w:ind w:firstLine="1145" w:firstLineChars="400"/>
        <w:rPr>
          <w:rFonts w:hint="eastAsia" w:cs="仿宋" w:asciiTheme="majorEastAsia" w:hAnsiTheme="majorEastAsia" w:eastAsiaTheme="majorEastAsia"/>
          <w:b/>
          <w:bCs/>
          <w:color w:val="auto"/>
          <w:w w:val="95"/>
          <w:sz w:val="30"/>
          <w:szCs w:val="30"/>
          <w:highlight w:val="none"/>
        </w:rPr>
      </w:pPr>
    </w:p>
    <w:p w14:paraId="5F246959">
      <w:pPr>
        <w:snapToGrid w:val="0"/>
        <w:spacing w:line="360" w:lineRule="auto"/>
        <w:ind w:firstLine="1717" w:firstLineChars="600"/>
        <w:rPr>
          <w:rFonts w:hint="eastAsia" w:cs="仿宋" w:asciiTheme="majorEastAsia" w:hAnsiTheme="majorEastAsia" w:eastAsiaTheme="majorEastAsia"/>
          <w:color w:val="auto"/>
          <w:sz w:val="30"/>
          <w:szCs w:val="72"/>
          <w:highlight w:val="none"/>
          <w:lang w:eastAsia="zh-CN"/>
        </w:rPr>
      </w:pPr>
      <w:r>
        <w:rPr>
          <w:rFonts w:hint="eastAsia" w:cs="仿宋" w:asciiTheme="majorEastAsia" w:hAnsiTheme="majorEastAsia" w:eastAsiaTheme="majorEastAsia"/>
          <w:b/>
          <w:bCs/>
          <w:color w:val="auto"/>
          <w:w w:val="95"/>
          <w:sz w:val="30"/>
          <w:szCs w:val="30"/>
          <w:highlight w:val="none"/>
        </w:rPr>
        <w:t>项目</w:t>
      </w:r>
      <w:r>
        <w:rPr>
          <w:rFonts w:hint="eastAsia" w:cs="仿宋" w:asciiTheme="majorEastAsia" w:hAnsiTheme="majorEastAsia" w:eastAsiaTheme="majorEastAsia"/>
          <w:b/>
          <w:bCs/>
          <w:color w:val="auto"/>
          <w:sz w:val="30"/>
          <w:szCs w:val="30"/>
          <w:highlight w:val="none"/>
        </w:rPr>
        <w:t>编号</w:t>
      </w:r>
      <w:r>
        <w:rPr>
          <w:rFonts w:hint="eastAsia" w:cs="仿宋" w:asciiTheme="majorEastAsia" w:hAnsiTheme="majorEastAsia" w:eastAsiaTheme="majorEastAsia"/>
          <w:b/>
          <w:bCs/>
          <w:color w:val="auto"/>
          <w:w w:val="95"/>
          <w:sz w:val="30"/>
          <w:szCs w:val="30"/>
          <w:highlight w:val="none"/>
        </w:rPr>
        <w:t>：</w:t>
      </w:r>
      <w:r>
        <w:rPr>
          <w:rFonts w:hint="eastAsia" w:cs="仿宋" w:asciiTheme="majorEastAsia" w:hAnsiTheme="majorEastAsia" w:eastAsiaTheme="majorEastAsia"/>
          <w:b/>
          <w:color w:val="auto"/>
          <w:sz w:val="30"/>
          <w:szCs w:val="48"/>
          <w:highlight w:val="none"/>
          <w:lang w:eastAsia="zh-CN"/>
        </w:rPr>
        <w:t>GXZC2025-G1-003017-ZHZB</w:t>
      </w:r>
    </w:p>
    <w:p w14:paraId="79315CC9">
      <w:pPr>
        <w:pStyle w:val="27"/>
        <w:snapToGrid w:val="0"/>
        <w:spacing w:line="360" w:lineRule="auto"/>
        <w:ind w:firstLine="1125" w:firstLineChars="393"/>
        <w:rPr>
          <w:rFonts w:hint="eastAsia" w:cs="仿宋" w:asciiTheme="majorEastAsia" w:hAnsiTheme="majorEastAsia" w:eastAsiaTheme="majorEastAsia"/>
          <w:b/>
          <w:bCs/>
          <w:color w:val="auto"/>
          <w:w w:val="95"/>
          <w:sz w:val="30"/>
          <w:szCs w:val="30"/>
          <w:highlight w:val="none"/>
        </w:rPr>
      </w:pPr>
    </w:p>
    <w:p w14:paraId="2A4B9DE4">
      <w:pPr>
        <w:pStyle w:val="27"/>
        <w:snapToGrid w:val="0"/>
        <w:spacing w:line="360" w:lineRule="auto"/>
        <w:ind w:firstLine="1694" w:firstLineChars="592"/>
        <w:rPr>
          <w:rFonts w:hint="eastAsia" w:cs="仿宋" w:asciiTheme="majorEastAsia" w:hAnsiTheme="majorEastAsia" w:eastAsiaTheme="majorEastAsia"/>
          <w:b/>
          <w:bCs/>
          <w:color w:val="auto"/>
          <w:w w:val="95"/>
          <w:sz w:val="30"/>
          <w:szCs w:val="30"/>
          <w:highlight w:val="none"/>
        </w:rPr>
      </w:pPr>
      <w:r>
        <w:rPr>
          <w:rFonts w:hint="eastAsia" w:cs="仿宋" w:asciiTheme="majorEastAsia" w:hAnsiTheme="majorEastAsia" w:eastAsiaTheme="majorEastAsia"/>
          <w:b/>
          <w:bCs/>
          <w:color w:val="auto"/>
          <w:w w:val="95"/>
          <w:sz w:val="30"/>
          <w:szCs w:val="30"/>
          <w:highlight w:val="none"/>
        </w:rPr>
        <w:t>采购人：广西壮族自治区司法厅</w:t>
      </w:r>
    </w:p>
    <w:p w14:paraId="61D72F62">
      <w:pPr>
        <w:pStyle w:val="27"/>
        <w:snapToGrid w:val="0"/>
        <w:spacing w:line="360" w:lineRule="auto"/>
        <w:ind w:firstLine="1125" w:firstLineChars="393"/>
        <w:rPr>
          <w:rFonts w:hint="eastAsia" w:cs="仿宋" w:asciiTheme="majorEastAsia" w:hAnsiTheme="majorEastAsia" w:eastAsiaTheme="majorEastAsia"/>
          <w:b/>
          <w:bCs/>
          <w:color w:val="auto"/>
          <w:w w:val="95"/>
          <w:sz w:val="30"/>
          <w:szCs w:val="30"/>
          <w:highlight w:val="none"/>
        </w:rPr>
      </w:pPr>
    </w:p>
    <w:p w14:paraId="6E4B8279">
      <w:pPr>
        <w:pStyle w:val="27"/>
        <w:snapToGrid w:val="0"/>
        <w:spacing w:line="360" w:lineRule="auto"/>
        <w:ind w:firstLine="1694" w:firstLineChars="592"/>
        <w:rPr>
          <w:rFonts w:hint="eastAsia" w:cs="仿宋" w:asciiTheme="majorEastAsia" w:hAnsiTheme="majorEastAsia" w:eastAsiaTheme="majorEastAsia"/>
          <w:b/>
          <w:bCs/>
          <w:color w:val="auto"/>
          <w:w w:val="95"/>
          <w:sz w:val="30"/>
          <w:szCs w:val="30"/>
          <w:highlight w:val="none"/>
        </w:rPr>
      </w:pPr>
      <w:r>
        <w:rPr>
          <w:rFonts w:hint="eastAsia" w:cs="仿宋" w:asciiTheme="majorEastAsia" w:hAnsiTheme="majorEastAsia" w:eastAsiaTheme="majorEastAsia"/>
          <w:b/>
          <w:bCs/>
          <w:color w:val="auto"/>
          <w:w w:val="95"/>
          <w:sz w:val="30"/>
          <w:szCs w:val="30"/>
          <w:highlight w:val="none"/>
        </w:rPr>
        <w:t>采购代理机构：广西正海招标有限公司</w:t>
      </w:r>
    </w:p>
    <w:p w14:paraId="4012B85E">
      <w:pPr>
        <w:pStyle w:val="27"/>
        <w:snapToGrid w:val="0"/>
        <w:spacing w:line="360" w:lineRule="auto"/>
        <w:ind w:firstLine="1125" w:firstLineChars="393"/>
        <w:rPr>
          <w:rFonts w:hint="eastAsia" w:cs="仿宋" w:asciiTheme="majorEastAsia" w:hAnsiTheme="majorEastAsia" w:eastAsiaTheme="majorEastAsia"/>
          <w:b/>
          <w:bCs/>
          <w:color w:val="auto"/>
          <w:w w:val="95"/>
          <w:sz w:val="30"/>
          <w:szCs w:val="30"/>
          <w:highlight w:val="none"/>
        </w:rPr>
      </w:pPr>
    </w:p>
    <w:p w14:paraId="70508B8B">
      <w:pPr>
        <w:pStyle w:val="27"/>
        <w:snapToGrid w:val="0"/>
        <w:spacing w:line="360" w:lineRule="auto"/>
        <w:ind w:firstLine="3720" w:firstLineChars="1300"/>
        <w:rPr>
          <w:rFonts w:hint="eastAsia" w:cs="仿宋" w:asciiTheme="majorEastAsia" w:hAnsiTheme="majorEastAsia" w:eastAsiaTheme="majorEastAsia"/>
          <w:b/>
          <w:bCs/>
          <w:color w:val="auto"/>
          <w:w w:val="95"/>
          <w:sz w:val="30"/>
          <w:szCs w:val="30"/>
          <w:highlight w:val="none"/>
        </w:rPr>
      </w:pPr>
      <w:r>
        <w:rPr>
          <w:rFonts w:hint="eastAsia" w:cs="仿宋" w:asciiTheme="majorEastAsia" w:hAnsiTheme="majorEastAsia" w:eastAsiaTheme="majorEastAsia"/>
          <w:b/>
          <w:bCs/>
          <w:color w:val="auto"/>
          <w:w w:val="95"/>
          <w:sz w:val="30"/>
          <w:szCs w:val="30"/>
          <w:highlight w:val="none"/>
        </w:rPr>
        <w:t>2025年</w:t>
      </w:r>
      <w:r>
        <w:rPr>
          <w:rFonts w:hint="eastAsia" w:cs="仿宋" w:asciiTheme="majorEastAsia" w:hAnsiTheme="majorEastAsia" w:eastAsiaTheme="majorEastAsia"/>
          <w:b/>
          <w:bCs/>
          <w:color w:val="auto"/>
          <w:w w:val="95"/>
          <w:sz w:val="30"/>
          <w:szCs w:val="30"/>
          <w:highlight w:val="none"/>
          <w:lang w:val="en-US" w:eastAsia="zh-CN"/>
        </w:rPr>
        <w:t>10</w:t>
      </w:r>
      <w:r>
        <w:rPr>
          <w:rFonts w:hint="eastAsia" w:cs="仿宋" w:asciiTheme="majorEastAsia" w:hAnsiTheme="majorEastAsia" w:eastAsiaTheme="majorEastAsia"/>
          <w:b/>
          <w:bCs/>
          <w:color w:val="auto"/>
          <w:w w:val="95"/>
          <w:sz w:val="30"/>
          <w:szCs w:val="30"/>
          <w:highlight w:val="none"/>
        </w:rPr>
        <w:t>月</w:t>
      </w:r>
    </w:p>
    <w:p w14:paraId="140555D8">
      <w:pPr>
        <w:pStyle w:val="27"/>
        <w:snapToGrid w:val="0"/>
        <w:spacing w:line="360" w:lineRule="auto"/>
        <w:ind w:firstLine="841" w:firstLineChars="294"/>
        <w:rPr>
          <w:rFonts w:hint="eastAsia" w:asciiTheme="majorEastAsia" w:hAnsiTheme="majorEastAsia" w:eastAsiaTheme="majorEastAsia"/>
          <w:b/>
          <w:bCs/>
          <w:color w:val="auto"/>
          <w:w w:val="95"/>
          <w:sz w:val="30"/>
          <w:szCs w:val="30"/>
          <w:highlight w:val="none"/>
        </w:rPr>
        <w:sectPr>
          <w:footerReference r:id="rId5" w:type="first"/>
          <w:headerReference r:id="rId3" w:type="default"/>
          <w:footerReference r:id="rId4" w:type="even"/>
          <w:pgSz w:w="11906" w:h="16838"/>
          <w:pgMar w:top="1134" w:right="1332" w:bottom="1134" w:left="1332" w:header="851" w:footer="992" w:gutter="0"/>
          <w:cols w:space="0" w:num="1"/>
          <w:titlePg/>
          <w:docGrid w:linePitch="312" w:charSpace="0"/>
        </w:sectPr>
      </w:pPr>
    </w:p>
    <w:p w14:paraId="0FCE85D5">
      <w:pPr>
        <w:spacing w:line="360" w:lineRule="auto"/>
        <w:jc w:val="center"/>
        <w:rPr>
          <w:rFonts w:hint="eastAsia" w:asciiTheme="majorEastAsia" w:hAnsiTheme="majorEastAsia" w:eastAsiaTheme="majorEastAsia"/>
          <w:b/>
          <w:color w:val="auto"/>
          <w:sz w:val="44"/>
          <w:szCs w:val="44"/>
          <w:highlight w:val="none"/>
        </w:rPr>
      </w:pPr>
    </w:p>
    <w:p w14:paraId="3A13C3DA">
      <w:pPr>
        <w:spacing w:line="360" w:lineRule="auto"/>
        <w:jc w:val="center"/>
        <w:rPr>
          <w:rFonts w:hint="eastAsia" w:asciiTheme="majorEastAsia" w:hAnsiTheme="majorEastAsia" w:eastAsiaTheme="majorEastAsia"/>
          <w:b/>
          <w:color w:val="auto"/>
          <w:sz w:val="44"/>
          <w:szCs w:val="44"/>
          <w:highlight w:val="none"/>
        </w:rPr>
      </w:pPr>
    </w:p>
    <w:p w14:paraId="4C4BB8DB">
      <w:pPr>
        <w:spacing w:line="360" w:lineRule="auto"/>
        <w:jc w:val="center"/>
        <w:rPr>
          <w:rFonts w:hint="eastAsia" w:asciiTheme="majorEastAsia" w:hAnsiTheme="majorEastAsia" w:eastAsiaTheme="majorEastAsia"/>
          <w:b/>
          <w:color w:val="auto"/>
          <w:sz w:val="44"/>
          <w:szCs w:val="44"/>
          <w:highlight w:val="none"/>
        </w:rPr>
      </w:pPr>
      <w:r>
        <w:rPr>
          <w:rFonts w:hint="eastAsia" w:asciiTheme="majorEastAsia" w:hAnsiTheme="majorEastAsia" w:eastAsiaTheme="majorEastAsia"/>
          <w:b/>
          <w:color w:val="auto"/>
          <w:sz w:val="44"/>
          <w:szCs w:val="44"/>
          <w:highlight w:val="none"/>
        </w:rPr>
        <w:t>目  录</w:t>
      </w:r>
    </w:p>
    <w:p w14:paraId="41C79B7F">
      <w:pPr>
        <w:pStyle w:val="35"/>
        <w:spacing w:before="0" w:after="0" w:line="480" w:lineRule="auto"/>
        <w:rPr>
          <w:rFonts w:hint="eastAsia" w:cs="宋体" w:asciiTheme="majorEastAsia" w:hAnsiTheme="majorEastAsia" w:eastAsiaTheme="majorEastAsia"/>
          <w:b w:val="0"/>
          <w:bCs w:val="0"/>
          <w:caps w:val="0"/>
          <w:color w:val="auto"/>
          <w:highlight w:val="none"/>
        </w:rPr>
      </w:pPr>
      <w:r>
        <w:rPr>
          <w:rFonts w:hint="eastAsia" w:cs="宋体" w:asciiTheme="majorEastAsia" w:hAnsiTheme="majorEastAsia" w:eastAsiaTheme="majorEastAsia"/>
          <w:b w:val="0"/>
          <w:color w:val="auto"/>
          <w:highlight w:val="none"/>
        </w:rPr>
        <w:fldChar w:fldCharType="begin"/>
      </w:r>
      <w:r>
        <w:rPr>
          <w:rFonts w:hint="eastAsia" w:cs="宋体" w:asciiTheme="majorEastAsia" w:hAnsiTheme="majorEastAsia" w:eastAsiaTheme="majorEastAsia"/>
          <w:b w:val="0"/>
          <w:color w:val="auto"/>
          <w:highlight w:val="none"/>
        </w:rPr>
        <w:instrText xml:space="preserve"> TOC \o "1-2" \h \z \u </w:instrText>
      </w:r>
      <w:r>
        <w:rPr>
          <w:rFonts w:hint="eastAsia" w:cs="宋体" w:asciiTheme="majorEastAsia" w:hAnsiTheme="majorEastAsia" w:eastAsiaTheme="majorEastAsia"/>
          <w:b w:val="0"/>
          <w:color w:val="auto"/>
          <w:highlight w:val="none"/>
        </w:rPr>
        <w:fldChar w:fldCharType="separate"/>
      </w:r>
      <w:r>
        <w:rPr>
          <w:color w:val="auto"/>
          <w:highlight w:val="none"/>
        </w:rPr>
        <w:fldChar w:fldCharType="begin"/>
      </w:r>
      <w:r>
        <w:rPr>
          <w:color w:val="auto"/>
          <w:highlight w:val="none"/>
        </w:rPr>
        <w:instrText xml:space="preserve"> HYPERLINK \l "_Toc74320800" </w:instrText>
      </w:r>
      <w:r>
        <w:rPr>
          <w:color w:val="auto"/>
          <w:highlight w:val="none"/>
        </w:rPr>
        <w:fldChar w:fldCharType="separate"/>
      </w:r>
      <w:r>
        <w:rPr>
          <w:rStyle w:val="58"/>
          <w:rFonts w:hint="eastAsia" w:cs="宋体" w:asciiTheme="majorEastAsia" w:hAnsiTheme="majorEastAsia" w:eastAsiaTheme="majorEastAsia"/>
          <w:color w:val="auto"/>
          <w:highlight w:val="none"/>
        </w:rPr>
        <w:t>第一章  招标公告</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_Toc74320800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2</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2EFA739C">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"_Toc74320801" </w:instrText>
      </w:r>
      <w:r>
        <w:rPr>
          <w:color w:val="auto"/>
          <w:highlight w:val="none"/>
        </w:rPr>
        <w:fldChar w:fldCharType="separate"/>
      </w:r>
      <w:r>
        <w:rPr>
          <w:rStyle w:val="58"/>
          <w:rFonts w:hint="eastAsia" w:cs="宋体" w:asciiTheme="majorEastAsia" w:hAnsiTheme="majorEastAsia" w:eastAsiaTheme="majorEastAsia"/>
          <w:color w:val="auto"/>
          <w:highlight w:val="none"/>
        </w:rPr>
        <w:t>第二章  采购需求</w:t>
      </w:r>
      <w:bookmarkStart w:id="0" w:name="_Hlt89854608"/>
      <w:r>
        <w:rPr>
          <w:rFonts w:hint="eastAsia" w:cs="宋体" w:asciiTheme="majorEastAsia" w:hAnsiTheme="majorEastAsia" w:eastAsiaTheme="majorEastAsia"/>
          <w:color w:val="auto"/>
          <w:highlight w:val="none"/>
        </w:rPr>
        <w:tab/>
      </w:r>
      <w:bookmarkEnd w:id="0"/>
      <w:r>
        <w:rPr>
          <w:rFonts w:hint="eastAsia" w:cs="宋体" w:asciiTheme="majorEastAsia" w:hAnsiTheme="majorEastAsia" w:eastAsiaTheme="majorEastAsia"/>
          <w:color w:val="auto"/>
          <w:highlight w:val="none"/>
        </w:rPr>
        <w:t>5</w:t>
      </w:r>
      <w:r>
        <w:rPr>
          <w:rFonts w:hint="eastAsia" w:cs="宋体" w:asciiTheme="majorEastAsia" w:hAnsiTheme="majorEastAsia" w:eastAsiaTheme="majorEastAsia"/>
          <w:color w:val="auto"/>
          <w:highlight w:val="none"/>
        </w:rPr>
        <w:fldChar w:fldCharType="end"/>
      </w:r>
    </w:p>
    <w:p w14:paraId="3F665B1A">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"_Toc74320802" </w:instrText>
      </w:r>
      <w:r>
        <w:rPr>
          <w:color w:val="auto"/>
          <w:highlight w:val="none"/>
        </w:rPr>
        <w:fldChar w:fldCharType="separate"/>
      </w:r>
      <w:r>
        <w:rPr>
          <w:rStyle w:val="58"/>
          <w:rFonts w:hint="eastAsia" w:cs="宋体" w:asciiTheme="majorEastAsia" w:hAnsiTheme="majorEastAsia" w:eastAsiaTheme="majorEastAsia"/>
          <w:color w:val="auto"/>
          <w:highlight w:val="none"/>
        </w:rPr>
        <w:t>第三章  投标人</w:t>
      </w:r>
      <w:bookmarkStart w:id="1" w:name="_Hlt89854620"/>
      <w:r>
        <w:rPr>
          <w:rStyle w:val="58"/>
          <w:rFonts w:hint="eastAsia" w:cs="宋体" w:asciiTheme="majorEastAsia" w:hAnsiTheme="majorEastAsia" w:eastAsiaTheme="majorEastAsia"/>
          <w:color w:val="auto"/>
          <w:highlight w:val="none"/>
        </w:rPr>
        <w:t>须</w:t>
      </w:r>
      <w:bookmarkEnd w:id="1"/>
      <w:bookmarkStart w:id="2" w:name="_Hlt79572744"/>
      <w:bookmarkStart w:id="3" w:name="_Hlt79572745"/>
      <w:r>
        <w:rPr>
          <w:rStyle w:val="58"/>
          <w:rFonts w:hint="eastAsia" w:cs="宋体" w:asciiTheme="majorEastAsia" w:hAnsiTheme="majorEastAsia" w:eastAsiaTheme="majorEastAsia"/>
          <w:color w:val="auto"/>
          <w:highlight w:val="none"/>
        </w:rPr>
        <w:t>知</w:t>
      </w:r>
      <w:bookmarkEnd w:id="2"/>
      <w:bookmarkEnd w:id="3"/>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_Toc74320802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52</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4794E0C9">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"_Toc74320803" </w:instrText>
      </w:r>
      <w:r>
        <w:rPr>
          <w:color w:val="auto"/>
          <w:highlight w:val="none"/>
        </w:rPr>
        <w:fldChar w:fldCharType="separate"/>
      </w:r>
      <w:r>
        <w:rPr>
          <w:rStyle w:val="58"/>
          <w:rFonts w:hint="eastAsia" w:cs="宋体" w:asciiTheme="majorEastAsia" w:hAnsiTheme="majorEastAsia" w:eastAsiaTheme="majorEastAsia"/>
          <w:color w:val="auto"/>
          <w:highlight w:val="none"/>
        </w:rPr>
        <w:t>第四章  评标方</w:t>
      </w:r>
      <w:bookmarkStart w:id="4" w:name="_Hlt82186273"/>
      <w:bookmarkStart w:id="5" w:name="_Hlt82186274"/>
      <w:r>
        <w:rPr>
          <w:rStyle w:val="58"/>
          <w:rFonts w:hint="eastAsia" w:cs="宋体" w:asciiTheme="majorEastAsia" w:hAnsiTheme="majorEastAsia" w:eastAsiaTheme="majorEastAsia"/>
          <w:color w:val="auto"/>
          <w:highlight w:val="none"/>
        </w:rPr>
        <w:t>法</w:t>
      </w:r>
      <w:bookmarkEnd w:id="4"/>
      <w:bookmarkEnd w:id="5"/>
      <w:r>
        <w:rPr>
          <w:rStyle w:val="58"/>
          <w:rFonts w:hint="eastAsia" w:cs="宋体" w:asciiTheme="majorEastAsia" w:hAnsiTheme="majorEastAsia" w:eastAsiaTheme="majorEastAsia"/>
          <w:color w:val="auto"/>
          <w:highlight w:val="none"/>
        </w:rPr>
        <w:t>及评标标准</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_Toc74320803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75</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160EAAF4">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"_Toc74320804" </w:instrText>
      </w:r>
      <w:r>
        <w:rPr>
          <w:color w:val="auto"/>
          <w:highlight w:val="none"/>
        </w:rPr>
        <w:fldChar w:fldCharType="separate"/>
      </w:r>
      <w:r>
        <w:rPr>
          <w:rStyle w:val="58"/>
          <w:rFonts w:hint="eastAsia" w:cs="宋体" w:asciiTheme="majorEastAsia" w:hAnsiTheme="majorEastAsia" w:eastAsiaTheme="majorEastAsia"/>
          <w:color w:val="auto"/>
          <w:highlight w:val="none"/>
        </w:rPr>
        <w:t>第五章  拟签订的合同文本</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_Toc74320804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86</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63528A9F">
      <w:pPr>
        <w:pStyle w:val="35"/>
        <w:spacing w:before="0" w:after="0" w:line="480" w:lineRule="auto"/>
        <w:ind w:firstLine="241"/>
        <w:rPr>
          <w:rFonts w:hint="eastAsia" w:cs="宋体" w:asciiTheme="majorEastAsia" w:hAnsiTheme="majorEastAsia" w:eastAsiaTheme="majorEastAsia"/>
          <w:b w:val="0"/>
          <w:bCs w:val="0"/>
          <w:caps w:val="0"/>
          <w:color w:val="auto"/>
          <w:highlight w:val="none"/>
        </w:rPr>
      </w:pPr>
      <w:r>
        <w:rPr>
          <w:color w:val="auto"/>
          <w:highlight w:val="none"/>
        </w:rPr>
        <w:fldChar w:fldCharType="begin"/>
      </w:r>
      <w:r>
        <w:rPr>
          <w:color w:val="auto"/>
          <w:highlight w:val="none"/>
        </w:rPr>
        <w:instrText xml:space="preserve"> HYPERLINK \l "_Toc74320805" </w:instrText>
      </w:r>
      <w:r>
        <w:rPr>
          <w:color w:val="auto"/>
          <w:highlight w:val="none"/>
        </w:rPr>
        <w:fldChar w:fldCharType="separate"/>
      </w:r>
      <w:r>
        <w:rPr>
          <w:rStyle w:val="58"/>
          <w:rFonts w:hint="eastAsia" w:cs="宋体" w:asciiTheme="majorEastAsia" w:hAnsiTheme="majorEastAsia" w:eastAsiaTheme="majorEastAsia"/>
          <w:color w:val="auto"/>
          <w:highlight w:val="none"/>
        </w:rPr>
        <w:t>第六章　投标文件格式</w:t>
      </w:r>
      <w:r>
        <w:rPr>
          <w:rFonts w:hint="eastAsia" w:cs="宋体" w:asciiTheme="majorEastAsia" w:hAnsiTheme="majorEastAsia" w:eastAsiaTheme="majorEastAsia"/>
          <w:color w:val="auto"/>
          <w:highlight w:val="none"/>
        </w:rPr>
        <w:tab/>
      </w:r>
      <w:r>
        <w:rPr>
          <w:rFonts w:hint="eastAsia" w:cs="宋体" w:asciiTheme="majorEastAsia" w:hAnsiTheme="majorEastAsia" w:eastAsiaTheme="majorEastAsia"/>
          <w:color w:val="auto"/>
          <w:highlight w:val="none"/>
        </w:rPr>
        <w:fldChar w:fldCharType="begin"/>
      </w:r>
      <w:r>
        <w:rPr>
          <w:rFonts w:hint="eastAsia" w:cs="宋体" w:asciiTheme="majorEastAsia" w:hAnsiTheme="majorEastAsia" w:eastAsiaTheme="majorEastAsia"/>
          <w:color w:val="auto"/>
          <w:highlight w:val="none"/>
        </w:rPr>
        <w:instrText xml:space="preserve"> PAGEREF _Toc74320805 \h </w:instrText>
      </w:r>
      <w:r>
        <w:rPr>
          <w:rFonts w:hint="eastAsia" w:cs="宋体" w:asciiTheme="majorEastAsia" w:hAnsiTheme="majorEastAsia" w:eastAsiaTheme="majorEastAsia"/>
          <w:color w:val="auto"/>
          <w:highlight w:val="none"/>
        </w:rPr>
        <w:fldChar w:fldCharType="separate"/>
      </w:r>
      <w:r>
        <w:rPr>
          <w:rFonts w:hint="eastAsia" w:cs="宋体" w:asciiTheme="majorEastAsia" w:hAnsiTheme="majorEastAsia" w:eastAsiaTheme="majorEastAsia"/>
          <w:color w:val="auto"/>
          <w:highlight w:val="none"/>
        </w:rPr>
        <w:t>93</w:t>
      </w:r>
      <w:r>
        <w:rPr>
          <w:rFonts w:hint="eastAsia" w:cs="宋体" w:asciiTheme="majorEastAsia" w:hAnsiTheme="majorEastAsia" w:eastAsiaTheme="majorEastAsia"/>
          <w:color w:val="auto"/>
          <w:highlight w:val="none"/>
        </w:rPr>
        <w:fldChar w:fldCharType="end"/>
      </w:r>
      <w:r>
        <w:rPr>
          <w:rFonts w:hint="eastAsia" w:cs="宋体" w:asciiTheme="majorEastAsia" w:hAnsiTheme="majorEastAsia" w:eastAsiaTheme="majorEastAsia"/>
          <w:color w:val="auto"/>
          <w:highlight w:val="none"/>
        </w:rPr>
        <w:fldChar w:fldCharType="end"/>
      </w:r>
    </w:p>
    <w:p w14:paraId="78256E62">
      <w:pPr>
        <w:spacing w:line="480" w:lineRule="auto"/>
        <w:rPr>
          <w:rFonts w:hint="eastAsia"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fldChar w:fldCharType="end"/>
      </w:r>
    </w:p>
    <w:p w14:paraId="64E2B671">
      <w:pPr>
        <w:spacing w:before="120" w:beforeLines="50" w:line="480" w:lineRule="exact"/>
        <w:rPr>
          <w:rFonts w:hint="eastAsia" w:asciiTheme="majorEastAsia" w:hAnsiTheme="majorEastAsia" w:eastAsiaTheme="majorEastAsia"/>
          <w:color w:val="auto"/>
          <w:sz w:val="30"/>
          <w:highlight w:val="none"/>
        </w:rPr>
      </w:pPr>
    </w:p>
    <w:p w14:paraId="000E6017">
      <w:pPr>
        <w:rPr>
          <w:rFonts w:hint="eastAsia" w:asciiTheme="majorEastAsia" w:hAnsiTheme="majorEastAsia" w:eastAsiaTheme="majorEastAsia"/>
          <w:color w:val="auto"/>
          <w:highlight w:val="none"/>
        </w:rPr>
      </w:pPr>
    </w:p>
    <w:p w14:paraId="66CC3438">
      <w:pPr>
        <w:spacing w:before="120" w:beforeLines="50" w:line="480" w:lineRule="exact"/>
        <w:rPr>
          <w:rFonts w:hint="eastAsia" w:asciiTheme="majorEastAsia" w:hAnsiTheme="majorEastAsia" w:eastAsiaTheme="majorEastAsia"/>
          <w:color w:val="auto"/>
          <w:sz w:val="30"/>
          <w:highlight w:val="none"/>
        </w:rPr>
      </w:pPr>
    </w:p>
    <w:p w14:paraId="442D6543">
      <w:pPr>
        <w:spacing w:before="120" w:beforeLines="50" w:line="480" w:lineRule="exact"/>
        <w:rPr>
          <w:rFonts w:hint="eastAsia" w:asciiTheme="majorEastAsia" w:hAnsiTheme="majorEastAsia" w:eastAsiaTheme="majorEastAsia"/>
          <w:color w:val="auto"/>
          <w:sz w:val="30"/>
          <w:highlight w:val="none"/>
        </w:rPr>
      </w:pPr>
    </w:p>
    <w:p w14:paraId="36E963C7">
      <w:pPr>
        <w:pStyle w:val="18"/>
        <w:rPr>
          <w:rFonts w:hint="eastAsia" w:cs="宋体" w:asciiTheme="majorEastAsia" w:hAnsiTheme="majorEastAsia" w:eastAsiaTheme="majorEastAsia"/>
          <w:b/>
          <w:bCs/>
          <w:color w:val="auto"/>
          <w:highlight w:val="none"/>
        </w:rPr>
      </w:pPr>
      <w:bookmarkStart w:id="6" w:name="_Toc254970630"/>
      <w:bookmarkStart w:id="7" w:name="_Toc254970489"/>
    </w:p>
    <w:p w14:paraId="1A857A43">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Theme="majorEastAsia" w:hAnsiTheme="majorEastAsia" w:eastAsiaTheme="majorEastAsia"/>
          <w:color w:val="auto"/>
          <w:highlight w:val="none"/>
        </w:rPr>
        <w:sectPr>
          <w:footerReference r:id="rId7" w:type="first"/>
          <w:footerReference r:id="rId6" w:type="default"/>
          <w:pgSz w:w="11906" w:h="16838"/>
          <w:pgMar w:top="1134" w:right="1332" w:bottom="1134" w:left="1332" w:header="851" w:footer="992" w:gutter="0"/>
          <w:pgNumType w:start="1"/>
          <w:cols w:space="0" w:num="1"/>
          <w:titlePg/>
          <w:docGrid w:linePitch="312" w:charSpace="0"/>
        </w:sectPr>
      </w:pPr>
      <w:bookmarkStart w:id="8" w:name="_Toc74320800"/>
    </w:p>
    <w:p w14:paraId="425B5793">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第一章</w:t>
      </w:r>
      <w:bookmarkEnd w:id="6"/>
      <w:bookmarkEnd w:id="7"/>
      <w:bookmarkStart w:id="9" w:name="_Toc28359001"/>
      <w:bookmarkStart w:id="10" w:name="_Toc35393789"/>
      <w:r>
        <w:rPr>
          <w:rFonts w:hint="eastAsia" w:asciiTheme="majorEastAsia" w:hAnsiTheme="majorEastAsia" w:eastAsiaTheme="majorEastAsia"/>
          <w:color w:val="auto"/>
          <w:highlight w:val="none"/>
        </w:rPr>
        <w:t xml:space="preserve"> 招标公告</w:t>
      </w:r>
      <w:bookmarkEnd w:id="8"/>
      <w:bookmarkEnd w:id="9"/>
      <w:bookmarkEnd w:id="10"/>
    </w:p>
    <w:p w14:paraId="72B4E298">
      <w:pPr>
        <w:spacing w:line="240" w:lineRule="auto"/>
        <w:jc w:val="center"/>
        <w:rPr>
          <w:rFonts w:hint="eastAsia" w:eastAsia="宋体"/>
          <w:b/>
          <w:bCs/>
          <w:color w:val="auto"/>
          <w:sz w:val="30"/>
          <w:szCs w:val="30"/>
          <w:highlight w:val="none"/>
          <w:lang w:eastAsia="zh-CN"/>
        </w:rPr>
      </w:pPr>
      <w:r>
        <w:rPr>
          <w:rFonts w:hint="eastAsia"/>
          <w:b/>
          <w:bCs/>
          <w:color w:val="auto"/>
          <w:sz w:val="30"/>
          <w:szCs w:val="30"/>
          <w:highlight w:val="none"/>
        </w:rPr>
        <w:t>广西正海招标有限公司关于</w:t>
      </w:r>
      <w:r>
        <w:rPr>
          <w:rFonts w:hint="eastAsia"/>
          <w:b/>
          <w:bCs/>
          <w:color w:val="auto"/>
          <w:sz w:val="30"/>
          <w:szCs w:val="30"/>
          <w:highlight w:val="none"/>
          <w:lang w:eastAsia="zh-CN"/>
        </w:rPr>
        <w:t>射击训练器材采购项目</w:t>
      </w:r>
    </w:p>
    <w:p w14:paraId="61071AFF">
      <w:pPr>
        <w:spacing w:line="240" w:lineRule="auto"/>
        <w:jc w:val="center"/>
        <w:rPr>
          <w:b/>
          <w:bCs/>
          <w:color w:val="auto"/>
          <w:sz w:val="30"/>
          <w:szCs w:val="30"/>
          <w:highlight w:val="none"/>
        </w:rPr>
      </w:pPr>
      <w:r>
        <w:rPr>
          <w:rFonts w:hint="eastAsia"/>
          <w:b/>
          <w:bCs/>
          <w:color w:val="auto"/>
          <w:sz w:val="30"/>
          <w:szCs w:val="30"/>
          <w:highlight w:val="none"/>
        </w:rPr>
        <w:t>（项目编号：</w:t>
      </w:r>
      <w:r>
        <w:rPr>
          <w:rFonts w:hint="eastAsia" w:cs="仿宋" w:asciiTheme="majorEastAsia" w:hAnsiTheme="majorEastAsia" w:eastAsiaTheme="majorEastAsia"/>
          <w:b/>
          <w:color w:val="auto"/>
          <w:sz w:val="30"/>
          <w:szCs w:val="48"/>
          <w:highlight w:val="none"/>
          <w:lang w:eastAsia="zh-CN"/>
        </w:rPr>
        <w:t>GXZC2025-G1-003017-ZHZB</w:t>
      </w:r>
      <w:r>
        <w:rPr>
          <w:rFonts w:hint="eastAsia"/>
          <w:b/>
          <w:bCs/>
          <w:color w:val="auto"/>
          <w:sz w:val="30"/>
          <w:szCs w:val="30"/>
          <w:highlight w:val="none"/>
        </w:rPr>
        <w:t>）公开招标公告</w:t>
      </w:r>
    </w:p>
    <w:tbl>
      <w:tblPr>
        <w:tblStyle w:val="51"/>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9"/>
      </w:tblGrid>
      <w:tr w14:paraId="4F1B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9219" w:type="dxa"/>
          </w:tcPr>
          <w:p w14:paraId="7709B63F">
            <w:pPr>
              <w:spacing w:line="360" w:lineRule="auto"/>
              <w:rPr>
                <w:rFonts w:hint="eastAsia" w:cs="宋体" w:asciiTheme="majorEastAsia" w:hAnsiTheme="majorEastAsia" w:eastAsiaTheme="majorEastAsia"/>
                <w:b/>
                <w:bCs/>
                <w:color w:val="auto"/>
                <w:szCs w:val="21"/>
                <w:highlight w:val="none"/>
              </w:rPr>
            </w:pPr>
            <w:bookmarkStart w:id="11" w:name="_Toc28359079"/>
            <w:bookmarkStart w:id="12" w:name="_Toc35393621"/>
            <w:bookmarkStart w:id="13" w:name="_Toc28359002"/>
            <w:bookmarkStart w:id="14" w:name="_Toc35393790"/>
            <w:bookmarkStart w:id="15" w:name="_Hlk24379207"/>
            <w:r>
              <w:rPr>
                <w:rFonts w:hint="eastAsia" w:cs="宋体" w:asciiTheme="majorEastAsia" w:hAnsiTheme="majorEastAsia" w:eastAsiaTheme="majorEastAsia"/>
                <w:b/>
                <w:bCs/>
                <w:color w:val="auto"/>
                <w:szCs w:val="21"/>
                <w:highlight w:val="none"/>
              </w:rPr>
              <w:t>项目概况：</w:t>
            </w:r>
          </w:p>
          <w:p w14:paraId="3D6CD7E8">
            <w:pPr>
              <w:pStyle w:val="61"/>
              <w:spacing w:line="360" w:lineRule="auto"/>
              <w:ind w:firstLine="422" w:firstLineChars="200"/>
              <w:rPr>
                <w:color w:val="auto"/>
                <w:highlight w:val="none"/>
              </w:rPr>
            </w:pPr>
            <w:r>
              <w:rPr>
                <w:rFonts w:hint="eastAsia"/>
                <w:b/>
                <w:bCs/>
                <w:color w:val="auto"/>
                <w:highlight w:val="none"/>
                <w:u w:val="single"/>
                <w:lang w:eastAsia="zh-CN"/>
              </w:rPr>
              <w:t>射击训练器材采购项目</w:t>
            </w:r>
            <w:r>
              <w:rPr>
                <w:rFonts w:hint="eastAsia"/>
                <w:color w:val="auto"/>
                <w:highlight w:val="none"/>
              </w:rPr>
              <w:t>招标项目的潜在投标人应在</w:t>
            </w:r>
            <w:r>
              <w:rPr>
                <w:rFonts w:hint="eastAsia"/>
                <w:color w:val="auto"/>
                <w:highlight w:val="none"/>
                <w:u w:val="single"/>
              </w:rPr>
              <w:t>广西政府采购云平台（https</w:t>
            </w:r>
            <w:r>
              <w:rPr>
                <w:rFonts w:hint="eastAsia"/>
                <w:color w:val="auto"/>
                <w:highlight w:val="none"/>
                <w:u w:val="single"/>
                <w:lang w:eastAsia="zh-CN"/>
              </w:rPr>
              <w:t>：</w:t>
            </w:r>
            <w:r>
              <w:rPr>
                <w:rFonts w:hint="eastAsia"/>
                <w:color w:val="auto"/>
                <w:highlight w:val="none"/>
                <w:u w:val="single"/>
              </w:rPr>
              <w:t>//www.gcy.zfcg.gxzf.gov.cn/）</w:t>
            </w:r>
            <w:r>
              <w:rPr>
                <w:rFonts w:hint="eastAsia"/>
                <w:color w:val="auto"/>
                <w:highlight w:val="none"/>
              </w:rPr>
              <w:t>获取（下载）招标文件，并于</w:t>
            </w:r>
            <w:r>
              <w:rPr>
                <w:rFonts w:hint="eastAsia"/>
                <w:color w:val="auto"/>
                <w:highlight w:val="none"/>
                <w:u w:val="single"/>
              </w:rPr>
              <w:t>2025年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5</w:t>
            </w:r>
            <w:r>
              <w:rPr>
                <w:rFonts w:hint="eastAsia"/>
                <w:color w:val="auto"/>
                <w:highlight w:val="none"/>
                <w:u w:val="single"/>
              </w:rPr>
              <w:t>日9时</w:t>
            </w:r>
            <w:r>
              <w:rPr>
                <w:rFonts w:hint="eastAsia"/>
                <w:color w:val="auto"/>
                <w:highlight w:val="none"/>
                <w:u w:val="single"/>
                <w:lang w:val="en-US" w:eastAsia="zh-CN"/>
              </w:rPr>
              <w:t>3</w:t>
            </w:r>
            <w:r>
              <w:rPr>
                <w:rFonts w:hint="eastAsia"/>
                <w:color w:val="auto"/>
                <w:highlight w:val="none"/>
                <w:u w:val="single"/>
              </w:rPr>
              <w:t>0分</w:t>
            </w:r>
            <w:r>
              <w:rPr>
                <w:rFonts w:hint="eastAsia"/>
                <w:color w:val="auto"/>
                <w:highlight w:val="none"/>
              </w:rPr>
              <w:t>（北京时间）前按要求递交（上传）投标文件。</w:t>
            </w:r>
          </w:p>
        </w:tc>
      </w:tr>
    </w:tbl>
    <w:p w14:paraId="6ADBB07B">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一、项目基本情况</w:t>
      </w:r>
      <w:bookmarkEnd w:id="11"/>
      <w:bookmarkEnd w:id="12"/>
      <w:bookmarkEnd w:id="13"/>
      <w:bookmarkEnd w:id="14"/>
      <w:r>
        <w:rPr>
          <w:rFonts w:hint="eastAsia" w:ascii="黑体" w:hAnsi="黑体" w:eastAsia="黑体"/>
          <w:b/>
          <w:bCs/>
          <w:color w:val="auto"/>
          <w:sz w:val="24"/>
          <w:highlight w:val="none"/>
        </w:rPr>
        <w:t>：</w:t>
      </w:r>
    </w:p>
    <w:p w14:paraId="134D6C0A">
      <w:pPr>
        <w:spacing w:line="360" w:lineRule="auto"/>
        <w:ind w:firstLine="420" w:firstLineChars="200"/>
        <w:rPr>
          <w:rFonts w:hint="eastAsia" w:cs="宋体" w:asciiTheme="majorEastAsia" w:hAnsiTheme="majorEastAsia" w:eastAsiaTheme="majorEastAsia"/>
          <w:bCs/>
          <w:color w:val="auto"/>
          <w:szCs w:val="21"/>
          <w:highlight w:val="none"/>
          <w:lang w:eastAsia="zh-CN"/>
        </w:rPr>
      </w:pPr>
      <w:r>
        <w:rPr>
          <w:rFonts w:hint="eastAsia" w:cs="宋体" w:asciiTheme="majorEastAsia" w:hAnsiTheme="majorEastAsia" w:eastAsiaTheme="majorEastAsia"/>
          <w:color w:val="auto"/>
          <w:szCs w:val="21"/>
          <w:highlight w:val="none"/>
        </w:rPr>
        <w:t>项目编号：</w:t>
      </w:r>
      <w:r>
        <w:rPr>
          <w:rFonts w:hint="eastAsia" w:cs="宋体" w:asciiTheme="majorEastAsia" w:hAnsiTheme="majorEastAsia" w:eastAsiaTheme="majorEastAsia"/>
          <w:bCs/>
          <w:color w:val="auto"/>
          <w:szCs w:val="21"/>
          <w:highlight w:val="none"/>
          <w:lang w:eastAsia="zh-CN"/>
        </w:rPr>
        <w:t>GXZC2025-G1-003017-ZHZB</w:t>
      </w:r>
    </w:p>
    <w:p w14:paraId="76478057">
      <w:pPr>
        <w:spacing w:line="360" w:lineRule="auto"/>
        <w:ind w:firstLine="420" w:firstLineChars="200"/>
        <w:rPr>
          <w:rFonts w:hint="eastAsia" w:cs="宋体" w:asciiTheme="majorEastAsia" w:hAnsiTheme="majorEastAsia" w:eastAsiaTheme="majorEastAsia"/>
          <w:color w:val="auto"/>
          <w:szCs w:val="21"/>
          <w:highlight w:val="none"/>
          <w:lang w:eastAsia="zh-CN"/>
        </w:rPr>
      </w:pPr>
      <w:r>
        <w:rPr>
          <w:rFonts w:hint="eastAsia" w:cs="宋体" w:asciiTheme="majorEastAsia" w:hAnsiTheme="majorEastAsia" w:eastAsiaTheme="majorEastAsia"/>
          <w:color w:val="auto"/>
          <w:szCs w:val="21"/>
          <w:highlight w:val="none"/>
        </w:rPr>
        <w:t>项目名称：</w:t>
      </w:r>
      <w:r>
        <w:rPr>
          <w:rFonts w:hint="eastAsia" w:cs="宋体" w:asciiTheme="majorEastAsia" w:hAnsiTheme="majorEastAsia" w:eastAsiaTheme="majorEastAsia"/>
          <w:color w:val="auto"/>
          <w:szCs w:val="21"/>
          <w:highlight w:val="none"/>
          <w:lang w:eastAsia="zh-CN"/>
        </w:rPr>
        <w:t>射击训练器材采购项目</w:t>
      </w:r>
    </w:p>
    <w:bookmarkEnd w:id="15"/>
    <w:p w14:paraId="2258AA6C">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预算金额：人民币497.76万元。</w:t>
      </w:r>
    </w:p>
    <w:p w14:paraId="0E4866CD">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最高限价：人民币497.76万元。</w:t>
      </w:r>
    </w:p>
    <w:p w14:paraId="17F39B15">
      <w:pPr>
        <w:spacing w:line="360" w:lineRule="auto"/>
        <w:ind w:firstLine="420"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color w:val="auto"/>
          <w:szCs w:val="21"/>
          <w:highlight w:val="none"/>
        </w:rPr>
        <w:t>采购需求：可视化融合智能实弹采集系统</w:t>
      </w:r>
      <w:r>
        <w:rPr>
          <w:rFonts w:hint="eastAsia" w:cs="宋体" w:asciiTheme="majorEastAsia" w:hAnsiTheme="majorEastAsia" w:eastAsiaTheme="majorEastAsia"/>
          <w:color w:val="auto"/>
          <w:szCs w:val="21"/>
          <w:highlight w:val="none"/>
          <w:lang w:eastAsia="zh-CN"/>
        </w:rPr>
        <w:t>、16*3米大屏幕影像射击系统、动态靶标射击系统、监控及广播设备、枪弹安全管理设备、防弹防护器材等</w:t>
      </w:r>
      <w:r>
        <w:rPr>
          <w:rFonts w:hint="eastAsia" w:cs="宋体" w:asciiTheme="majorEastAsia" w:hAnsiTheme="majorEastAsia" w:eastAsiaTheme="majorEastAsia"/>
          <w:color w:val="auto"/>
          <w:szCs w:val="21"/>
          <w:highlight w:val="none"/>
        </w:rPr>
        <w:t>，详见采购文件第二章</w:t>
      </w:r>
      <w:r>
        <w:rPr>
          <w:rFonts w:hint="eastAsia" w:asciiTheme="majorEastAsia" w:hAnsiTheme="majorEastAsia" w:eastAsiaTheme="majorEastAsia"/>
          <w:color w:val="auto"/>
          <w:highlight w:val="none"/>
        </w:rPr>
        <w:t>采购需求。</w:t>
      </w:r>
    </w:p>
    <w:p w14:paraId="7548F49A">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ascii="宋体" w:hAnsi="宋体" w:cs="宋体"/>
          <w:color w:val="auto"/>
          <w:szCs w:val="21"/>
          <w:highlight w:val="none"/>
          <w:lang w:bidi="ar"/>
        </w:rPr>
        <w:t>合同履行期限：</w:t>
      </w:r>
      <w:r>
        <w:rPr>
          <w:rFonts w:hint="eastAsia" w:cs="宋体" w:asciiTheme="majorEastAsia" w:hAnsiTheme="majorEastAsia" w:eastAsiaTheme="majorEastAsia"/>
          <w:color w:val="auto"/>
          <w:szCs w:val="21"/>
          <w:highlight w:val="none"/>
          <w:lang w:eastAsia="zh-CN"/>
        </w:rPr>
        <w:t>自签订合同之日起</w:t>
      </w:r>
      <w:r>
        <w:rPr>
          <w:rFonts w:hint="eastAsia" w:cs="宋体" w:asciiTheme="majorEastAsia" w:hAnsiTheme="majorEastAsia" w:eastAsiaTheme="majorEastAsia"/>
          <w:color w:val="auto"/>
          <w:szCs w:val="21"/>
          <w:highlight w:val="none"/>
          <w:lang w:val="en-US" w:eastAsia="zh-CN"/>
        </w:rPr>
        <w:t>70</w:t>
      </w:r>
      <w:r>
        <w:rPr>
          <w:rFonts w:hint="eastAsia" w:cs="宋体" w:asciiTheme="majorEastAsia" w:hAnsiTheme="majorEastAsia" w:eastAsiaTheme="majorEastAsia"/>
          <w:color w:val="auto"/>
          <w:szCs w:val="21"/>
          <w:highlight w:val="none"/>
          <w:lang w:eastAsia="zh-CN"/>
        </w:rPr>
        <w:t>天内完成调试并通过采购人验收</w:t>
      </w:r>
      <w:r>
        <w:rPr>
          <w:rFonts w:hint="eastAsia" w:cs="宋体" w:asciiTheme="majorEastAsia" w:hAnsiTheme="majorEastAsia" w:eastAsiaTheme="majorEastAsia"/>
          <w:color w:val="auto"/>
          <w:szCs w:val="21"/>
          <w:highlight w:val="none"/>
        </w:rPr>
        <w:t>。</w:t>
      </w:r>
    </w:p>
    <w:p w14:paraId="381C2BE1">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本项目</w:t>
      </w:r>
      <w:r>
        <w:rPr>
          <w:rFonts w:hint="eastAsia" w:cs="宋体" w:asciiTheme="majorEastAsia" w:hAnsiTheme="majorEastAsia" w:eastAsiaTheme="majorEastAsia"/>
          <w:b/>
          <w:bCs/>
          <w:color w:val="auto"/>
          <w:szCs w:val="21"/>
          <w:highlight w:val="none"/>
          <w:lang w:eastAsia="zh-CN"/>
        </w:rPr>
        <w:t>不接受</w:t>
      </w:r>
      <w:r>
        <w:rPr>
          <w:rFonts w:hint="eastAsia" w:cs="宋体" w:asciiTheme="majorEastAsia" w:hAnsiTheme="majorEastAsia" w:eastAsiaTheme="majorEastAsia"/>
          <w:color w:val="auto"/>
          <w:szCs w:val="21"/>
          <w:highlight w:val="none"/>
        </w:rPr>
        <w:t>联合体投标。</w:t>
      </w:r>
    </w:p>
    <w:p w14:paraId="7DAA8E38">
      <w:pPr>
        <w:spacing w:line="360" w:lineRule="auto"/>
        <w:rPr>
          <w:rFonts w:hint="eastAsia" w:ascii="黑体" w:hAnsi="黑体" w:eastAsia="黑体"/>
          <w:b/>
          <w:bCs/>
          <w:color w:val="auto"/>
          <w:sz w:val="24"/>
          <w:highlight w:val="none"/>
        </w:rPr>
      </w:pPr>
      <w:bookmarkStart w:id="16" w:name="_Toc28359080"/>
      <w:bookmarkStart w:id="17" w:name="_Toc35393791"/>
      <w:bookmarkStart w:id="18" w:name="_Toc28359003"/>
      <w:bookmarkStart w:id="19" w:name="_Toc35393622"/>
      <w:r>
        <w:rPr>
          <w:rFonts w:hint="eastAsia" w:ascii="黑体" w:hAnsi="黑体" w:eastAsia="黑体"/>
          <w:b/>
          <w:bCs/>
          <w:color w:val="auto"/>
          <w:sz w:val="24"/>
          <w:highlight w:val="none"/>
        </w:rPr>
        <w:t>二、申请人的资格要求：</w:t>
      </w:r>
      <w:bookmarkEnd w:id="16"/>
      <w:bookmarkEnd w:id="17"/>
      <w:bookmarkEnd w:id="18"/>
      <w:bookmarkEnd w:id="19"/>
    </w:p>
    <w:p w14:paraId="6738D981">
      <w:pPr>
        <w:spacing w:line="360" w:lineRule="auto"/>
        <w:ind w:firstLine="420" w:firstLineChars="200"/>
        <w:rPr>
          <w:rFonts w:hint="eastAsia" w:cs="宋体" w:asciiTheme="majorEastAsia" w:hAnsiTheme="majorEastAsia" w:eastAsiaTheme="majorEastAsia"/>
          <w:color w:val="auto"/>
          <w:szCs w:val="21"/>
          <w:highlight w:val="none"/>
        </w:rPr>
      </w:pPr>
      <w:bookmarkStart w:id="20" w:name="_Hlk51746371"/>
      <w:r>
        <w:rPr>
          <w:rFonts w:hint="eastAsia" w:cs="宋体" w:asciiTheme="majorEastAsia" w:hAnsiTheme="majorEastAsia" w:eastAsiaTheme="majorEastAsia"/>
          <w:color w:val="auto"/>
          <w:szCs w:val="21"/>
          <w:highlight w:val="none"/>
        </w:rPr>
        <w:t>1.满足《中华人民共和国政府采购法》第二十二条规定；</w:t>
      </w:r>
    </w:p>
    <w:p w14:paraId="3095D371">
      <w:pPr>
        <w:spacing w:line="360" w:lineRule="auto"/>
        <w:ind w:firstLine="420" w:firstLineChars="200"/>
        <w:rPr>
          <w:rFonts w:hint="eastAsia" w:cs="宋体" w:asciiTheme="majorEastAsia" w:hAnsiTheme="majorEastAsia" w:eastAsiaTheme="majorEastAsia"/>
          <w:color w:val="auto"/>
          <w:szCs w:val="21"/>
          <w:highlight w:val="none"/>
        </w:rPr>
      </w:pPr>
      <w:bookmarkStart w:id="21" w:name="_Toc28359004"/>
      <w:bookmarkStart w:id="22" w:name="_Toc28359081"/>
      <w:r>
        <w:rPr>
          <w:rFonts w:hint="eastAsia" w:cs="宋体" w:asciiTheme="majorEastAsia" w:hAnsiTheme="majorEastAsia" w:eastAsiaTheme="majorEastAsia"/>
          <w:color w:val="auto"/>
          <w:szCs w:val="21"/>
          <w:highlight w:val="none"/>
        </w:rPr>
        <w:t>2.落实政府采购政策需满足的资格要求：无；</w:t>
      </w:r>
    </w:p>
    <w:p w14:paraId="486C746F">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3.本项目的特定资格要求：无。</w:t>
      </w:r>
    </w:p>
    <w:bookmarkEnd w:id="20"/>
    <w:p w14:paraId="2B4E1C1A">
      <w:pPr>
        <w:spacing w:line="360" w:lineRule="auto"/>
        <w:rPr>
          <w:rFonts w:hint="eastAsia" w:ascii="黑体" w:hAnsi="黑体" w:eastAsia="黑体"/>
          <w:b/>
          <w:bCs/>
          <w:color w:val="auto"/>
          <w:sz w:val="24"/>
          <w:highlight w:val="none"/>
          <w:lang w:eastAsia="zh-CN"/>
        </w:rPr>
      </w:pPr>
      <w:bookmarkStart w:id="23" w:name="_Toc35393623"/>
      <w:bookmarkStart w:id="24" w:name="_Toc35393792"/>
      <w:r>
        <w:rPr>
          <w:rFonts w:hint="eastAsia" w:ascii="黑体" w:hAnsi="黑体" w:eastAsia="黑体"/>
          <w:b/>
          <w:bCs/>
          <w:color w:val="auto"/>
          <w:sz w:val="24"/>
          <w:highlight w:val="none"/>
        </w:rPr>
        <w:t>三、获取招标文件</w:t>
      </w:r>
      <w:bookmarkEnd w:id="21"/>
      <w:bookmarkEnd w:id="22"/>
      <w:bookmarkEnd w:id="23"/>
      <w:bookmarkEnd w:id="24"/>
      <w:r>
        <w:rPr>
          <w:rFonts w:hint="eastAsia" w:ascii="黑体" w:hAnsi="黑体" w:eastAsia="黑体"/>
          <w:b/>
          <w:bCs/>
          <w:color w:val="auto"/>
          <w:sz w:val="24"/>
          <w:highlight w:val="none"/>
          <w:lang w:eastAsia="zh-CN"/>
        </w:rPr>
        <w:t>：</w:t>
      </w:r>
    </w:p>
    <w:p w14:paraId="7AEE8172">
      <w:pPr>
        <w:spacing w:line="360" w:lineRule="auto"/>
        <w:ind w:firstLine="420" w:firstLineChars="200"/>
        <w:rPr>
          <w:rFonts w:hint="eastAsia" w:ascii="宋体" w:hAnsi="宋体" w:cs="宋体"/>
          <w:bCs/>
          <w:color w:val="auto"/>
          <w:kern w:val="0"/>
          <w:szCs w:val="21"/>
          <w:highlight w:val="none"/>
        </w:rPr>
      </w:pPr>
      <w:bookmarkStart w:id="25" w:name="_Toc74320801"/>
      <w:r>
        <w:rPr>
          <w:rFonts w:hint="eastAsia" w:ascii="宋体" w:hAnsi="宋体" w:cs="宋体"/>
          <w:bCs/>
          <w:color w:val="auto"/>
          <w:kern w:val="0"/>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5年</w:t>
      </w:r>
      <w:r>
        <w:rPr>
          <w:rFonts w:hint="eastAsia" w:ascii="宋体" w:hAnsi="宋体" w:cs="宋体"/>
          <w:bCs/>
          <w:color w:val="auto"/>
          <w:kern w:val="0"/>
          <w:szCs w:val="21"/>
          <w:highlight w:val="none"/>
          <w:lang w:val="en-US" w:eastAsia="zh-CN"/>
        </w:rPr>
        <w:t>10</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15</w:t>
      </w:r>
      <w:r>
        <w:rPr>
          <w:rFonts w:hint="eastAsia" w:ascii="宋体" w:hAnsi="宋体" w:cs="宋体"/>
          <w:bCs/>
          <w:color w:val="auto"/>
          <w:kern w:val="0"/>
          <w:szCs w:val="21"/>
          <w:highlight w:val="none"/>
        </w:rPr>
        <w:t>日至</w:t>
      </w:r>
      <w:r>
        <w:rPr>
          <w:rFonts w:ascii="宋体" w:hAnsi="宋体" w:cs="宋体"/>
          <w:bCs/>
          <w:color w:val="auto"/>
          <w:kern w:val="0"/>
          <w:szCs w:val="21"/>
          <w:highlight w:val="none"/>
        </w:rPr>
        <w:t>202</w:t>
      </w:r>
      <w:r>
        <w:rPr>
          <w:rFonts w:hint="eastAsia" w:ascii="宋体" w:hAnsi="宋体" w:cs="宋体"/>
          <w:bCs/>
          <w:color w:val="auto"/>
          <w:kern w:val="0"/>
          <w:szCs w:val="21"/>
          <w:highlight w:val="none"/>
        </w:rPr>
        <w:t>5年</w:t>
      </w:r>
      <w:r>
        <w:rPr>
          <w:rFonts w:hint="eastAsia" w:ascii="宋体" w:hAnsi="宋体" w:cs="宋体"/>
          <w:bCs/>
          <w:color w:val="auto"/>
          <w:kern w:val="0"/>
          <w:szCs w:val="21"/>
          <w:highlight w:val="none"/>
          <w:lang w:val="en-US" w:eastAsia="zh-CN"/>
        </w:rPr>
        <w:t>10</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22</w:t>
      </w:r>
      <w:r>
        <w:rPr>
          <w:rFonts w:hint="eastAsia" w:ascii="宋体" w:hAnsi="宋体" w:cs="宋体"/>
          <w:bCs/>
          <w:color w:val="auto"/>
          <w:kern w:val="0"/>
          <w:szCs w:val="21"/>
          <w:highlight w:val="none"/>
        </w:rPr>
        <w:t>日，每天上午00</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0</w:t>
      </w:r>
      <w:r>
        <w:rPr>
          <w:rFonts w:ascii="宋体" w:hAnsi="宋体" w:cs="宋体"/>
          <w:bCs/>
          <w:color w:val="auto"/>
          <w:kern w:val="0"/>
          <w:szCs w:val="21"/>
          <w:highlight w:val="none"/>
        </w:rPr>
        <w:t>0</w:t>
      </w:r>
      <w:r>
        <w:rPr>
          <w:rFonts w:hint="eastAsia" w:ascii="宋体" w:hAnsi="宋体" w:cs="宋体"/>
          <w:bCs/>
          <w:color w:val="auto"/>
          <w:kern w:val="0"/>
          <w:szCs w:val="21"/>
          <w:highlight w:val="none"/>
        </w:rPr>
        <w:t>至11</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59，下午12</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0</w:t>
      </w:r>
      <w:r>
        <w:rPr>
          <w:rFonts w:ascii="宋体" w:hAnsi="宋体" w:cs="宋体"/>
          <w:bCs/>
          <w:color w:val="auto"/>
          <w:kern w:val="0"/>
          <w:szCs w:val="21"/>
          <w:highlight w:val="none"/>
        </w:rPr>
        <w:t>0</w:t>
      </w:r>
      <w:r>
        <w:rPr>
          <w:rFonts w:hint="eastAsia" w:ascii="宋体" w:hAnsi="宋体" w:cs="宋体"/>
          <w:bCs/>
          <w:color w:val="auto"/>
          <w:kern w:val="0"/>
          <w:szCs w:val="21"/>
          <w:highlight w:val="none"/>
        </w:rPr>
        <w:t>至23</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59（北京时间）。</w:t>
      </w:r>
    </w:p>
    <w:p w14:paraId="6E9A8CB4">
      <w:pPr>
        <w:spacing w:line="36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color w:val="auto"/>
          <w:szCs w:val="21"/>
          <w:highlight w:val="none"/>
        </w:rPr>
        <w:t>广西政府采购云平台（https</w:t>
      </w:r>
      <w:r>
        <w:rPr>
          <w:rFonts w:hint="eastAsia" w:ascii="宋体" w:hAnsi="宋体"/>
          <w:color w:val="auto"/>
          <w:szCs w:val="21"/>
          <w:highlight w:val="none"/>
          <w:lang w:eastAsia="zh-CN"/>
        </w:rPr>
        <w:t>：</w:t>
      </w:r>
      <w:r>
        <w:rPr>
          <w:rFonts w:hint="eastAsia" w:ascii="宋体" w:hAnsi="宋体"/>
          <w:color w:val="auto"/>
          <w:szCs w:val="21"/>
          <w:highlight w:val="none"/>
        </w:rPr>
        <w:t>//www.gcy.zfcg.gxzf.gov.cn/）。</w:t>
      </w:r>
    </w:p>
    <w:p w14:paraId="22071ADA">
      <w:pPr>
        <w:spacing w:line="360" w:lineRule="auto"/>
        <w:ind w:firstLine="420" w:firstLineChars="200"/>
        <w:rPr>
          <w:rFonts w:hint="eastAsia" w:ascii="宋体" w:hAnsi="宋体" w:cs="宋体"/>
          <w:bCs/>
          <w:color w:val="auto"/>
          <w:kern w:val="0"/>
          <w:szCs w:val="21"/>
          <w:highlight w:val="none"/>
        </w:rPr>
      </w:pPr>
      <w:r>
        <w:rPr>
          <w:color w:val="auto"/>
          <w:highlight w:val="none"/>
        </w:rPr>
        <w:t>方式：</w:t>
      </w:r>
      <w:r>
        <w:rPr>
          <w:rFonts w:hint="eastAsia" w:ascii="宋体" w:hAnsi="宋体" w:cs="宋体"/>
          <w:color w:val="auto"/>
          <w:highlight w:val="none"/>
        </w:rPr>
        <w:t>网上下载。本项目不提供纸质文件，潜在供应商需使用账号登录或者使用CA登录“广西政府采购云平台（https</w:t>
      </w:r>
      <w:r>
        <w:rPr>
          <w:rFonts w:hint="eastAsia" w:ascii="宋体" w:hAnsi="宋体" w:cs="宋体"/>
          <w:color w:val="auto"/>
          <w:highlight w:val="none"/>
          <w:lang w:eastAsia="zh-CN"/>
        </w:rPr>
        <w:t>：</w:t>
      </w:r>
      <w:r>
        <w:rPr>
          <w:rFonts w:hint="eastAsia" w:ascii="宋体" w:hAnsi="宋体" w:cs="宋体"/>
          <w:color w:val="auto"/>
          <w:highlight w:val="none"/>
        </w:rPr>
        <w:t>//www.gcy.zfcg.gxzf.gov.cn）”－进入“项目采购”应用，在获取采购文件菜单中选择项目，获取招标文件（或在“广西政府采购客户端－获取采购文件”）。电子投标文件制作需要基于“广西政府采购云平台”获取的招标文件编制，通过其他方式获取招标文件的，将有可能导致供应商无法在“广西政府采购云平台”编制及上传投标文件。</w:t>
      </w:r>
    </w:p>
    <w:p w14:paraId="4B944D2C">
      <w:pPr>
        <w:spacing w:line="360" w:lineRule="auto"/>
        <w:ind w:firstLine="420" w:firstLineChars="200"/>
        <w:rPr>
          <w:rFonts w:hint="eastAsia"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rPr>
        <w:t>0元。</w:t>
      </w:r>
    </w:p>
    <w:p w14:paraId="7BE4F33B">
      <w:pPr>
        <w:spacing w:line="360" w:lineRule="auto"/>
        <w:rPr>
          <w:rFonts w:hint="eastAsia" w:ascii="黑体" w:hAnsi="黑体" w:eastAsia="黑体"/>
          <w:b/>
          <w:bCs/>
          <w:color w:val="auto"/>
          <w:sz w:val="24"/>
          <w:highlight w:val="none"/>
        </w:rPr>
      </w:pPr>
      <w:bookmarkStart w:id="26" w:name="_Toc28359005"/>
      <w:bookmarkStart w:id="27" w:name="_Toc28359082"/>
      <w:bookmarkStart w:id="28" w:name="_Toc35393793"/>
      <w:bookmarkStart w:id="29" w:name="_Toc35393624"/>
      <w:r>
        <w:rPr>
          <w:rFonts w:hint="eastAsia" w:ascii="黑体" w:hAnsi="黑体" w:eastAsia="黑体"/>
          <w:b/>
          <w:bCs/>
          <w:color w:val="auto"/>
          <w:sz w:val="24"/>
          <w:highlight w:val="none"/>
        </w:rPr>
        <w:t>四、提交投标文件</w:t>
      </w:r>
      <w:bookmarkEnd w:id="26"/>
      <w:bookmarkEnd w:id="27"/>
      <w:r>
        <w:rPr>
          <w:rFonts w:hint="eastAsia" w:ascii="黑体" w:hAnsi="黑体" w:eastAsia="黑体"/>
          <w:b/>
          <w:bCs/>
          <w:color w:val="auto"/>
          <w:sz w:val="24"/>
          <w:highlight w:val="none"/>
        </w:rPr>
        <w:t>截止时间、开标时间和地点</w:t>
      </w:r>
      <w:bookmarkEnd w:id="28"/>
      <w:bookmarkEnd w:id="29"/>
      <w:r>
        <w:rPr>
          <w:rFonts w:hint="eastAsia" w:ascii="黑体" w:hAnsi="黑体" w:eastAsia="黑体"/>
          <w:b/>
          <w:bCs/>
          <w:color w:val="auto"/>
          <w:sz w:val="24"/>
          <w:highlight w:val="none"/>
        </w:rPr>
        <w:t>：</w:t>
      </w:r>
    </w:p>
    <w:p w14:paraId="60672550">
      <w:pPr>
        <w:spacing w:line="360" w:lineRule="auto"/>
        <w:ind w:firstLine="420" w:firstLineChars="200"/>
        <w:rPr>
          <w:rFonts w:hint="eastAsia" w:ascii="宋体" w:hAnsi="宋体" w:cs="宋体"/>
          <w:color w:val="auto"/>
          <w:highlight w:val="none"/>
        </w:rPr>
      </w:pPr>
      <w:bookmarkStart w:id="30" w:name="_Toc35393794"/>
      <w:bookmarkStart w:id="31" w:name="_Toc28359084"/>
      <w:bookmarkStart w:id="32" w:name="_Toc28359007"/>
      <w:bookmarkStart w:id="33" w:name="_Toc35393625"/>
      <w:r>
        <w:rPr>
          <w:rFonts w:hint="eastAsia" w:ascii="宋体" w:hAnsi="宋体" w:cs="宋体"/>
          <w:color w:val="auto"/>
          <w:highlight w:val="none"/>
        </w:rPr>
        <w:t>时间：2025年</w:t>
      </w:r>
      <w:r>
        <w:rPr>
          <w:rFonts w:hint="eastAsia" w:ascii="宋体" w:hAnsi="宋体" w:cs="宋体"/>
          <w:color w:val="auto"/>
          <w:highlight w:val="none"/>
          <w:lang w:val="en-US" w:eastAsia="zh-CN"/>
        </w:rPr>
        <w:t>11</w:t>
      </w:r>
      <w:r>
        <w:rPr>
          <w:rFonts w:hint="eastAsia" w:ascii="宋体" w:hAnsi="宋体" w:cs="宋体"/>
          <w:color w:val="auto"/>
          <w:highlight w:val="none"/>
        </w:rPr>
        <w:t>月</w:t>
      </w:r>
      <w:r>
        <w:rPr>
          <w:rFonts w:hint="eastAsia" w:ascii="宋体" w:hAnsi="宋体" w:cs="宋体"/>
          <w:color w:val="auto"/>
          <w:highlight w:val="none"/>
          <w:lang w:val="en-US" w:eastAsia="zh-CN"/>
        </w:rPr>
        <w:t>5</w:t>
      </w:r>
      <w:r>
        <w:rPr>
          <w:rFonts w:hint="eastAsia" w:ascii="宋体" w:hAnsi="宋体" w:cs="宋体"/>
          <w:color w:val="auto"/>
          <w:highlight w:val="none"/>
        </w:rPr>
        <w:t>日9时30分（北京时间）。</w:t>
      </w:r>
    </w:p>
    <w:p w14:paraId="32C6C43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地点：</w:t>
      </w:r>
    </w:p>
    <w:p w14:paraId="2099E82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投标地点：广西政府采购云平台（https</w:t>
      </w:r>
      <w:r>
        <w:rPr>
          <w:rFonts w:hint="eastAsia" w:ascii="宋体" w:hAnsi="宋体" w:cs="宋体"/>
          <w:color w:val="auto"/>
          <w:highlight w:val="none"/>
          <w:lang w:eastAsia="zh-CN"/>
        </w:rPr>
        <w:t>：</w:t>
      </w:r>
      <w:r>
        <w:rPr>
          <w:rFonts w:hint="eastAsia" w:ascii="宋体" w:hAnsi="宋体" w:cs="宋体"/>
          <w:color w:val="auto"/>
          <w:highlight w:val="none"/>
        </w:rPr>
        <w:t>//www.gcy.zfcg.gxzf.gov.cn/）。</w:t>
      </w:r>
    </w:p>
    <w:p w14:paraId="77EDC57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开标地点：广西政府采购云平台电子开标大厅。</w:t>
      </w:r>
    </w:p>
    <w:p w14:paraId="4C076DF9">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五、公告期限</w:t>
      </w:r>
      <w:bookmarkEnd w:id="30"/>
      <w:bookmarkEnd w:id="31"/>
      <w:bookmarkEnd w:id="32"/>
      <w:bookmarkEnd w:id="33"/>
      <w:r>
        <w:rPr>
          <w:rFonts w:hint="eastAsia" w:ascii="黑体" w:hAnsi="黑体" w:eastAsia="黑体"/>
          <w:b/>
          <w:bCs/>
          <w:color w:val="auto"/>
          <w:sz w:val="24"/>
          <w:highlight w:val="none"/>
        </w:rPr>
        <w:t>：</w:t>
      </w:r>
    </w:p>
    <w:p w14:paraId="7721D0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自本公告发布之日起5个工作日。</w:t>
      </w:r>
    </w:p>
    <w:p w14:paraId="3A7B6275">
      <w:pPr>
        <w:spacing w:line="360" w:lineRule="auto"/>
        <w:rPr>
          <w:rFonts w:hint="eastAsia" w:ascii="黑体" w:hAnsi="黑体" w:eastAsia="黑体"/>
          <w:b/>
          <w:bCs/>
          <w:color w:val="auto"/>
          <w:sz w:val="24"/>
          <w:highlight w:val="none"/>
        </w:rPr>
      </w:pPr>
      <w:bookmarkStart w:id="34" w:name="_Toc35393795"/>
      <w:bookmarkStart w:id="35" w:name="_Toc35393626"/>
      <w:r>
        <w:rPr>
          <w:rFonts w:hint="eastAsia" w:ascii="黑体" w:hAnsi="黑体" w:eastAsia="黑体"/>
          <w:b/>
          <w:bCs/>
          <w:color w:val="auto"/>
          <w:sz w:val="24"/>
          <w:highlight w:val="none"/>
        </w:rPr>
        <w:t>六、其他补充事宜</w:t>
      </w:r>
      <w:bookmarkEnd w:id="34"/>
      <w:bookmarkEnd w:id="35"/>
      <w:r>
        <w:rPr>
          <w:rFonts w:hint="eastAsia" w:ascii="黑体" w:hAnsi="黑体" w:eastAsia="黑体"/>
          <w:b/>
          <w:bCs/>
          <w:color w:val="auto"/>
          <w:sz w:val="24"/>
          <w:highlight w:val="none"/>
        </w:rPr>
        <w:t>：</w:t>
      </w:r>
    </w:p>
    <w:p w14:paraId="76B85564">
      <w:pPr>
        <w:wordWrap w:val="0"/>
        <w:spacing w:line="360" w:lineRule="auto"/>
        <w:ind w:firstLine="420" w:firstLineChars="200"/>
        <w:rPr>
          <w:rFonts w:hint="eastAsia" w:ascii="宋体" w:hAnsi="宋体" w:cs="宋体"/>
          <w:color w:val="auto"/>
          <w:highlight w:val="none"/>
        </w:rPr>
      </w:pPr>
      <w:bookmarkStart w:id="36" w:name="_Hlk37429585"/>
      <w:bookmarkStart w:id="37" w:name="_Hlk37429595"/>
      <w:bookmarkStart w:id="38" w:name="_Toc35393627"/>
      <w:bookmarkStart w:id="39" w:name="_Toc28359008"/>
      <w:bookmarkStart w:id="40" w:name="_Toc35393796"/>
      <w:bookmarkStart w:id="41" w:name="_Toc28359085"/>
      <w:r>
        <w:rPr>
          <w:rFonts w:hint="eastAsia" w:ascii="宋体" w:hAnsi="宋体" w:cs="宋体"/>
          <w:color w:val="auto"/>
          <w:highlight w:val="none"/>
        </w:rPr>
        <w:t>1.网上查询地址：</w:t>
      </w:r>
      <w:bookmarkEnd w:id="36"/>
      <w:bookmarkEnd w:id="37"/>
      <w:bookmarkStart w:id="42" w:name="_Hlk37429674"/>
      <w:r>
        <w:rPr>
          <w:rFonts w:hint="eastAsia" w:ascii="宋体" w:hAnsi="宋体" w:cs="宋体"/>
          <w:color w:val="auto"/>
          <w:highlight w:val="none"/>
        </w:rPr>
        <w:t>中国政府采购网、广西政府采购网、广西壮族自治区公共资源交易中心网、广西正海招标有限公司网。</w:t>
      </w:r>
    </w:p>
    <w:p w14:paraId="641CEE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w:t>
      </w:r>
      <w:r>
        <w:rPr>
          <w:rFonts w:hint="eastAsia" w:ascii="宋体" w:hAnsi="宋体" w:cs="宋体"/>
          <w:color w:val="auto"/>
          <w:highlight w:val="none"/>
        </w:rPr>
        <w:t>本项目需要落实的政府采购政策：</w:t>
      </w:r>
    </w:p>
    <w:p w14:paraId="27809A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（1）政府采购促进中小企业发展。</w:t>
      </w:r>
    </w:p>
    <w:p w14:paraId="3D30314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（2）政府采购支持采用本国产品的政策。</w:t>
      </w:r>
    </w:p>
    <w:p w14:paraId="6994A2F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）政府采购促进残疾人就业政策。</w:t>
      </w:r>
    </w:p>
    <w:p w14:paraId="6E5EF0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4</w:t>
      </w:r>
      <w:r>
        <w:rPr>
          <w:rFonts w:hint="eastAsia" w:ascii="宋体" w:hAnsi="宋体" w:cs="宋体"/>
          <w:color w:val="auto"/>
          <w:highlight w:val="none"/>
        </w:rPr>
        <w:t>）政府采购支持监狱企业发展。</w:t>
      </w:r>
    </w:p>
    <w:bookmarkEnd w:id="42"/>
    <w:p w14:paraId="4ADE51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3.投标人投标注意事项</w:t>
      </w:r>
    </w:p>
    <w:p w14:paraId="67578DB1">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（1）本项目为全流程电子化采购项目，通过“广西政府采购云平台（https</w:t>
      </w:r>
      <w:r>
        <w:rPr>
          <w:rFonts w:hint="eastAsia" w:ascii="宋体" w:hAnsi="宋体" w:cs="宋体"/>
          <w:color w:val="auto"/>
          <w:highlight w:val="none"/>
          <w:lang w:eastAsia="zh-CN"/>
        </w:rPr>
        <w:t>：</w:t>
      </w:r>
      <w:r>
        <w:rPr>
          <w:rFonts w:hint="eastAsia" w:ascii="宋体" w:hAnsi="宋体" w:cs="宋体"/>
          <w:color w:val="auto"/>
          <w:highlight w:val="none"/>
        </w:rPr>
        <w:t>//www.gcy.zfcg.gxzf.gov.cn/）”实行在线电子投标，投标人应先安装“广西政府采购云平台”电子投标客户端（请自行前往“广西政府采购云平台”进行下载），并按照本项目招标文件和“广西政府采购云平台”的要求编制、加密后在投标截止时间前通过网络上传至 “广西政府采购云平台”（加密的电子投标文件是指后缀名为“jm</w:t>
      </w:r>
      <w:r>
        <w:rPr>
          <w:rFonts w:ascii="宋体" w:hAnsi="宋体" w:cs="宋体"/>
          <w:color w:val="auto"/>
          <w:highlight w:val="none"/>
        </w:rPr>
        <w:t>bs</w:t>
      </w:r>
      <w:r>
        <w:rPr>
          <w:rFonts w:hint="eastAsia" w:ascii="宋体" w:hAnsi="宋体" w:cs="宋体"/>
          <w:color w:val="auto"/>
          <w:highlight w:val="none"/>
        </w:rPr>
        <w:t>”的文件），投标人在“广西政府采购云平台”提交电子投标文件时，请填写参加远程开标活动经办人联系方式。</w:t>
      </w:r>
      <w:r>
        <w:rPr>
          <w:rFonts w:ascii="宋体" w:hAnsi="宋体" w:cs="宋体"/>
          <w:color w:val="auto"/>
          <w:highlight w:val="none"/>
        </w:rPr>
        <w:t>投标人登录“广西政府采购云平台”，依次进入“服务中心</w:t>
      </w:r>
      <w:r>
        <w:rPr>
          <w:rFonts w:hint="eastAsia" w:ascii="宋体" w:hAnsi="宋体" w:cs="宋体"/>
          <w:color w:val="auto"/>
          <w:highlight w:val="none"/>
        </w:rPr>
        <w:t>－</w:t>
      </w:r>
      <w:r>
        <w:rPr>
          <w:rFonts w:ascii="宋体" w:hAnsi="宋体" w:cs="宋体"/>
          <w:color w:val="auto"/>
          <w:highlight w:val="none"/>
        </w:rPr>
        <w:t>帮助文档</w:t>
      </w:r>
      <w:r>
        <w:rPr>
          <w:rFonts w:hint="eastAsia" w:ascii="宋体" w:hAnsi="宋体" w:cs="宋体"/>
          <w:color w:val="auto"/>
          <w:highlight w:val="none"/>
        </w:rPr>
        <w:t>－</w:t>
      </w:r>
      <w:r>
        <w:rPr>
          <w:rFonts w:ascii="宋体" w:hAnsi="宋体" w:cs="宋体"/>
          <w:color w:val="auto"/>
          <w:highlight w:val="none"/>
        </w:rPr>
        <w:t>操作流程</w:t>
      </w:r>
      <w:r>
        <w:rPr>
          <w:rFonts w:hint="eastAsia" w:ascii="宋体" w:hAnsi="宋体" w:cs="宋体"/>
          <w:color w:val="auto"/>
          <w:highlight w:val="none"/>
        </w:rPr>
        <w:t>－</w:t>
      </w:r>
      <w:r>
        <w:rPr>
          <w:rFonts w:ascii="宋体" w:hAnsi="宋体" w:cs="宋体"/>
          <w:color w:val="auto"/>
          <w:highlight w:val="none"/>
        </w:rPr>
        <w:t>电子招投标</w:t>
      </w:r>
      <w:r>
        <w:rPr>
          <w:rFonts w:hint="eastAsia" w:ascii="宋体" w:hAnsi="宋体" w:cs="宋体"/>
          <w:color w:val="auto"/>
          <w:highlight w:val="none"/>
        </w:rPr>
        <w:t>－</w:t>
      </w:r>
      <w:r>
        <w:rPr>
          <w:rFonts w:ascii="宋体" w:hAnsi="宋体" w:cs="宋体"/>
          <w:color w:val="auto"/>
          <w:highlight w:val="none"/>
        </w:rPr>
        <w:t>政府采购项目电子交易管理操作指南</w:t>
      </w:r>
      <w:r>
        <w:rPr>
          <w:rFonts w:hint="eastAsia" w:ascii="宋体" w:hAnsi="宋体" w:cs="宋体"/>
          <w:color w:val="auto"/>
          <w:highlight w:val="none"/>
        </w:rPr>
        <w:t>－</w:t>
      </w:r>
      <w:r>
        <w:rPr>
          <w:rFonts w:ascii="宋体" w:hAnsi="宋体" w:cs="宋体"/>
          <w:color w:val="auto"/>
          <w:highlight w:val="none"/>
        </w:rPr>
        <w:t>供应商”查看电子投标具体操作流程。</w:t>
      </w:r>
    </w:p>
    <w:p w14:paraId="4C373572">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政府采购平台客服电话：95763）。</w:t>
      </w:r>
    </w:p>
    <w:p w14:paraId="377EB287">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6EC67352">
      <w:pPr>
        <w:wordWrap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注：①为确保网上操作合法、有效和安全，请投标人确保在电子投标过程中能够对相关数据电文进行加密和使用电子签章，妥善保管C</w:t>
      </w:r>
      <w:r>
        <w:rPr>
          <w:rFonts w:ascii="宋体" w:hAnsi="宋体" w:cs="宋体"/>
          <w:color w:val="auto"/>
          <w:highlight w:val="none"/>
        </w:rPr>
        <w:t>A</w:t>
      </w:r>
      <w:r>
        <w:rPr>
          <w:rFonts w:hint="eastAsia" w:ascii="宋体" w:hAnsi="宋体" w:cs="宋体"/>
          <w:color w:val="auto"/>
          <w:highlight w:val="none"/>
        </w:rPr>
        <w:t>数字证书并使用有效的CA数字证书参与整个招标活动。</w:t>
      </w:r>
    </w:p>
    <w:p w14:paraId="2E7D8315">
      <w:pPr>
        <w:wordWrap w:val="0"/>
        <w:spacing w:line="360" w:lineRule="auto"/>
        <w:ind w:firstLine="630" w:firstLineChars="300"/>
        <w:rPr>
          <w:rFonts w:hint="eastAsia" w:ascii="宋体" w:hAnsi="宋体" w:cs="宋体"/>
          <w:color w:val="auto"/>
          <w:highlight w:val="none"/>
        </w:rPr>
      </w:pPr>
      <w:r>
        <w:rPr>
          <w:rFonts w:hint="eastAsia" w:ascii="宋体" w:hAnsi="宋体" w:cs="宋体"/>
          <w:color w:val="auto"/>
          <w:highlight w:val="none"/>
        </w:rPr>
        <w:t>②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597078F0">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8"/>
      <w:bookmarkEnd w:id="39"/>
      <w:bookmarkEnd w:id="40"/>
      <w:bookmarkEnd w:id="41"/>
      <w:r>
        <w:rPr>
          <w:rFonts w:hint="eastAsia" w:ascii="黑体" w:hAnsi="黑体" w:eastAsia="黑体"/>
          <w:b/>
          <w:bCs/>
          <w:color w:val="auto"/>
          <w:sz w:val="24"/>
          <w:highlight w:val="none"/>
        </w:rPr>
        <w:t>：</w:t>
      </w:r>
    </w:p>
    <w:p w14:paraId="7095CA1D">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1.采购人信息</w:t>
      </w:r>
    </w:p>
    <w:p w14:paraId="5EFD21B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名称：广西壮族自治区司法厅  地址：南宁市星湖路北二里1号 </w:t>
      </w:r>
    </w:p>
    <w:p w14:paraId="69100D0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项目联系人：黎工      联系电话：0771-5849232 </w:t>
      </w:r>
    </w:p>
    <w:p w14:paraId="6E01634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2.采购代理机构信息</w:t>
      </w:r>
    </w:p>
    <w:p w14:paraId="17AB430A">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名称：广西正海招标有限公司　地址：南宁市青秀区茅桥路2号习艺基地A栋①电梯3楼</w:t>
      </w:r>
    </w:p>
    <w:p w14:paraId="1220EC53">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联系方式：0771-2865989　　</w:t>
      </w:r>
    </w:p>
    <w:p w14:paraId="06685088">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3.项目联系方式</w:t>
      </w:r>
    </w:p>
    <w:p w14:paraId="773649A2">
      <w:pP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项目联系人：覃相健   联系电话：0771-2865989</w:t>
      </w:r>
    </w:p>
    <w:p w14:paraId="2C488067">
      <w:pPr>
        <w:snapToGrid w:val="0"/>
        <w:spacing w:line="360" w:lineRule="auto"/>
        <w:ind w:firstLine="482"/>
        <w:jc w:val="right"/>
        <w:rPr>
          <w:rFonts w:hint="eastAsia" w:ascii="仿宋_GB2312" w:hAnsi="宋体" w:eastAsia="仿宋_GB2312"/>
          <w:color w:val="auto"/>
          <w:sz w:val="24"/>
          <w:szCs w:val="20"/>
          <w:highlight w:val="none"/>
        </w:rPr>
      </w:pPr>
      <w:r>
        <w:rPr>
          <w:rFonts w:hint="eastAsia" w:ascii="仿宋_GB2312" w:hAnsi="宋体" w:eastAsia="仿宋_GB2312"/>
          <w:color w:val="auto"/>
          <w:sz w:val="24"/>
          <w:szCs w:val="20"/>
          <w:highlight w:val="none"/>
        </w:rPr>
        <w:t xml:space="preserve">                                                  </w:t>
      </w:r>
    </w:p>
    <w:p w14:paraId="0505961D">
      <w:pPr>
        <w:snapToGrid w:val="0"/>
        <w:spacing w:line="360" w:lineRule="auto"/>
        <w:ind w:firstLine="482"/>
        <w:jc w:val="right"/>
        <w:rPr>
          <w:rFonts w:hint="eastAsia" w:ascii="宋体" w:hAnsi="宋体" w:cs="宋体"/>
          <w:color w:val="auto"/>
          <w:szCs w:val="21"/>
          <w:highlight w:val="none"/>
        </w:rPr>
      </w:pPr>
      <w:r>
        <w:rPr>
          <w:rFonts w:hint="eastAsia" w:ascii="宋体" w:hAnsi="宋体" w:cs="宋体"/>
          <w:color w:val="auto"/>
          <w:szCs w:val="21"/>
          <w:highlight w:val="none"/>
        </w:rPr>
        <w:t>广西正海招标有限公司</w:t>
      </w:r>
    </w:p>
    <w:p w14:paraId="1DE4470D">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220D12D3">
      <w:pPr>
        <w:pStyle w:val="2"/>
        <w:rPr>
          <w:rFonts w:hint="eastAsia" w:cs="宋体" w:asciiTheme="majorEastAsia" w:hAnsiTheme="majorEastAsia" w:eastAsiaTheme="majorEastAsia"/>
          <w:color w:val="auto"/>
          <w:szCs w:val="21"/>
          <w:highlight w:val="none"/>
        </w:rPr>
      </w:pPr>
    </w:p>
    <w:p w14:paraId="09F53003">
      <w:pPr>
        <w:rPr>
          <w:rFonts w:hint="eastAsia" w:cs="宋体" w:asciiTheme="majorEastAsia" w:hAnsiTheme="majorEastAsia" w:eastAsiaTheme="majorEastAsia"/>
          <w:color w:val="auto"/>
          <w:szCs w:val="21"/>
          <w:highlight w:val="none"/>
        </w:rPr>
      </w:pPr>
    </w:p>
    <w:p w14:paraId="3828A04E">
      <w:pPr>
        <w:pStyle w:val="2"/>
        <w:rPr>
          <w:rFonts w:hint="eastAsia" w:cs="宋体" w:asciiTheme="majorEastAsia" w:hAnsiTheme="majorEastAsia" w:eastAsiaTheme="majorEastAsia"/>
          <w:color w:val="auto"/>
          <w:szCs w:val="21"/>
          <w:highlight w:val="none"/>
        </w:rPr>
      </w:pPr>
    </w:p>
    <w:p w14:paraId="253EEF55">
      <w:pPr>
        <w:rPr>
          <w:rFonts w:hint="eastAsia" w:cs="宋体" w:asciiTheme="majorEastAsia" w:hAnsiTheme="majorEastAsia" w:eastAsiaTheme="majorEastAsia"/>
          <w:color w:val="auto"/>
          <w:szCs w:val="21"/>
          <w:highlight w:val="none"/>
        </w:rPr>
      </w:pPr>
    </w:p>
    <w:p w14:paraId="1E4A1317">
      <w:pPr>
        <w:pStyle w:val="2"/>
        <w:rPr>
          <w:rFonts w:hint="eastAsia" w:cs="宋体" w:asciiTheme="majorEastAsia" w:hAnsiTheme="majorEastAsia" w:eastAsiaTheme="majorEastAsia"/>
          <w:color w:val="auto"/>
          <w:szCs w:val="21"/>
          <w:highlight w:val="none"/>
        </w:rPr>
      </w:pPr>
    </w:p>
    <w:p w14:paraId="5399FA96">
      <w:pPr>
        <w:rPr>
          <w:rFonts w:hint="eastAsia" w:cs="宋体" w:asciiTheme="majorEastAsia" w:hAnsiTheme="majorEastAsia" w:eastAsiaTheme="majorEastAsia"/>
          <w:color w:val="auto"/>
          <w:szCs w:val="21"/>
          <w:highlight w:val="none"/>
        </w:rPr>
      </w:pPr>
    </w:p>
    <w:p w14:paraId="15237D6E">
      <w:pPr>
        <w:pStyle w:val="2"/>
        <w:rPr>
          <w:rFonts w:hint="eastAsia" w:cs="宋体" w:asciiTheme="majorEastAsia" w:hAnsiTheme="majorEastAsia" w:eastAsiaTheme="majorEastAsia"/>
          <w:color w:val="auto"/>
          <w:szCs w:val="21"/>
          <w:highlight w:val="none"/>
        </w:rPr>
      </w:pPr>
    </w:p>
    <w:p w14:paraId="2AF008D5">
      <w:pPr>
        <w:rPr>
          <w:color w:val="auto"/>
          <w:highlight w:val="none"/>
        </w:rPr>
      </w:pPr>
    </w:p>
    <w:p w14:paraId="7E64BDB7">
      <w:pPr>
        <w:pStyle w:val="61"/>
        <w:rPr>
          <w:color w:val="auto"/>
          <w:highlight w:val="none"/>
        </w:rPr>
      </w:pPr>
    </w:p>
    <w:p w14:paraId="69C64DCC">
      <w:pPr>
        <w:pStyle w:val="61"/>
        <w:rPr>
          <w:color w:val="auto"/>
          <w:highlight w:val="none"/>
        </w:rPr>
      </w:pPr>
    </w:p>
    <w:p w14:paraId="2B6F5EF3">
      <w:pPr>
        <w:pStyle w:val="61"/>
        <w:rPr>
          <w:color w:val="auto"/>
          <w:highlight w:val="none"/>
        </w:rPr>
      </w:pPr>
    </w:p>
    <w:p w14:paraId="6657E0C9">
      <w:pPr>
        <w:pStyle w:val="61"/>
        <w:rPr>
          <w:color w:val="auto"/>
          <w:highlight w:val="none"/>
        </w:rPr>
      </w:pPr>
    </w:p>
    <w:p w14:paraId="2C3246D6">
      <w:pPr>
        <w:pStyle w:val="61"/>
        <w:rPr>
          <w:color w:val="auto"/>
          <w:highlight w:val="none"/>
        </w:rPr>
      </w:pPr>
    </w:p>
    <w:p w14:paraId="69399414">
      <w:pPr>
        <w:pStyle w:val="61"/>
        <w:rPr>
          <w:color w:val="auto"/>
          <w:highlight w:val="none"/>
        </w:rPr>
      </w:pPr>
    </w:p>
    <w:p w14:paraId="74E37578">
      <w:pPr>
        <w:pStyle w:val="61"/>
        <w:rPr>
          <w:color w:val="auto"/>
          <w:highlight w:val="none"/>
        </w:rPr>
      </w:pPr>
    </w:p>
    <w:p w14:paraId="579175B4">
      <w:pPr>
        <w:pStyle w:val="61"/>
        <w:rPr>
          <w:color w:val="auto"/>
          <w:highlight w:val="none"/>
        </w:rPr>
      </w:pPr>
    </w:p>
    <w:p w14:paraId="0EA7E022">
      <w:pPr>
        <w:pStyle w:val="61"/>
        <w:rPr>
          <w:color w:val="auto"/>
          <w:highlight w:val="none"/>
        </w:rPr>
      </w:pPr>
    </w:p>
    <w:p w14:paraId="37866B4F">
      <w:pPr>
        <w:pStyle w:val="61"/>
        <w:rPr>
          <w:color w:val="auto"/>
          <w:highlight w:val="none"/>
        </w:rPr>
      </w:pPr>
    </w:p>
    <w:p w14:paraId="4B70CE21">
      <w:pPr>
        <w:pStyle w:val="61"/>
        <w:rPr>
          <w:color w:val="auto"/>
          <w:highlight w:val="none"/>
        </w:rPr>
      </w:pPr>
    </w:p>
    <w:p w14:paraId="4C235985">
      <w:pPr>
        <w:pStyle w:val="61"/>
        <w:rPr>
          <w:color w:val="auto"/>
          <w:highlight w:val="none"/>
        </w:rPr>
      </w:pPr>
    </w:p>
    <w:p w14:paraId="453B2FC1">
      <w:pPr>
        <w:pStyle w:val="61"/>
        <w:rPr>
          <w:color w:val="auto"/>
          <w:highlight w:val="none"/>
        </w:rPr>
      </w:pPr>
    </w:p>
    <w:p w14:paraId="62AC4726">
      <w:pPr>
        <w:pStyle w:val="61"/>
        <w:rPr>
          <w:color w:val="auto"/>
          <w:highlight w:val="none"/>
        </w:rPr>
      </w:pPr>
    </w:p>
    <w:p w14:paraId="4765DB6A">
      <w:pPr>
        <w:pStyle w:val="61"/>
        <w:rPr>
          <w:color w:val="auto"/>
          <w:highlight w:val="none"/>
        </w:rPr>
      </w:pPr>
    </w:p>
    <w:p w14:paraId="62E67CE1">
      <w:pPr>
        <w:pStyle w:val="61"/>
        <w:rPr>
          <w:color w:val="auto"/>
          <w:highlight w:val="none"/>
        </w:rPr>
      </w:pPr>
    </w:p>
    <w:p w14:paraId="4A7DD6DD">
      <w:pPr>
        <w:pStyle w:val="61"/>
        <w:rPr>
          <w:color w:val="auto"/>
          <w:highlight w:val="none"/>
        </w:rPr>
      </w:pPr>
    </w:p>
    <w:p w14:paraId="1F797723">
      <w:pPr>
        <w:pStyle w:val="61"/>
        <w:rPr>
          <w:color w:val="auto"/>
          <w:highlight w:val="none"/>
        </w:rPr>
      </w:pPr>
    </w:p>
    <w:p w14:paraId="37CEEA60">
      <w:pPr>
        <w:pStyle w:val="61"/>
        <w:rPr>
          <w:color w:val="auto"/>
          <w:highlight w:val="none"/>
        </w:rPr>
      </w:pPr>
    </w:p>
    <w:p w14:paraId="03D2DF62">
      <w:pPr>
        <w:pStyle w:val="61"/>
        <w:rPr>
          <w:color w:val="auto"/>
          <w:highlight w:val="none"/>
        </w:rPr>
      </w:pPr>
    </w:p>
    <w:p w14:paraId="009E51AB">
      <w:pPr>
        <w:pStyle w:val="61"/>
        <w:rPr>
          <w:color w:val="auto"/>
          <w:highlight w:val="none"/>
        </w:rPr>
      </w:pPr>
    </w:p>
    <w:p w14:paraId="2BB8C8E7">
      <w:pPr>
        <w:pStyle w:val="61"/>
        <w:rPr>
          <w:color w:val="auto"/>
          <w:highlight w:val="none"/>
        </w:rPr>
      </w:pPr>
    </w:p>
    <w:p w14:paraId="5A153C8C">
      <w:pPr>
        <w:pStyle w:val="61"/>
        <w:rPr>
          <w:color w:val="auto"/>
          <w:highlight w:val="none"/>
        </w:rPr>
      </w:pPr>
    </w:p>
    <w:p w14:paraId="2B3AEBC1">
      <w:pPr>
        <w:pStyle w:val="61"/>
        <w:rPr>
          <w:color w:val="auto"/>
          <w:highlight w:val="none"/>
        </w:rPr>
      </w:pPr>
    </w:p>
    <w:p w14:paraId="1F0C0BD1">
      <w:pPr>
        <w:pStyle w:val="61"/>
        <w:rPr>
          <w:color w:val="auto"/>
          <w:highlight w:val="none"/>
        </w:rPr>
      </w:pPr>
    </w:p>
    <w:p w14:paraId="206D775B">
      <w:pPr>
        <w:pStyle w:val="61"/>
        <w:rPr>
          <w:color w:val="auto"/>
          <w:highlight w:val="none"/>
        </w:rPr>
      </w:pPr>
    </w:p>
    <w:p w14:paraId="54606F42">
      <w:pPr>
        <w:pStyle w:val="61"/>
        <w:rPr>
          <w:color w:val="auto"/>
          <w:highlight w:val="none"/>
        </w:rPr>
      </w:pPr>
    </w:p>
    <w:p w14:paraId="33A7A4BB">
      <w:pPr>
        <w:pStyle w:val="61"/>
        <w:rPr>
          <w:color w:val="auto"/>
          <w:highlight w:val="none"/>
        </w:rPr>
      </w:pPr>
    </w:p>
    <w:p w14:paraId="582B52F8">
      <w:pPr>
        <w:pStyle w:val="3"/>
        <w:spacing w:before="0" w:after="0" w:line="360" w:lineRule="auto"/>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第二章  采购需求</w:t>
      </w:r>
      <w:bookmarkEnd w:id="25"/>
    </w:p>
    <w:p w14:paraId="7ED6FBF6">
      <w:pPr>
        <w:spacing w:line="384" w:lineRule="auto"/>
        <w:jc w:val="left"/>
        <w:rPr>
          <w:rFonts w:hint="eastAsia" w:cs="宋体" w:asciiTheme="majorEastAsia" w:hAnsiTheme="majorEastAsia" w:eastAsiaTheme="majorEastAsia"/>
          <w:color w:val="auto"/>
          <w:szCs w:val="21"/>
          <w:highlight w:val="none"/>
        </w:rPr>
      </w:pPr>
      <w:bookmarkStart w:id="43" w:name="_Toc254970631"/>
      <w:bookmarkStart w:id="44" w:name="_Toc254970490"/>
      <w:r>
        <w:rPr>
          <w:rFonts w:hint="eastAsia" w:cs="宋体" w:asciiTheme="majorEastAsia" w:hAnsiTheme="majorEastAsia" w:eastAsiaTheme="majorEastAsia"/>
          <w:color w:val="auto"/>
          <w:szCs w:val="21"/>
          <w:highlight w:val="none"/>
        </w:rPr>
        <w:t>说明：</w:t>
      </w:r>
    </w:p>
    <w:p w14:paraId="3C8CF9B7">
      <w:pPr>
        <w:spacing w:line="384"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highlight w:val="none"/>
        </w:rPr>
        <w:t>1.为落实政府采购政策需满足的要求（根据项目实际情况填写内容）</w:t>
      </w:r>
    </w:p>
    <w:p w14:paraId="227EE54C">
      <w:pPr>
        <w:spacing w:line="384"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（1）本招标文件所称中小企业必须符合《政府采购促进中小企业发展管理办法》（财库〔2020〕46号）的规定。</w:t>
      </w:r>
    </w:p>
    <w:p w14:paraId="488F05AF">
      <w:pPr>
        <w:spacing w:line="384" w:lineRule="auto"/>
        <w:ind w:firstLine="424" w:firstLineChars="202"/>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的，投标人的投标货物必须使用政府强制采购的节能产品，投标人必须在投标文件中提供所投标产品的节能产品认证证书复印件加盖投标人公章，否则投标文件作无效处理。如本项目包含的货物属于品目清单内非标注“★”的产品时，应优先采购。</w:t>
      </w:r>
    </w:p>
    <w:p w14:paraId="1A34156B">
      <w:pPr>
        <w:spacing w:line="384" w:lineRule="auto"/>
        <w:ind w:firstLine="424" w:firstLineChars="202"/>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t>
      </w:r>
      <w:r>
        <w:rPr>
          <w:rFonts w:hint="eastAsia" w:cs="宋体" w:asciiTheme="majorEastAsia" w:hAnsiTheme="majorEastAsia" w:eastAsiaTheme="majorEastAsia"/>
          <w:color w:val="auto"/>
          <w:szCs w:val="21"/>
          <w:highlight w:val="none"/>
          <w:lang w:eastAsia="zh-CN"/>
        </w:rPr>
        <w:t>：</w:t>
      </w:r>
      <w:r>
        <w:rPr>
          <w:rFonts w:hint="eastAsia" w:cs="宋体" w:asciiTheme="majorEastAsia" w:hAnsiTheme="majorEastAsia" w:eastAsiaTheme="majorEastAsia"/>
          <w:color w:val="auto"/>
          <w:szCs w:val="21"/>
          <w:highlight w:val="none"/>
        </w:rPr>
        <w:t>//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14:paraId="3CB3F875">
      <w:pPr>
        <w:spacing w:line="384" w:lineRule="auto"/>
        <w:ind w:firstLine="426" w:firstLineChars="202"/>
        <w:jc w:val="left"/>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4.“实质性要求”是指招标文件中已经指明不满足则投标无效的条款，或者不能负偏离的条款。“</w:t>
      </w:r>
      <w:r>
        <w:rPr>
          <w:rFonts w:hint="eastAsia" w:cs="宋体" w:asciiTheme="majorEastAsia" w:hAnsiTheme="majorEastAsia" w:eastAsiaTheme="majorEastAsia"/>
          <w:color w:val="auto"/>
          <w:szCs w:val="21"/>
          <w:highlight w:val="none"/>
        </w:rPr>
        <w:t>★</w:t>
      </w:r>
      <w:r>
        <w:rPr>
          <w:rFonts w:hint="eastAsia" w:cs="宋体" w:asciiTheme="majorEastAsia" w:hAnsiTheme="majorEastAsia" w:eastAsiaTheme="majorEastAsia"/>
          <w:b/>
          <w:bCs/>
          <w:color w:val="auto"/>
          <w:szCs w:val="21"/>
          <w:highlight w:val="none"/>
        </w:rPr>
        <w:t>”号条款为实质性条款，实质性要求是指招标文件中已经指明不满足则投标无效的条款。</w:t>
      </w:r>
    </w:p>
    <w:p w14:paraId="2BCD1A91">
      <w:pPr>
        <w:spacing w:line="384" w:lineRule="auto"/>
        <w:ind w:firstLine="424" w:firstLineChars="202"/>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4503488">
      <w:pPr>
        <w:spacing w:line="384" w:lineRule="auto"/>
        <w:ind w:firstLine="424" w:firstLineChars="202"/>
        <w:jc w:val="left"/>
        <w:rPr>
          <w:rStyle w:val="59"/>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1"/>
          <w:highlight w:val="none"/>
        </w:rPr>
        <w:t>6.</w:t>
      </w:r>
      <w:bookmarkStart w:id="45" w:name="_Hlk65055179"/>
      <w:r>
        <w:rPr>
          <w:rFonts w:hint="eastAsia" w:cs="宋体" w:asciiTheme="majorEastAsia" w:hAnsiTheme="majorEastAsia" w:eastAsiaTheme="majorEastAsia"/>
          <w:color w:val="auto"/>
          <w:szCs w:val="21"/>
          <w:highlight w:val="none"/>
        </w:rPr>
        <w:t>投标人应根据自身实际情况如实响应招标文件，不得仅将招标文件内容简单复制粘贴作为投标响应，还应当提供相关证明材料，</w:t>
      </w:r>
      <w:r>
        <w:rPr>
          <w:rFonts w:hint="eastAsia" w:cs="宋体" w:asciiTheme="majorEastAsia" w:hAnsiTheme="majorEastAsia" w:eastAsiaTheme="majorEastAsia"/>
          <w:b/>
          <w:bCs/>
          <w:color w:val="auto"/>
          <w:szCs w:val="21"/>
          <w:highlight w:val="none"/>
        </w:rPr>
        <w:t>否则将作无效响应处理</w:t>
      </w:r>
      <w:r>
        <w:rPr>
          <w:rFonts w:hint="eastAsia" w:cs="宋体" w:asciiTheme="majorEastAsia" w:hAnsiTheme="majorEastAsia" w:eastAsiaTheme="majorEastAsia"/>
          <w:color w:val="auto"/>
          <w:szCs w:val="21"/>
          <w:highlight w:val="none"/>
        </w:rPr>
        <w:t>（定制采购不适用本条款）。</w:t>
      </w:r>
      <w:r>
        <w:rPr>
          <w:rFonts w:hint="eastAsia" w:cs="宋体" w:asciiTheme="majorEastAsia" w:hAnsiTheme="majorEastAsia" w:eastAsiaTheme="majorEastAsia"/>
          <w:color w:val="auto"/>
          <w:highlight w:val="none"/>
        </w:rPr>
        <w:t>对于重要技术条款或技术参数应当在投标文件中提供技术支持资料，技术支持资料以招标文件中规定的形式为准，</w:t>
      </w:r>
      <w:r>
        <w:rPr>
          <w:rFonts w:hint="eastAsia" w:cs="宋体" w:asciiTheme="majorEastAsia" w:hAnsiTheme="majorEastAsia" w:eastAsiaTheme="majorEastAsia"/>
          <w:b/>
          <w:bCs/>
          <w:color w:val="auto"/>
          <w:highlight w:val="none"/>
        </w:rPr>
        <w:t>否则将视为无效技术支持资料</w:t>
      </w:r>
      <w:r>
        <w:rPr>
          <w:rFonts w:hint="eastAsia" w:cs="宋体" w:asciiTheme="majorEastAsia" w:hAnsiTheme="majorEastAsia" w:eastAsiaTheme="majorEastAsia"/>
          <w:color w:val="auto"/>
          <w:highlight w:val="none"/>
        </w:rPr>
        <w:t>。</w:t>
      </w:r>
    </w:p>
    <w:p w14:paraId="20540D73">
      <w:pPr>
        <w:spacing w:line="384" w:lineRule="auto"/>
        <w:ind w:firstLine="424" w:firstLineChars="202"/>
        <w:jc w:val="left"/>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1"/>
          <w:highlight w:val="none"/>
        </w:rPr>
        <w:t>7.</w:t>
      </w:r>
      <w:r>
        <w:rPr>
          <w:rFonts w:hint="eastAsia" w:cs="宋体" w:asciiTheme="majorEastAsia" w:hAnsiTheme="majorEastAsia" w:eastAsiaTheme="majorEastAsia"/>
          <w:color w:val="auto"/>
          <w:highlight w:val="none"/>
        </w:rPr>
        <w:t>投标人必须自行为其投标产品侵犯他人的知识产权或者专利成果的行为承担相应法律责任。</w:t>
      </w:r>
    </w:p>
    <w:p w14:paraId="03037CD8">
      <w:pPr>
        <w:spacing w:line="384" w:lineRule="auto"/>
        <w:ind w:firstLine="426" w:firstLineChars="202"/>
        <w:jc w:val="left"/>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8.本项目所属行业：工业。</w:t>
      </w:r>
    </w:p>
    <w:bookmarkEnd w:id="43"/>
    <w:bookmarkEnd w:id="44"/>
    <w:bookmarkEnd w:id="45"/>
    <w:tbl>
      <w:tblPr>
        <w:tblStyle w:val="50"/>
        <w:tblW w:w="10361" w:type="dxa"/>
        <w:jc w:val="center"/>
        <w:tblLayout w:type="fixed"/>
        <w:tblCellMar>
          <w:top w:w="0" w:type="dxa"/>
          <w:left w:w="108" w:type="dxa"/>
          <w:bottom w:w="0" w:type="dxa"/>
          <w:right w:w="108" w:type="dxa"/>
        </w:tblCellMar>
      </w:tblPr>
      <w:tblGrid>
        <w:gridCol w:w="520"/>
        <w:gridCol w:w="1047"/>
        <w:gridCol w:w="29"/>
        <w:gridCol w:w="639"/>
        <w:gridCol w:w="542"/>
        <w:gridCol w:w="704"/>
        <w:gridCol w:w="6880"/>
      </w:tblGrid>
      <w:tr w14:paraId="7726AB3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2F1FB7E">
            <w:pPr>
              <w:pStyle w:val="48"/>
              <w:keepNext w:val="0"/>
              <w:keepLines w:val="0"/>
              <w:pageBreakBefore w:val="0"/>
              <w:kinsoku/>
              <w:wordWrap/>
              <w:overflowPunct/>
              <w:topLinePunct w:val="0"/>
              <w:autoSpaceDE/>
              <w:autoSpaceDN/>
              <w:bidi w:val="0"/>
              <w:spacing w:line="360" w:lineRule="auto"/>
              <w:ind w:right="0" w:firstLine="210"/>
              <w:rPr>
                <w:rFonts w:hint="eastAsia" w:asciiTheme="majorEastAsia" w:hAnsiTheme="majorEastAsia" w:eastAsiaTheme="majorEastAsia" w:cstheme="majorEastAsia"/>
                <w:color w:val="auto"/>
                <w:sz w:val="21"/>
                <w:szCs w:val="21"/>
                <w:highlight w:val="none"/>
              </w:rPr>
            </w:pP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0EBD81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名称</w:t>
            </w:r>
          </w:p>
        </w:tc>
        <w:tc>
          <w:tcPr>
            <w:tcW w:w="542" w:type="dxa"/>
            <w:tcBorders>
              <w:top w:val="single" w:color="auto" w:sz="4" w:space="0"/>
              <w:left w:val="single" w:color="auto" w:sz="4" w:space="0"/>
              <w:bottom w:val="single" w:color="auto" w:sz="4" w:space="0"/>
              <w:right w:val="single" w:color="auto" w:sz="4" w:space="0"/>
            </w:tcBorders>
            <w:vAlign w:val="center"/>
          </w:tcPr>
          <w:p w14:paraId="7C04DBE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单位</w:t>
            </w:r>
          </w:p>
        </w:tc>
        <w:tc>
          <w:tcPr>
            <w:tcW w:w="704" w:type="dxa"/>
            <w:tcBorders>
              <w:top w:val="single" w:color="auto" w:sz="4" w:space="0"/>
              <w:left w:val="single" w:color="auto" w:sz="4" w:space="0"/>
              <w:bottom w:val="single" w:color="auto" w:sz="4" w:space="0"/>
              <w:right w:val="single" w:color="auto" w:sz="4" w:space="0"/>
            </w:tcBorders>
            <w:vAlign w:val="center"/>
          </w:tcPr>
          <w:p w14:paraId="7AF2778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数量</w:t>
            </w:r>
          </w:p>
        </w:tc>
        <w:tc>
          <w:tcPr>
            <w:tcW w:w="6880" w:type="dxa"/>
            <w:tcBorders>
              <w:top w:val="single" w:color="auto" w:sz="4" w:space="0"/>
              <w:left w:val="single" w:color="auto" w:sz="4" w:space="0"/>
              <w:bottom w:val="single" w:color="auto" w:sz="4" w:space="0"/>
              <w:right w:val="single" w:color="auto" w:sz="4" w:space="0"/>
            </w:tcBorders>
            <w:vAlign w:val="center"/>
          </w:tcPr>
          <w:p w14:paraId="78622ED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sz w:val="21"/>
                <w:szCs w:val="21"/>
                <w:highlight w:val="none"/>
              </w:rPr>
              <w:t>技术要求及参数</w:t>
            </w:r>
          </w:p>
        </w:tc>
      </w:tr>
      <w:tr w14:paraId="02ED8E5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761EC25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一</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EE6F4C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可视化融合智能实弹采集系统</w:t>
            </w:r>
          </w:p>
        </w:tc>
        <w:tc>
          <w:tcPr>
            <w:tcW w:w="542" w:type="dxa"/>
            <w:tcBorders>
              <w:top w:val="single" w:color="auto" w:sz="4" w:space="0"/>
              <w:left w:val="single" w:color="auto" w:sz="4" w:space="0"/>
              <w:bottom w:val="single" w:color="auto" w:sz="4" w:space="0"/>
              <w:right w:val="single" w:color="auto" w:sz="4" w:space="0"/>
            </w:tcBorders>
            <w:noWrap/>
            <w:vAlign w:val="center"/>
          </w:tcPr>
          <w:p w14:paraId="7B1512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noWrap/>
            <w:vAlign w:val="center"/>
          </w:tcPr>
          <w:p w14:paraId="5F7D5E7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noWrap/>
            <w:vAlign w:val="center"/>
          </w:tcPr>
          <w:p w14:paraId="2EAFFA1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36F0F829">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0B49D8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83172C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射击指挥控制模块</w:t>
            </w:r>
          </w:p>
        </w:tc>
        <w:tc>
          <w:tcPr>
            <w:tcW w:w="542" w:type="dxa"/>
            <w:tcBorders>
              <w:top w:val="single" w:color="auto" w:sz="4" w:space="0"/>
              <w:left w:val="single" w:color="auto" w:sz="4" w:space="0"/>
              <w:bottom w:val="single" w:color="auto" w:sz="4" w:space="0"/>
              <w:right w:val="single" w:color="auto" w:sz="4" w:space="0"/>
            </w:tcBorders>
            <w:noWrap/>
            <w:vAlign w:val="center"/>
          </w:tcPr>
          <w:p w14:paraId="20B9910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7284424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17B17E6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1.可根据使用场景灵活选择“定位设备-显示终端-控制系统”工作模式或“定位设备-控制系统”简便部署模式；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2.报靶功能：视觉模式、激波模式、视觉激波融合模式，自由切换；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3.支持单人多类型靶纸课目，可按所选课目训练时间、实发数、适用靶型对检测设备和靶机的开始、结束及起倒动作进行控制，可对不少于12套设备进行单控、分组控制或整体控制；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▲4.系统能够在同一界面，同时显示不少于10套设备的实景靶面画面，画面显示信息包括：弹点位置、弹点序号、靶道号、姓名、弹药命中数、当前成绩等；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5.具有人员信息手动录入和Excel格式人员信息文件导入功能；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6.可根据任务情况快速选择参加人员，并可将任务及人员姓名等信息下发给显示终端；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7.训练过程中，可多路实时查看靶纸实时图像并在图像上圈定落点；可实时查看模拟图上的成绩、落点顺序列表；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8.系统具备极大的使用灵活度，能够独立使用控制弹点识别设备；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9.支持生理数据检测：包含心率、血压、体温，生理数据与射击人员及对应靶标对应匹配，生理数据能够与命中成绩实时关联；</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10.可远程自动存储、检索、打印每个靶纸的电子档案；具有成绩列表离线导出和查询功能</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11.成绩修订：（1）系统能够实时选择和显示既定射击靶标，实时检查射击情况；（2）可视化显示靶标的实景图像，能够实时对未报弹位置进行精准补点；（3）系统就错后，射手及总控系统同步显示弹点数据。</w:t>
            </w:r>
          </w:p>
        </w:tc>
      </w:tr>
      <w:tr w14:paraId="2CF5D24F">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4E1C9B0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E7D4E5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弹药管控</w:t>
            </w:r>
          </w:p>
        </w:tc>
        <w:tc>
          <w:tcPr>
            <w:tcW w:w="542" w:type="dxa"/>
            <w:tcBorders>
              <w:top w:val="single" w:color="auto" w:sz="4" w:space="0"/>
              <w:left w:val="single" w:color="auto" w:sz="4" w:space="0"/>
              <w:bottom w:val="single" w:color="auto" w:sz="4" w:space="0"/>
              <w:right w:val="single" w:color="auto" w:sz="4" w:space="0"/>
            </w:tcBorders>
            <w:noWrap/>
            <w:vAlign w:val="center"/>
          </w:tcPr>
          <w:p w14:paraId="08A16D3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19E5807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36E3A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1.弹药管控系统能够导入训练人员列表，通过刷卡终端配置人员弹药领用卡，生成弹药使用训练计划，控制人员能够开始、暂停和结束使用统计；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2.系统能够对接子弹发放终端，终端刷卡后，按照持卡人员训练科目发放预定数额的弹药；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3.弹药发放后数据自动匹配给射击指挥控制系统；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4.系统能够实时对接非接触式弹药发射记录器，开始射击后，对应靶道自动核销领用弹；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5.系统每次训练过程中自动统计发放弹药和使用弹药，生成总体及个人弹药使用数据统计报表，控制界面实时显示弹药消耗情况；</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6.系统自动记录每次训练从开始到结束后的弹药使用情况，生成历史数据。</w:t>
            </w:r>
          </w:p>
        </w:tc>
      </w:tr>
      <w:tr w14:paraId="4B62115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7D999B6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917C23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控制主机</w:t>
            </w:r>
          </w:p>
        </w:tc>
        <w:tc>
          <w:tcPr>
            <w:tcW w:w="542" w:type="dxa"/>
            <w:tcBorders>
              <w:top w:val="single" w:color="auto" w:sz="4" w:space="0"/>
              <w:left w:val="single" w:color="auto" w:sz="4" w:space="0"/>
              <w:bottom w:val="single" w:color="auto" w:sz="4" w:space="0"/>
              <w:right w:val="single" w:color="auto" w:sz="4" w:space="0"/>
            </w:tcBorders>
            <w:noWrap/>
            <w:vAlign w:val="center"/>
          </w:tcPr>
          <w:p w14:paraId="0A1B149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noWrap/>
            <w:vAlign w:val="center"/>
          </w:tcPr>
          <w:p w14:paraId="7D31D0F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3075BC0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1.CPU：不低于酷睿I7 10代</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2.内存：不低于32G DDR4；</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3.硬盘：不低于1T 固态+2T机械；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4.网口：至少1个；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5.显卡：不低于4G显存；</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w:t>
            </w:r>
            <w:r>
              <w:rPr>
                <w:rFonts w:hint="eastAsia"/>
                <w:color w:val="auto"/>
                <w:highlight w:val="none"/>
                <w:lang w:eastAsia="zh-CN"/>
              </w:rPr>
              <w:t>显示终端</w:t>
            </w:r>
            <w:r>
              <w:rPr>
                <w:rFonts w:hint="eastAsia" w:asciiTheme="majorEastAsia" w:hAnsiTheme="majorEastAsia" w:eastAsiaTheme="majorEastAsia" w:cstheme="majorEastAsia"/>
                <w:color w:val="auto"/>
                <w:kern w:val="0"/>
                <w:sz w:val="21"/>
                <w:szCs w:val="21"/>
                <w:highlight w:val="none"/>
              </w:rPr>
              <w:t>：不小于23寸；</w:t>
            </w:r>
          </w:p>
          <w:p w14:paraId="684DB2D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rPr>
              <w:t>7.须与本项目其它设备、控制系统无障碍连接，实现可视化融合智能实弹采集系统控制。</w:t>
            </w:r>
          </w:p>
        </w:tc>
      </w:tr>
      <w:tr w14:paraId="23B477F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1BE5481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B2EF87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通信控制器</w:t>
            </w:r>
          </w:p>
        </w:tc>
        <w:tc>
          <w:tcPr>
            <w:tcW w:w="542" w:type="dxa"/>
            <w:tcBorders>
              <w:top w:val="single" w:color="auto" w:sz="4" w:space="0"/>
              <w:left w:val="single" w:color="auto" w:sz="4" w:space="0"/>
              <w:bottom w:val="single" w:color="auto" w:sz="4" w:space="0"/>
              <w:right w:val="single" w:color="auto" w:sz="4" w:space="0"/>
            </w:tcBorders>
            <w:noWrap/>
            <w:vAlign w:val="center"/>
          </w:tcPr>
          <w:p w14:paraId="3D10E1C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2C90806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8972FF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1.采用远距离无线通信模块，在通视条件下通信距离不小于400m，用于支撑弹点采集系统传输成绩及实时命中画面；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2.一键开机，支持自动组网中继，可多设备自动组网连接增强传输距离；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3.电池供电，无需交流供电，方便快速架设，适合各类场地；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4.通信距离：在视通条件下不小于500m，支持中继功能，多台能够延伸通信距离；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5.供电方式：支持交流电和电池两种供电，充满电后可连续工作不小于15小时，充电时间小于5小时；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6.架设：设备整体架设主备时间应小于1分钟；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7.工作温度：-20～+55℃；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8.规格尺寸：不大于290x230x130mm；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w:t>
            </w:r>
            <w:bookmarkStart w:id="46" w:name="OLE_LINK1"/>
            <w:r>
              <w:rPr>
                <w:rFonts w:hint="eastAsia" w:asciiTheme="majorEastAsia" w:hAnsiTheme="majorEastAsia" w:eastAsiaTheme="majorEastAsia" w:cstheme="majorEastAsia"/>
                <w:color w:val="auto"/>
                <w:kern w:val="0"/>
                <w:sz w:val="21"/>
                <w:szCs w:val="21"/>
                <w:highlight w:val="none"/>
              </w:rPr>
              <w:t>防护等级：不低于IP66</w:t>
            </w:r>
            <w:bookmarkEnd w:id="46"/>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10.重量：小于3kg。</w:t>
            </w:r>
          </w:p>
        </w:tc>
      </w:tr>
      <w:tr w14:paraId="4A49711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5CE33F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79C645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实弹模拟可视化弹点采集系统</w:t>
            </w:r>
          </w:p>
        </w:tc>
        <w:tc>
          <w:tcPr>
            <w:tcW w:w="542" w:type="dxa"/>
            <w:tcBorders>
              <w:top w:val="single" w:color="auto" w:sz="4" w:space="0"/>
              <w:left w:val="single" w:color="auto" w:sz="4" w:space="0"/>
              <w:bottom w:val="single" w:color="auto" w:sz="4" w:space="0"/>
              <w:right w:val="single" w:color="auto" w:sz="4" w:space="0"/>
            </w:tcBorders>
            <w:noWrap/>
            <w:vAlign w:val="center"/>
          </w:tcPr>
          <w:p w14:paraId="698B0AF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69FA8BC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5E28F55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1.适用靶型：胸环靶、半身环靶、头靶、实景半身胸环靶、人质劫持靶、人体部位小环形精度靶等，其他靶型可根据需要定制；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2.弹径和弹速：5.2毫米～9毫米，适用各种枪型、适用各种弹速；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★3.弹点定位：双模（实弹、激光）自动图像扫描，采集靶纸彩色图像，自动采集靶面图像识别、智能分析、命中点位图像定位，可视化图像校正为完全平整无变型</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4.平均精度：全靶面弹点识别精度小于2.5mm，支持现场</w:t>
            </w:r>
            <w:r>
              <w:rPr>
                <w:rFonts w:hint="eastAsia" w:asciiTheme="majorEastAsia" w:hAnsiTheme="majorEastAsia" w:eastAsiaTheme="majorEastAsia" w:cstheme="majorEastAsia"/>
                <w:color w:val="auto"/>
                <w:kern w:val="0"/>
                <w:sz w:val="21"/>
                <w:szCs w:val="21"/>
                <w:highlight w:val="none"/>
                <w:lang w:val="en-US" w:eastAsia="zh-CN"/>
              </w:rPr>
              <w:t>可视化</w:t>
            </w:r>
            <w:r>
              <w:rPr>
                <w:rFonts w:hint="eastAsia" w:asciiTheme="majorEastAsia" w:hAnsiTheme="majorEastAsia" w:eastAsiaTheme="majorEastAsia" w:cstheme="majorEastAsia"/>
                <w:color w:val="auto"/>
                <w:kern w:val="0"/>
                <w:sz w:val="21"/>
                <w:szCs w:val="21"/>
                <w:highlight w:val="none"/>
              </w:rPr>
              <w:t>证明弹点采集精度；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5.环境适应性：昼间、夜间（无可见光补光）、雨雪天等条件下均可正常进行射击报靶；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6.采集模式：实弹采集，激光采集，应无需更换任何设备一键切换；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7.隐显目标实弹采集：设备应能够支持靶标隐显科目实弹射击弹点采集，无漏报和误报；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8.供电方式：内置锂电池供电和220V交流供电两种方式，充电时间3～6小时，电池供电使用时间不小于1</w:t>
            </w:r>
            <w:r>
              <w:rPr>
                <w:rFonts w:hint="eastAsia" w:asciiTheme="majorEastAsia" w:hAnsiTheme="majorEastAsia" w:eastAsiaTheme="majorEastAsia" w:cstheme="majorEastAsia"/>
                <w:color w:val="auto"/>
                <w:kern w:val="0"/>
                <w:sz w:val="21"/>
                <w:szCs w:val="21"/>
                <w:highlight w:val="none"/>
                <w:lang w:val="en-US" w:eastAsia="zh-CN"/>
              </w:rPr>
              <w:t>0</w:t>
            </w:r>
            <w:r>
              <w:rPr>
                <w:rFonts w:hint="eastAsia" w:asciiTheme="majorEastAsia" w:hAnsiTheme="majorEastAsia" w:eastAsiaTheme="majorEastAsia" w:cstheme="majorEastAsia"/>
                <w:color w:val="auto"/>
                <w:kern w:val="0"/>
                <w:sz w:val="21"/>
                <w:szCs w:val="21"/>
                <w:highlight w:val="none"/>
              </w:rPr>
              <w:t>小时，LED数码管显示电池电量检测；</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9.采集范围：采集范围不小于1000x500mm</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10.无线传输距离：采集端到通信大于500米；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11.采集速度：高速图像采集，可视化能够采集到雨点从靶面飞过；</w:t>
            </w:r>
          </w:p>
          <w:p w14:paraId="1618CD2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2</w:t>
            </w:r>
            <w:r>
              <w:rPr>
                <w:rFonts w:hint="eastAsia" w:asciiTheme="majorEastAsia" w:hAnsiTheme="majorEastAsia" w:eastAsiaTheme="majorEastAsia" w:cstheme="majorEastAsia"/>
                <w:color w:val="auto"/>
                <w:kern w:val="0"/>
                <w:sz w:val="21"/>
                <w:szCs w:val="21"/>
                <w:highlight w:val="none"/>
              </w:rPr>
              <w:t>.设备规格：重量小于5kg；尺寸：不大于360x260x160mm；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3</w:t>
            </w:r>
            <w:r>
              <w:rPr>
                <w:rFonts w:hint="eastAsia" w:asciiTheme="majorEastAsia" w:hAnsiTheme="majorEastAsia" w:eastAsiaTheme="majorEastAsia" w:cstheme="majorEastAsia"/>
                <w:color w:val="auto"/>
                <w:kern w:val="0"/>
                <w:sz w:val="21"/>
                <w:szCs w:val="21"/>
                <w:highlight w:val="none"/>
              </w:rPr>
              <w:t>.采集方式：双摄像头采集识别，分辨率不小于2k；</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.补光灯：至少10颗高亮度led，使用寿命5～8万小时；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5</w:t>
            </w:r>
            <w:r>
              <w:rPr>
                <w:rFonts w:hint="eastAsia" w:asciiTheme="majorEastAsia" w:hAnsiTheme="majorEastAsia" w:eastAsiaTheme="majorEastAsia" w:cstheme="majorEastAsia"/>
                <w:color w:val="auto"/>
                <w:kern w:val="0"/>
                <w:sz w:val="21"/>
                <w:szCs w:val="21"/>
                <w:highlight w:val="none"/>
              </w:rPr>
              <w:t>.cpu性能：不少于8核心，频率不低于2.0GHz；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6</w:t>
            </w:r>
            <w:r>
              <w:rPr>
                <w:rFonts w:hint="eastAsia" w:asciiTheme="majorEastAsia" w:hAnsiTheme="majorEastAsia" w:eastAsiaTheme="majorEastAsia" w:cstheme="majorEastAsia"/>
                <w:color w:val="auto"/>
                <w:kern w:val="0"/>
                <w:sz w:val="21"/>
                <w:szCs w:val="21"/>
                <w:highlight w:val="none"/>
              </w:rPr>
              <w:t>.vpu：支持8k@60fps h.265解码；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7</w:t>
            </w:r>
            <w:r>
              <w:rPr>
                <w:rFonts w:hint="eastAsia" w:asciiTheme="majorEastAsia" w:hAnsiTheme="majorEastAsia" w:eastAsiaTheme="majorEastAsia" w:cstheme="majorEastAsia"/>
                <w:color w:val="auto"/>
                <w:kern w:val="0"/>
                <w:sz w:val="21"/>
                <w:szCs w:val="21"/>
                <w:highlight w:val="none"/>
              </w:rPr>
              <w:t>.靶面识别：无需实弹或模拟弹药配合，支持一键完成所用靶面图形识别，进入射击状态；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val="en-US" w:eastAsia="zh-CN"/>
              </w:rPr>
              <w:t>8</w:t>
            </w:r>
            <w:r>
              <w:rPr>
                <w:rFonts w:hint="eastAsia" w:asciiTheme="majorEastAsia" w:hAnsiTheme="majorEastAsia" w:eastAsiaTheme="majorEastAsia" w:cstheme="majorEastAsia"/>
                <w:color w:val="auto"/>
                <w:kern w:val="0"/>
                <w:sz w:val="21"/>
                <w:szCs w:val="21"/>
                <w:highlight w:val="none"/>
              </w:rPr>
              <w:t>.控制方式：远程控制，支持远程重启；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19</w:t>
            </w:r>
            <w:r>
              <w:rPr>
                <w:rFonts w:hint="eastAsia" w:asciiTheme="majorEastAsia" w:hAnsiTheme="majorEastAsia" w:eastAsiaTheme="majorEastAsia" w:cstheme="majorEastAsia"/>
                <w:color w:val="auto"/>
                <w:kern w:val="0"/>
                <w:sz w:val="21"/>
                <w:szCs w:val="21"/>
                <w:highlight w:val="none"/>
              </w:rPr>
              <w:t>.工作温度：-25℃～+50℃；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w:t>
            </w:r>
            <w:r>
              <w:rPr>
                <w:rFonts w:hint="eastAsia" w:asciiTheme="majorEastAsia" w:hAnsiTheme="majorEastAsia" w:eastAsiaTheme="majorEastAsia" w:cstheme="majorEastAsia"/>
                <w:color w:val="auto"/>
                <w:kern w:val="0"/>
                <w:sz w:val="21"/>
                <w:szCs w:val="21"/>
                <w:highlight w:val="none"/>
                <w:lang w:val="en-US" w:eastAsia="zh-CN"/>
              </w:rPr>
              <w:t>0</w:t>
            </w:r>
            <w:r>
              <w:rPr>
                <w:rFonts w:hint="eastAsia" w:asciiTheme="majorEastAsia" w:hAnsiTheme="majorEastAsia" w:eastAsiaTheme="majorEastAsia" w:cstheme="majorEastAsia"/>
                <w:color w:val="auto"/>
                <w:kern w:val="0"/>
                <w:sz w:val="21"/>
                <w:szCs w:val="21"/>
                <w:highlight w:val="none"/>
              </w:rPr>
              <w:t>.防护等级：不低于IP66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21</w:t>
            </w:r>
            <w:r>
              <w:rPr>
                <w:rFonts w:hint="eastAsia" w:asciiTheme="majorEastAsia" w:hAnsiTheme="majorEastAsia" w:eastAsiaTheme="majorEastAsia" w:cstheme="majorEastAsia"/>
                <w:color w:val="auto"/>
                <w:kern w:val="0"/>
                <w:sz w:val="21"/>
                <w:szCs w:val="21"/>
                <w:highlight w:val="none"/>
              </w:rPr>
              <w:t>.设备应具备极大的便携性，应采用无外部电缆的使用形态，实现独立无线通信。</w:t>
            </w:r>
          </w:p>
        </w:tc>
      </w:tr>
      <w:tr w14:paraId="7B61AB43">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16789A0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FF71A2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隐显设备</w:t>
            </w:r>
          </w:p>
        </w:tc>
        <w:tc>
          <w:tcPr>
            <w:tcW w:w="542" w:type="dxa"/>
            <w:tcBorders>
              <w:top w:val="single" w:color="auto" w:sz="4" w:space="0"/>
              <w:left w:val="single" w:color="auto" w:sz="4" w:space="0"/>
              <w:bottom w:val="single" w:color="auto" w:sz="4" w:space="0"/>
              <w:right w:val="single" w:color="auto" w:sz="4" w:space="0"/>
            </w:tcBorders>
            <w:vAlign w:val="center"/>
          </w:tcPr>
          <w:p w14:paraId="21F10E2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60008F0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43D052F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功能要求</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1.设备能够以起倒方式进行隐显，支持手动、无线显隐控制功能，可自定义显隐时序；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2.可显示设备编号，具备显隐状态、通信状态指示灯，支持安装胸环靶、半身靶、头靶等多种靶型；</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3.具备外置照明灯，可调节明暗程度以及闪烁周期；照明灯常亮时，满足显靶开灯，隐靶灭灯功能；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4.支持独立激波采集方式报靶,支持与双模弹点采集终端系统联动独立视觉报靶方式，支持与双模弹点采集终端系统联动实现激波+视觉融合报靶方式，三种模式均支持隐显射击报靶；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5.激波模式下，支持精度报靶和命中倒靶功能；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6.视觉方式下，支持精度报靶和命中倒靶功能；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7.设备可使用射手终端和总控系统进行控制，两个系统均能够选择报靶模式、显示各种报靶模式下的命中画面和数据；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8.靶机配置底部配备支撑架，避免设备与地面直接接触。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性能要求</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1.续航能力</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充满电可连续起倒＞1000次；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2.防弹能力</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能够防95-1式步枪(任意距离)、92G式手枪(任意距离)击穿，且子弹不沿入射方向反弹；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3.激波采集精度</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8环内精度≤3mm</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lang w:val="en-US" w:eastAsia="zh-CN"/>
              </w:rPr>
              <w:t>步枪</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4.显隐时间</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5.24V供电；</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6.通信距离不小于</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00米，能够与控制系统和射手终端实现数据交互；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7.防雨能力</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中雨能正常工作，暴雨0.5h后无需重新保养即可正常使用，且不影响精度；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8.抗风能力</w:t>
            </w:r>
            <w:bookmarkStart w:id="47" w:name="OLE_LINK2"/>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不小于6级风</w:t>
            </w:r>
            <w:bookmarkEnd w:id="47"/>
            <w:r>
              <w:rPr>
                <w:rFonts w:hint="eastAsia" w:asciiTheme="majorEastAsia" w:hAnsiTheme="majorEastAsia" w:eastAsiaTheme="majorEastAsia" w:cstheme="majorEastAsia"/>
                <w:color w:val="auto"/>
                <w:kern w:val="0"/>
                <w:sz w:val="21"/>
                <w:szCs w:val="21"/>
                <w:highlight w:val="none"/>
              </w:rPr>
              <w:t>(安装后离地高度不超过1.6米的情况下)；</w:t>
            </w:r>
          </w:p>
          <w:p w14:paraId="6E5133F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9.工作温度</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-20℃～+60℃。</w:t>
            </w:r>
          </w:p>
        </w:tc>
      </w:tr>
      <w:tr w14:paraId="16D7926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47D1B1D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2A83ED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射手显示终端</w:t>
            </w:r>
          </w:p>
        </w:tc>
        <w:tc>
          <w:tcPr>
            <w:tcW w:w="542" w:type="dxa"/>
            <w:tcBorders>
              <w:top w:val="single" w:color="auto" w:sz="4" w:space="0"/>
              <w:left w:val="single" w:color="auto" w:sz="4" w:space="0"/>
              <w:bottom w:val="single" w:color="auto" w:sz="4" w:space="0"/>
              <w:right w:val="single" w:color="auto" w:sz="4" w:space="0"/>
            </w:tcBorders>
            <w:noWrap/>
            <w:vAlign w:val="center"/>
          </w:tcPr>
          <w:p w14:paraId="533E2F7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3096566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00560059">
            <w:pPr>
              <w:keepNext w:val="0"/>
              <w:keepLines w:val="0"/>
              <w:pageBreakBefore w:val="0"/>
              <w:widowControl/>
              <w:numPr>
                <w:ilvl w:val="0"/>
                <w:numId w:val="3"/>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显示功能：可实时显示靶纸虚拟图像和实时彩色显示实景真实图像，并在真实靶纸张图像和虚拟靶图上同时按顺序圈定弹点位置；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2.报靶方式</w:t>
            </w:r>
            <w:r>
              <w:rPr>
                <w:rFonts w:hint="eastAsia" w:asciiTheme="majorEastAsia" w:hAnsiTheme="majorEastAsia" w:eastAsiaTheme="majorEastAsia" w:cstheme="majorEastAsia"/>
                <w:color w:val="auto"/>
                <w:kern w:val="0"/>
                <w:sz w:val="21"/>
                <w:szCs w:val="21"/>
                <w:highlight w:val="none"/>
                <w:lang w:val="en-US" w:eastAsia="zh-CN"/>
              </w:rPr>
              <w:t>不少于3种</w:t>
            </w:r>
            <w:r>
              <w:rPr>
                <w:rFonts w:hint="eastAsia" w:asciiTheme="majorEastAsia" w:hAnsiTheme="majorEastAsia" w:eastAsiaTheme="majorEastAsia" w:cstheme="majorEastAsia"/>
                <w:color w:val="auto"/>
                <w:kern w:val="0"/>
                <w:sz w:val="21"/>
                <w:szCs w:val="21"/>
                <w:highlight w:val="none"/>
              </w:rPr>
              <w:t>：独立视觉弹点识别报靶、独立激波弹点识别报靶</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视觉+激波融合报靶；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3.与控制系统联动时，一并显示编组位、编组数等信息；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4.功能切换方式：一键完成在昼间和夜间射击模式切换，实弹射击和激光模拟射击无需更换采集设备一键完成切换；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5.采集响应速度：可对单发和连发进行采集并报告，定位响应时间不大于1秒；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6.智能统计功能：自动提示弹点偏向方向，可语音报环至小数点后1位；</w:t>
            </w:r>
          </w:p>
          <w:p w14:paraId="585871FB">
            <w:pPr>
              <w:keepNext w:val="0"/>
              <w:keepLines w:val="0"/>
              <w:pageBreakBefore w:val="0"/>
              <w:widowControl/>
              <w:numPr>
                <w:ilvl w:val="0"/>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7.教学辅助功能：人员无需调整终端，在分析终端1秒钟内即可完成实弹到激光功能一键切换，实现新兵或学员室内外激光模式的模拟射击训练，可对激光点采集定位和实时显示激光轨迹；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8.数据回放：射击完毕后，能够回看本次射击真实实景靶纸画面和虚拟靶图画面，并根据弹命中顺序在两种靶面实时标记显示；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9.单台终端具备独立操作控制使用功能，能够100%平整显示靶面实景图像，图像无变形完全平整，同时显示实景靶面图像和虚拟靶面图像；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10.激光分析终端：①激光发射器外接92G武器上，能够切换常亮和点射模式；②语音提示激光强度挡位调整≥</w:t>
            </w:r>
            <w:r>
              <w:rPr>
                <w:rFonts w:hint="eastAsia" w:asciiTheme="majorEastAsia" w:hAnsiTheme="majorEastAsia" w:eastAsiaTheme="majorEastAsia" w:cstheme="majorEastAsia"/>
                <w:color w:val="auto"/>
                <w:kern w:val="0"/>
                <w:sz w:val="21"/>
                <w:szCs w:val="21"/>
                <w:highlight w:val="none"/>
                <w:lang w:val="en-US" w:eastAsia="zh-CN"/>
              </w:rPr>
              <w:t>5</w:t>
            </w:r>
            <w:r>
              <w:rPr>
                <w:rFonts w:hint="eastAsia" w:asciiTheme="majorEastAsia" w:hAnsiTheme="majorEastAsia" w:eastAsiaTheme="majorEastAsia" w:cstheme="majorEastAsia"/>
                <w:color w:val="auto"/>
                <w:kern w:val="0"/>
                <w:sz w:val="21"/>
                <w:szCs w:val="21"/>
                <w:highlight w:val="none"/>
              </w:rPr>
              <w:t>档；③射击距离：50～100米；④具备模拟枪声；⑤可显示电量档位，显示指示灯不少于3个；</w:t>
            </w:r>
          </w:p>
          <w:p w14:paraId="3E968107">
            <w:pPr>
              <w:keepNext w:val="0"/>
              <w:keepLines w:val="0"/>
              <w:pageBreakBefore w:val="0"/>
              <w:widowControl/>
              <w:numPr>
                <w:ilvl w:val="0"/>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11.终端设备：（1）终端配置：主频≥1.8GHz，内存≮2GB，硬盘≮32GB，屏幕≮9英寸，亮度不低于600尼特，重量≯1.5公斤；防护等级不低于IP68；（2）工作时间：电池供电常温工作≥8h；（3）工作温度：-20℃～+50℃</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人员数据采集终端：①支持生理数据检测（包含心率、血压、体温），支持电子围栏外警告，无线通信使用纯国产ChirpIoT技术，休眠电流＜3uA；②网络频段采用800～900MHz通信；③定位方式采用北斗双模定位；④内置高精度加速度传感器和心率传感器,不佩戴就进入超低功耗模式；⑤显示采用OLED液晶彩屏；⑥使用物理触摸按键；⑦低功耗蓝牙BLE；⑧充电采用磁吸USB接口充电线；⑨待机7天以上；正常使用</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3～4天；⑩防护等级</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≥IP67。</w:t>
            </w:r>
          </w:p>
        </w:tc>
      </w:tr>
      <w:tr w14:paraId="4ED66E2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3DD4863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A6F79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非接触式弹药发射记录器</w:t>
            </w:r>
          </w:p>
        </w:tc>
        <w:tc>
          <w:tcPr>
            <w:tcW w:w="542" w:type="dxa"/>
            <w:tcBorders>
              <w:top w:val="single" w:color="auto" w:sz="4" w:space="0"/>
              <w:left w:val="single" w:color="auto" w:sz="4" w:space="0"/>
              <w:bottom w:val="single" w:color="auto" w:sz="4" w:space="0"/>
              <w:right w:val="single" w:color="auto" w:sz="4" w:space="0"/>
            </w:tcBorders>
            <w:noWrap/>
            <w:vAlign w:val="center"/>
          </w:tcPr>
          <w:p w14:paraId="4E7BB44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107886A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216F24C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非接触射击计弹器可在地面或隔间顶部安装，采用无接触传感探测等关键技术，可实时对射击子弹数量进行记录，可以单独使用，也可与总控系统联动。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1.传感器数量：不小于3个；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2.探测范围：横向不小于0.8米，高度0～2米；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3.弹数数码显示：1～999发；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4.主控无线、本地按键清除弹数，本地按键5秒自动清除（防止误操作）；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5.通讯方式：数传电台、WiFi双模式；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6.锂电池供电，数码显示电量。</w:t>
            </w:r>
          </w:p>
        </w:tc>
      </w:tr>
      <w:tr w14:paraId="1BC5EB0E">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75FB1F9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73C4AB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射击耗材</w:t>
            </w:r>
          </w:p>
        </w:tc>
        <w:tc>
          <w:tcPr>
            <w:tcW w:w="542" w:type="dxa"/>
            <w:tcBorders>
              <w:top w:val="single" w:color="auto" w:sz="4" w:space="0"/>
              <w:left w:val="single" w:color="auto" w:sz="4" w:space="0"/>
              <w:bottom w:val="single" w:color="auto" w:sz="4" w:space="0"/>
              <w:right w:val="single" w:color="auto" w:sz="4" w:space="0"/>
            </w:tcBorders>
            <w:noWrap/>
            <w:vAlign w:val="center"/>
          </w:tcPr>
          <w:p w14:paraId="06BB828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7E0A4F3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640B16B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复合靶板50张，胸环靶纸5000张、半身靶纸2000张、劫持认知靶纸1000张、人体部位小环靶纸500张。</w:t>
            </w:r>
          </w:p>
        </w:tc>
      </w:tr>
      <w:tr w14:paraId="3A240D3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D584D7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14959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射手移动安全隔断</w:t>
            </w:r>
          </w:p>
        </w:tc>
        <w:tc>
          <w:tcPr>
            <w:tcW w:w="542" w:type="dxa"/>
            <w:tcBorders>
              <w:top w:val="single" w:color="auto" w:sz="4" w:space="0"/>
              <w:left w:val="single" w:color="auto" w:sz="4" w:space="0"/>
              <w:bottom w:val="single" w:color="auto" w:sz="4" w:space="0"/>
              <w:right w:val="single" w:color="auto" w:sz="4" w:space="0"/>
            </w:tcBorders>
            <w:noWrap/>
            <w:vAlign w:val="center"/>
          </w:tcPr>
          <w:p w14:paraId="01EF696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4A933D9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5A2B0AB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1.移动隔断防弹玻璃为：三玻两胶结构，厚≥24mm，总宽≥1200mm，高≥1660mm。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2.移动隔断本体为：全不锈钢方管，前后打开支架宽度：≥740mm，含玻璃总高度：≥1800mm，配置移动扶手，带刹车万向轮，可折叠手枪桌。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3.隔断为组合式结构，配置双不锈钢圆管前后稳定，全隔断均可拆卸。</w:t>
            </w:r>
          </w:p>
        </w:tc>
      </w:tr>
      <w:tr w14:paraId="1CF2744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125EA73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A3B34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控制台</w:t>
            </w:r>
          </w:p>
        </w:tc>
        <w:tc>
          <w:tcPr>
            <w:tcW w:w="542" w:type="dxa"/>
            <w:tcBorders>
              <w:top w:val="single" w:color="auto" w:sz="4" w:space="0"/>
              <w:left w:val="single" w:color="auto" w:sz="4" w:space="0"/>
              <w:bottom w:val="single" w:color="auto" w:sz="4" w:space="0"/>
              <w:right w:val="single" w:color="auto" w:sz="4" w:space="0"/>
            </w:tcBorders>
            <w:noWrap/>
            <w:vAlign w:val="center"/>
          </w:tcPr>
          <w:p w14:paraId="3A85720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3FE6A3D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vAlign w:val="center"/>
          </w:tcPr>
          <w:p w14:paraId="5C83D27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尺寸：≮700*900*1100mm。台板为包钢钢板，厚度：≮1.2mm，表面喷塑处理。位于总控室中，安放控制电脑。</w:t>
            </w:r>
          </w:p>
        </w:tc>
      </w:tr>
      <w:tr w14:paraId="047C0D4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2CD3BF1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C40FD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观摩显示器</w:t>
            </w:r>
          </w:p>
        </w:tc>
        <w:tc>
          <w:tcPr>
            <w:tcW w:w="542" w:type="dxa"/>
            <w:tcBorders>
              <w:top w:val="single" w:color="auto" w:sz="4" w:space="0"/>
              <w:left w:val="single" w:color="auto" w:sz="4" w:space="0"/>
              <w:bottom w:val="single" w:color="auto" w:sz="4" w:space="0"/>
              <w:right w:val="single" w:color="auto" w:sz="4" w:space="0"/>
            </w:tcBorders>
            <w:vAlign w:val="center"/>
          </w:tcPr>
          <w:p w14:paraId="16511DD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2B326A9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5D3A16B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1.不小于42寸，可安装操作系统，包含安装架及相关线路连接测试，配置无线射手画面采集设备，支持ROOT功能；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2.内置射手显示系统软件，能够对应射手位，显示射手的同步设计成绩画面，可实时同步显示靶纸虚拟图像和实时多色彩显示实景真实图像并在真实图像上按顺序圈定弹点位置，同时显示成绩和上靶弹数。</w:t>
            </w:r>
          </w:p>
        </w:tc>
      </w:tr>
      <w:tr w14:paraId="35D5306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011C581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E966B8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POE交换机</w:t>
            </w:r>
          </w:p>
        </w:tc>
        <w:tc>
          <w:tcPr>
            <w:tcW w:w="542" w:type="dxa"/>
            <w:tcBorders>
              <w:top w:val="single" w:color="auto" w:sz="4" w:space="0"/>
              <w:left w:val="single" w:color="auto" w:sz="4" w:space="0"/>
              <w:bottom w:val="single" w:color="auto" w:sz="4" w:space="0"/>
              <w:right w:val="single" w:color="auto" w:sz="4" w:space="0"/>
            </w:tcBorders>
            <w:vAlign w:val="center"/>
          </w:tcPr>
          <w:p w14:paraId="576BA73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7DCE368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vAlign w:val="center"/>
          </w:tcPr>
          <w:p w14:paraId="7D778B5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1.不少于24个10/100/1000兆太网端口；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2.交流供电，支持POE模式；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3.转发性能：不低于15Mpps；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4.交换容量：不低于300Gbps</w:t>
            </w:r>
            <w:r>
              <w:rPr>
                <w:rFonts w:hint="eastAsia" w:asciiTheme="majorEastAsia" w:hAnsiTheme="majorEastAsia" w:eastAsiaTheme="majorEastAsia" w:cstheme="majorEastAsia"/>
                <w:color w:val="auto"/>
                <w:kern w:val="0"/>
                <w:sz w:val="21"/>
                <w:szCs w:val="21"/>
                <w:highlight w:val="none"/>
                <w:lang w:eastAsia="zh-CN"/>
              </w:rPr>
              <w:t>。</w:t>
            </w:r>
          </w:p>
        </w:tc>
      </w:tr>
      <w:tr w14:paraId="3FBCD67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450A98E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825A46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机柜</w:t>
            </w:r>
          </w:p>
        </w:tc>
        <w:tc>
          <w:tcPr>
            <w:tcW w:w="542" w:type="dxa"/>
            <w:tcBorders>
              <w:top w:val="single" w:color="auto" w:sz="4" w:space="0"/>
              <w:left w:val="single" w:color="auto" w:sz="4" w:space="0"/>
              <w:bottom w:val="single" w:color="auto" w:sz="4" w:space="0"/>
              <w:right w:val="single" w:color="auto" w:sz="4" w:space="0"/>
            </w:tcBorders>
            <w:noWrap/>
            <w:vAlign w:val="center"/>
          </w:tcPr>
          <w:p w14:paraId="41AD76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noWrap/>
            <w:vAlign w:val="center"/>
          </w:tcPr>
          <w:p w14:paraId="21BD825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 </w:t>
            </w:r>
          </w:p>
        </w:tc>
        <w:tc>
          <w:tcPr>
            <w:tcW w:w="6880" w:type="dxa"/>
            <w:tcBorders>
              <w:top w:val="single" w:color="auto" w:sz="4" w:space="0"/>
              <w:left w:val="single" w:color="auto" w:sz="4" w:space="0"/>
              <w:bottom w:val="single" w:color="auto" w:sz="4" w:space="0"/>
              <w:right w:val="single" w:color="auto" w:sz="4" w:space="0"/>
            </w:tcBorders>
            <w:vAlign w:val="center"/>
          </w:tcPr>
          <w:p w14:paraId="0D70996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不小于600*1000*2000（前后网孔，不少于6个托架，至少包含一个PDU）</w:t>
            </w:r>
            <w:r>
              <w:rPr>
                <w:rFonts w:hint="eastAsia" w:asciiTheme="majorEastAsia" w:hAnsiTheme="majorEastAsia" w:eastAsiaTheme="majorEastAsia" w:cstheme="majorEastAsia"/>
                <w:color w:val="auto"/>
                <w:kern w:val="0"/>
                <w:sz w:val="21"/>
                <w:szCs w:val="21"/>
                <w:highlight w:val="none"/>
                <w:lang w:eastAsia="zh-CN"/>
              </w:rPr>
              <w:t>。</w:t>
            </w:r>
          </w:p>
        </w:tc>
      </w:tr>
      <w:tr w14:paraId="341410D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B11FD9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二</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9CBC8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16*3米大屏幕影像射击系统</w:t>
            </w:r>
          </w:p>
        </w:tc>
        <w:tc>
          <w:tcPr>
            <w:tcW w:w="542" w:type="dxa"/>
            <w:tcBorders>
              <w:top w:val="single" w:color="auto" w:sz="4" w:space="0"/>
              <w:left w:val="single" w:color="auto" w:sz="4" w:space="0"/>
              <w:bottom w:val="single" w:color="auto" w:sz="4" w:space="0"/>
              <w:right w:val="single" w:color="auto" w:sz="4" w:space="0"/>
            </w:tcBorders>
            <w:noWrap/>
            <w:vAlign w:val="center"/>
          </w:tcPr>
          <w:p w14:paraId="7B6A625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p>
        </w:tc>
        <w:tc>
          <w:tcPr>
            <w:tcW w:w="704" w:type="dxa"/>
            <w:tcBorders>
              <w:top w:val="single" w:color="auto" w:sz="4" w:space="0"/>
              <w:left w:val="single" w:color="auto" w:sz="4" w:space="0"/>
              <w:bottom w:val="single" w:color="auto" w:sz="4" w:space="0"/>
              <w:right w:val="single" w:color="auto" w:sz="4" w:space="0"/>
            </w:tcBorders>
            <w:noWrap/>
            <w:vAlign w:val="center"/>
          </w:tcPr>
          <w:p w14:paraId="21E57BE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p>
        </w:tc>
        <w:tc>
          <w:tcPr>
            <w:tcW w:w="6880" w:type="dxa"/>
            <w:tcBorders>
              <w:top w:val="single" w:color="auto" w:sz="4" w:space="0"/>
              <w:left w:val="single" w:color="auto" w:sz="4" w:space="0"/>
              <w:bottom w:val="single" w:color="auto" w:sz="4" w:space="0"/>
              <w:right w:val="single" w:color="auto" w:sz="4" w:space="0"/>
            </w:tcBorders>
            <w:vAlign w:val="center"/>
          </w:tcPr>
          <w:p w14:paraId="074E43A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401E6D8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2E94CA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D06830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U型宽幅耐弹橡胶屏幕</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B2D7ED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358B16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1FCDCB7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1.屏幕尺寸：不小于16×3米，屏幕表面为白色，无拼接接缝，厚度≮6mm，材料为耐弹橡胶，含屏幕与升降机构安装调试衔接辅材</w:t>
            </w:r>
            <w:r>
              <w:rPr>
                <w:rFonts w:hint="eastAsia" w:asciiTheme="majorEastAsia" w:hAnsiTheme="majorEastAsia" w:eastAsiaTheme="majorEastAsia" w:cstheme="majorEastAsia"/>
                <w:color w:val="auto"/>
                <w:kern w:val="0"/>
                <w:sz w:val="21"/>
                <w:szCs w:val="21"/>
                <w:highlight w:val="none"/>
                <w:lang w:eastAsia="zh-CN"/>
              </w:rPr>
              <w:t>；</w:t>
            </w:r>
          </w:p>
          <w:p w14:paraId="73AFE2E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2.拉伸强度：≥10MPa；</w:t>
            </w:r>
          </w:p>
          <w:p w14:paraId="2FF53DA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3.伸长率：≥600%；</w:t>
            </w:r>
          </w:p>
          <w:p w14:paraId="52453FD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4.颜色：白色；</w:t>
            </w:r>
          </w:p>
          <w:p w14:paraId="4F64A00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5.耐弹量：≥30发/cm²；</w:t>
            </w:r>
          </w:p>
          <w:p w14:paraId="6EB1E3BD">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6.纹理：正面为平面，背面为纹理面。</w:t>
            </w:r>
          </w:p>
        </w:tc>
      </w:tr>
      <w:tr w14:paraId="5312862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5D9D68C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DDBBFF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屏幕升降设备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4AE0B5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724B80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D621BA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电动升降设备包含安装架、电机、屏幕卷轴等器材，负责屏幕升降，配备轴防弹器材，无线遥控升降。</w:t>
            </w:r>
          </w:p>
        </w:tc>
      </w:tr>
      <w:tr w14:paraId="069E24F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BF22BF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EB97D6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投影设备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90ECD5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6ADE14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3EAABBB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1.芯片尺寸：DLP⑧芯片×1,4K DMD S450；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2.光源类型：MCL激光二极管模组。光源使用寿命：标准模式：不少于20000 小时，节能模式：不少于30000小时；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3.亮度≥8100lm(中心亮度),8000lm(ISO21118标准)；</w:t>
            </w:r>
          </w:p>
          <w:p w14:paraId="0957C33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4.分辨率：≥3840×2160，兼容1920x1200,1920×1080,1280×800, 1024×768；</w:t>
            </w:r>
          </w:p>
          <w:p w14:paraId="66EB17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5.对比度：不小于4000000</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1(全开/全关，动态对比度)；</w:t>
            </w:r>
          </w:p>
          <w:p w14:paraId="6C57E8A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6.显示比例：Auto、4</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3、16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10；</w:t>
            </w:r>
          </w:p>
          <w:p w14:paraId="3DC1D85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7.显示模式：标准-冷色、护眼、标准-暖色、艳丽、sRGB、DICOM SIM.、用户、3D。护眼模式图像可抑制蓝光成份、有助于长时间观看的视力防护；</w:t>
            </w:r>
          </w:p>
          <w:p w14:paraId="5E1A97E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8.噪音：标准模式：不小于40dB，节能模式：不小于30dB；</w:t>
            </w:r>
          </w:p>
          <w:p w14:paraId="4A9D4F1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9.输入接口：不少于HDMI x 2(V2.0兼容4K支持HDCP)、VGA x① (D-sub 15pin)、HDBaseT(兼容4K支持HDCP)、Audio  x 1(3.5mm立体声迷你插口；</w:t>
            </w:r>
          </w:p>
          <w:p w14:paraId="7D18FF8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10.整机防尘等级：不低于IP5X；</w:t>
            </w:r>
          </w:p>
          <w:p w14:paraId="45C37EA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11.光学系统防尘等级：不低于IP6X</w:t>
            </w:r>
            <w:r>
              <w:rPr>
                <w:rFonts w:hint="eastAsia" w:asciiTheme="majorEastAsia" w:hAnsiTheme="majorEastAsia" w:eastAsiaTheme="majorEastAsia" w:cstheme="majorEastAsia"/>
                <w:color w:val="auto"/>
                <w:kern w:val="0"/>
                <w:sz w:val="21"/>
                <w:szCs w:val="21"/>
                <w:highlight w:val="none"/>
                <w:lang w:eastAsia="zh-CN"/>
              </w:rPr>
              <w:t>；</w:t>
            </w:r>
          </w:p>
          <w:p w14:paraId="7F5B2AC5">
            <w:pPr>
              <w:keepNext w:val="0"/>
              <w:keepLines w:val="0"/>
              <w:pageBreakBefore w:val="0"/>
              <w:widowControl/>
              <w:kinsoku/>
              <w:wordWrap w:val="0"/>
              <w:overflowPunct/>
              <w:topLinePunct w:val="0"/>
              <w:autoSpaceDE/>
              <w:autoSpaceDN/>
              <w:bidi w:val="0"/>
              <w:adjustRightInd/>
              <w:snapToGrid/>
              <w:spacing w:line="360" w:lineRule="auto"/>
              <w:ind w:right="0"/>
              <w:jc w:val="left"/>
              <w:textAlignment w:val="auto"/>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r>
              <w:rPr>
                <w:rFonts w:hint="eastAsia" w:asciiTheme="majorEastAsia" w:hAnsiTheme="majorEastAsia" w:eastAsiaTheme="majorEastAsia" w:cstheme="majorEastAsia"/>
                <w:color w:val="auto"/>
                <w:kern w:val="0"/>
                <w:sz w:val="21"/>
                <w:szCs w:val="21"/>
                <w:highlight w:val="none"/>
                <w:lang w:eastAsia="zh-CN"/>
              </w:rPr>
              <w:t>产品</w:t>
            </w:r>
            <w:r>
              <w:rPr>
                <w:rFonts w:hint="eastAsia" w:asciiTheme="majorEastAsia" w:hAnsiTheme="majorEastAsia" w:eastAsiaTheme="majorEastAsia" w:cstheme="majorEastAsia"/>
                <w:color w:val="auto"/>
                <w:kern w:val="0"/>
                <w:sz w:val="21"/>
                <w:szCs w:val="21"/>
                <w:highlight w:val="none"/>
              </w:rPr>
              <w:t>符合GB17625.1-2022；GB4943.1-2022；GB/T 9254.1-2021产品标准和技术要求。</w:t>
            </w:r>
          </w:p>
        </w:tc>
      </w:tr>
      <w:tr w14:paraId="6057A22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82E200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4273920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融合软件</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A1DEE7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B4BC2A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41032CD">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1.支持4通道桌面级融合，多台投影机形成均匀一致无缝拼接画面；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2.支持4通道图像边缘融合/几何校正/颜色校正/亮度均衡/多通道高清数字媒体播放器；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3.计算机桌面融合输出。</w:t>
            </w:r>
          </w:p>
        </w:tc>
      </w:tr>
      <w:tr w14:paraId="5D4784C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05EA3F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EE444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实弹弹着点定位终端</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419E3A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B0C9D5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0C054BA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通过热成像捕捉定位弹点坐标，将弹点数据发送给计算机进行报靶并通过投影屏幕向射手反馈命中反应，内含实时处理软件、精度射击目标软件。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主要技术参数：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1.实弹弹点采集终端运行非Linux或者ros的实时操作系统，非微软操作系统，自动运行实时采集弹点采集及矫正软件模块；</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2.矫正软件采用高效的图像处理算法，快速识别弹着点，弹点采集精度：≤画面1‰，实时捕捉射击靶面影像；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3.手动校准：供用户进行微调，一键校准；快速校正弹点位置；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4.矫正能够对四角精准化微调矫正；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5.矫正能够对中心点微调矫正；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6.支持平板设备操作，移动控制校准，实时数据传输和可视化反馈；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7.图像处理灵敏度、阈值、热敏等参数调节；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8.主控终端可以实时显示采集端的状态信息；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9.弹点定位系统实时在采集设备端完成结算，为保证实时性弹点的采集及矫正计算不可运行于主控系统电脑；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10.解算完的弹点坐标网络发送至运行训练软件的主控电脑，完成实时报靶，延时&lt;80ms；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11.针对每个靶道自动识别弹着点，可同时识别多弹着点；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12.基于Linux或Ros的嵌入式系统架构，系统稳定性高，响应速度快，支持多种接口与设备的连接；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13.系统与主控单元实时连接，主控系统能够监控校准过程，接收并处理校准数据，进行状态反馈；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14.热成像设备成像分辨率：≥640*480，由非制冷红外热成像仪；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15.适用枪型：制式手枪、步枪等多种实弹枪型；</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16.适用弹型：弹径4.5mm～12.7mm的各种金属弹；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17.供电：支持POE供电。</w:t>
            </w:r>
          </w:p>
        </w:tc>
      </w:tr>
      <w:tr w14:paraId="7BC2D63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B99EA0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ED6460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模拟弹着点定位系统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2C290B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9E3FAF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59ECAE8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通过捕捉激光弹点图像定位弹点坐标，将弹点数据发送给计算机进行报靶并通过投影屏幕向射手反馈命中反应，内含实时处理软件、精度射击目标软件。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1.模拟弹点采集终端运行Linux或者ros的实时操作系统，非微软操作系统，自动运行实时采集弹点采集及矫正软件模块；</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2.矫正软件采用高效的图像处理算法，快速识别弹着点，弹点采集精度：≤画面1‰，实时捕捉射击靶面影像；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3.手动校准：供用户进行微调，一键校准：快速校正弹点位置；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4.矫正能够对四角精准化微调矫正；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5.矫正能够对中心点微调矫正；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6.支持平板设备操作，移动控制校准，实时数据传输和可视化反馈；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7.图像处理灵敏度、阈值、热敏等参数调节；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8.主控终端可以实时显示采集端的状态信息；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9.弹点定位系统实时在采集设备端完成结算，为保证实时性弹点的采集及矫正计算不可运行于主控系统电脑；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10.解算完的弹点坐标网络发送至运行训练软件的主控电脑，完成实时报靶，延时&lt;80ms。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11.针对每个靶道自动识别弹着点，可同时识别多弹着点；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12.基于Linux或Ros的嵌入式系统架构，系统稳定性高，响应速度快，支持多种接口与设备的连接；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13.系统与主控单元实时连接，主控系统能够监控校准过程，接收并处理校准数据，进行状态反馈；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14.弹点识别响应时间＜20ms；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15.适用弹型：不可见激光；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16.供电：POE供电。</w:t>
            </w:r>
          </w:p>
        </w:tc>
      </w:tr>
      <w:tr w14:paraId="1B2E91E9">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0C5A8DF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E2282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对抗视频采集设备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92920F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ED802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vAlign w:val="center"/>
          </w:tcPr>
          <w:p w14:paraId="7560E1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高清网络摄像机，主要用于采集红蓝双方的实时对抗视频，经由投影系统投影至对方屏幕上开展红蓝对抗射击训练。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1.自动光圈；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2.采集视频分辨率：不小于1920X1080；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3.总像素</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不小于1952(H)×1116(V)）；</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4.帧率：最大分辨率下支持60帧/秒；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5.信噪比：不低于50dB；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6.网络接口：具有10/100兆自适应网络接口；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7.具有背景补偿、暗区补偿、数字降噪功能；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8.防护：配置有防弹外罩，有效防止子弹射穿。</w:t>
            </w:r>
          </w:p>
        </w:tc>
      </w:tr>
      <w:tr w14:paraId="1D7CB55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49CE3EC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AE0054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投影吊装机构</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8B6979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9F3054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1C53CAA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精密三维自由度调节基座，防弹外罩。采用不低于3毫米厚碳钢Q235材质钣金加工而成；防弹组件采用不低于6毫米厚的防弹钢板与不低于30毫米厚的橡胶砖组合而成；外壳上开有投影机对应的孔位、散热窗口，外壳底部配有检修、维护窗口；投影机固定在精密三维自由度调节基座上，可进行上下左右前后精密调节</w:t>
            </w:r>
            <w:r>
              <w:rPr>
                <w:rFonts w:hint="eastAsia" w:asciiTheme="majorEastAsia" w:hAnsiTheme="majorEastAsia" w:eastAsiaTheme="majorEastAsia" w:cstheme="majorEastAsia"/>
                <w:color w:val="auto"/>
                <w:kern w:val="0"/>
                <w:sz w:val="21"/>
                <w:szCs w:val="21"/>
                <w:highlight w:val="none"/>
                <w:lang w:eastAsia="zh-CN"/>
              </w:rPr>
              <w:t>。</w:t>
            </w:r>
          </w:p>
        </w:tc>
      </w:tr>
      <w:tr w14:paraId="7AB6573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55EE4FF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27CB9A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控制主机</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1C02E9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6862D3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B799B17">
            <w:pPr>
              <w:keepNext w:val="0"/>
              <w:keepLines w:val="0"/>
              <w:pageBreakBefore w:val="0"/>
              <w:widowControl/>
              <w:kinsoku/>
              <w:wordWrap/>
              <w:overflowPunct/>
              <w:topLinePunct w:val="0"/>
              <w:autoSpaceDE/>
              <w:autoSpaceDN/>
              <w:bidi w:val="0"/>
              <w:spacing w:line="360" w:lineRule="auto"/>
              <w:ind w:right="0"/>
              <w:jc w:val="left"/>
              <w:rPr>
                <w:b w:val="0"/>
                <w:bCs w:val="0"/>
                <w:color w:val="auto"/>
                <w:highlight w:val="none"/>
              </w:rPr>
            </w:pPr>
            <w:r>
              <w:rPr>
                <w:rFonts w:hint="eastAsia" w:asciiTheme="majorEastAsia" w:hAnsiTheme="majorEastAsia" w:eastAsiaTheme="majorEastAsia" w:cstheme="majorEastAsia"/>
                <w:b w:val="0"/>
                <w:bCs w:val="0"/>
                <w:color w:val="auto"/>
                <w:kern w:val="0"/>
                <w:sz w:val="21"/>
                <w:szCs w:val="21"/>
                <w:highlight w:val="none"/>
              </w:rPr>
              <w:t>1.处理器频率：≮3.5GHz；</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2.内存：≮32G；</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3.硬盘：≮1TB(固态)；</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4.显卡：≮RTX4000，24G内存(2块)；</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5.显示器：≮27英寸；</w:t>
            </w:r>
            <w:r>
              <w:rPr>
                <w:rFonts w:hint="eastAsia" w:asciiTheme="majorEastAsia" w:hAnsiTheme="majorEastAsia" w:eastAsiaTheme="majorEastAsia" w:cstheme="majorEastAsia"/>
                <w:b w:val="0"/>
                <w:bCs w:val="0"/>
                <w:color w:val="auto"/>
                <w:kern w:val="0"/>
                <w:sz w:val="21"/>
                <w:szCs w:val="21"/>
                <w:highlight w:val="none"/>
              </w:rPr>
              <w:br w:type="textWrapping"/>
            </w:r>
            <w:r>
              <w:rPr>
                <w:rFonts w:hint="eastAsia" w:asciiTheme="majorEastAsia" w:hAnsiTheme="majorEastAsia" w:eastAsiaTheme="majorEastAsia" w:cstheme="majorEastAsia"/>
                <w:b w:val="0"/>
                <w:bCs w:val="0"/>
                <w:color w:val="auto"/>
                <w:kern w:val="0"/>
                <w:sz w:val="21"/>
                <w:szCs w:val="21"/>
                <w:highlight w:val="none"/>
              </w:rPr>
              <w:t>6.配置机箱、电源及键盘鼠标等设备</w:t>
            </w:r>
            <w:r>
              <w:rPr>
                <w:rFonts w:hint="eastAsia" w:asciiTheme="majorEastAsia" w:hAnsiTheme="majorEastAsia" w:eastAsiaTheme="majorEastAsia" w:cstheme="majorEastAsia"/>
                <w:b w:val="0"/>
                <w:bCs w:val="0"/>
                <w:color w:val="auto"/>
                <w:kern w:val="0"/>
                <w:sz w:val="21"/>
                <w:szCs w:val="21"/>
                <w:highlight w:val="none"/>
                <w:lang w:eastAsia="zh-CN"/>
              </w:rPr>
              <w:t>；</w:t>
            </w:r>
          </w:p>
          <w:p w14:paraId="22E4DF99">
            <w:pPr>
              <w:keepNext w:val="0"/>
              <w:keepLines w:val="0"/>
              <w:pageBreakBefore w:val="0"/>
              <w:widowControl/>
              <w:kinsoku/>
              <w:wordWrap/>
              <w:overflowPunct/>
              <w:topLinePunct w:val="0"/>
              <w:autoSpaceDE/>
              <w:autoSpaceDN/>
              <w:bidi w:val="0"/>
              <w:spacing w:line="360" w:lineRule="auto"/>
              <w:ind w:right="0"/>
              <w:jc w:val="left"/>
              <w:rPr>
                <w:rFonts w:hint="eastAsia" w:eastAsia="宋体"/>
                <w:color w:val="auto"/>
                <w:highlight w:val="none"/>
                <w:lang w:val="en-US" w:eastAsia="zh-CN"/>
              </w:rPr>
            </w:pPr>
            <w:r>
              <w:rPr>
                <w:rFonts w:hint="eastAsia"/>
                <w:b w:val="0"/>
                <w:bCs w:val="0"/>
                <w:color w:val="auto"/>
                <w:highlight w:val="none"/>
                <w:lang w:val="en-US" w:eastAsia="zh-CN"/>
              </w:rPr>
              <w:t>7.</w:t>
            </w:r>
            <w:r>
              <w:rPr>
                <w:rFonts w:hint="eastAsia" w:asciiTheme="majorEastAsia" w:hAnsiTheme="majorEastAsia" w:eastAsiaTheme="majorEastAsia" w:cstheme="majorEastAsia"/>
                <w:b w:val="0"/>
                <w:bCs w:val="0"/>
                <w:color w:val="auto"/>
                <w:kern w:val="0"/>
                <w:sz w:val="21"/>
                <w:szCs w:val="21"/>
                <w:highlight w:val="none"/>
                <w:lang w:val="en-US" w:eastAsia="zh-CN"/>
              </w:rPr>
              <w:t>须与本项目其它设备、控制系统无障碍连接</w:t>
            </w:r>
            <w:r>
              <w:rPr>
                <w:rFonts w:hint="eastAsia"/>
                <w:b w:val="0"/>
                <w:bCs w:val="0"/>
                <w:color w:val="auto"/>
                <w:highlight w:val="none"/>
                <w:lang w:val="en-US" w:eastAsia="zh-CN"/>
              </w:rPr>
              <w:t>，实现控制影像射击系统功能。</w:t>
            </w:r>
          </w:p>
        </w:tc>
      </w:tr>
      <w:tr w14:paraId="26B637D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E5B7B7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29E9B0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手持控制系统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3CC593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CDAA2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964C56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1.软件要求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(1)控制科目运行，查看状态；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(2)监控主控状态；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(3)选中待训科目，开始训练/结束训练/退出系统；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(4)通过平板终端实时查看射击结果，支持多种报靶方式，如命中、环数、脱靶等；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(5)终端能够控制场地灯光的照明组合设置，能够控制频闪灯和烟雾发生器；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(6)可用于控制其他训练设备，实现一体化管理和远程操作；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(7)能够在场地内任意位置，无线遥控操作系统内影像设备；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(8)无线手持式；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(9)影像分支的情节的跳转控制；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(10)录像评估系统的播放、暂停、节目选择、快放、慢放的控制；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(11)监控主机运行状态。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2.硬件要求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(1)处理器频率：≮2.0GHz；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(2)内存：≮10GB；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(3)硬盘</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≮128GB；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(4)触摸显示</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≮12英寸。</w:t>
            </w:r>
          </w:p>
        </w:tc>
      </w:tr>
      <w:tr w14:paraId="1CCE1188">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59062F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43051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模拟场景天候控制系统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E00F13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EC5FE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00E785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系统软件自动模拟雷、雨、电、刮风、下雪等天候效果，根据变化自动调整场内天候模拟灯光变幻，通过视觉、听觉上的感受实现模拟真实作战环境的目的。</w:t>
            </w:r>
          </w:p>
        </w:tc>
      </w:tr>
      <w:tr w14:paraId="3843C01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D135C4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E9D077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中央控制单元及软件系统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AE5851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E89E61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6670B19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bookmarkStart w:id="48" w:name="OLE_LINK3"/>
            <w:r>
              <w:rPr>
                <w:rFonts w:hint="eastAsia" w:asciiTheme="majorEastAsia" w:hAnsiTheme="majorEastAsia" w:eastAsiaTheme="majorEastAsia" w:cstheme="majorEastAsia"/>
                <w:color w:val="auto"/>
                <w:kern w:val="0"/>
                <w:sz w:val="21"/>
                <w:szCs w:val="21"/>
                <w:highlight w:val="none"/>
              </w:rPr>
              <w:t>集中控制场馆内各训练子系统运行的参数配置，统一对训练系统成绩数据采集和管理，对受训人员信息及成绩增删改查等管理。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1.中央控制单元有两部分组成：主屏幕和辅屏幕两部分，主屏幕为控制台桌面，主控界面要求全屏自适应包括4k</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2k、1k等分辨率；辅屏幕为训练投影画面内容；投影辅屏自适应扩展显示所有投影拼接构成的画面，不采样复制同样投影屏幕实施训练,扩展屏幕画面≥11个，支持控制界面控件化独立在其他屏幕扩展显示</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2.主屏控制部分可以自由配置训练窗口参数，支持主频分辨率包括不少于：3840*2260（宽高比 1.39）、2048×1536(宽高比 1.33)、1920*1200（宽高比 1.60）、1920×1080(宽高比 1.77)、1600*1200（宽高比 1.33）、1280×720(宽高比 1.77)、1024*768（宽高比1.33）等；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3.中央控制单元软件模块可以插件式扩展各个训练子系统（如：基础考核训练、可编辑情景训练、IPSC射击、其他类型射击、3D场景任务、对抗任务等）；</w:t>
            </w:r>
          </w:p>
          <w:p w14:paraId="51CD4BD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4.中央单元可实时查看设备射手终端在线状态；</w:t>
            </w:r>
          </w:p>
          <w:p w14:paraId="377DAB2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▲5.中央控制单元调整配置基础科目的弹着点样式（可配置每个靶道显示弹点的中心颜色及边缘颜色），选择报靶形式（射手终端报靶或主控系统报靶）等；</w:t>
            </w:r>
          </w:p>
          <w:p w14:paraId="170E8FF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6.中央控制单元可统一设置各个靶道训练人员名称；</w:t>
            </w:r>
          </w:p>
          <w:p w14:paraId="14D498C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7.中央控制单元提供接口可任意配置各训练子系统的画面位置、显示窗口尺寸分辨率；</w:t>
            </w:r>
          </w:p>
          <w:p w14:paraId="6CFADFD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8.中央控制单元可实时远程查看嵌入式采集终端弹点状态（显示弹点位置，光斑大小），并可微调修正；</w:t>
            </w:r>
          </w:p>
          <w:p w14:paraId="54488E6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9.中央控制单元可连接打印机对靶标成绩打印。</w:t>
            </w:r>
            <w:bookmarkEnd w:id="48"/>
          </w:p>
        </w:tc>
      </w:tr>
      <w:tr w14:paraId="6748C82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194B248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8DCAE8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实弹红蓝对抗系统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FBD378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3EE038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61891E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(1)两名射手或两组射手向大屏幕射击，屏幕上出现敌方影像，利用现场布置的掩体结合各种战术动作实现真人对抗射击训练，显示训练成绩；可以开展限时、限弹对抗射击训练。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(2)对抗设备主件：高清网络摄像机，主要用于采集红蓝双方的实时对抗视频，经由投影系统投影至对方屏幕上开展红蓝对抗射击训练，通过实时图形、图像处理技术识别人体外形和判断命中。</w:t>
            </w:r>
          </w:p>
        </w:tc>
      </w:tr>
      <w:tr w14:paraId="0CD8197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A2F5B2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F03B89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实景科目编辑器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D6752A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4B3F8C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DB93B3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(1)采用实景真人摄像拍摄制作，可进行多场景互动，真实场景、真人参与拍摄制作，逼真声音效果等功能，可对结果进行评述；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(2)用户可自主拍摄，制作场景内容, 使用系统工具添加并编辑训练任务，设置情节走向，生成训练科目</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(3)科目采用真实人物（非虚拟人物）角色，对抗的真实人物最多可区分头部、胸部、腹部、左臂、右臂、左腿、右腿等人体部位，从而使标被击中不同部位时，反应也不相同；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(4)可编辑和设置情节中，允许开枪的场景画面时间点；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(5)可实现情节分支的随机跳转和人工干预的指定情节跳转；</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提供场景视频素材包括：工厂、码头、台球厅、室内赌博场景、出租车、火车站、汽车站、停车场、景区、监狱、政府机关、居民楼、城市废墟场景、野外场景、废弃工厂场景、地铁、建筑仓库等场景，提供场景素材不少于50套。</w:t>
            </w:r>
          </w:p>
        </w:tc>
      </w:tr>
      <w:tr w14:paraId="56912CD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6F22BA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E47628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基础考核训练模块</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6361DC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2A52A29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9EF1E7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(1)提供不少于100种靶标类型，有标准胸环靶、人物持刀靶、半身靶、人质靶、闪现靶、速射靶、人头靶、侧身跑步靶等</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(2)提供不少于100种已编辑好的速射科目，包括：单靶道、多靶道、不同类型靶标组合等速射科目</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(3)科目可选场景不少于50种，背景库包括：城市街区、道路、地铁站、射击靶场、司法机关、荒漠、田园、高山、丘陵等等室内与室外场景。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(4)靶标可固定显示、随机显示、由远到近显示、渐隐显示，靶标被命中有弹痕显示</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(5)支持命中、环数、脱靶等语音报靶方式，可显示总射击弹数、命中弹数、命中率、方位及方向等信息，提供实时成绩反馈，具有训练弹量、靶道数量、靶标类型、训练轮数、显靶时间、隐靶时间、 出靶方式、随机位置、靶标前移、脱靶计数、低照明度、背景、靶标轨迹、靶标距离、靶标大小等控制</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(6)每个靶道可以显示不同的靶标，以及显示模式包括不限于（固定、显隐、运动等）；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(7)训练结束可以保存训练成绩至系统数据库，用户可以在得分的基础上填写主观评价；</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(8)可进行单人、多人射击训练；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(9)提供射击距离模拟功能：通过设置人员位置和射击距离，系统自动调整靶标位置和大小；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(10)多靶道目标射击设置功能：科目中每个靶道可单独设置靶标类型、靶标位置、靶标模拟距离、隐显时间、射击弹数和射击时长，每投影对应屏幕显示的靶道数量可在1～6靶道任意设置；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(11)实时显示弹着位置、环数、部位、时钟方位及射击成绩；</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(12)基础靶标编辑系统提供固定方式类型、隐显参数、运动参数、弹数、限定时间、训练背；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(13)基础靶标编辑系统：运动包括左右直线、右左直线、左右曲线、右左曲线、来回运动次数等参数化设置；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(14)基础靶标编辑系统隐显包括显示时间、隐藏时间、显隐次数等参数化设置；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(15)基础靶标编辑可编辑背景环境的遮挡及景深效果。窗口自适应任意显示分辨率的屏幕全屏模式；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(16)基础靶标编辑每个靶道可以设置不同模式，包括不限于（固定、显隐、前后运动等）；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(17)基础靶标编辑每个靶道可以设置不同的靶标图像内容；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(18)基础靶标编辑成绩评估可以动态编辑优秀、良好、及格、不合格的得分要求；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(19)根据所选靶标类型自行判定报靶方式为环数报靶或命中报靶。</w:t>
            </w:r>
          </w:p>
        </w:tc>
      </w:tr>
      <w:tr w14:paraId="7C988C9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228232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5A37D5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情景模拟训练课目</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2E57E5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2560346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2753E7B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模拟情景类训练科目不少于50个包括不限于：监狱、政府机关、居民楼、工厂、医院、码头、台球厅、赌博环境、出租车、火车站、汽车站、停车场、景区、城市废墟场景、野外场景、废弃工厂场景、建筑仓库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2.实时射击交互事件显示；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3.训练过程影像可随机调转的情节；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4.训练过程影像可人工干预调转到指定情节；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5.训练结束可以回放每个射击事件：弹着点位置、反应时间、处置得当否；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6.可通过收藏夹定义常用训练科目，方便快速检索训练科目；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7.训练过程事件截取图片保存记录；</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8.训练场景可以叠加不同音效，以增强沉浸效果；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9.训练科目可以同时选择多个训练场景加入列表，方便序列化开展训练。</w:t>
            </w:r>
          </w:p>
        </w:tc>
      </w:tr>
      <w:tr w14:paraId="2973261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38B29E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17</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F9B0A5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IDPA射击科目</w:t>
            </w:r>
          </w:p>
        </w:tc>
        <w:tc>
          <w:tcPr>
            <w:tcW w:w="542" w:type="dxa"/>
            <w:tcBorders>
              <w:top w:val="single" w:color="auto" w:sz="4" w:space="0"/>
              <w:left w:val="single" w:color="auto" w:sz="4" w:space="0"/>
              <w:bottom w:val="single" w:color="auto" w:sz="4" w:space="0"/>
              <w:right w:val="single" w:color="auto" w:sz="4" w:space="0"/>
            </w:tcBorders>
            <w:vAlign w:val="center"/>
          </w:tcPr>
          <w:p w14:paraId="463FC80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21984FF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D0BDEF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依据IDPA比赛规则要求，定制室内室外十种科目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(1)靶标包括不限于：IDPA靶型、钢板靶型、掩体靶型、木制的靶型、金属的靶型等；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(2)场景包括不限于室内和室外两大类；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(3)科目十个及以上，每个科目视觉运动类型不同，涵盖军事射击场地、办公场所、山地室外等；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(4)训练科目转场由自动和人为控制两种，人为控制分为系统内交互和外设硬件交互控制；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(5)训练结束成绩均可以保存并数据实时查询；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(6)不同材质木质靶标、金属靶标命中交互产生不同的特效以及不同的音效等；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(7)每个科目训练结束提供成绩评估，包括不限于命中数、脱靶数、用时、射击因子、装弹数等；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(8）系统启动后，可以对屏幕射击操作科目进程、科目选择、数据交互等。</w:t>
            </w:r>
          </w:p>
        </w:tc>
      </w:tr>
      <w:tr w14:paraId="2841CCD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10BD17B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18</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C47389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其他类型射击科目</w:t>
            </w:r>
          </w:p>
        </w:tc>
        <w:tc>
          <w:tcPr>
            <w:tcW w:w="542" w:type="dxa"/>
            <w:tcBorders>
              <w:top w:val="single" w:color="auto" w:sz="4" w:space="0"/>
              <w:left w:val="single" w:color="auto" w:sz="4" w:space="0"/>
              <w:bottom w:val="single" w:color="auto" w:sz="4" w:space="0"/>
              <w:right w:val="single" w:color="auto" w:sz="4" w:space="0"/>
            </w:tcBorders>
            <w:vAlign w:val="center"/>
          </w:tcPr>
          <w:p w14:paraId="51AD524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3AE262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3CDBFCD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通过动态的娱乐内容，定制娱乐体验的十种训练科目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(1)靶标包括不限于：气球靶、风车靶、飞盘靶等；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科目十个及以上，每个科目视觉运动类型不同，涵盖：《左抛飞盘五轮低速射击》、《右抛飞盘五轮低速射击》、《左抛飞盘五轮高速射击》、《右抛飞盘五轮高速射击》、《左双抛飞盘三轮低速射击》、《右双抛飞盘三轮低速射击》、《12靶风车射击》、《气球上涌运动射击》、《随机轮盘运动射击》、《正侧上抛飞盘无轮射击》、《森林野猪猎杀射击》、《飞鸟猎杀射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(3)训练结束成绩均可以保存并数据实时查询；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(4)不同材质木质靶标、金属靶标命中交互产生不同的特效以及不同的音效等；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(5)每个科目训练结束提供成绩评估，包括不限于命中数、脱靶数、用时、射击因子、装弹数等等；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(6）系统启动后，可以对屏幕射击操作科目进程、科目选择、数据交互等。</w:t>
            </w:r>
          </w:p>
        </w:tc>
      </w:tr>
      <w:tr w14:paraId="55A8B4C3">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856B8F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19</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7DFA16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街区3D场景任务</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F32C9D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AA222B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F7D6F6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1.提供步行商业街区街区场景；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2.每个街区场景范围不小于300米*300米；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3.街区场景包含：街道、建筑物、人员、车辆、道具掩体、植被等；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4.界面场景模型不少于10000个三角面；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5.街区建模贴图普通目标不低于1024*1024、交互目标不低于2048*2048的贴图格式；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6.交互人员目标具有走、跑、蹲、死亡、说话、射击等动作；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7.交互人员目标具有AI智能行为；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8.人员目标数量不少于6种。</w:t>
            </w:r>
          </w:p>
        </w:tc>
      </w:tr>
      <w:tr w14:paraId="72E8B20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761C43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20</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8D1BEA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订制执法科目</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EDF7C8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2B2C7E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0F523DA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1.定制3D场景环境，执法任务环境，可选择室内、室外、监狱、法庭等场景制作；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2.科目按照选定区域构建3D街道、建筑物室内、植物、车辆及各类设施，与实际环境相似度不低于80%；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3.场景范围：室内不小于500平米，室外不小于1000平米；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4.街区设置人员、车辆、道具掩体、植被等；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5.界面场景模型不少于10000个三角面；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6.街区建模贴图普通目标不低于1024*1024、交互目标不低于2048*2048的贴图格式。</w:t>
            </w:r>
          </w:p>
        </w:tc>
      </w:tr>
      <w:tr w14:paraId="31A2FB0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66FE46A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BA65F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实装改造型92A激光训练器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BF6093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支</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2FBCBC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3CA2A173">
            <w:pPr>
              <w:pStyle w:val="48"/>
              <w:keepNext w:val="0"/>
              <w:keepLines w:val="0"/>
              <w:pageBreakBefore w:val="0"/>
              <w:kinsoku/>
              <w:wordWrap/>
              <w:overflowPunct/>
              <w:topLinePunct w:val="0"/>
              <w:autoSpaceDE/>
              <w:autoSpaceDN/>
              <w:bidi w:val="0"/>
              <w:spacing w:line="360" w:lineRule="auto"/>
              <w:ind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1.重量、外形、部组件位置、中心分布、射击使用方式与QBS92A型9毫米自动手枪实装一致，非塑料玩具枪及模拟训练枪外壳制作，大部分器件能够贴近实装材质，外观部件为实装件；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2.全重0.97±0.1kg（含1个匣）；全长188±2mm；宽度34±1mm； 高度146±2mm；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3.以电磁驱动内置活动组件运动的方式模拟枪支射击时的后坐与振动；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4.弹匣供电，可拆卸，插入弹匣自身可以模拟枪支后坐力震动，弹夹具备&gt;20发反馈；拉栓</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当拉栓拉动时，激光模拟器模拟上弹；快慢机模式转换</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单发模式、保险模式，保险模式扳机不能自由运动；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5.以发射不可见激光的方式模拟武器发射，发射激光对人眼无害；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6.更换弹匣、首发装填、瞄准、击发等射击操作过程与真实步枪一致，可以模拟卸弹夹、上弹夹、上膛、射击等动作，可计算弹夹子弹数量，提供计数功能；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7.能够采集保险、扳机、更换弹匣、首发装填等操作部件的状态信息；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8.扳机有二道火；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9.确保无法进行实弹射击；</w:t>
            </w:r>
          </w:p>
          <w:p w14:paraId="44C29076">
            <w:pPr>
              <w:pStyle w:val="48"/>
              <w:keepNext w:val="0"/>
              <w:keepLines w:val="0"/>
              <w:pageBreakBefore w:val="0"/>
              <w:kinsoku/>
              <w:wordWrap/>
              <w:overflowPunct/>
              <w:topLinePunct w:val="0"/>
              <w:autoSpaceDE/>
              <w:autoSpaceDN/>
              <w:bidi w:val="0"/>
              <w:spacing w:line="360" w:lineRule="auto"/>
              <w:ind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10.供电方式弹匣内置动力锂电池，更换便捷，满电状态下连续可击发数≮200发，每支枪提供不少于2个供电弹匣；配备相应充电设备，弹夹支持快充，快充条件下≯12分钟。</w:t>
            </w:r>
          </w:p>
          <w:p w14:paraId="7458742F">
            <w:pPr>
              <w:pStyle w:val="48"/>
              <w:keepNext w:val="0"/>
              <w:keepLines w:val="0"/>
              <w:pageBreakBefore w:val="0"/>
              <w:kinsoku/>
              <w:wordWrap/>
              <w:overflowPunct/>
              <w:topLinePunct w:val="0"/>
              <w:autoSpaceDE/>
              <w:autoSpaceDN/>
              <w:bidi w:val="0"/>
              <w:spacing w:line="360" w:lineRule="auto"/>
              <w:ind w:right="0" w:firstLine="0" w:firstLineChars="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11.92A型电动激光训练器材为92A实装简化改制版本，根据法律要求，生产企业须具有《武器装备科研生产许可证》或《民用枪支制造许可证》。</w:t>
            </w:r>
          </w:p>
        </w:tc>
      </w:tr>
      <w:tr w14:paraId="62D49BF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4440AA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A912A5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实装改造型95-1步枪终端</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3A08AB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支</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0032F5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vAlign w:val="center"/>
          </w:tcPr>
          <w:p w14:paraId="3041067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采用实装配件真实还原95-1实装，训练射击者据持动作、瞄准、击发等战术要领，达到熟练使用枪械及完成各种射击训练，外观件全部为实装。</w:t>
            </w:r>
          </w:p>
          <w:p w14:paraId="7B75EDB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1.重量、外形、部组件位置与95-1式实装一致，为95-1步枪实装改制；</w:t>
            </w:r>
          </w:p>
          <w:p w14:paraId="63AC48B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2.全重3.7±0.1kg（含1个弹匣）； 全长745±5mm；</w:t>
            </w:r>
          </w:p>
          <w:p w14:paraId="7512256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3.以电磁驱动内置活动组件运动的方式模拟枪支射击时的后坐与振动； </w:t>
            </w:r>
          </w:p>
          <w:p w14:paraId="26A5060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4.枪机复进行程（电动回膛）≥90mm；</w:t>
            </w:r>
          </w:p>
          <w:p w14:paraId="4965071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5.弹匣可拆卸。弹匣供电，不用外部供电、供气，插入弹匣自身可以模拟枪支后坐力震动，便于支持行进射击训练，依靠掩体等战术射击训练；弹匣提供电量指示灯和充电提示灯；</w:t>
            </w:r>
          </w:p>
          <w:p w14:paraId="0B816B1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6.以发射不可见激光的方式模拟武器发射，发射激光对人眼无害；</w:t>
            </w:r>
          </w:p>
          <w:p w14:paraId="29C9AFA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7.更换弹匣、首发装填、瞄准、击发等射击操作过程与真实步枪一致；</w:t>
            </w:r>
          </w:p>
          <w:p w14:paraId="6593E6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8.能够采集保险快慢机、扳机、更换匣、首发装填等操作部件的状态信息。无线数据传输，通讯距离不小于100米；</w:t>
            </w:r>
          </w:p>
          <w:p w14:paraId="200FDAF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9.照门可左右调节，标尺可旋转调节，准星可上下调节；</w:t>
            </w:r>
          </w:p>
          <w:p w14:paraId="657C48F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10.扳机有二道火（扳机为两段式扣发，扣下扳机的时候可以明显感觉到两段不同的力反馈。）；</w:t>
            </w:r>
          </w:p>
          <w:p w14:paraId="661B877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11.确保无法进行实弹射击；</w:t>
            </w:r>
          </w:p>
          <w:p w14:paraId="0E95C1A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12.平均射速：单发不低于60发/分、连发不低于500发/分；</w:t>
            </w:r>
          </w:p>
          <w:p w14:paraId="434F991E">
            <w:pPr>
              <w:keepNext w:val="0"/>
              <w:keepLines w:val="0"/>
              <w:pageBreakBefore w:val="0"/>
              <w:widowControl/>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13.95-1型电动激光训练器材为95-1实装简化改制版本，根据法律要求,生产企业须具有《武器装备科研生产许可证》或《民用枪支制造许可证》。</w:t>
            </w:r>
          </w:p>
        </w:tc>
      </w:tr>
      <w:tr w14:paraId="3D9CCA8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9E18D8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三</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D80FA0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动态靶标射击系统</w:t>
            </w:r>
          </w:p>
        </w:tc>
        <w:tc>
          <w:tcPr>
            <w:tcW w:w="542" w:type="dxa"/>
            <w:tcBorders>
              <w:top w:val="single" w:color="auto" w:sz="4" w:space="0"/>
              <w:left w:val="single" w:color="auto" w:sz="4" w:space="0"/>
              <w:bottom w:val="single" w:color="auto" w:sz="4" w:space="0"/>
              <w:right w:val="single" w:color="auto" w:sz="4" w:space="0"/>
            </w:tcBorders>
            <w:vAlign w:val="center"/>
          </w:tcPr>
          <w:p w14:paraId="20B4E6F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278882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vAlign w:val="center"/>
          </w:tcPr>
          <w:p w14:paraId="5C493C0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552A54E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0F97A3B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bookmarkStart w:id="49" w:name="_Hlk209086662"/>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432522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靶标控制系统</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880693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29839E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3228E2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1.管理和控制场地内配套靶机、模拟感应人形靶标、智能导航机器人靶标，能够根据任务设定目标的动作方式、中弹反应、识别模式等控制参数；</w:t>
            </w:r>
          </w:p>
          <w:p w14:paraId="108C1FB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2.人员管理：系统可录入受训队、组、人等相关信息，用于训练任务与人员的关联，记录组、队、人的训练成绩，自由绑定定位标签；</w:t>
            </w:r>
          </w:p>
          <w:p w14:paraId="33FF91B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3.靶标控制：设定起倒、旋转、摆动时间和频次，规划靶标的动作时间，设置靶标触发方式（时间触发、感应触发），设定命中部位的损伤比例，设定各类目标的所属类型（敌方、人质）；</w:t>
            </w:r>
          </w:p>
          <w:p w14:paraId="2DB4A49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4.编制训练方案：根据各个场地训练需求编制分场地编制训练方案并存储记录，各场地能够独立运行训练方案；模拟终端编配方案能灵活调整，通过单个或批量方式配置模拟终端的各类工作参数；</w:t>
            </w:r>
          </w:p>
          <w:p w14:paraId="25A328A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5.可视化训练成绩显示：系统能够同时显示多个场地的实时训练成绩，展示训练结果，并能按照指定格式导出成绩数据；</w:t>
            </w:r>
          </w:p>
          <w:p w14:paraId="7B9938C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6.系统支撑各场地的拖拽式设备定位态势显示，并提供态势各方的消息提醒</w:t>
            </w:r>
            <w:r>
              <w:rPr>
                <w:rFonts w:hint="eastAsia" w:asciiTheme="majorEastAsia" w:hAnsiTheme="majorEastAsia" w:eastAsiaTheme="majorEastAsia" w:cstheme="majorEastAsia"/>
                <w:color w:val="auto"/>
                <w:kern w:val="0"/>
                <w:sz w:val="21"/>
                <w:szCs w:val="21"/>
                <w:highlight w:val="none"/>
                <w:lang w:eastAsia="zh-CN"/>
              </w:rPr>
              <w:t>；</w:t>
            </w:r>
          </w:p>
          <w:p w14:paraId="1820962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7.支持场地平面图的加载和靶机图标信息的动态编辑；</w:t>
            </w:r>
          </w:p>
          <w:p w14:paraId="10E252D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8.能自动建立并维护终端编号与动态网络地址间的映射关系，能通过数据库模式实现对系统配置参数的信息化管理；</w:t>
            </w:r>
          </w:p>
          <w:p w14:paraId="5AD38B4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9.态势显示：支持场地平面态势地图，实时显示靶机位置；</w:t>
            </w:r>
          </w:p>
          <w:p w14:paraId="391BBF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10.控制主机：处理器频率：≮2.4GHz；单颗处理器≮8核；内存：≥16GB，硬盘≥500GB；显示器≥23英寸。</w:t>
            </w:r>
          </w:p>
        </w:tc>
      </w:tr>
      <w:bookmarkEnd w:id="49"/>
      <w:tr w14:paraId="63A8B40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0CA112A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C49B85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旋转、起倒、摇摆一体化靶机</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A78FBA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871D86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3ABC91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1.靶机报靶采用导电感应，使用标准通用导电靶板（适应手枪、步枪应用射击报靶）；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2.靶机隐显为三种模式：90度起倒、90度左右旋转、30度左右摇摆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（三种模式不需要人为变更靶机状态和靶板方向即可分别实现）；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3.报靶正确率≥98%。报靶精度：区域性；</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4.报靶形式：模拟图标指示和语音报靶（与其他报靶显示器通用）；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5.靶面类型：标准各类战术靶、歹徒靶、战术激光靶；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6.适用射击距离：7米～800米；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7.靶机壳体材质：金属材质，可防水、防锈；</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8.靶机重量：＜38Kg；</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9.弹药识别：实弹弹药、激光弹药，可直接接收和识别本项目配置的激光步枪所发射激光；</w:t>
            </w:r>
          </w:p>
          <w:p w14:paraId="76F80BB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10.靶机具有开机自检，故障报警功能；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11.靶机适用温度：-20℃～+50℃；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12.远程控制方式：通过总控计算机系统和无线遥控器可对各靶机无线控制。总控系统控制距离≥</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00米，遥控器控制距离≥</w:t>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13.靶机控制模式：遥控器可进行系统编程、调整单机的起倒、旋转、摇摆及速度等各种参数；可编制全体靶机的参数实施集中控制；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14.遥控可事实延时功能及到位缓冲控制功能；可自行设定时间，使靶机在设定时间内自动隐、显靶；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15.自动保护：靶机超过最大扭力时自动停止用行，防止烧机；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16.起倒、旋转、摆动次数：充满电的情况下，可连续起倒/旋转/摆动次数≥1500次；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17.供电模式：采用可循环充电铅酸电池供电，更换方便，充满电正常使用时间≥10小时以上；</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18.夜巡功能：靶机具有照靶灯，照靶灯与靶机为一体且亮度可调，照靶灯可设置显靶灯亮，隐靶灯灭；</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19.抗风、防水能力：在7级风及以下、中雨及以下环境能够正常使用；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20.</w:t>
            </w:r>
            <w:bookmarkStart w:id="50" w:name="OLE_LINK6"/>
            <w:r>
              <w:rPr>
                <w:rFonts w:hint="eastAsia" w:asciiTheme="majorEastAsia" w:hAnsiTheme="majorEastAsia" w:eastAsiaTheme="majorEastAsia" w:cstheme="majorEastAsia"/>
                <w:color w:val="auto"/>
                <w:kern w:val="0"/>
                <w:sz w:val="21"/>
                <w:szCs w:val="21"/>
                <w:highlight w:val="none"/>
              </w:rPr>
              <w:t>防雨淋能力：在100mm/h下不低于0.5h；</w:t>
            </w:r>
            <w:bookmarkEnd w:id="50"/>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21.防腐蚀：表层采用电镀、静电喷绘、喷塑、烤漆、喷漆等方式进行防锈处理，涂层厚度≥60μm,底座整体作防腐防锈处理。</w:t>
            </w:r>
          </w:p>
        </w:tc>
      </w:tr>
      <w:tr w14:paraId="6BFA7DD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770BE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989647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立轨式横向移动靶</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4394DA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7ABFCD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0C6855D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横向移动靶机是应用于战术训练的运动射击目标载体，可搭载固定单兵转动靶模组，配置胸环靶、半身靶、模型靶等各类靶标，模拟在2～25米距离内快速运动的射击目标。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1.最高移动速度1～3米/秒，速度可调；</w:t>
            </w:r>
          </w:p>
          <w:p w14:paraId="3CCB2C3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2.移动范围可调； </w:t>
            </w:r>
          </w:p>
          <w:p w14:paraId="3523B8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3.运动组件尺寸：≤750*450*640mm； </w:t>
            </w:r>
          </w:p>
          <w:p w14:paraId="44FFD9F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4.隐显模块：支持旋转运动，≤1秒完成90度旋转； </w:t>
            </w:r>
          </w:p>
          <w:p w14:paraId="3C7A5D3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5.靶板模式：导电靶板、激光靶板； </w:t>
            </w:r>
          </w:p>
          <w:p w14:paraId="52BB0E2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6.拆分组合方便，采用贴墙立式安装方式，便于更换使用场地，适应不同大小训练场地；</w:t>
            </w:r>
          </w:p>
          <w:p w14:paraId="4BF270C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7.可安装旋转隐显模组； </w:t>
            </w:r>
          </w:p>
          <w:p w14:paraId="22F65BA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8.具备便携控制器和工控机两种控制方式； </w:t>
            </w:r>
          </w:p>
          <w:p w14:paraId="235373BD">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9.支持弹药：实弹、激光弹药； </w:t>
            </w:r>
          </w:p>
          <w:p w14:paraId="570BBD3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10.电源输出：DC24V； </w:t>
            </w:r>
          </w:p>
          <w:p w14:paraId="228BD11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11.防护等级：不低于IP65。</w:t>
            </w:r>
          </w:p>
        </w:tc>
      </w:tr>
      <w:tr w14:paraId="23597D9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30D8E13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4E58C7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机器人靶标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B2255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262CF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114830D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1.车体机动能力：可进行正/反向行驶、原地360°正/反向旋转，旋转速度不低于180°/s，运动速度0～5m/s可调；</w:t>
            </w:r>
          </w:p>
          <w:p w14:paraId="29B783C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2.运动功能：机器人可按照速度、控制动作进行直线运动、自由运动等多种运动方式；</w:t>
            </w:r>
          </w:p>
          <w:p w14:paraId="59FB546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3.搭载靶人动作：可模拟90度起倒动作，90度旋转动作，模拟动作无需更换任何部件或修改靶机；</w:t>
            </w:r>
          </w:p>
          <w:p w14:paraId="1E43989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4.遥控距离≥300米；</w:t>
            </w:r>
          </w:p>
          <w:p w14:paraId="333B5EC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5.安全距离设置：防撞安全距离0～3米可设；</w:t>
            </w:r>
          </w:p>
          <w:p w14:paraId="1F99DA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6.软硬件防撞功能：安装有软硬防撞系统，当与障碍物距离小于指定阈值时；</w:t>
            </w:r>
          </w:p>
          <w:p w14:paraId="55282D1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7.自动避让功能：结合超声波检测、靶车同区域运动能避免产生碰撞；</w:t>
            </w:r>
          </w:p>
          <w:p w14:paraId="6FAFA37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8.报靶功能：具有激光、实弹两种命中报靶功能，能够识别项目配置的模拟武器激光信号，命中后靶标具有减速、停止等动作反应和声音提示功能；</w:t>
            </w:r>
          </w:p>
          <w:p w14:paraId="7F23FDB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9.承载重量：≥50kg；</w:t>
            </w:r>
          </w:p>
          <w:p w14:paraId="1DAED8C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10.供电方式：采用锂电池供电，具有过流、过载、过充等充电保护功能；</w:t>
            </w:r>
          </w:p>
          <w:p w14:paraId="3958387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11.驱动方式：轮式驱动，每台电机功率≮200W；</w:t>
            </w:r>
          </w:p>
          <w:p w14:paraId="5E41E02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12.适用路面：适用于沥青、橡胶转、水泥、地毯、木板等多种路面环境；</w:t>
            </w:r>
          </w:p>
          <w:p w14:paraId="263C6F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13.待机时间：≮10天；</w:t>
            </w:r>
          </w:p>
          <w:p w14:paraId="40934DB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14.续航时间：≥5h；</w:t>
            </w:r>
          </w:p>
          <w:p w14:paraId="68BFA99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15.工作环度：-20℃～+50℃。</w:t>
            </w:r>
          </w:p>
          <w:p w14:paraId="27D43A2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（车体局部配置防弹板）</w:t>
            </w:r>
          </w:p>
        </w:tc>
      </w:tr>
      <w:tr w14:paraId="1A2F0FF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4FE8D07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B59111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系列钢板靶</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63898A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156B2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9C622F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1.风车钢板靶（5套），具备不少于6个圆形钢板射击目标；</w:t>
            </w:r>
          </w:p>
          <w:p w14:paraId="4431AAB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2.摇摆钢板靶（1套），具备不少于4个圆形钢板射击目标。</w:t>
            </w:r>
          </w:p>
        </w:tc>
      </w:tr>
      <w:tr w14:paraId="5A9EA9BE">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550BD0E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C5623E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视觉捕捉模拟射击终端</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96BE5B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EE82B8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1B3BE3E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用于射击模拟训练和实弹技能检验，解决射手在空枪练习时教练员无法准确捕捉和重现射手的错误点，射手在空枪练习过程中据枪、瞄准、击发和击发结果有效性无法直观量化等难题。检验实弹射击过程中瞄准和击发的正确性、一致性问题，检验射击后瞄准线的快速回复并再次构成正确瞄准境况的快速射击能力；支持战术目标射击训练。系统包括：产品由枪瞄仪1只、枪瞄仪装配夹具1套、扳机触发检测套件、显控终端（含专用系统软件）、移动电源（充电宝）和全铝手提箱组成。</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1.系统软件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（1）支持开机自动连接并实时同步显示枪瞄仪画面，枪瞄仪画面图像延迟时间≤100毫秒；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（2）支持枪瞄仪电量值检测功能；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（3）校准方式：支持光标自动校准及手动校准功能；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（4）支持视频画面≥5倍放大功能，方便射手在远距离更清晰的校准和观察；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（5）支持不少于自由射击、战术对抗射击等训练功能模块；</w:t>
            </w:r>
          </w:p>
          <w:p w14:paraId="35C4F9E8">
            <w:pPr>
              <w:keepNext w:val="0"/>
              <w:keepLines w:val="0"/>
              <w:pageBreakBefore w:val="0"/>
              <w:widowControl/>
              <w:numPr>
                <w:ilvl w:val="0"/>
                <w:numId w:val="4"/>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支持对胸环靶、半身靶、侧身靶、头靶、各类监墙应用靶、劫持人质靶等不少于12种靶型自动识别并判定中靶、脱靶、环数；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（7）支持语音报靶，可针对不同参训单位快速调整语音报靶方式（小数报靶、整数报靶），报靶正确使用军语并能指示弹着偏向，报靶应精确到0.05环；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（8）支持对任意特定目标（人或物）生成实时附着弹着点图片；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（9）支持中靶、脱靶弹着点的采集，生成可视化模拟弹着点图片、弹序、单发成绩；</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（10）特殊靶标自动评判：根据靶标识别类型，调用大纲相应的评判标准，智能评定和识别各种监墙应用靶及人质靶的有效和无效区域；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（11）支持射击过程</w:t>
            </w:r>
            <w:r>
              <w:rPr>
                <w:rFonts w:hint="eastAsia" w:asciiTheme="majorEastAsia" w:hAnsiTheme="majorEastAsia" w:eastAsiaTheme="majorEastAsia" w:cstheme="majorEastAsia"/>
                <w:color w:val="auto"/>
                <w:kern w:val="0"/>
                <w:sz w:val="21"/>
                <w:szCs w:val="21"/>
                <w:highlight w:val="none"/>
                <w:lang w:val="en-US" w:eastAsia="zh-CN"/>
              </w:rPr>
              <w:t>举</w:t>
            </w:r>
            <w:r>
              <w:rPr>
                <w:rFonts w:hint="eastAsia" w:asciiTheme="majorEastAsia" w:hAnsiTheme="majorEastAsia" w:eastAsiaTheme="majorEastAsia" w:cstheme="majorEastAsia"/>
                <w:color w:val="auto"/>
                <w:kern w:val="0"/>
                <w:sz w:val="21"/>
                <w:szCs w:val="21"/>
                <w:highlight w:val="none"/>
              </w:rPr>
              <w:t>枪瞄准轨迹采集功能，为便于区分路径移动范围和走向，轨迹线需具备不同环数显示不同颜色功能，同时具备射击过程轨迹回放功能，便于教练员和射击作事后分析；</w:t>
            </w:r>
          </w:p>
          <w:p w14:paraId="291BE68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12）支持射击训练全流程（举枪、瞄准、击发、击发后）视频录制功能，录制视频支持不同速率回放，回放视频中据枪轨迹与实时视频画面同步显示，便于射击问题详细分析，视频进度条可拖动，自动标记击发瞬间视频进度条位置，便于教练员和射手对击发瞬间进行特定分析；</w:t>
            </w:r>
          </w:p>
          <w:p w14:paraId="560F83C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（13）具备扳机预压瞬间检测功能。</w:t>
            </w:r>
          </w:p>
          <w:p w14:paraId="504F6C7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2.枪瞄仪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（1）适用枪型：自带战术卡槽，方便安装于已装配的主流枪支上（满足95系列、03式和191系列自动步枪，95机枪，92、20系列手枪）；</w:t>
            </w:r>
          </w:p>
          <w:p w14:paraId="62720EC9">
            <w:pPr>
              <w:keepNext w:val="0"/>
              <w:keepLines w:val="0"/>
              <w:pageBreakBefore w:val="0"/>
              <w:widowControl/>
              <w:numPr>
                <w:ilvl w:val="0"/>
                <w:numId w:val="5"/>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安装方式：通过专用夹具安装在真实步枪上方，当燕尾槽（95式、03式）或皮卡导轨（191型）上安装有瞄准镜时，有成熟和稳固的枪管倒置型安装方案，枪瞄仪支持视频翻转显示；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（3）适用环境：星光级图像传感器，支持训练人员在白天、夜间微光环境下不借助额外光线情况下全天候进行射击训练；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（4）适用距离：支持5～200米不同距离的精度报靶射击训练、1000米内的任意目标射击训练和战术对抗训练；</w:t>
            </w:r>
          </w:p>
          <w:p w14:paraId="52BD7F5B">
            <w:pPr>
              <w:keepNext w:val="0"/>
              <w:keepLines w:val="0"/>
              <w:pageBreakBefore w:val="0"/>
              <w:widowControl/>
              <w:numPr>
                <w:ilvl w:val="0"/>
                <w:numId w:val="6"/>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故障检测：自带枪瞄仪状态检测指示灯，便于用户在使用过程中进行故障排除；</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（6）主控芯片：高算力AI主控芯片，双核不低于1.2G处理器，AI处理器内置神经网络加速器,最高支持8TOPS的高算力；</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（7）传输方式：支持枪瞄仪与显控终端点对点传输，枪瞄仪和显控终端在局域网内远程传输；</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（8）电池续航：单块锂电池支持连续工作8小时以上；</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（9）防护等级：不低于IP66；</w:t>
            </w:r>
          </w:p>
          <w:p w14:paraId="6A52022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（10）抗冲击性：具备承受实弹射击冲击能力，抗冲击性≥300G加速度瞬间冲击；</w:t>
            </w:r>
          </w:p>
          <w:p w14:paraId="0C70F2A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（11）抗跌落性：自不低于1米高空自由跌落至混凝土、木板地面，机身表面无裂纹，使用功能正常；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（12）抗振动性：将整机固定于振动台上，接受扫频条件为 50Hz～100Hz，振幅为 0.3mm，正弦扫频持续测试0.5h，设备并无元器件松动、位移和损坏，使用功能正常；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（13）工作温度：-20℃～+45℃；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（14）工作湿度：10%RH～90%RH。</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3.显控终端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（1）显示尺寸：≥10英寸；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（2）屏幕亮度：≥700cd/㎡；</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（3）CPU速度：单核≥1.2GHz；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（4）CPU核心数：≥八核；</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（5）运行内存：≥8.0GB；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（6）内存：≥128GB；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（7）电池：长续航锂电池，续航≥8小时；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（8）防护等级：不低于IP68。</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4.扳机触发检测套件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（1）具备击发信号检测功能，不影响扳机正常击发；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（2）可加装于部队已装配的主流枪支上（满足95系列、03式和191系列自动步枪，95机枪，92、20系列手枪），无需对枪支进行任何改动；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（3）自带限位调节螺母，可根据不同枪支扳机位置距离差异进行调整，达到器材去适配枪支的效果。</w:t>
            </w:r>
          </w:p>
        </w:tc>
      </w:tr>
      <w:tr w14:paraId="2089F60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6A681E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695926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移动防弹器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4D91F5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8BFB6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5BAEB80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1.规格：宽≥1500mm*高≥1900mm*厚140mm±10mm，具备移动轮；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2.材质：不低于8mm防弹钢板、不低于10mm木板、不低于25mm橡胶板；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3.经过实弹测试：92手枪测试无穿透、95-1步枪测试无穿透，测试位置不少于左上、左下、右上、右下4个方位；</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▲4.手枪弹痕深度≤0.7mm，步枪弹痕深≤0.7mm</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spacing w:val="12"/>
                <w:sz w:val="21"/>
                <w:szCs w:val="21"/>
                <w:highlight w:val="none"/>
              </w:rPr>
              <w:t>具备上下左右位置的弹痕深度记录，测量方位不少于4个，弹痕测量位置不少于6个</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5.移动：3～4人能够快速组装，且自由移动；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6.橡胶环保等级要求：（1）铅（Pb）：不超过5mg/kg；（2）汞（Hg）：不超过5mg/kg；（3）镉（Cd）：不超过5mg/kg；（4）铬（Cr）：不超过5mg/kg；（5）苯：不超过0.05g/kg；（6）甲苯和二甲苯总和：不超过0.05g/kg等。</w:t>
            </w:r>
          </w:p>
        </w:tc>
      </w:tr>
      <w:tr w14:paraId="347D07A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shd w:val="clear" w:color="000000" w:fill="FFFFFF"/>
            <w:vAlign w:val="center"/>
          </w:tcPr>
          <w:p w14:paraId="232646B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78D492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耗材</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2CC4ED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52DF27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5A0ADC1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线缆、三种功能导电靶板8套、实弹型立体人型靶2套（含特征服装），激光接收型人型靶板（4套）。</w:t>
            </w:r>
          </w:p>
        </w:tc>
      </w:tr>
      <w:tr w14:paraId="49CFDD3E">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6C13A3E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四</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A2A089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监控及广播设备</w:t>
            </w:r>
          </w:p>
        </w:tc>
        <w:tc>
          <w:tcPr>
            <w:tcW w:w="542" w:type="dxa"/>
            <w:tcBorders>
              <w:top w:val="single" w:color="auto" w:sz="4" w:space="0"/>
              <w:left w:val="single" w:color="auto" w:sz="4" w:space="0"/>
              <w:bottom w:val="single" w:color="auto" w:sz="4" w:space="0"/>
              <w:right w:val="single" w:color="auto" w:sz="4" w:space="0"/>
            </w:tcBorders>
            <w:vAlign w:val="center"/>
          </w:tcPr>
          <w:p w14:paraId="57BFA99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vAlign w:val="center"/>
          </w:tcPr>
          <w:p w14:paraId="73C8291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vAlign w:val="center"/>
          </w:tcPr>
          <w:p w14:paraId="4D728AF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36A9519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F3D994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9F0977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枪球一体化监控</w:t>
            </w:r>
          </w:p>
        </w:tc>
        <w:tc>
          <w:tcPr>
            <w:tcW w:w="542" w:type="dxa"/>
            <w:tcBorders>
              <w:top w:val="single" w:color="auto" w:sz="4" w:space="0"/>
              <w:left w:val="single" w:color="auto" w:sz="4" w:space="0"/>
              <w:bottom w:val="single" w:color="auto" w:sz="4" w:space="0"/>
              <w:right w:val="single" w:color="auto" w:sz="4" w:space="0"/>
            </w:tcBorders>
            <w:vAlign w:val="center"/>
          </w:tcPr>
          <w:p w14:paraId="32D05E8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2551CD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6880" w:type="dxa"/>
            <w:tcBorders>
              <w:top w:val="single" w:color="auto" w:sz="4" w:space="0"/>
              <w:left w:val="single" w:color="auto" w:sz="4" w:space="0"/>
              <w:bottom w:val="single" w:color="auto" w:sz="4" w:space="0"/>
              <w:right w:val="single" w:color="auto" w:sz="4" w:space="0"/>
            </w:tcBorders>
            <w:vAlign w:val="center"/>
          </w:tcPr>
          <w:p w14:paraId="6B3E075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1.全景枪球，全景≥600万，细节≥400万，支持GB35114</w:t>
            </w:r>
            <w:r>
              <w:rPr>
                <w:rFonts w:hint="eastAsia" w:asciiTheme="majorEastAsia" w:hAnsiTheme="majorEastAsia" w:eastAsiaTheme="majorEastAsia" w:cstheme="majorEastAsia"/>
                <w:color w:val="auto"/>
                <w:kern w:val="0"/>
                <w:sz w:val="21"/>
                <w:szCs w:val="21"/>
                <w:highlight w:val="none"/>
                <w:lang w:val="en-US" w:eastAsia="zh-CN"/>
              </w:rPr>
              <w:t>-117</w:t>
            </w:r>
            <w:r>
              <w:rPr>
                <w:rFonts w:hint="eastAsia" w:asciiTheme="majorEastAsia" w:hAnsiTheme="majorEastAsia" w:eastAsiaTheme="majorEastAsia" w:cstheme="majorEastAsia"/>
                <w:color w:val="auto"/>
                <w:kern w:val="0"/>
                <w:sz w:val="21"/>
                <w:szCs w:val="21"/>
                <w:highlight w:val="none"/>
              </w:rPr>
              <w:t>安全加密；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2.全景路视频图像分辨率不小于3632x1632，细节路视频图像分辨率不小于2560x1440；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3.摄像机内置不少于3个镜头，可输出至少1路全景视频和1路细节视频，其中全景内置不少于2个镜头，细节内置1个镜头；</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4.全景内置2个镜头，光圈不小于F1.0，具有不小于1/1.8靶面尺寸，内置4颗补光灯。细节内置1个镜头，具备不小于1/1.8靶面尺寸，内置10颗红外补光灯及1颗白光灯；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5.全景通道和细节通道最低照度彩色不大于0.0002 lx，黑白不大于0.0001 lx；</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6.内置1个镜头，支持不小于32倍光学变倍，镜头最大焦距不小于192mm；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7.支持水平旋转范围360°连续旋转，垂直旋转范围-20°～90°，全景通道可进行垂直旋转，旋转范围不低于12°，并可进行调节；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8.支持300个预置点，可设置8条巡航路径，支持预置位视频冻结功能；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9.设备具有 H.265、H.264、MPEG-4、MJPEG设置选项；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10.内置不少于2颗GPU芯片，全景通道可输出两个镜头无缝拼接的全景图像，拼接偏差像素不大于4个像素。全景通道水平视场角不小于190°，垂直视场角不小于80°；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设备具备声音报警输出功能，可设置11种警戒音、提示音、自定义语音，报警次数1～50次可设；具备闪光灯报警输出功能，可设置闪光灯闪烁时间（1-300），闪烁频率（高、中、低、常亮），亮度（1-100），可通过区域入侵侦测、越界侦测、进入区域侦测、离开区域侦测等报警事件，联动闪光报警、声音报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12.摄像机具备AR标签管理功能、AR标签抖动漂移功能、AR标签联动查看功能。</w:t>
            </w:r>
          </w:p>
        </w:tc>
      </w:tr>
      <w:tr w14:paraId="2463BF8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1246905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4CD23B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硬盘录像机</w:t>
            </w:r>
          </w:p>
        </w:tc>
        <w:tc>
          <w:tcPr>
            <w:tcW w:w="542" w:type="dxa"/>
            <w:tcBorders>
              <w:top w:val="single" w:color="auto" w:sz="4" w:space="0"/>
              <w:left w:val="single" w:color="auto" w:sz="4" w:space="0"/>
              <w:bottom w:val="single" w:color="auto" w:sz="4" w:space="0"/>
              <w:right w:val="single" w:color="auto" w:sz="4" w:space="0"/>
            </w:tcBorders>
            <w:vAlign w:val="center"/>
          </w:tcPr>
          <w:p w14:paraId="3CF1EA8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29FF9CF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292C3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1.存储接口≥3个SATA接口，可满配≥20TB硬盘；</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2.输入带宽≥256Mbps，输出带宽≥256Mbps；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3.接入能力≥16路H.264、H.265格式高清码流接入；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4.整机搭载高性能AI处理器，搭配智能相机，支持全路数以文搜图应用；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5.内置图文搜索引擎，支持开放式语义检索，输入文字描述即可查找人、车、非机动车及附属物等目标；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6.支持搜索结果按相似度排序展示，根据搜索结果，可一键关联录像片段及以图搜图；</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7.支持目标抓拍、比对报警；支持以图搜图、按姓名检索、按属性检索；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8.支持≥16个名单库，总库容≥5万张；</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9.设备支持以文搜图功能，可通过文字语义描述，快速检索目标对象或内容；并可基于以文搜图快速检索的结果，对目标进行图搜的二次精准检索定位；</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10.支持将搜索内容添加到历史记录，历史检索词条保持最近10条，通过直接点击该高频热词或历史记录可直接进行重复检索；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11.支持独立的以文搜图应用展示界面，默认支持全通道录像检索，且通道和时间范围可设；支持自定义选择时间范围，可快速选择1天、3天、7天；</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12.设备支持独立的智能以文搜图应用模块，应用内置以文搜图高频热词，如：人的上衣颜色、下装颜色、随身物品、性别；车的颜色、类型、品牌；其他的抽烟、打电话、玩手机等。</w:t>
            </w:r>
          </w:p>
        </w:tc>
      </w:tr>
      <w:tr w14:paraId="1B90B15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AEF92E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BC88A0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矩阵切换器</w:t>
            </w:r>
          </w:p>
        </w:tc>
        <w:tc>
          <w:tcPr>
            <w:tcW w:w="542" w:type="dxa"/>
            <w:tcBorders>
              <w:top w:val="single" w:color="auto" w:sz="4" w:space="0"/>
              <w:left w:val="single" w:color="auto" w:sz="4" w:space="0"/>
              <w:bottom w:val="single" w:color="auto" w:sz="4" w:space="0"/>
              <w:right w:val="single" w:color="auto" w:sz="4" w:space="0"/>
            </w:tcBorders>
            <w:vAlign w:val="center"/>
          </w:tcPr>
          <w:p w14:paraId="29CED45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796BD68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B34D76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16进16出，HDMI端口；</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1.全铝机箱,结构可靠,符合EMC标准；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2.全模块化设计,维护快捷、简便；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3.单通道设计,配置灵活；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4.专业散热风道设计,确保整机长期稳定运行；</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5.采用电讯级核心数字交换芯片，具有超强抗干扰能力；</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6.高速并行总线交换技术,交换速率最高可达18Gbps，保证图像信号的无损输出；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7.高速率浮点运算技术，提高设备的切换速度，实现快速切换；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8.采用了全数字无压缩传输，真正确保信号无失真；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9.RGB444功能,倍频倍线功能；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10.支持4KX2K核心交换；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11.输入端过电压保护，降低设备损坏概率；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12.具备掉电状态自动存储保护、开机自动恢复记忆功能。</w:t>
            </w:r>
          </w:p>
        </w:tc>
      </w:tr>
      <w:tr w14:paraId="6C46220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03D30B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100D4D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监控硬盘</w:t>
            </w:r>
          </w:p>
        </w:tc>
        <w:tc>
          <w:tcPr>
            <w:tcW w:w="542" w:type="dxa"/>
            <w:tcBorders>
              <w:top w:val="single" w:color="auto" w:sz="4" w:space="0"/>
              <w:left w:val="single" w:color="auto" w:sz="4" w:space="0"/>
              <w:bottom w:val="single" w:color="auto" w:sz="4" w:space="0"/>
              <w:right w:val="single" w:color="auto" w:sz="4" w:space="0"/>
            </w:tcBorders>
            <w:vAlign w:val="center"/>
          </w:tcPr>
          <w:p w14:paraId="56EFF1B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7078B13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C366F4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不低于4TB容量，3.5英寸，SATA3.0接口，不低于5400RPM，传输速率不低于176.4 MiB/s，流畅存储视频有效防止丢帧。</w:t>
            </w:r>
          </w:p>
        </w:tc>
      </w:tr>
      <w:tr w14:paraId="4045A38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69A983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CF15CE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监控</w:t>
            </w:r>
            <w:r>
              <w:rPr>
                <w:rFonts w:hint="eastAsia"/>
                <w:color w:val="auto"/>
                <w:highlight w:val="none"/>
                <w:lang w:eastAsia="zh-CN"/>
              </w:rPr>
              <w:t>终端</w:t>
            </w:r>
          </w:p>
        </w:tc>
        <w:tc>
          <w:tcPr>
            <w:tcW w:w="542" w:type="dxa"/>
            <w:tcBorders>
              <w:top w:val="single" w:color="auto" w:sz="4" w:space="0"/>
              <w:left w:val="single" w:color="auto" w:sz="4" w:space="0"/>
              <w:bottom w:val="single" w:color="auto" w:sz="4" w:space="0"/>
              <w:right w:val="single" w:color="auto" w:sz="4" w:space="0"/>
            </w:tcBorders>
            <w:vAlign w:val="center"/>
          </w:tcPr>
          <w:p w14:paraId="7ACE982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vAlign w:val="center"/>
          </w:tcPr>
          <w:p w14:paraId="54CC39F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B987E1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rPr>
              <w:t>不低于23寸，屏幕比例16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9，IPS广视角、滤蓝光不闪屏，分辨率不低于1920×1080。</w:t>
            </w:r>
          </w:p>
        </w:tc>
      </w:tr>
      <w:tr w14:paraId="1D7ACD5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CDBDA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1C921C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扩声音箱</w:t>
            </w:r>
          </w:p>
        </w:tc>
        <w:tc>
          <w:tcPr>
            <w:tcW w:w="542" w:type="dxa"/>
            <w:tcBorders>
              <w:top w:val="single" w:color="auto" w:sz="4" w:space="0"/>
              <w:left w:val="single" w:color="auto" w:sz="4" w:space="0"/>
              <w:bottom w:val="single" w:color="auto" w:sz="4" w:space="0"/>
              <w:right w:val="single" w:color="auto" w:sz="4" w:space="0"/>
            </w:tcBorders>
            <w:vAlign w:val="center"/>
          </w:tcPr>
          <w:p w14:paraId="6CEAB72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只</w:t>
            </w:r>
          </w:p>
        </w:tc>
        <w:tc>
          <w:tcPr>
            <w:tcW w:w="704" w:type="dxa"/>
            <w:tcBorders>
              <w:top w:val="single" w:color="auto" w:sz="4" w:space="0"/>
              <w:left w:val="single" w:color="auto" w:sz="4" w:space="0"/>
              <w:bottom w:val="single" w:color="auto" w:sz="4" w:space="0"/>
              <w:right w:val="single" w:color="auto" w:sz="4" w:space="0"/>
            </w:tcBorders>
            <w:vAlign w:val="center"/>
          </w:tcPr>
          <w:p w14:paraId="2C543FF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6880" w:type="dxa"/>
            <w:tcBorders>
              <w:top w:val="single" w:color="auto" w:sz="4" w:space="0"/>
              <w:left w:val="single" w:color="auto" w:sz="4" w:space="0"/>
              <w:bottom w:val="single" w:color="auto" w:sz="4" w:space="0"/>
              <w:right w:val="single" w:color="auto" w:sz="4" w:space="0"/>
            </w:tcBorders>
            <w:vAlign w:val="center"/>
          </w:tcPr>
          <w:p w14:paraId="5C9D0045">
            <w:pPr>
              <w:keepNext w:val="0"/>
              <w:keepLines w:val="0"/>
              <w:pageBreakBefore w:val="0"/>
              <w:widowControl/>
              <w:numPr>
                <w:ilvl w:val="-1"/>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单元结构：低频 ≥1×12"、高频 ≥1x1.75"；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2.频率范围(-10dB)：55Hz～20kHz；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3.频率响应(±3dB)：65Hz～20kHz；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4.指向性因素(Q)：15.0；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5.指向性指数(DI)：11.8dB；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6.覆盖角度(水平x垂直)：(40°/90°)x60°；</w:t>
            </w:r>
          </w:p>
          <w:p w14:paraId="487B5FC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7.灵敏度(1W/1m)：≥96dB；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8.最大声压级：≥120dB；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9.额定功率：≥350W。</w:t>
            </w:r>
          </w:p>
        </w:tc>
      </w:tr>
      <w:tr w14:paraId="08A7E7A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B616B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1531CD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音箱功放</w:t>
            </w:r>
          </w:p>
        </w:tc>
        <w:tc>
          <w:tcPr>
            <w:tcW w:w="542" w:type="dxa"/>
            <w:tcBorders>
              <w:top w:val="single" w:color="auto" w:sz="4" w:space="0"/>
              <w:left w:val="single" w:color="auto" w:sz="4" w:space="0"/>
              <w:bottom w:val="single" w:color="auto" w:sz="4" w:space="0"/>
              <w:right w:val="single" w:color="auto" w:sz="4" w:space="0"/>
            </w:tcBorders>
            <w:vAlign w:val="center"/>
          </w:tcPr>
          <w:p w14:paraId="560558C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0D303FA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1C96C30B">
            <w:pPr>
              <w:keepNext w:val="0"/>
              <w:keepLines w:val="0"/>
              <w:pageBreakBefore w:val="0"/>
              <w:widowControl/>
              <w:numPr>
                <w:ilvl w:val="-1"/>
                <w:numId w:val="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额定输出功率：8欧≥4x450W、4欧≥4x900W、2欧≥4x1300W、8欧桥接≥2x1125W、4欧桥接≥2x1800W；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2、频率响应(±0.25dB)：20Hz-20kHz；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3、输入灵敏度(8Ω/1kHz)：0.775V/1.0V/26dB；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4、信噪比(A计权)：≥108dB；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5、阻尼系数：≥1000；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6、互调失真IMD：≤0.02%；</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7、总谐波失真THD+N(典型值)：≤0.08%；</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8、转换速率：≥60V/us；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9、输入阻抗：20kΩ(平衡)、10kΩ(非平衡)；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10、直流残留：&lt;5mV；</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11、最大输出电压/电流：100V / 50A；</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12、功率因数cos(Φ)：&gt;0.95 @&gt;500W；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13、输出电路类型：CLASS-D类；</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14、冷却系统：DSP智能管理随温度自动调节；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15、输入接口：不少于4个XLR输入连接器；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16、并联输入/出接口：≥4个RJ45连接器；</w:t>
            </w:r>
          </w:p>
          <w:p w14:paraId="4A3134F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17、功率输出接口：不少于4个四芯Speakon输出连接器。</w:t>
            </w:r>
          </w:p>
        </w:tc>
      </w:tr>
      <w:tr w14:paraId="61EC8F8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3A00A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33BFA7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数字音频处理器</w:t>
            </w:r>
          </w:p>
        </w:tc>
        <w:tc>
          <w:tcPr>
            <w:tcW w:w="542" w:type="dxa"/>
            <w:tcBorders>
              <w:top w:val="single" w:color="auto" w:sz="4" w:space="0"/>
              <w:left w:val="single" w:color="auto" w:sz="4" w:space="0"/>
              <w:bottom w:val="single" w:color="auto" w:sz="4" w:space="0"/>
              <w:right w:val="single" w:color="auto" w:sz="4" w:space="0"/>
            </w:tcBorders>
            <w:vAlign w:val="center"/>
          </w:tcPr>
          <w:p w14:paraId="72D6B91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42352E6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7EEE476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1、至少支持8模拟输入*8模拟输出、4Dante输入*4Dante输出；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2、采用ADI SHARC第四代ADSP-21489浮点音频DSP芯片，提供最高性能400 MHz/2200 MFLOP处理器能力；</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3、所有输入通道支持MIC输入、支持48V幻象供电；</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4、每个通道独立的自适应反馈抑制器；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5、ADC CS5368 114dB动态、DAC CS4385 114dB动态；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6、输入每通道：前级放大、噪声门、压限器、8段参量均衡、延时器、自动混音台；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7、输出每通道：不少于8段参量均衡、高低通滤波器、压限器、延时器；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8、内置信号发生器：正弦波信号、粉红噪声、白噪声；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9、前面有LCD显示屏，能够显示当前IP地址、预设状态等关键信息；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10、有摄像跟踪代码输出，便于通过第三方中控实现摄像联动功能；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11、支持不少于32个场景模式存储，可导入、导出场景预设；</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12、内置USB播音和录音功能，可识别中文歌曲名；</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13、频率响应：20Hz ～ 20 kHz, ±0.3dB @0dBu；</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14、通道串扰Crosstalk： 100dB ±5dB @ 0dBu 1Khz；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15、输入阻抗： &gt;5 kΩ平衡，&gt;3kΩ非平衡；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16、输出阻抗：&gt;600Ω；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17、前置放大等效输入噪声(EIN)： &lt;-125 dBu, 22Hz - 22kHz；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18、电源： 100～240VA，50/60 Hz，不低于75W；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19、工作环境： -20℃～55℃；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20、控制：至少1个TCP/IP通讯端口，1个RS-232通讯端口，8个自定义功能GPIO、实现第三方设备控制音量、调用模式，设置静音，能够通过TCP/IP协议批量读取混音前电平表和混音后电平表，可用于第三方软件集成。</w:t>
            </w:r>
          </w:p>
        </w:tc>
      </w:tr>
      <w:tr w14:paraId="4A88901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2CA698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6BDA4F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模拟调音台</w:t>
            </w:r>
          </w:p>
        </w:tc>
        <w:tc>
          <w:tcPr>
            <w:tcW w:w="542" w:type="dxa"/>
            <w:tcBorders>
              <w:top w:val="single" w:color="auto" w:sz="4" w:space="0"/>
              <w:left w:val="single" w:color="auto" w:sz="4" w:space="0"/>
              <w:bottom w:val="single" w:color="auto" w:sz="4" w:space="0"/>
              <w:right w:val="single" w:color="auto" w:sz="4" w:space="0"/>
            </w:tcBorders>
            <w:vAlign w:val="center"/>
          </w:tcPr>
          <w:p w14:paraId="5815697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3C6E1E6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249162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应采用16通道设计，12路MIC单声道+2路立体声输入，单声通道100Hz低频衰减开关（高通滤波），每通道3段参量均衡，单声道带扫频；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2、至少具有4辅助编组输出，2推子前折返，1衰减后辅助，1衰减后效果，3组AUX母线辅助输出（包括EFF）；</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3、应内置24种DSP数字效果器，内置USB播放器，MP3播放，USB直插录音，内置蓝牙5.0接收播放，USB音频声卡（连接 电脑）将电脑播放的声音传输到调音台；</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4、应内置48V幻想电源供电，每通道带独立开关，主输出双7段立体声图示均衡器，USB可与一路立体声切换，USB可独立调节，MP3可与一路立体声切换，MP3可独立调节；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5、每输入通道带ON开关，PEL耳机开关，12段精准三色LED 电平灯显示信号状态，平滑高品质100MM行程推子；</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6、输入灵敏度：麦克风microphone：-60dB；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7、立体声通道输入Stereo channel input：-40dB；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8、效果发送Echo send：-20dB；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9、效果返回Echo back：-20dB；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10、输出Output：最大4V；</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11、信噪比S/N：83dB；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12、均衡Equalization：±15dB；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13、高频high：±15dB/10KHz，中频Mid：±15dB/250KHZ~6KHz，低频Low：±15dB/60Hz；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14、最大输出电平Max output level：20dBm；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15、总谐波失真度：0.02%@ 0dB1KHz；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16、频率相应：20Hz～20Kz；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17、电源输出功率：不低于30w；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18、电源电压：100V-240V/50Hz。</w:t>
            </w:r>
          </w:p>
        </w:tc>
      </w:tr>
      <w:tr w14:paraId="0C20F914">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6051BF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45C6BF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无线语音发布设备</w:t>
            </w:r>
          </w:p>
        </w:tc>
        <w:tc>
          <w:tcPr>
            <w:tcW w:w="542" w:type="dxa"/>
            <w:tcBorders>
              <w:top w:val="single" w:color="auto" w:sz="4" w:space="0"/>
              <w:left w:val="single" w:color="auto" w:sz="4" w:space="0"/>
              <w:bottom w:val="single" w:color="auto" w:sz="4" w:space="0"/>
              <w:right w:val="single" w:color="auto" w:sz="4" w:space="0"/>
            </w:tcBorders>
            <w:vAlign w:val="center"/>
          </w:tcPr>
          <w:p w14:paraId="08B915B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vAlign w:val="center"/>
          </w:tcPr>
          <w:p w14:paraId="7181ADA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F8B269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配置1只手持话筒，1只领夹话筒；</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1.接收机技术规格：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①工作频率：500MHz-980MHz；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②S/N信噪比：&gt;105dB；</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③T.H.D失真：&lt;0.5%；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④频率响应：40Hz-18KHz；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⑤红外对频，频率同频技术，显示屏显示发射器电池电量；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⑥杂讯锁定静噪控制+音频导航锁定静噪；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⑦真分集远距离线路设计，空阔地方使用距离不低于300米；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手持话筒技术规格：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①频道：200频道；</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②频带宽度：50MHz；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③频道间隔：250KHz；</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④频率稳定度：±0.005%；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⑤使用电池：2节AA电池/5号电池；</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⑥发射功率：出厂设置为低功率150-200米。</w:t>
            </w:r>
          </w:p>
        </w:tc>
      </w:tr>
      <w:tr w14:paraId="7D209D7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9A1261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5FFB5C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电源时序器</w:t>
            </w:r>
          </w:p>
        </w:tc>
        <w:tc>
          <w:tcPr>
            <w:tcW w:w="542" w:type="dxa"/>
            <w:tcBorders>
              <w:top w:val="single" w:color="auto" w:sz="4" w:space="0"/>
              <w:left w:val="single" w:color="auto" w:sz="4" w:space="0"/>
              <w:bottom w:val="single" w:color="auto" w:sz="4" w:space="0"/>
              <w:right w:val="single" w:color="auto" w:sz="4" w:space="0"/>
            </w:tcBorders>
            <w:vAlign w:val="center"/>
          </w:tcPr>
          <w:p w14:paraId="1786E4E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vAlign w:val="center"/>
          </w:tcPr>
          <w:p w14:paraId="61F21C6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6C9BF5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1.采用多功能一体化设计，1U机箱，设备级联接口采用RJ45网头设计，通过网钳制作网线即可，大大方便工程施工难度；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2.支持RS232、RS485串口输入控制，串口指令独立控制以及串口独立控制，设备多台级联；支持无源消防信号启动，采用弱电开关启动，输入电缆采用1.5米4平方电源线；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3.可控路数：不少于8 路；</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4.最大负载：&lt;7000W（阻性负载）；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5.单路负载：&lt;4000W；</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6.工作电压：AC220V/50～60Hz。</w:t>
            </w:r>
          </w:p>
        </w:tc>
      </w:tr>
      <w:tr w14:paraId="6E70905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6E72C67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87488E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color w:val="auto"/>
                <w:highlight w:val="none"/>
                <w:lang w:eastAsia="zh-CN"/>
              </w:rPr>
              <w:t>输出器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DB4B5F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72FC6C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677371B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lang w:eastAsia="zh-CN"/>
              </w:rPr>
              <w:t>能</w:t>
            </w:r>
            <w:r>
              <w:rPr>
                <w:rFonts w:hint="eastAsia" w:asciiTheme="majorEastAsia" w:hAnsiTheme="majorEastAsia" w:eastAsiaTheme="majorEastAsia" w:cstheme="majorEastAsia"/>
                <w:color w:val="auto"/>
                <w:kern w:val="0"/>
                <w:sz w:val="21"/>
                <w:szCs w:val="21"/>
                <w:highlight w:val="none"/>
              </w:rPr>
              <w:t>自动双面打印</w:t>
            </w:r>
            <w:r>
              <w:rPr>
                <w:rFonts w:hint="eastAsia" w:asciiTheme="majorEastAsia" w:hAnsiTheme="majorEastAsia" w:eastAsiaTheme="majorEastAsia" w:cstheme="majorEastAsia"/>
                <w:color w:val="auto"/>
                <w:kern w:val="0"/>
                <w:sz w:val="21"/>
                <w:szCs w:val="21"/>
                <w:highlight w:val="none"/>
                <w:lang w:eastAsia="zh-CN"/>
              </w:rPr>
              <w:t>射击成绩</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2</w:t>
            </w:r>
            <w:r>
              <w:rPr>
                <w:rFonts w:hint="eastAsia" w:asciiTheme="majorEastAsia" w:hAnsiTheme="majorEastAsia" w:eastAsiaTheme="majorEastAsia" w:cstheme="majorEastAsia"/>
                <w:color w:val="auto"/>
                <w:kern w:val="0"/>
                <w:sz w:val="21"/>
                <w:szCs w:val="21"/>
                <w:highlight w:val="none"/>
              </w:rPr>
              <w:t>.支持接口：USB、以太网；</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3</w:t>
            </w:r>
            <w:r>
              <w:rPr>
                <w:rFonts w:hint="eastAsia" w:asciiTheme="majorEastAsia" w:hAnsiTheme="majorEastAsia" w:eastAsiaTheme="majorEastAsia" w:cstheme="majorEastAsia"/>
                <w:color w:val="auto"/>
                <w:kern w:val="0"/>
                <w:sz w:val="21"/>
                <w:szCs w:val="21"/>
                <w:highlight w:val="none"/>
              </w:rPr>
              <w:t>.支持纸张最大幅面：A4；</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lang w:val="en-US" w:eastAsia="zh-CN"/>
              </w:rPr>
              <w:t>4</w:t>
            </w:r>
            <w:r>
              <w:rPr>
                <w:rFonts w:hint="eastAsia" w:asciiTheme="majorEastAsia" w:hAnsiTheme="majorEastAsia" w:eastAsiaTheme="majorEastAsia" w:cstheme="majorEastAsia"/>
                <w:color w:val="auto"/>
                <w:kern w:val="0"/>
                <w:sz w:val="21"/>
                <w:szCs w:val="21"/>
                <w:highlight w:val="none"/>
              </w:rPr>
              <w:t>.</w:t>
            </w:r>
            <w:r>
              <w:rPr>
                <w:rFonts w:hint="eastAsia" w:asciiTheme="majorEastAsia" w:hAnsiTheme="majorEastAsia" w:eastAsiaTheme="majorEastAsia" w:cstheme="majorEastAsia"/>
                <w:color w:val="auto"/>
                <w:kern w:val="0"/>
                <w:sz w:val="21"/>
                <w:szCs w:val="21"/>
                <w:highlight w:val="none"/>
                <w:lang w:eastAsia="zh-CN"/>
              </w:rPr>
              <w:t>可设置</w:t>
            </w:r>
            <w:r>
              <w:rPr>
                <w:rFonts w:hint="eastAsia" w:asciiTheme="majorEastAsia" w:hAnsiTheme="majorEastAsia" w:eastAsiaTheme="majorEastAsia" w:cstheme="majorEastAsia"/>
                <w:color w:val="auto"/>
                <w:kern w:val="0"/>
                <w:sz w:val="21"/>
                <w:szCs w:val="21"/>
                <w:highlight w:val="none"/>
              </w:rPr>
              <w:t>打印、复印、扫描。</w:t>
            </w:r>
          </w:p>
          <w:p w14:paraId="5E7D1813">
            <w:pPr>
              <w:keepNext w:val="0"/>
              <w:keepLines w:val="0"/>
              <w:pageBreakBefore w:val="0"/>
              <w:widowControl/>
              <w:kinsoku/>
              <w:wordWrap/>
              <w:overflowPunct/>
              <w:topLinePunct w:val="0"/>
              <w:autoSpaceDE/>
              <w:autoSpaceDN/>
              <w:bidi w:val="0"/>
              <w:spacing w:line="360" w:lineRule="auto"/>
              <w:ind w:right="0"/>
              <w:jc w:val="left"/>
              <w:rPr>
                <w:rFonts w:hint="default"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rPr>
              <w:t>5.能与项目其它系统连接，实现快捷输出。</w:t>
            </w:r>
          </w:p>
        </w:tc>
      </w:tr>
      <w:tr w14:paraId="7D7B345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134AF0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2073667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总体安装调试</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D74F5B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5E665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43AA87E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1.仿真影像系统安装及调试：网络线缆、短距线缆、线缆接头、视频传输放大器等；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2.定位基站安装调试及测试：光纤器材、布线、管线、辅助材料、定位测量、数据调试等；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3.监控系统设备安装调试：纯铜非屏蔽超五类网线，镀金RJ45工程类水晶头，安装支架，电源，线管/线槽，线夹，胶带，螺钉等，系统整体安装、调试。</w:t>
            </w:r>
          </w:p>
        </w:tc>
      </w:tr>
      <w:tr w14:paraId="18CAB5B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E3A764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五</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C6536C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枪弹安全管理设备</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384095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5BB6D2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5DF3E6E1">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4420DC79">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D5C356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1715" w:type="dxa"/>
            <w:gridSpan w:val="3"/>
            <w:tcBorders>
              <w:top w:val="single" w:color="auto" w:sz="4" w:space="0"/>
              <w:left w:val="single" w:color="auto" w:sz="4" w:space="0"/>
              <w:bottom w:val="single" w:color="auto" w:sz="4" w:space="0"/>
              <w:right w:val="single" w:color="auto" w:sz="4" w:space="0"/>
            </w:tcBorders>
            <w:noWrap/>
            <w:vAlign w:val="center"/>
          </w:tcPr>
          <w:p w14:paraId="0916F9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X光安检机</w:t>
            </w:r>
          </w:p>
        </w:tc>
        <w:tc>
          <w:tcPr>
            <w:tcW w:w="542" w:type="dxa"/>
            <w:tcBorders>
              <w:top w:val="single" w:color="auto" w:sz="4" w:space="0"/>
              <w:left w:val="single" w:color="auto" w:sz="4" w:space="0"/>
              <w:bottom w:val="single" w:color="auto" w:sz="4" w:space="0"/>
              <w:right w:val="single" w:color="auto" w:sz="4" w:space="0"/>
            </w:tcBorders>
            <w:noWrap/>
            <w:vAlign w:val="center"/>
          </w:tcPr>
          <w:p w14:paraId="7E0A4D0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314F894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D481C0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1.通道尺寸：≥500×300㎜（W×H）；</w:t>
            </w:r>
          </w:p>
          <w:p w14:paraId="2E69819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2.线分辨力：在0.2m/s下：≤φ0.0787㎜（≥AWG40）；</w:t>
            </w:r>
          </w:p>
          <w:p w14:paraId="233F11F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3.穿透分辨力：在0.2m/s下：≤φ0.203㎜（≥AWG32）；</w:t>
            </w:r>
          </w:p>
          <w:p w14:paraId="5C8A0B0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4.空间分辨力：在0.2m/s下：≤1.0mm；</w:t>
            </w:r>
          </w:p>
          <w:p w14:paraId="4C2AAD7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5.穿透力在0.2m/s下：SP＞11㎜钢板；</w:t>
            </w:r>
          </w:p>
          <w:p w14:paraId="4DB3120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6.传送装置：</w:t>
            </w:r>
          </w:p>
          <w:p w14:paraId="0A60A95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（1）设备检查状态下的输送速度应大于等于0.2m/s；</w:t>
            </w:r>
          </w:p>
          <w:p w14:paraId="0EF406A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（2）设备输送带正反向运转不应跑偏。正向连续运转10min内，横向位移小于等于2.0mm；</w:t>
            </w:r>
          </w:p>
          <w:p w14:paraId="0E212D5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（3）设备反向连续运转30s内，横向位移小于等于1.0mm。</w:t>
            </w:r>
          </w:p>
          <w:p w14:paraId="49ECFE5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7.单词检查剂量：单个X射线产生装置在0.2m/s下：应＜1.7μGy</w:t>
            </w:r>
          </w:p>
          <w:p w14:paraId="3B295D0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8.周围剂量当量率：</w:t>
            </w:r>
          </w:p>
          <w:p w14:paraId="58C6275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（1）设备正常工作时，封闭式设备在距设备的任何可达表面0.1m处（包括设备的入口、出口处）周围剂量当量率在0.2m/s下：应＜0.02μSv/h；</w:t>
            </w:r>
          </w:p>
          <w:p w14:paraId="6BE8906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（2）工作人员位置的周围剂量当量率在0.2m/s下：应＜0.02µSv/h。</w:t>
            </w:r>
          </w:p>
          <w:p w14:paraId="3A9F40A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9.主机噪音：设备正常工作时在距设备外表面1m的任意处，设备噪声应＜53dB(A)。</w:t>
            </w:r>
          </w:p>
          <w:p w14:paraId="7146E40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10.图像处理功能：彩色/黑白、局增、超增、边缘增强、灰扫、反色、高穿、低穿、增亮、减暗、放大/缩小、回拉/前拉；</w:t>
            </w:r>
          </w:p>
          <w:p w14:paraId="0316F71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11.系统功能：开机自检、多级用户管理、图像管理、TIP管理、曲线诊断、系统设备信息、图像镜像、1-16倍无级放大、操作员培训、精准定位过包图像、清空通道提醒、设备信息查询、快速切换语言、U盘升级软件、远程实时查看图像、一键校准、一键关机</w:t>
            </w:r>
          </w:p>
          <w:p w14:paraId="333F6E0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12.工作环境温度适应性：</w:t>
            </w:r>
          </w:p>
          <w:p w14:paraId="7CF7A20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低温整机整机：-20℃±3℃，8h；</w:t>
            </w:r>
          </w:p>
          <w:p w14:paraId="18D582D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高温试验整机：60℃±2℃，8h；</w:t>
            </w:r>
          </w:p>
          <w:p w14:paraId="0A6D40A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试验后设备应能正常工作，且不应出现锈蚀和机械损伤现象。</w:t>
            </w:r>
          </w:p>
        </w:tc>
      </w:tr>
      <w:tr w14:paraId="1362331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3CC5163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1715" w:type="dxa"/>
            <w:gridSpan w:val="3"/>
            <w:tcBorders>
              <w:top w:val="single" w:color="auto" w:sz="4" w:space="0"/>
              <w:left w:val="single" w:color="auto" w:sz="4" w:space="0"/>
              <w:bottom w:val="single" w:color="auto" w:sz="4" w:space="0"/>
              <w:right w:val="single" w:color="auto" w:sz="4" w:space="0"/>
            </w:tcBorders>
            <w:noWrap/>
            <w:vAlign w:val="center"/>
          </w:tcPr>
          <w:p w14:paraId="7A7CE02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通过式金属探测门</w:t>
            </w:r>
          </w:p>
        </w:tc>
        <w:tc>
          <w:tcPr>
            <w:tcW w:w="542" w:type="dxa"/>
            <w:tcBorders>
              <w:top w:val="single" w:color="auto" w:sz="4" w:space="0"/>
              <w:left w:val="single" w:color="auto" w:sz="4" w:space="0"/>
              <w:bottom w:val="single" w:color="auto" w:sz="4" w:space="0"/>
              <w:right w:val="single" w:color="auto" w:sz="4" w:space="0"/>
            </w:tcBorders>
            <w:noWrap/>
            <w:vAlign w:val="center"/>
          </w:tcPr>
          <w:p w14:paraId="67F3C9D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noWrap/>
            <w:vAlign w:val="center"/>
          </w:tcPr>
          <w:p w14:paraId="5B93CF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6DAADBED">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1.符合标准：应符合“GB 15210-2018 《通过式金属探测门通用技术规范》”的相关要求；</w:t>
            </w:r>
          </w:p>
          <w:p w14:paraId="337CFE1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2.通道尺寸</w:t>
            </w:r>
            <w:r>
              <w:rPr>
                <w:rFonts w:hint="eastAsia" w:asciiTheme="majorEastAsia" w:hAnsiTheme="majorEastAsia" w:eastAsiaTheme="majorEastAsia" w:cstheme="majorEastAsia"/>
                <w:color w:val="auto"/>
                <w:spacing w:val="-2"/>
                <w:sz w:val="21"/>
                <w:szCs w:val="21"/>
                <w:highlight w:val="none"/>
                <w:lang w:eastAsia="zh-CN"/>
              </w:rPr>
              <w:t>（</w:t>
            </w:r>
            <w:r>
              <w:rPr>
                <w:rFonts w:hint="eastAsia" w:asciiTheme="majorEastAsia" w:hAnsiTheme="majorEastAsia" w:eastAsiaTheme="majorEastAsia" w:cstheme="majorEastAsia"/>
                <w:color w:val="auto"/>
                <w:spacing w:val="-2"/>
                <w:sz w:val="21"/>
                <w:szCs w:val="21"/>
                <w:highlight w:val="none"/>
                <w:lang w:val="en-US" w:eastAsia="zh-CN"/>
              </w:rPr>
              <w:t>mm</w:t>
            </w:r>
            <w:r>
              <w:rPr>
                <w:rFonts w:hint="eastAsia" w:asciiTheme="majorEastAsia" w:hAnsiTheme="majorEastAsia" w:eastAsiaTheme="majorEastAsia" w:cstheme="majorEastAsia"/>
                <w:color w:val="auto"/>
                <w:spacing w:val="-2"/>
                <w:sz w:val="21"/>
                <w:szCs w:val="21"/>
                <w:highlight w:val="none"/>
                <w:lang w:eastAsia="zh-CN"/>
              </w:rPr>
              <w:t>）</w:t>
            </w:r>
            <w:r>
              <w:rPr>
                <w:rFonts w:hint="eastAsia" w:asciiTheme="majorEastAsia" w:hAnsiTheme="majorEastAsia" w:eastAsiaTheme="majorEastAsia" w:cstheme="majorEastAsia"/>
                <w:color w:val="auto"/>
                <w:spacing w:val="-2"/>
                <w:sz w:val="21"/>
                <w:szCs w:val="21"/>
                <w:highlight w:val="none"/>
              </w:rPr>
              <w:t>：≥1980(高) x 700(宽) x 500(深)</w:t>
            </w:r>
          </w:p>
          <w:p w14:paraId="295CCED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3.防护等级：应符合GB/T 4208-2017中IP41；</w:t>
            </w:r>
          </w:p>
          <w:p w14:paraId="2B51363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4.金属门应能对达到或超过限定量的金属进行报警，不应出现漏报警。</w:t>
            </w:r>
          </w:p>
          <w:p w14:paraId="4BEA9B7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5.金属门的探测灵敏度应能从低到高方便地调节，灵敏度调节应大于等于50个级别。</w:t>
            </w:r>
          </w:p>
          <w:p w14:paraId="4AC9ACA2">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6.探测灵敏度：探测能力应能同时达到I类、II类、III类、混合类的四类标准要求。</w:t>
            </w:r>
          </w:p>
          <w:p w14:paraId="6C22A168">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7.稳定工作时间：应大于等于24h，待机期间不应出现误报警。</w:t>
            </w:r>
          </w:p>
          <w:p w14:paraId="185AF42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8.报警声音：＞90dB。</w:t>
            </w:r>
          </w:p>
          <w:p w14:paraId="09FA1191">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9.抗相互干扰：以大于等于0.5m外沿间距，并排安置多台金属门时，各金属门均应能正常工作。</w:t>
            </w:r>
          </w:p>
          <w:p w14:paraId="2F655BA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▲10.磁感应强度限制：在探测区左右边界各向内150mm的区域中，任意一点的磁感应强度均应小于等于10</w:t>
            </w:r>
            <w:r>
              <w:rPr>
                <w:rFonts w:hint="eastAsia" w:asciiTheme="majorEastAsia" w:hAnsiTheme="majorEastAsia" w:eastAsiaTheme="majorEastAsia" w:cstheme="majorEastAsia"/>
                <w:color w:val="auto"/>
                <w:spacing w:val="-2"/>
                <w:sz w:val="21"/>
                <w:szCs w:val="21"/>
                <w:highlight w:val="none"/>
              </w:rPr>
              <w:sym w:font="Symbol" w:char="F06D"/>
            </w:r>
            <w:r>
              <w:rPr>
                <w:rFonts w:hint="eastAsia" w:asciiTheme="majorEastAsia" w:hAnsiTheme="majorEastAsia" w:eastAsiaTheme="majorEastAsia" w:cstheme="majorEastAsia"/>
                <w:color w:val="auto"/>
                <w:spacing w:val="-2"/>
                <w:sz w:val="21"/>
                <w:szCs w:val="21"/>
                <w:highlight w:val="none"/>
              </w:rPr>
              <w:t>T。</w:t>
            </w:r>
          </w:p>
          <w:p w14:paraId="12136BB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11.抗静止金属物影响：</w:t>
            </w:r>
          </w:p>
          <w:p w14:paraId="511DA14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（1）抗周围静止金属物影响：金属门探测性能应不受门体四周1m范围以外的大静止金属物体的影响；</w:t>
            </w:r>
          </w:p>
          <w:p w14:paraId="2A99AAC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（2）抗地面内部金属结构影响：金属探测门性能应不受地面0.1m以下的金属结构的影响。</w:t>
            </w:r>
          </w:p>
          <w:p w14:paraId="2A37719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12.抗周围运用金属物干扰：金属门不应对门体四周1.5m范围以外的运动金属物产生报警信号。</w:t>
            </w:r>
          </w:p>
          <w:p w14:paraId="0A5613F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13.环境适应性：</w:t>
            </w:r>
          </w:p>
          <w:p w14:paraId="69204EB5">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高温试验：+70℃±2℃、2h；</w:t>
            </w:r>
          </w:p>
          <w:p w14:paraId="7679935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低温试验：-30℃±3℃、2h；</w:t>
            </w:r>
          </w:p>
          <w:p w14:paraId="4E6FD3A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试验期间外观和基本性能应正常。</w:t>
            </w:r>
          </w:p>
          <w:p w14:paraId="23E0AFD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14.设备应有自学习功能，当用某个金属作为标准测试物进行学习测试记录后，后续携带金属量大于该测试物才报警，如小于或等于则不报警。</w:t>
            </w:r>
          </w:p>
          <w:p w14:paraId="0315BD1C">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15.安检门应具有飞物报警功能，在飞物探测模式下，以一元硬币为测试物，抛过探测区域时，安检门应报警，试验50次，准确率应大于90%。</w:t>
            </w:r>
          </w:p>
          <w:p w14:paraId="00B35680">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16.功耗检测：设备启动后待机功率应小于等于9W。</w:t>
            </w:r>
          </w:p>
          <w:p w14:paraId="1B4682E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17.计数功能：安检门应具有双向计数统计功能，能可靠记录受检人数和报警人次。通过人数应有3种统计方法可选：1）从前往后通过的人数和从后往前通过的人数相加；2）从前往后通过的人数和从后往前通过的人数分别统计显示；3）指定某个方向进入时统计人数增加，反向进入时统计人数递减。</w:t>
            </w:r>
          </w:p>
          <w:p w14:paraId="5363FC77">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18.休眠功能：安检门应具有自检功能，在开机时进行自检并显示检测结果。应可设定休眠时间,在5～59分钟内无人或物体通过安检门,设备应自动进入休眠状态;当有人或物体通过时,设备应自动开启检测功能。在休眠状态下超过60分钟无人或物体通过安检门,设备应自动进入深度休眠状态，需单次触摸开机按钮唤醒后，设备进入检测状态。</w:t>
            </w:r>
          </w:p>
          <w:p w14:paraId="38AFD95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19.金属量显示功能：不小于7寸显示屏幕上应能以条状图形来显示通过系统的金属量。</w:t>
            </w:r>
          </w:p>
          <w:p w14:paraId="789F036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20.安检门应能存储每天通过的通过人数、报警次数、报警信息等数据，并能够查询历史记录；存储数据不小于100000条。</w:t>
            </w:r>
          </w:p>
          <w:p w14:paraId="1F8104F1">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21.安检门应可在有色或黑色金属探测模式间切换。　</w:t>
            </w:r>
          </w:p>
          <w:p w14:paraId="7692112A">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pacing w:val="-2"/>
                <w:sz w:val="21"/>
                <w:szCs w:val="21"/>
                <w:highlight w:val="none"/>
              </w:rPr>
            </w:pPr>
            <w:r>
              <w:rPr>
                <w:rFonts w:hint="eastAsia" w:asciiTheme="majorEastAsia" w:hAnsiTheme="majorEastAsia" w:eastAsiaTheme="majorEastAsia" w:cstheme="majorEastAsia"/>
                <w:color w:val="auto"/>
                <w:spacing w:val="-2"/>
                <w:sz w:val="21"/>
                <w:szCs w:val="21"/>
                <w:highlight w:val="none"/>
              </w:rPr>
              <w:t>▲22.最低探测高度：在离地2cm高度处以一个直径20mm铁球为测试物，以接近1m/s的速度通过安检门，系统应报警。</w:t>
            </w:r>
          </w:p>
          <w:p w14:paraId="39A13C30">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pacing w:val="-2"/>
                <w:sz w:val="21"/>
                <w:szCs w:val="21"/>
                <w:highlight w:val="none"/>
              </w:rPr>
              <w:t>▲23.回形针探测能力：以3cm的回形针为测试物，以接近1m/s的速度通过安检门，系统应报警。</w:t>
            </w:r>
          </w:p>
        </w:tc>
      </w:tr>
      <w:tr w14:paraId="013D5A1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7F87BF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6CC250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智能长短枪柜</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9E1B21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61A70C5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4F80399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可放置8支长枪，20支短枪。</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柜体尺寸：1800mm*1000mm*500mm，柜门厚10mm，柜体厚6mm，采用12寸屏（指纹识别、人脸识别）。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（一）柜体规格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1、材质：柜体采用优质碳素钢钢板制作，柜体钢板厚度≥6mm，柜门钢板厚度≥10mm，抗拉强度≥345MPA；防破坏能力≥I级。</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2、柜体结构：箱体对角线误差小于4mm。外结构采用无缝对接，具有防钻、防电焊、防切割、防潮、防腐蚀等功能，柜门开启角度大于90度；柜体总重量：≥340kg。（符合GA1051-2013标准中的5.1.4、5.2.2）</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3、外观：柜体表面光洁无毛刺，表面进行防腐处理，要具有防腐蚀功能。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4、柜门：柜门框应该有止口或类似结构。智能枪弹柜柜门采用双开门、内铰链，柜门关闭时，单扇门体上、下部及门结合面的活动门栓总和≥5个，活动门栓直径应≥25mm，有效伸出长度≥25mm。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5、承重轮：配置4个高强度承重轮。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6、锁具：具备电子和机械式双人双锁开启大门。</w:t>
            </w:r>
          </w:p>
          <w:p w14:paraId="6D7F702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（二）控制系统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1、控制系统要求：防黑防毒能力强，前端操作系统要求采用ARM嵌入式控制主机，不得采用X86架构主机。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2、控制器处理器要求：控制器ARM主机CPU要求采用不低于1.8GHz四核芯片，系统采用专门定制Linux系统。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3、控制系统屏幕要求：选用≥12寸触摸电容屏，触摸屏作为人机交互界面，分辨率达到≥1024*768，人机操作界面可以触摸屏操作。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4、双目摄像头：清晰度 1080P/30 帧，采用1/2.9 sensor/RGB的CMOS感光芯片，最大分辨率达到1920(H) x 1080(V) (16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 mode)，sensor像素尺寸大小为2.8um*2.8um，低照度≤0.15Lux/F2.0，图像传输速率可达1920*1080P/30fps。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5、枪柜门：配置指纹识别、人脸识别多生物识别技术，指纹仪使用电容指纹仪。当指纹识别失效时，能够用人脸识别开锁，不允许使用密码方式开锁，保证系统安全。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6、指纹识别率：指纹识别应满足国家要求，认假率应≤0.001%，拒真率应≤0.4%，且在1</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1和1：N比对时，平均响应时间应分别为≤23ms和≤270ms（N≥512）。</w:t>
            </w:r>
          </w:p>
          <w:p w14:paraId="680C800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7、振动探测器产生报警信号时，其每次持续时间应不小于1s。应具有灵敏度设置功能在控制软件设置界面可以设置报警等级，最多可以设置16个等级，并且可以自定义设置每个报警等级对应的灵敏度，可设置范围 0～16g。</w:t>
            </w:r>
          </w:p>
          <w:p w14:paraId="6E7FC04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8、振动探测器在额定电压下进行报警和复位，循环 80 次应无电的或机械的故障,也不应有器件损伤和触点失常。将振动探测器固定安装在保险柜内侧顶部、侧面、正面或底部，布防后，用 1kg钢制小球从 1m 高落下击中保险柜顶部，实验中可调整灵敏度，应能产生报警。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9、远程联网功能：智能枪弹柜应具备联网运行能力，应能将操作信息、异常信息、枪支/弹药状态信息等上传至联网管理平台，并可将指定信息上传至“全国枪支管理信息系统”，信息接口符合GA 1051-2013中的要求。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10、电源要求：在交流电源断电时，备用电源应能支持连续工作大于或等于8h，并在该时段应能支持大于或等于8次的正常操作。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信息记录要求：应自动保存不少于100000条的最新运行信息记录，所有记录应不能人工修改或删除，运行信息存储区记录满后应能自动循环覆盖。当电源不正常或掉电时，系统的基本信息和记录的运行信息不应丢失；</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12、校时要求：联网运行的智能柜应具备自动校时功能，时钟与北京时间的偏差应小于或等于1s。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13、酒精检测功能检验：内置酒精检测模块，并在触摸式液晶显示屏上给出酒精检测的相关提示信息。当库门内酒精检测模块探测到的酒精浓度超过20mg/(100mL)后，应由开门验证界面自动返回至主界面。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14、酒精漂移量检测：4h内，零点漂移量应≤6mg/100mL。酒精检测的测量范围应为 0mg/100mL～90mg/100mL。</w:t>
            </w:r>
          </w:p>
          <w:p w14:paraId="7668E039">
            <w:pPr>
              <w:pStyle w:val="49"/>
              <w:keepNext w:val="0"/>
              <w:keepLines w:val="0"/>
              <w:pageBreakBefore w:val="0"/>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15、酒精检测在基础值0mg/100mL 时，采用浓度为 109.0 mg/m3乙醇标准气体进行采样分析，采样时间3s，仪器的相对误差应≤±5%。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16、人脸识别的检测频率应≥10次/秒。在同一设定阈值条件下，在有效探测集总数量≥10万张时，且设备的错误接受率（FAR）应≤0.05%时，错误拒绝率(FRR)应≤3%。</w:t>
            </w:r>
          </w:p>
          <w:p w14:paraId="663195C4">
            <w:pPr>
              <w:pStyle w:val="49"/>
              <w:keepNext w:val="0"/>
              <w:keepLines w:val="0"/>
              <w:pageBreakBefore w:val="0"/>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17、人脸识别应能识别摇头、眨眼、闭眼、佩戴口罩、佩戴眼镜等人脸行为，且具有自动白平衡调整功能。设备摄像头畸变应≤2%。</w:t>
            </w:r>
            <w:r>
              <w:rPr>
                <w:rFonts w:hint="eastAsia" w:asciiTheme="majorEastAsia" w:hAnsiTheme="majorEastAsia" w:eastAsiaTheme="majorEastAsia" w:cstheme="majorEastAsia"/>
                <w:b/>
                <w:bCs/>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w:t>
            </w:r>
            <w:r>
              <w:rPr>
                <w:rFonts w:hint="eastAsia" w:asciiTheme="majorEastAsia" w:hAnsiTheme="majorEastAsia" w:eastAsiaTheme="majorEastAsia" w:cstheme="majorEastAsia"/>
                <w:color w:val="auto"/>
                <w:sz w:val="21"/>
                <w:szCs w:val="21"/>
                <w:highlight w:val="none"/>
                <w:lang w:bidi="ar"/>
              </w:rPr>
              <w:t>胁迫指纹报警：可以录入胁迫指纹，通过胁迫指纹开启验证，智能柜控制器会自动将报警信息传送至服务器。</w:t>
            </w:r>
          </w:p>
          <w:p w14:paraId="176948FF">
            <w:pPr>
              <w:keepNext w:val="0"/>
              <w:keepLines w:val="0"/>
              <w:pageBreakBefore w:val="0"/>
              <w:widowControl/>
              <w:numPr>
                <w:ilvl w:val="0"/>
                <w:numId w:val="7"/>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报警抓拍图片功能：领用枪支/弹药或有报警产生后，智能柜内置摄像头应能自动进行抓拍图片，查看日志记录时可显示相应的抓拍图片。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（三）电子枪锁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1、枪锁材质：锌合金枪锁，锁扣方式为锁扳机方式。电子枪锁要求符合公安部颁布的《枪支弹药专用保险柜》（GA1051-2013）行业标准中关于电子枪锁的要求。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2、断电状态：电控防盗锁具在断电时应保持锁闭状态。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3、开启方式：枪锁自动打开和关闭，无需人工对枪锁操作。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4、枪锁回弹功能：枪锁具备自动回弹功能，当检测到枪锁在锁闭过程中被卡阻时，锁舌（栓）应能自动回弹。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5、锁具：锁具使用电机驱动，在额定电压下，锁具启闭瞬间冲击电流应小于或等于0.7A；锁具持续通电电流应小于或等于50mA，电控枪锁连续通电7s不应损坏；电控枪锁外壳温度应小于或等于60℃。</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7、锁钩抗拉试验：锁钩承受200N的拉力10min，停止受力后锁钩仍可正常运转。</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8、盐雾试验：温度：(35士2)℃；浓度：5%士0.1%；pH值：6.5～7.2；盐雾沉降量：1.0-2.0mL/(h•80cm2)；连续喷雾24h；试验后表面应无腐蚀点。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（四）电子防盗锁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1、电源要求：锁具电源小于或等于24V DC。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2、电流要求：启闭瞬间冲击电流小于或等于5A，此项通电电流小于或等于500mA。</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3、响应时间：开锁响应时间小于或等于0.2S，连续通电7S不应损坏。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4、外壳温度：外壳温度小于或等于65°C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5、安全级别：锁舌的安全级别符合GA374-2019中的B级要求</w:t>
            </w:r>
          </w:p>
          <w:p w14:paraId="299309FD">
            <w:pPr>
              <w:keepNext w:val="0"/>
              <w:keepLines w:val="0"/>
              <w:pageBreakBefore w:val="0"/>
              <w:widowControl/>
              <w:numPr>
                <w:ilvl w:val="0"/>
                <w:numId w:val="8"/>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盐雾试验：电机锁盐雾试验不小于96h，锁体金属部件无锈蚀。</w:t>
            </w:r>
          </w:p>
          <w:p w14:paraId="4CB028BF">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（五）标准要求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★1、所投枪弹柜产品经过国家级相关检测机构认证，符合《枪支弹药专用保险柜》（GA1051-2013）行业标准。</w:t>
            </w:r>
          </w:p>
          <w:p w14:paraId="0B5B157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2、智能枪弹柜控制系统符合《GB/T28181-2022公共安全视频监控联网系统信息传输、交换、控制技术要求》中的全项规定。</w:t>
            </w:r>
          </w:p>
          <w:p w14:paraId="066470B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3、智能枪弹柜控制系统符合《GB 35114-2017公共安全视频监控联网信息安全技术要求》中的全项规定。</w:t>
            </w:r>
          </w:p>
        </w:tc>
      </w:tr>
      <w:tr w14:paraId="16B3045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420D893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33CDD5E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智能弹药柜</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E55C01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85C2EF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767A410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柜体尺寸：1800mm*1000mm*500mm，柜门厚10mm，柜体厚6mm，采用12寸屏（指纹识别、人脸识别）。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（一）柜体规格</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1、材质：柜体采用优质碳素钢钢板制作，柜体钢板厚度≥6mm，柜门钢板厚度≥10mm，抗拉强度≥345MPA；防破坏能力≥I级。</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2、柜体结构：箱体对角线误差小于4mm。外结构采用无缝对接，具有防钻、防电焊、防切割、防潮、防腐蚀等功能，柜门开启角度大于90度；柜体总重量：≥340kg。（符合GA1051-2013标准中的5.1.4、5.2.2）</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3、外观：柜体表面光洁无毛刺，表面进行防腐处理，要具有防腐蚀功能。</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4、柜门：柜门框应该有止口或类似结构。智能枪弹柜柜门采用双开门、内铰链，柜门关闭时，单扇门体上、下部及门结合面的活动门栓总和≥5个，活动门栓直径应≥25mm，有效伸出长度≥25mm。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5、承重轮：配置4个高强度承重轮。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6、锁具：具备电子和机械式双人双锁开启大门。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（二）控制系统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1、控制系统要求：防黑防毒能力强，前端操作系统要求采用ARM嵌入式控制主机，不得采用X86架构主机。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2、控制器处理器要求：控制器ARM主机CPU要求采用不低于1.8GHz四核芯片，系统采用专门定制Linux系统。</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3、控制系统屏幕要求：选用≥12寸触摸电容屏，触摸屏作为人机交互界面，分辨率达到≥1024*768，人机操作界面可以触摸屏操作。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4、双目摄像头：清晰度 1080P/30 帧，采用1/2.9 sensor/RGB的CMOS感光芯片，最大分辨率达到1920(H) x 1080(V) (16</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9 mode)，sensor像素尺寸大小为2.8um*2.8um，低照度≤0.15Lux/F2.0，图像传输速率可达1920*1080P/30fps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5、枪柜门：配置指纹识别、人脸识别多生物识别技术，指纹仪使用电容指纹仪。当指纹识别失效时，能够用人脸识别开锁，不允许使用密码方式开锁，保证系统安全。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6、指纹识别率：指纹识别应满足国家要求，认假率应≤0.001%，拒真率应≤0.4%，且在1</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1和1：N比对时，平均响应时间应分别为≤23ms和≤270ms（N≥512）。</w:t>
            </w:r>
          </w:p>
          <w:p w14:paraId="78BCE55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7、振动探测器产生报警信号时，其每次持续时间应不小于 1s。应具有灵敏度设置功能在控制软件设置界面可以设置报警等级，最多可以设置16个等级，并且可以自定义设置每个报警等级对应的灵敏度，可设置范围 0～16g。</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8、振动探测器在额定电压下进行报警和复位，循环 80 次应无电的或机械的故障,也不应有器件损伤和触点失常。将振动探测器固定安装在保险柜内侧顶部、侧面、正面或底部，布防后，用 1kg钢制小球从 1m 高落下击中保险柜顶部，实验中可调整灵敏度，应能产生报警。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9、远程联网功能：智能枪弹柜应具备联网运行能力，应能将操作信息、异常信息、枪支/弹药状态信息等上传至联网管理平台，并可将指定信息上传至“全国枪支管理信息系统”，信息接口符合GA 1051-2013中的要求。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10、电源要求：在交流电源断电时，备用电源应能支持连续工作大于或等于8h，并在该时段应能支持大于或等于8次的正常操作。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11、信息记录要求：应自动保存不少于100000条的最新运行信息记录，所有记录应不能人工修改或删除，运行信息存储区记录满后应能自动循环覆盖。当电源不正常或掉电时，系统的基本信息和记录的运行信息不应丢失；</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12、校时要求：联网运行的智能柜应具备自动校时功能，时钟与北京时间的偏差应小于或等于1s。</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13、酒精检测功能检验：内置酒精检测模块，并在触摸式液晶显示屏上给出酒精检测的相关提示信息。当库门内酒精检测模块探测到的酒精浓度超过20mg/(100mL)后，应由开门验证界面自动返回至主界面。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14、酒精漂移量检测：4h内，零点漂移量应≤6mg/100mL。酒精检测的测量范围应为 0mg/100mL～90mg/100mL。</w:t>
            </w:r>
          </w:p>
          <w:p w14:paraId="76602230">
            <w:pPr>
              <w:pStyle w:val="49"/>
              <w:keepNext w:val="0"/>
              <w:keepLines w:val="0"/>
              <w:pageBreakBefore w:val="0"/>
              <w:numPr>
                <w:ilvl w:val="0"/>
                <w:numId w:val="9"/>
              </w:numPr>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酒精检测在基础值0mg/100mL 时，采用浓度为 109.0 mg/m3乙醇标准气体进行采样分析，采样时间3s，仪器的相对误差应≤±5%。</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16、人脸识别的检测频率应≥10次/秒。在同一设定阈值条件下，在有效探测集总数量≥10万张时，且设备的错误接受率（FAR）应≤0.05%时，错误拒绝率(FRR)应≤3%。</w:t>
            </w:r>
            <w:r>
              <w:rPr>
                <w:rFonts w:hint="eastAsia" w:asciiTheme="majorEastAsia" w:hAnsiTheme="majorEastAsia" w:eastAsiaTheme="majorEastAsia" w:cstheme="majorEastAsia"/>
                <w:b/>
                <w:bCs/>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17、人脸识别应能识别摇头、眨眼、闭眼、佩戴口罩、佩戴眼镜等人脸行为，且具有自动白平衡调整功能。设备摄像头畸变应≤2%。</w:t>
            </w:r>
          </w:p>
          <w:p w14:paraId="24F553C1">
            <w:pPr>
              <w:pStyle w:val="49"/>
              <w:keepNext w:val="0"/>
              <w:keepLines w:val="0"/>
              <w:pageBreakBefore w:val="0"/>
              <w:kinsoku/>
              <w:wordWrap/>
              <w:overflowPunct/>
              <w:topLinePunct w:val="0"/>
              <w:autoSpaceDE/>
              <w:autoSpaceDN/>
              <w:bidi w:val="0"/>
              <w:spacing w:line="360" w:lineRule="auto"/>
              <w:ind w:left="0" w:leftChars="0" w:right="0" w:firstLine="0" w:firstLineChars="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18、</w:t>
            </w:r>
            <w:r>
              <w:rPr>
                <w:rFonts w:hint="eastAsia" w:asciiTheme="majorEastAsia" w:hAnsiTheme="majorEastAsia" w:eastAsiaTheme="majorEastAsia" w:cstheme="majorEastAsia"/>
                <w:color w:val="auto"/>
                <w:sz w:val="21"/>
                <w:szCs w:val="21"/>
                <w:highlight w:val="none"/>
                <w:lang w:bidi="ar"/>
              </w:rPr>
              <w:t>胁迫指纹报警：可以录入胁迫指纹，通过胁迫指纹开启验证，智能柜控制器会自动将报警信息传送至服务器。</w:t>
            </w:r>
          </w:p>
          <w:p w14:paraId="12EC14E2">
            <w:pPr>
              <w:keepNext w:val="0"/>
              <w:keepLines w:val="0"/>
              <w:pageBreakBefore w:val="0"/>
              <w:widowControl/>
              <w:numPr>
                <w:ilvl w:val="0"/>
                <w:numId w:val="10"/>
              </w:numPr>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报警抓拍图片功能：领用枪支/弹药或有报警产生后，智能柜内置摄像头应能自动进行抓拍图片，查看日志记录时可显示相应的抓拍图片。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（三）电子抽屉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1、控制方式：采用加密通信方式控制，直接通电不能开启，断电保持锁闭状态。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2、紧急开启：紧急情况下，应能授权指令一次性开启所有电子抽屉。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3、电子抽屉开启方式：每个抽屉具有独立的电子和机械双重开启方式，采用模块化制造，安装、售后方便、快捷。</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4、示数可读性检验：子弹计数抽屉承载10kg以下重物时，其示数可读性为1g。</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智能子弹计数抽屉承载不大于15.0kg的均布载荷，智能子弹计数抽屉应能正常启闭。抽屉承载5kg载荷，经50000次启闭循环后应能正常使用。应能遵照系统指令信息对子弹种类、数量的要求进行发放。盐雾测试连续喷雾12h表面无腐蚀点。</w:t>
            </w:r>
            <w:r>
              <w:rPr>
                <w:rFonts w:hint="eastAsia" w:asciiTheme="majorEastAsia" w:hAnsiTheme="majorEastAsia" w:eastAsiaTheme="majorEastAsia" w:cstheme="majorEastAsia"/>
                <w:b/>
                <w:bCs/>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（四）电子防盗锁</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1、电源要求：锁具电源小于或等于24V DC。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2、电流要求：启闭瞬间冲击电流小于或等于5A，此项通电电流小于或等于500mA。</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3、响应时间：开锁响应时间小于或等于0.2S，连续通电7S不应损坏。</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4、外壳温度：外壳温度小于或等于65°C</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5、安全级别：锁舌的安全级别符合GA374-2019中的B级要求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6、盐雾试验：电机锁盐雾试验不小于96h，锁体金属部件无锈蚀。</w:t>
            </w:r>
          </w:p>
          <w:p w14:paraId="0631653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（五）标准要求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★1、所投枪弹柜产品经过国家级相关检测机构认证，符合《枪支弹药专用保险柜》（GA1051-2013）行业标准。</w:t>
            </w:r>
          </w:p>
          <w:p w14:paraId="0F08F71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2、智能枪弹柜控制系统符合《GB/T28181-2022公共安全视频监控联网系统信息传输、交换、控制技术要求》中的全项规定。</w:t>
            </w:r>
          </w:p>
          <w:p w14:paraId="0956757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3、智能枪弹柜控制系统符合《GB 35114-2017公共安全视频监控联网信息安全技术要求》中的全项规定。</w:t>
            </w:r>
          </w:p>
        </w:tc>
      </w:tr>
      <w:tr w14:paraId="565E1A17">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7EA075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02DF92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智能弹药发放机</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134E3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8C5FAD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07608BA5">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1.等量快领：按计划弹种、人数、每人弹数，管理员确认领弹人身份后，各人等数量快速领弹；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2.人脸识别领弹：领弹人做人脸识别，按预设的各人领弹弹种、数量领弹；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3.刷IC卡领弹：领弹人刷IC卡，按预设的IC卡领弹弹种、数量领弹；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4.分发速度：①步枪弹平均4颗/每秒（计数传送效率），②手枪弹平均8颗/每秒（计数传送效率）；</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5.发弹准确率：在入弹仓子弹数量不大于150颗的情况下，设定1～30颗任意子弹的发放数量，发放不低于20次，发放数量均应准确无误；</w:t>
            </w:r>
          </w:p>
          <w:p w14:paraId="6966EC4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6.实时监控全程视频记录；</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7.等数额快速领弹、人脸识别领弹、刷IC卡领弹；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8.可查询实时已领弹数、已领人数、弹仓余弹等数据；</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9.可随时查询领弹人视频记录；</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10.子弹快速倒入设备弹斗，无需整齐码入；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11.具有余弹快速计数回收功能和弹仓弹量不足提醒功能；</w:t>
            </w:r>
          </w:p>
          <w:p w14:paraId="3772D7C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12.出库弹药总数清点；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 xml:space="preserve">13.回收弹壳计数清点； </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sz w:val="21"/>
                <w:szCs w:val="21"/>
                <w:highlight w:val="none"/>
                <w:lang w:bidi="ar"/>
              </w:rPr>
              <w:t>▲</w:t>
            </w:r>
            <w:r>
              <w:rPr>
                <w:rFonts w:hint="eastAsia" w:asciiTheme="majorEastAsia" w:hAnsiTheme="majorEastAsia" w:eastAsiaTheme="majorEastAsia" w:cstheme="majorEastAsia"/>
                <w:color w:val="auto"/>
                <w:kern w:val="0"/>
                <w:sz w:val="21"/>
                <w:szCs w:val="21"/>
                <w:highlight w:val="none"/>
              </w:rPr>
              <w:t>14.人证核验功能：具有身份证识读功能和人脸识别功能，能够识读有效二代居民身份证，并能进行人脸识别及人证比对，判别人证是否一致。身份证识读功能和人脸识别功能的核验时间应不大于5秒；</w:t>
            </w:r>
          </w:p>
          <w:p w14:paraId="3A003F0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15.联网功能：可根据需方接口与后台通讯进行远程控制及实时数据共享；</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16.弹容量：≮1200发（步枪弹）、≮1800发（手枪弹）；</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17.适用弹种：①5.8*57.5（95式步枪弹）、②9*30（92式9毫米手枪弹）、③64式手枪弹(警用）、④92式转轮弹(警用）；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18.不小于15吋电容触摸屏工业一体机，配置不低于I7 10代/8G/SSD256G， Win10系统；2只不低于200万像素摄像头；双声道语音输出；</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19.防水等级：不低于IP55（灰尘进入及中雨无影响）。</w:t>
            </w:r>
          </w:p>
        </w:tc>
      </w:tr>
      <w:tr w14:paraId="38E7ADEA">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7773C3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6</w:t>
            </w:r>
          </w:p>
        </w:tc>
        <w:tc>
          <w:tcPr>
            <w:tcW w:w="171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0006FA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压弹器</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756A3F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个</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B7FDC9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8</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2C6A3B7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结合训练和实弹射击需求，便于实弹射击训练，构建成模块化快速填弹，步枪压弹槽可以通用7.62mm和5.8mm口径子弹，弹匣槽可以通过填补块实现多种弹匣互换，步枪弹槽可以填装95式突击步枪弹匣，95-1式突击步枪弹夹，95B-1式突击步枪弹匣，03式自动步枪弹匣，191式自动步枪弹匣，192式自动步枪弹匣，81式枪族弹匣，手枪装填卡位可以通过快速装填工具快速压弹，三个槽位可以固定0.2cm-1.5cm厚度的手枪弹匣底槽，适用于多种9MM口径手枪，92式枪族弹匣压弹。</w:t>
            </w:r>
          </w:p>
        </w:tc>
      </w:tr>
      <w:tr w14:paraId="4B9ED98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noWrap/>
            <w:vAlign w:val="center"/>
          </w:tcPr>
          <w:p w14:paraId="5033C6D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六</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87A5CA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rPr>
              <w:t>防弹防护器材</w:t>
            </w:r>
          </w:p>
        </w:tc>
        <w:tc>
          <w:tcPr>
            <w:tcW w:w="542" w:type="dxa"/>
            <w:tcBorders>
              <w:top w:val="single" w:color="auto" w:sz="4" w:space="0"/>
              <w:left w:val="single" w:color="auto" w:sz="4" w:space="0"/>
              <w:bottom w:val="single" w:color="auto" w:sz="4" w:space="0"/>
              <w:right w:val="single" w:color="auto" w:sz="4" w:space="0"/>
            </w:tcBorders>
            <w:noWrap/>
            <w:vAlign w:val="center"/>
          </w:tcPr>
          <w:p w14:paraId="6F73C66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704" w:type="dxa"/>
            <w:tcBorders>
              <w:top w:val="single" w:color="auto" w:sz="4" w:space="0"/>
              <w:left w:val="single" w:color="auto" w:sz="4" w:space="0"/>
              <w:bottom w:val="single" w:color="auto" w:sz="4" w:space="0"/>
              <w:right w:val="single" w:color="auto" w:sz="4" w:space="0"/>
            </w:tcBorders>
            <w:noWrap/>
            <w:vAlign w:val="center"/>
          </w:tcPr>
          <w:p w14:paraId="33B382C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c>
          <w:tcPr>
            <w:tcW w:w="6880" w:type="dxa"/>
            <w:tcBorders>
              <w:top w:val="single" w:color="auto" w:sz="4" w:space="0"/>
              <w:left w:val="single" w:color="auto" w:sz="4" w:space="0"/>
              <w:bottom w:val="single" w:color="auto" w:sz="4" w:space="0"/>
              <w:right w:val="single" w:color="auto" w:sz="4" w:space="0"/>
            </w:tcBorders>
            <w:vAlign w:val="center"/>
          </w:tcPr>
          <w:p w14:paraId="4661B4E9">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w:t>
            </w:r>
          </w:p>
        </w:tc>
      </w:tr>
      <w:tr w14:paraId="51F96348">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C41A15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BD9424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正面防弹器</w:t>
            </w:r>
          </w:p>
        </w:tc>
        <w:tc>
          <w:tcPr>
            <w:tcW w:w="542" w:type="dxa"/>
            <w:tcBorders>
              <w:top w:val="single" w:color="auto" w:sz="4" w:space="0"/>
              <w:left w:val="single" w:color="auto" w:sz="4" w:space="0"/>
              <w:bottom w:val="single" w:color="auto" w:sz="4" w:space="0"/>
              <w:right w:val="single" w:color="auto" w:sz="4" w:space="0"/>
            </w:tcBorders>
            <w:vAlign w:val="center"/>
          </w:tcPr>
          <w:p w14:paraId="631B596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7B64D4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4F3110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1.正面防弹器约94平米；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2.40*80mm钢管骨架(厚度≥3mm)，与后墙采用钢制固件连接；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3.8mm防弹钢板（刷防锈漆），与钢管焊接固定；</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4.迎弹面固定50mm橡胶板。</w:t>
            </w:r>
          </w:p>
        </w:tc>
      </w:tr>
      <w:tr w14:paraId="3B02068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835E85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2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09FA06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吸弹柜</w:t>
            </w:r>
          </w:p>
        </w:tc>
        <w:tc>
          <w:tcPr>
            <w:tcW w:w="542" w:type="dxa"/>
            <w:tcBorders>
              <w:top w:val="single" w:color="auto" w:sz="4" w:space="0"/>
              <w:left w:val="single" w:color="auto" w:sz="4" w:space="0"/>
              <w:bottom w:val="single" w:color="auto" w:sz="4" w:space="0"/>
              <w:right w:val="single" w:color="auto" w:sz="4" w:space="0"/>
            </w:tcBorders>
            <w:vAlign w:val="center"/>
          </w:tcPr>
          <w:p w14:paraId="44A616A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78D00D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B3C852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1.数量约34平米；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2.采用6mm钢板间隔做支撑，横向间隔1000mm；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3.8mm防弹钢板倾斜45度安装，焊接与6mm钢板之间。</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2D68679B">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795C00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3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C02860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橡胶垂帘</w:t>
            </w:r>
          </w:p>
        </w:tc>
        <w:tc>
          <w:tcPr>
            <w:tcW w:w="542" w:type="dxa"/>
            <w:tcBorders>
              <w:top w:val="single" w:color="auto" w:sz="4" w:space="0"/>
              <w:left w:val="single" w:color="auto" w:sz="4" w:space="0"/>
              <w:bottom w:val="single" w:color="auto" w:sz="4" w:space="0"/>
              <w:right w:val="single" w:color="auto" w:sz="4" w:space="0"/>
            </w:tcBorders>
            <w:vAlign w:val="center"/>
          </w:tcPr>
          <w:p w14:paraId="04E5E72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2681C3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0040295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1.数量约80平米</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2.顶部安装2条橡胶垂帘挂装道</w:t>
            </w:r>
            <w:r>
              <w:rPr>
                <w:rFonts w:hint="eastAsia" w:asciiTheme="majorEastAsia" w:hAnsiTheme="majorEastAsia" w:eastAsiaTheme="majorEastAsia" w:cstheme="majorEastAsia"/>
                <w:color w:val="auto"/>
                <w:kern w:val="0"/>
                <w:sz w:val="21"/>
                <w:szCs w:val="21"/>
                <w:highlight w:val="none"/>
                <w:lang w:eastAsia="zh-CN"/>
              </w:rPr>
              <w:t>。</w:t>
            </w:r>
          </w:p>
        </w:tc>
      </w:tr>
      <w:tr w14:paraId="2474861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7FC0D0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4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2EA156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防弹矮墙</w:t>
            </w:r>
          </w:p>
        </w:tc>
        <w:tc>
          <w:tcPr>
            <w:tcW w:w="542" w:type="dxa"/>
            <w:tcBorders>
              <w:top w:val="single" w:color="auto" w:sz="4" w:space="0"/>
              <w:left w:val="single" w:color="auto" w:sz="4" w:space="0"/>
              <w:bottom w:val="single" w:color="auto" w:sz="4" w:space="0"/>
              <w:right w:val="single" w:color="auto" w:sz="4" w:space="0"/>
            </w:tcBorders>
            <w:vAlign w:val="center"/>
          </w:tcPr>
          <w:p w14:paraId="0AC0FAF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1A1505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17</w:t>
            </w:r>
          </w:p>
        </w:tc>
        <w:tc>
          <w:tcPr>
            <w:tcW w:w="6880" w:type="dxa"/>
            <w:tcBorders>
              <w:top w:val="single" w:color="auto" w:sz="4" w:space="0"/>
              <w:left w:val="single" w:color="auto" w:sz="4" w:space="0"/>
              <w:bottom w:val="single" w:color="auto" w:sz="4" w:space="0"/>
              <w:right w:val="single" w:color="auto" w:sz="4" w:space="0"/>
            </w:tcBorders>
            <w:vAlign w:val="center"/>
          </w:tcPr>
          <w:p w14:paraId="1C7267A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1.采用40*40角钢制作钢架；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2.迎弹面及顶部，焊接8mm防弹钢板；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3.防弹钢板外部焊接钢管，固定12mm防火木工板及迎弹面安装25mm吸弹橡胶。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38BD981">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82F18D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5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54FDB29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侧面防弹器材</w:t>
            </w:r>
          </w:p>
        </w:tc>
        <w:tc>
          <w:tcPr>
            <w:tcW w:w="542" w:type="dxa"/>
            <w:tcBorders>
              <w:top w:val="single" w:color="auto" w:sz="4" w:space="0"/>
              <w:left w:val="single" w:color="auto" w:sz="4" w:space="0"/>
              <w:bottom w:val="single" w:color="auto" w:sz="4" w:space="0"/>
              <w:right w:val="single" w:color="auto" w:sz="4" w:space="0"/>
            </w:tcBorders>
            <w:vAlign w:val="center"/>
          </w:tcPr>
          <w:p w14:paraId="3DE7D66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48861EB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78B9DD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1.数量约135平米；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2.墙面安装连接钢件，使用膨胀螺栓固定在墙面，焊接连接件；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3.间隔1米处理竖向焊</w:t>
            </w:r>
            <w:r>
              <w:rPr>
                <w:rFonts w:hint="eastAsia" w:asciiTheme="majorEastAsia" w:hAnsiTheme="majorEastAsia" w:eastAsiaTheme="majorEastAsia" w:cstheme="majorEastAsia"/>
                <w:color w:val="auto"/>
                <w:kern w:val="0"/>
                <w:sz w:val="21"/>
                <w:szCs w:val="21"/>
                <w:highlight w:val="none"/>
                <w:lang w:eastAsia="zh-CN"/>
              </w:rPr>
              <w:t>接</w:t>
            </w:r>
            <w:r>
              <w:rPr>
                <w:rFonts w:hint="eastAsia" w:asciiTheme="majorEastAsia" w:hAnsiTheme="majorEastAsia" w:eastAsiaTheme="majorEastAsia" w:cstheme="majorEastAsia"/>
                <w:color w:val="auto"/>
                <w:kern w:val="0"/>
                <w:sz w:val="21"/>
                <w:szCs w:val="21"/>
                <w:highlight w:val="none"/>
              </w:rPr>
              <w:t>40*80mm钢管骨架(厚度≥3mm)，与后墙采用钢制固件连接；</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4.在钢架上垂直向上焊接8mm防弹钢板（刷防锈漆）；</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5.钢板表面焊接方钢管，自攻钉安装12mm防火木工板固定；</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6.迎弹面安装25mm吸弹橡胶。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2950FA3">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EA6B9E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6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86E984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墙面消音器材</w:t>
            </w:r>
          </w:p>
        </w:tc>
        <w:tc>
          <w:tcPr>
            <w:tcW w:w="542" w:type="dxa"/>
            <w:tcBorders>
              <w:top w:val="single" w:color="auto" w:sz="4" w:space="0"/>
              <w:left w:val="single" w:color="auto" w:sz="4" w:space="0"/>
              <w:bottom w:val="single" w:color="auto" w:sz="4" w:space="0"/>
              <w:right w:val="single" w:color="auto" w:sz="4" w:space="0"/>
            </w:tcBorders>
            <w:vAlign w:val="center"/>
          </w:tcPr>
          <w:p w14:paraId="541B7B2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r>
              <w:rPr>
                <w:rFonts w:hint="eastAsia" w:asciiTheme="majorEastAsia" w:hAnsiTheme="majorEastAsia" w:eastAsiaTheme="majorEastAsia" w:cstheme="majorEastAsia"/>
                <w:color w:val="auto"/>
                <w:kern w:val="0"/>
                <w:sz w:val="21"/>
                <w:szCs w:val="21"/>
                <w:highlight w:val="none"/>
                <w:vertAlign w:val="superscript"/>
              </w:rPr>
              <w:t>2</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22075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370.5</w:t>
            </w:r>
          </w:p>
        </w:tc>
        <w:tc>
          <w:tcPr>
            <w:tcW w:w="6880" w:type="dxa"/>
            <w:tcBorders>
              <w:top w:val="single" w:color="auto" w:sz="4" w:space="0"/>
              <w:left w:val="single" w:color="auto" w:sz="4" w:space="0"/>
              <w:bottom w:val="single" w:color="auto" w:sz="4" w:space="0"/>
              <w:right w:val="single" w:color="auto" w:sz="4" w:space="0"/>
            </w:tcBorders>
            <w:vAlign w:val="center"/>
          </w:tcPr>
          <w:p w14:paraId="5F307D6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1.C75轻钢龙骨基层；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2.12mm防火木工板；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3.6mm聚酯纤维吸音板及安装。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922E7D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00E1BB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7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ED80FA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顶部防弹挡板</w:t>
            </w:r>
          </w:p>
        </w:tc>
        <w:tc>
          <w:tcPr>
            <w:tcW w:w="542" w:type="dxa"/>
            <w:tcBorders>
              <w:top w:val="single" w:color="auto" w:sz="4" w:space="0"/>
              <w:left w:val="single" w:color="auto" w:sz="4" w:space="0"/>
              <w:bottom w:val="single" w:color="auto" w:sz="4" w:space="0"/>
              <w:right w:val="single" w:color="auto" w:sz="4" w:space="0"/>
            </w:tcBorders>
            <w:vAlign w:val="center"/>
          </w:tcPr>
          <w:p w14:paraId="64A19C9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道</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B9C3F6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6880" w:type="dxa"/>
            <w:tcBorders>
              <w:top w:val="single" w:color="auto" w:sz="4" w:space="0"/>
              <w:left w:val="single" w:color="auto" w:sz="4" w:space="0"/>
              <w:bottom w:val="single" w:color="auto" w:sz="4" w:space="0"/>
              <w:right w:val="single" w:color="auto" w:sz="4" w:space="0"/>
            </w:tcBorders>
            <w:vAlign w:val="center"/>
          </w:tcPr>
          <w:p w14:paraId="7E9DB42C">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1.每道长低于16米（顶到两侧结构墙或柱）、宽1米；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2.使用角钢钢架与结构梁相连，焊接基层钢架；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3.6mm防弹钢板顶部横向吊装倾斜焊接，横向焊接矩形钢管；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4.25mm吸弹橡胶制作.</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711418C5">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366138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8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FF3645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顶部吸音器材</w:t>
            </w:r>
          </w:p>
        </w:tc>
        <w:tc>
          <w:tcPr>
            <w:tcW w:w="542" w:type="dxa"/>
            <w:tcBorders>
              <w:top w:val="single" w:color="auto" w:sz="4" w:space="0"/>
              <w:left w:val="single" w:color="auto" w:sz="4" w:space="0"/>
              <w:bottom w:val="single" w:color="auto" w:sz="4" w:space="0"/>
              <w:right w:val="single" w:color="auto" w:sz="4" w:space="0"/>
            </w:tcBorders>
            <w:vAlign w:val="center"/>
          </w:tcPr>
          <w:p w14:paraId="63D459E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099FED9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1464</w:t>
            </w:r>
          </w:p>
        </w:tc>
        <w:tc>
          <w:tcPr>
            <w:tcW w:w="6880" w:type="dxa"/>
            <w:tcBorders>
              <w:top w:val="single" w:color="auto" w:sz="4" w:space="0"/>
              <w:left w:val="single" w:color="auto" w:sz="4" w:space="0"/>
              <w:bottom w:val="single" w:color="auto" w:sz="4" w:space="0"/>
              <w:right w:val="single" w:color="auto" w:sz="4" w:space="0"/>
            </w:tcBorders>
            <w:vAlign w:val="center"/>
          </w:tcPr>
          <w:p w14:paraId="65FE7597">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1.配置吊装架，含安装；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2.600mm*600mm多孔硅酸钙吸音板，含安装。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465E808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AA4A6AA">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9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2765BA2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观摩区防护隔离</w:t>
            </w:r>
          </w:p>
        </w:tc>
        <w:tc>
          <w:tcPr>
            <w:tcW w:w="542" w:type="dxa"/>
            <w:tcBorders>
              <w:top w:val="single" w:color="auto" w:sz="4" w:space="0"/>
              <w:left w:val="single" w:color="auto" w:sz="4" w:space="0"/>
              <w:bottom w:val="single" w:color="auto" w:sz="4" w:space="0"/>
              <w:right w:val="single" w:color="auto" w:sz="4" w:space="0"/>
            </w:tcBorders>
            <w:vAlign w:val="center"/>
          </w:tcPr>
          <w:p w14:paraId="2D61468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r>
              <w:rPr>
                <w:rFonts w:hint="eastAsia" w:asciiTheme="majorEastAsia" w:hAnsiTheme="majorEastAsia" w:eastAsiaTheme="majorEastAsia" w:cstheme="majorEastAsia"/>
                <w:color w:val="auto"/>
                <w:kern w:val="0"/>
                <w:sz w:val="21"/>
                <w:szCs w:val="21"/>
                <w:highlight w:val="none"/>
                <w:vertAlign w:val="superscript"/>
              </w:rPr>
              <w:t>2</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9F596D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104</w:t>
            </w:r>
          </w:p>
        </w:tc>
        <w:tc>
          <w:tcPr>
            <w:tcW w:w="6880" w:type="dxa"/>
            <w:tcBorders>
              <w:top w:val="single" w:color="auto" w:sz="4" w:space="0"/>
              <w:left w:val="single" w:color="auto" w:sz="4" w:space="0"/>
              <w:bottom w:val="single" w:color="auto" w:sz="4" w:space="0"/>
              <w:right w:val="single" w:color="auto" w:sz="4" w:space="0"/>
            </w:tcBorders>
            <w:vAlign w:val="center"/>
          </w:tcPr>
          <w:p w14:paraId="5D918EF0">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1.防弹玻璃上部焊接安装钢质支撑架；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2.修砌筑0.3米高24砖墙，墙体安装长14</w:t>
            </w:r>
            <w:r>
              <w:rPr>
                <w:rFonts w:hint="eastAsia" w:asciiTheme="majorEastAsia" w:hAnsiTheme="majorEastAsia" w:eastAsiaTheme="majorEastAsia" w:cstheme="majorEastAsia"/>
                <w:color w:val="auto"/>
                <w:kern w:val="0"/>
                <w:sz w:val="21"/>
                <w:szCs w:val="21"/>
                <w:highlight w:val="none"/>
                <w:lang w:eastAsia="zh-CN"/>
              </w:rPr>
              <w:t>米</w:t>
            </w:r>
            <w:r>
              <w:rPr>
                <w:rFonts w:hint="eastAsia" w:asciiTheme="majorEastAsia" w:hAnsiTheme="majorEastAsia" w:eastAsiaTheme="majorEastAsia" w:cstheme="majorEastAsia"/>
                <w:color w:val="auto"/>
                <w:kern w:val="0"/>
                <w:sz w:val="21"/>
                <w:szCs w:val="21"/>
                <w:highlight w:val="none"/>
              </w:rPr>
              <w:t>*高2米区域安装24mm厚防弹玻璃；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3.安装2扇单开24mm厚防弹玻璃门；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4.防弹玻璃边框包口，钢架及墙面训练区一侧封木工板和吸音板，观摩区一侧封木工板和石膏板。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2F1815FC">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29A60A3">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10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6B2791C">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地面防跳弹橡胶砖</w:t>
            </w:r>
          </w:p>
        </w:tc>
        <w:tc>
          <w:tcPr>
            <w:tcW w:w="542" w:type="dxa"/>
            <w:tcBorders>
              <w:top w:val="single" w:color="auto" w:sz="4" w:space="0"/>
              <w:left w:val="single" w:color="auto" w:sz="4" w:space="0"/>
              <w:bottom w:val="single" w:color="auto" w:sz="4" w:space="0"/>
              <w:right w:val="single" w:color="auto" w:sz="4" w:space="0"/>
            </w:tcBorders>
            <w:vAlign w:val="center"/>
          </w:tcPr>
          <w:p w14:paraId="5A32FDC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块</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7F6B409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580</w:t>
            </w:r>
          </w:p>
        </w:tc>
        <w:tc>
          <w:tcPr>
            <w:tcW w:w="6880" w:type="dxa"/>
            <w:tcBorders>
              <w:top w:val="single" w:color="auto" w:sz="4" w:space="0"/>
              <w:left w:val="single" w:color="auto" w:sz="4" w:space="0"/>
              <w:bottom w:val="single" w:color="auto" w:sz="4" w:space="0"/>
              <w:right w:val="single" w:color="auto" w:sz="4" w:space="0"/>
            </w:tcBorders>
            <w:vAlign w:val="center"/>
          </w:tcPr>
          <w:p w14:paraId="20E7EF83">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1.地面找平；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2.铺设2.5cm厚吸弹橡胶砖，规格1000*1000mm。</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1A41C0F8">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76015CC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11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AF7079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场地电路及照明系统</w:t>
            </w:r>
          </w:p>
        </w:tc>
        <w:tc>
          <w:tcPr>
            <w:tcW w:w="542" w:type="dxa"/>
            <w:tcBorders>
              <w:top w:val="single" w:color="auto" w:sz="4" w:space="0"/>
              <w:left w:val="single" w:color="auto" w:sz="4" w:space="0"/>
              <w:bottom w:val="single" w:color="auto" w:sz="4" w:space="0"/>
              <w:right w:val="single" w:color="auto" w:sz="4" w:space="0"/>
            </w:tcBorders>
            <w:vAlign w:val="center"/>
          </w:tcPr>
          <w:p w14:paraId="1EAC35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9DE8CD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389A02D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1.配置PLC智能配电箱，能够实现软件对排风设备及照明的开关控制；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2.场地照明采用LED照明（尺寸600mm*600mm，功率≥68W），不少于12横排照明，每排安装LED照明设备不少于8个，两侧顶部竖向安装灯带；</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3.照明线路分为8路控制，可实现每排灯光单独开关；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4.设备线路配置靶机供电、投影设备供电、音箱设备供电、监控设备供电、观摩显示器、控制室设备供电、空调设备供电等；</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5.场地网络数据、图像传输线路铺设满足场地设备控制需求。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2CA7E9C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D7DA12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12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4768450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有害气体排放设备</w:t>
            </w:r>
          </w:p>
        </w:tc>
        <w:tc>
          <w:tcPr>
            <w:tcW w:w="542" w:type="dxa"/>
            <w:tcBorders>
              <w:top w:val="single" w:color="auto" w:sz="4" w:space="0"/>
              <w:left w:val="single" w:color="auto" w:sz="4" w:space="0"/>
              <w:bottom w:val="single" w:color="auto" w:sz="4" w:space="0"/>
              <w:right w:val="single" w:color="auto" w:sz="4" w:space="0"/>
            </w:tcBorders>
            <w:vAlign w:val="center"/>
          </w:tcPr>
          <w:p w14:paraId="18BA61B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709A98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4E42278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1.安装离心风机，3台排放（顶部2台风量7000-12000立方/小时，底部1台风量4000-7000立方/小时）、2台送风量7000-12000立方/小时）；</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2.横向安装风道和封口，风道采用铁质，送风口采用圆形喷口，排风口采用方格栅；</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3.满足场地内实弹射击时的有害气体排放要求。</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05018C9D">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1759E6B">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13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304BEE7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构建控制室</w:t>
            </w:r>
          </w:p>
        </w:tc>
        <w:tc>
          <w:tcPr>
            <w:tcW w:w="542" w:type="dxa"/>
            <w:tcBorders>
              <w:top w:val="single" w:color="auto" w:sz="4" w:space="0"/>
              <w:left w:val="single" w:color="auto" w:sz="4" w:space="0"/>
              <w:bottom w:val="single" w:color="auto" w:sz="4" w:space="0"/>
              <w:right w:val="single" w:color="auto" w:sz="4" w:space="0"/>
            </w:tcBorders>
            <w:vAlign w:val="center"/>
          </w:tcPr>
          <w:p w14:paraId="76CB8A02">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11E7EF1">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53116B12">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1.控制室长4米、宽3米；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2.安装观察玻璃；</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3.安装单开防盗门。</w:t>
            </w:r>
          </w:p>
        </w:tc>
      </w:tr>
      <w:tr w14:paraId="27E71740">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3D2823D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14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76D671E7">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观摩、控制区复合地面</w:t>
            </w:r>
          </w:p>
        </w:tc>
        <w:tc>
          <w:tcPr>
            <w:tcW w:w="542" w:type="dxa"/>
            <w:tcBorders>
              <w:top w:val="single" w:color="auto" w:sz="4" w:space="0"/>
              <w:left w:val="single" w:color="auto" w:sz="4" w:space="0"/>
              <w:bottom w:val="single" w:color="auto" w:sz="4" w:space="0"/>
              <w:right w:val="single" w:color="auto" w:sz="4" w:space="0"/>
            </w:tcBorders>
            <w:vAlign w:val="center"/>
          </w:tcPr>
          <w:p w14:paraId="431EE9CE">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m</w:t>
            </w:r>
            <w:r>
              <w:rPr>
                <w:rFonts w:hint="eastAsia" w:asciiTheme="majorEastAsia" w:hAnsiTheme="majorEastAsia" w:eastAsiaTheme="majorEastAsia" w:cstheme="majorEastAsia"/>
                <w:color w:val="auto"/>
                <w:kern w:val="0"/>
                <w:sz w:val="21"/>
                <w:szCs w:val="21"/>
                <w:highlight w:val="none"/>
                <w:vertAlign w:val="superscript"/>
              </w:rPr>
              <w:t>2</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362A71A9">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136</w:t>
            </w:r>
          </w:p>
        </w:tc>
        <w:tc>
          <w:tcPr>
            <w:tcW w:w="6880" w:type="dxa"/>
            <w:tcBorders>
              <w:top w:val="single" w:color="auto" w:sz="4" w:space="0"/>
              <w:left w:val="single" w:color="auto" w:sz="4" w:space="0"/>
              <w:bottom w:val="single" w:color="auto" w:sz="4" w:space="0"/>
              <w:right w:val="single" w:color="auto" w:sz="4" w:space="0"/>
            </w:tcBorders>
            <w:vAlign w:val="center"/>
          </w:tcPr>
          <w:p w14:paraId="36F7E9C6">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1.地面复合木地板；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2.阶梯等候台铺设复合木地板；</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3.安装踢脚线和门；</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(含安装调试及辅助配件)</w:t>
            </w:r>
          </w:p>
        </w:tc>
      </w:tr>
      <w:tr w14:paraId="326B0DE6">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E6F693D">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15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1495FD55">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吸顶式</w:t>
            </w:r>
            <w:r>
              <w:rPr>
                <w:rFonts w:hint="eastAsia" w:asciiTheme="majorEastAsia" w:hAnsiTheme="majorEastAsia" w:eastAsiaTheme="majorEastAsia" w:cstheme="majorEastAsia"/>
                <w:color w:val="auto"/>
                <w:kern w:val="0"/>
                <w:sz w:val="21"/>
                <w:szCs w:val="21"/>
                <w:highlight w:val="none"/>
                <w:lang w:eastAsia="zh-CN"/>
              </w:rPr>
              <w:t>室内控温设备</w:t>
            </w:r>
          </w:p>
        </w:tc>
        <w:tc>
          <w:tcPr>
            <w:tcW w:w="542" w:type="dxa"/>
            <w:tcBorders>
              <w:top w:val="single" w:color="auto" w:sz="4" w:space="0"/>
              <w:left w:val="single" w:color="auto" w:sz="4" w:space="0"/>
              <w:bottom w:val="single" w:color="auto" w:sz="4" w:space="0"/>
              <w:right w:val="single" w:color="auto" w:sz="4" w:space="0"/>
            </w:tcBorders>
            <w:vAlign w:val="center"/>
          </w:tcPr>
          <w:p w14:paraId="3693F2D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台</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50556C46">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6880" w:type="dxa"/>
            <w:tcBorders>
              <w:top w:val="single" w:color="auto" w:sz="4" w:space="0"/>
              <w:left w:val="single" w:color="auto" w:sz="4" w:space="0"/>
              <w:bottom w:val="single" w:color="auto" w:sz="4" w:space="0"/>
              <w:right w:val="single" w:color="auto" w:sz="4" w:space="0"/>
            </w:tcBorders>
            <w:shd w:val="clear" w:color="000000" w:fill="FFFFFF"/>
            <w:vAlign w:val="center"/>
          </w:tcPr>
          <w:p w14:paraId="2489FEC4">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1、</w:t>
            </w:r>
            <w:r>
              <w:rPr>
                <w:rFonts w:hint="eastAsia" w:asciiTheme="majorEastAsia" w:hAnsiTheme="majorEastAsia" w:eastAsiaTheme="majorEastAsia" w:cstheme="majorEastAsia"/>
                <w:color w:val="auto"/>
                <w:kern w:val="0"/>
                <w:sz w:val="21"/>
                <w:szCs w:val="21"/>
                <w:highlight w:val="none"/>
              </w:rPr>
              <w:t>制冷量</w:t>
            </w:r>
            <w:r>
              <w:rPr>
                <w:rFonts w:hint="default" w:ascii="Arial" w:hAnsi="Arial" w:cs="Arial" w:eastAsia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lang w:val="en-US" w:eastAsia="zh-CN"/>
              </w:rPr>
              <w:t>7200W，制热量</w:t>
            </w:r>
            <w:r>
              <w:rPr>
                <w:rFonts w:hint="default" w:ascii="Arial" w:hAnsi="Arial" w:cs="Arial" w:eastAsia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lang w:val="en-US" w:eastAsia="zh-CN"/>
              </w:rPr>
              <w:t>9000W</w:t>
            </w:r>
            <w:r>
              <w:rPr>
                <w:rFonts w:hint="eastAsia" w:asciiTheme="majorEastAsia" w:hAnsiTheme="majorEastAsia" w:eastAsiaTheme="majorEastAsia" w:cstheme="majorEastAsia"/>
                <w:color w:val="auto"/>
                <w:kern w:val="0"/>
                <w:sz w:val="21"/>
                <w:szCs w:val="21"/>
                <w:highlight w:val="none"/>
              </w:rPr>
              <w:t>，具备全直流变频功能，一级能效，类型：冷暖双用，循环风量</w:t>
            </w:r>
            <w:r>
              <w:rPr>
                <w:rFonts w:hint="eastAsia" w:asciiTheme="majorEastAsia" w:hAnsiTheme="majorEastAsia" w:eastAsiaTheme="majorEastAsia" w:cstheme="majorEastAsia"/>
                <w:color w:val="auto"/>
                <w:kern w:val="0"/>
                <w:sz w:val="21"/>
                <w:szCs w:val="21"/>
                <w:highlight w:val="none"/>
                <w:lang w:eastAsia="zh-CN"/>
              </w:rPr>
              <w:t>：</w:t>
            </w:r>
            <w:r>
              <w:rPr>
                <w:rFonts w:hint="eastAsia" w:asciiTheme="majorEastAsia" w:hAnsiTheme="majorEastAsia" w:eastAsiaTheme="majorEastAsia" w:cstheme="majorEastAsia"/>
                <w:color w:val="auto"/>
                <w:kern w:val="0"/>
                <w:sz w:val="21"/>
                <w:szCs w:val="21"/>
                <w:highlight w:val="none"/>
              </w:rPr>
              <w:t>≮1200m</w:t>
            </w:r>
            <w:r>
              <w:rPr>
                <w:rFonts w:hint="eastAsia" w:asciiTheme="majorEastAsia" w:hAnsiTheme="majorEastAsia" w:eastAsiaTheme="majorEastAsia" w:cstheme="majorEastAsia"/>
                <w:color w:val="auto"/>
                <w:kern w:val="0"/>
                <w:sz w:val="21"/>
                <w:szCs w:val="21"/>
                <w:highlight w:val="none"/>
                <w:vertAlign w:val="superscript"/>
              </w:rPr>
              <w:t>3</w:t>
            </w:r>
            <w:r>
              <w:rPr>
                <w:rFonts w:hint="eastAsia" w:asciiTheme="majorEastAsia" w:hAnsiTheme="majorEastAsia" w:eastAsiaTheme="majorEastAsia" w:cstheme="majorEastAsia"/>
                <w:color w:val="auto"/>
                <w:kern w:val="0"/>
                <w:sz w:val="21"/>
                <w:szCs w:val="21"/>
                <w:highlight w:val="none"/>
              </w:rPr>
              <w:t>/h，内机噪音：≤42dB(A)，220V供电，含安装调试和所有延长管线。</w:t>
            </w:r>
          </w:p>
          <w:p w14:paraId="67EE2A08">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rPr>
              <w:t>2、须与项目同步实施，对射击系统和采集系统等设备设施进行有效保护。</w:t>
            </w:r>
          </w:p>
        </w:tc>
      </w:tr>
      <w:tr w14:paraId="61EBCC02">
        <w:tblPrEx>
          <w:tblCellMar>
            <w:top w:w="0" w:type="dxa"/>
            <w:left w:w="108" w:type="dxa"/>
            <w:bottom w:w="0" w:type="dxa"/>
            <w:right w:w="108" w:type="dxa"/>
          </w:tblCellMar>
        </w:tblPrEx>
        <w:trPr>
          <w:trHeight w:val="0"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8F0E8FF">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 xml:space="preserve">16 </w:t>
            </w:r>
          </w:p>
        </w:tc>
        <w:tc>
          <w:tcPr>
            <w:tcW w:w="1715" w:type="dxa"/>
            <w:gridSpan w:val="3"/>
            <w:tcBorders>
              <w:top w:val="single" w:color="auto" w:sz="4" w:space="0"/>
              <w:left w:val="single" w:color="auto" w:sz="4" w:space="0"/>
              <w:bottom w:val="single" w:color="auto" w:sz="4" w:space="0"/>
              <w:right w:val="single" w:color="auto" w:sz="4" w:space="0"/>
            </w:tcBorders>
            <w:vAlign w:val="center"/>
          </w:tcPr>
          <w:p w14:paraId="01C61130">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场地拆除</w:t>
            </w:r>
          </w:p>
        </w:tc>
        <w:tc>
          <w:tcPr>
            <w:tcW w:w="542" w:type="dxa"/>
            <w:tcBorders>
              <w:top w:val="single" w:color="auto" w:sz="4" w:space="0"/>
              <w:left w:val="single" w:color="auto" w:sz="4" w:space="0"/>
              <w:bottom w:val="single" w:color="auto" w:sz="4" w:space="0"/>
              <w:right w:val="single" w:color="auto" w:sz="4" w:space="0"/>
            </w:tcBorders>
            <w:vAlign w:val="center"/>
          </w:tcPr>
          <w:p w14:paraId="0373F834">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项</w:t>
            </w:r>
          </w:p>
        </w:tc>
        <w:tc>
          <w:tcPr>
            <w:tcW w:w="704" w:type="dxa"/>
            <w:tcBorders>
              <w:top w:val="single" w:color="auto" w:sz="4" w:space="0"/>
              <w:left w:val="single" w:color="auto" w:sz="4" w:space="0"/>
              <w:bottom w:val="single" w:color="auto" w:sz="4" w:space="0"/>
              <w:right w:val="single" w:color="auto" w:sz="4" w:space="0"/>
            </w:tcBorders>
            <w:shd w:val="clear" w:color="000000" w:fill="FFFFFF"/>
            <w:vAlign w:val="center"/>
          </w:tcPr>
          <w:p w14:paraId="1E7AADA8">
            <w:pPr>
              <w:keepNext w:val="0"/>
              <w:keepLines w:val="0"/>
              <w:pageBreakBefore w:val="0"/>
              <w:widowControl/>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6880" w:type="dxa"/>
            <w:tcBorders>
              <w:top w:val="single" w:color="auto" w:sz="4" w:space="0"/>
              <w:left w:val="single" w:color="auto" w:sz="4" w:space="0"/>
              <w:bottom w:val="single" w:color="auto" w:sz="4" w:space="0"/>
              <w:right w:val="single" w:color="auto" w:sz="4" w:space="0"/>
            </w:tcBorders>
            <w:vAlign w:val="center"/>
          </w:tcPr>
          <w:p w14:paraId="20F0DD5E">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color w:val="auto"/>
                <w:kern w:val="0"/>
                <w:sz w:val="21"/>
                <w:szCs w:val="21"/>
                <w:highlight w:val="none"/>
              </w:rPr>
              <w:t>1.轮胎墙拆除；</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2.拆除原有隔墙及控制隔墙；</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3.拆除顶棚及雨水管；</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4.拆除侧面防弹和吸音；</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5.拆除地面；</w:t>
            </w:r>
            <w:r>
              <w:rPr>
                <w:rFonts w:hint="eastAsia" w:asciiTheme="majorEastAsia" w:hAnsiTheme="majorEastAsia" w:eastAsiaTheme="majorEastAsia" w:cstheme="majorEastAsia"/>
                <w:color w:val="auto"/>
                <w:kern w:val="0"/>
                <w:sz w:val="21"/>
                <w:szCs w:val="21"/>
                <w:highlight w:val="none"/>
              </w:rPr>
              <w:br w:type="textWrapping"/>
            </w:r>
            <w:r>
              <w:rPr>
                <w:rFonts w:hint="eastAsia" w:asciiTheme="majorEastAsia" w:hAnsiTheme="majorEastAsia" w:eastAsiaTheme="majorEastAsia" w:cstheme="majorEastAsia"/>
                <w:color w:val="auto"/>
                <w:kern w:val="0"/>
                <w:sz w:val="21"/>
                <w:szCs w:val="21"/>
                <w:highlight w:val="none"/>
              </w:rPr>
              <w:t>6.垃圾清运</w:t>
            </w:r>
            <w:r>
              <w:rPr>
                <w:rFonts w:hint="eastAsia" w:asciiTheme="majorEastAsia" w:hAnsiTheme="majorEastAsia" w:eastAsiaTheme="majorEastAsia" w:cstheme="majorEastAsia"/>
                <w:color w:val="auto"/>
                <w:kern w:val="0"/>
                <w:sz w:val="21"/>
                <w:szCs w:val="21"/>
                <w:highlight w:val="none"/>
                <w:lang w:eastAsia="zh-CN"/>
              </w:rPr>
              <w:t>；</w:t>
            </w:r>
          </w:p>
          <w:p w14:paraId="3FCB771B">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rPr>
              <w:t>7.涉及项目场地的新建或改造的拆除等全部内容</w:t>
            </w:r>
            <w:r>
              <w:rPr>
                <w:rFonts w:hint="eastAsia" w:asciiTheme="majorEastAsia" w:hAnsiTheme="majorEastAsia" w:eastAsiaTheme="majorEastAsia" w:cstheme="majorEastAsia"/>
                <w:color w:val="auto"/>
                <w:kern w:val="0"/>
                <w:sz w:val="21"/>
                <w:szCs w:val="21"/>
                <w:highlight w:val="none"/>
              </w:rPr>
              <w:t>。</w:t>
            </w:r>
          </w:p>
        </w:tc>
      </w:tr>
      <w:tr w14:paraId="2618CE7D">
        <w:tblPrEx>
          <w:tblCellMar>
            <w:top w:w="0" w:type="dxa"/>
            <w:left w:w="108" w:type="dxa"/>
            <w:bottom w:w="0" w:type="dxa"/>
            <w:right w:w="108" w:type="dxa"/>
          </w:tblCellMar>
        </w:tblPrEx>
        <w:trPr>
          <w:trHeight w:val="0" w:hRule="atLeast"/>
          <w:jc w:val="center"/>
        </w:trPr>
        <w:tc>
          <w:tcPr>
            <w:tcW w:w="10361" w:type="dxa"/>
            <w:gridSpan w:val="7"/>
            <w:tcBorders>
              <w:top w:val="single" w:color="auto" w:sz="4" w:space="0"/>
              <w:left w:val="single" w:color="auto" w:sz="4" w:space="0"/>
              <w:bottom w:val="single" w:color="auto" w:sz="4" w:space="0"/>
              <w:right w:val="single" w:color="auto" w:sz="4" w:space="0"/>
            </w:tcBorders>
            <w:vAlign w:val="center"/>
          </w:tcPr>
          <w:p w14:paraId="3C0D7FBA">
            <w:pPr>
              <w:keepNext w:val="0"/>
              <w:keepLines w:val="0"/>
              <w:pageBreakBefore w:val="0"/>
              <w:widowControl/>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bidi="ar"/>
              </w:rPr>
              <w:t>商务要求</w:t>
            </w:r>
          </w:p>
        </w:tc>
      </w:tr>
      <w:tr w14:paraId="77F8A472">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2A19BC03">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规范标准</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35D7DDA5">
            <w:pPr>
              <w:keepNext w:val="0"/>
              <w:keepLines w:val="0"/>
              <w:pageBreakBefore w:val="0"/>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采购标的需执行的国家标准、行业标准、地方标准或者其他标准、规范。多项标准的，按最新标准或较高标准执行。</w:t>
            </w:r>
          </w:p>
        </w:tc>
      </w:tr>
      <w:tr w14:paraId="5671E410">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3C2DC399">
            <w:pPr>
              <w:keepNext w:val="0"/>
              <w:keepLines w:val="0"/>
              <w:pageBreakBefore w:val="0"/>
              <w:tabs>
                <w:tab w:val="left" w:pos="5450"/>
              </w:tabs>
              <w:kinsoku/>
              <w:wordWrap/>
              <w:overflowPunct/>
              <w:topLinePunct w:val="0"/>
              <w:autoSpaceDE/>
              <w:autoSpaceDN/>
              <w:bidi w:val="0"/>
              <w:adjustRightInd w:val="0"/>
              <w:snapToGrid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合同签订期</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4C6FA600">
            <w:pPr>
              <w:keepNext w:val="0"/>
              <w:keepLines w:val="0"/>
              <w:pageBreakBefore w:val="0"/>
              <w:tabs>
                <w:tab w:val="left" w:pos="5450"/>
              </w:tabs>
              <w:kinsoku/>
              <w:wordWrap/>
              <w:overflowPunct/>
              <w:topLinePunct w:val="0"/>
              <w:autoSpaceDE/>
              <w:autoSpaceDN/>
              <w:bidi w:val="0"/>
              <w:adjustRightInd w:val="0"/>
              <w:snapToGrid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自中标通知书发出之日起25日内。</w:t>
            </w:r>
          </w:p>
        </w:tc>
      </w:tr>
      <w:tr w14:paraId="3AFC38C6">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3C7442E2">
            <w:pPr>
              <w:keepNext w:val="0"/>
              <w:keepLines w:val="0"/>
              <w:pageBreakBefore w:val="0"/>
              <w:kinsoku/>
              <w:wordWrap/>
              <w:overflowPunct/>
              <w:topLinePunct w:val="0"/>
              <w:autoSpaceDE/>
              <w:autoSpaceDN/>
              <w:bidi w:val="0"/>
              <w:spacing w:line="360" w:lineRule="auto"/>
              <w:ind w:right="0"/>
              <w:jc w:val="center"/>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交货时间及交货地点</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11F4A7FC">
            <w:pPr>
              <w:keepNext w:val="0"/>
              <w:keepLines w:val="0"/>
              <w:pageBreakBefore w:val="0"/>
              <w:kinsoku/>
              <w:wordWrap/>
              <w:overflowPunct/>
              <w:topLinePunct w:val="0"/>
              <w:autoSpaceDE/>
              <w:autoSpaceDN/>
              <w:bidi w:val="0"/>
              <w:spacing w:line="360" w:lineRule="auto"/>
              <w:ind w:right="0"/>
              <w:textAlignment w:val="top"/>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交货时间：</w:t>
            </w:r>
            <w:r>
              <w:rPr>
                <w:rFonts w:hint="eastAsia" w:cs="宋体" w:asciiTheme="majorEastAsia" w:hAnsiTheme="majorEastAsia" w:eastAsiaTheme="majorEastAsia"/>
                <w:color w:val="auto"/>
                <w:szCs w:val="21"/>
                <w:highlight w:val="none"/>
                <w:lang w:eastAsia="zh-CN"/>
              </w:rPr>
              <w:t>自签订合同之日起</w:t>
            </w:r>
            <w:r>
              <w:rPr>
                <w:rFonts w:hint="eastAsia" w:cs="宋体" w:asciiTheme="majorEastAsia" w:hAnsiTheme="majorEastAsia" w:eastAsiaTheme="majorEastAsia"/>
                <w:color w:val="auto"/>
                <w:szCs w:val="21"/>
                <w:highlight w:val="none"/>
                <w:lang w:val="en-US" w:eastAsia="zh-CN"/>
              </w:rPr>
              <w:t>7</w:t>
            </w:r>
            <w:r>
              <w:rPr>
                <w:rFonts w:hint="eastAsia" w:cs="宋体" w:asciiTheme="majorEastAsia" w:hAnsiTheme="majorEastAsia" w:eastAsiaTheme="majorEastAsia"/>
                <w:b w:val="0"/>
                <w:bCs w:val="0"/>
                <w:color w:val="auto"/>
                <w:szCs w:val="21"/>
                <w:highlight w:val="none"/>
                <w:lang w:val="en-US" w:eastAsia="zh-CN"/>
              </w:rPr>
              <w:t>0</w:t>
            </w:r>
            <w:r>
              <w:rPr>
                <w:rFonts w:hint="eastAsia" w:cs="宋体" w:asciiTheme="majorEastAsia" w:hAnsiTheme="majorEastAsia" w:eastAsiaTheme="majorEastAsia"/>
                <w:b w:val="0"/>
                <w:bCs w:val="0"/>
                <w:color w:val="auto"/>
                <w:szCs w:val="21"/>
                <w:highlight w:val="none"/>
                <w:lang w:eastAsia="zh-CN"/>
              </w:rPr>
              <w:t>天内</w:t>
            </w:r>
            <w:r>
              <w:rPr>
                <w:rFonts w:hint="eastAsia" w:cs="宋体" w:asciiTheme="majorEastAsia" w:hAnsiTheme="majorEastAsia" w:eastAsiaTheme="majorEastAsia"/>
                <w:color w:val="auto"/>
                <w:szCs w:val="21"/>
                <w:highlight w:val="none"/>
                <w:lang w:eastAsia="zh-CN"/>
              </w:rPr>
              <w:t>完成调试并通过采购人验收</w:t>
            </w:r>
            <w:r>
              <w:rPr>
                <w:rFonts w:hint="eastAsia" w:asciiTheme="majorEastAsia" w:hAnsiTheme="majorEastAsia" w:eastAsiaTheme="majorEastAsia" w:cstheme="majorEastAsia"/>
                <w:color w:val="auto"/>
                <w:sz w:val="21"/>
                <w:szCs w:val="21"/>
                <w:highlight w:val="none"/>
              </w:rPr>
              <w:t>。</w:t>
            </w:r>
          </w:p>
          <w:p w14:paraId="091C229E">
            <w:pPr>
              <w:keepNext w:val="0"/>
              <w:keepLines w:val="0"/>
              <w:pageBreakBefore w:val="0"/>
              <w:kinsoku/>
              <w:wordWrap/>
              <w:overflowPunct/>
              <w:topLinePunct w:val="0"/>
              <w:autoSpaceDE/>
              <w:autoSpaceDN/>
              <w:bidi w:val="0"/>
              <w:spacing w:line="360" w:lineRule="auto"/>
              <w:ind w:right="0"/>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交货地点：广西区内（采购人指定地点）。</w:t>
            </w:r>
          </w:p>
        </w:tc>
      </w:tr>
      <w:tr w14:paraId="473DE8F0">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42A79AEA">
            <w:pPr>
              <w:keepNext w:val="0"/>
              <w:keepLines w:val="0"/>
              <w:pageBreakBefore w:val="0"/>
              <w:kinsoku/>
              <w:wordWrap/>
              <w:overflowPunct/>
              <w:topLinePunct w:val="0"/>
              <w:autoSpaceDE/>
              <w:autoSpaceDN/>
              <w:bidi w:val="0"/>
              <w:spacing w:line="360" w:lineRule="auto"/>
              <w:ind w:right="0"/>
              <w:jc w:val="center"/>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售后服务要求</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601B820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1、负责送货上门，负责安装调试合格，按国家有关规定实行“三包”，负责定期回访及维护。</w:t>
            </w:r>
          </w:p>
          <w:p w14:paraId="1492099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2、质保期：自验收合格之日起1年。质保为整机（整台、整套），质保期内保证设备合法性使用，国家强制检测由供应商负责，质保期内的质量责任由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承担；由于设备质量造成的安全事故由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承担；质保期内货物故障</w:t>
            </w:r>
            <w:r>
              <w:rPr>
                <w:rFonts w:hint="eastAsia" w:asciiTheme="majorEastAsia" w:hAnsiTheme="majorEastAsia" w:eastAsiaTheme="majorEastAsia" w:cstheme="majorEastAsia"/>
                <w:color w:val="auto"/>
                <w:sz w:val="21"/>
                <w:szCs w:val="21"/>
                <w:highlight w:val="none"/>
                <w:lang w:eastAsia="zh-CN"/>
              </w:rPr>
              <w:t>或系统</w:t>
            </w:r>
            <w:r>
              <w:rPr>
                <w:rFonts w:hint="eastAsia" w:asciiTheme="majorEastAsia" w:hAnsiTheme="majorEastAsia" w:eastAsiaTheme="majorEastAsia" w:cstheme="majorEastAsia"/>
                <w:color w:val="auto"/>
                <w:sz w:val="21"/>
                <w:szCs w:val="21"/>
                <w:highlight w:val="none"/>
              </w:rPr>
              <w:t>故障</w:t>
            </w:r>
            <w:r>
              <w:rPr>
                <w:rFonts w:hint="eastAsia" w:asciiTheme="majorEastAsia" w:hAnsiTheme="majorEastAsia" w:eastAsiaTheme="majorEastAsia" w:cstheme="majorEastAsia"/>
                <w:color w:val="auto"/>
                <w:sz w:val="21"/>
                <w:szCs w:val="21"/>
                <w:highlight w:val="none"/>
                <w:lang w:eastAsia="zh-CN"/>
              </w:rPr>
              <w:t>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承诺</w:t>
            </w:r>
            <w:r>
              <w:rPr>
                <w:rFonts w:hint="eastAsia" w:asciiTheme="majorEastAsia" w:hAnsiTheme="majorEastAsia" w:eastAsiaTheme="majorEastAsia" w:cstheme="majorEastAsia"/>
                <w:color w:val="auto"/>
                <w:sz w:val="21"/>
                <w:szCs w:val="21"/>
                <w:highlight w:val="none"/>
                <w:lang w:eastAsia="zh-CN"/>
              </w:rPr>
              <w:t>无条件</w:t>
            </w:r>
            <w:r>
              <w:rPr>
                <w:rFonts w:hint="eastAsia" w:asciiTheme="majorEastAsia" w:hAnsiTheme="majorEastAsia" w:eastAsiaTheme="majorEastAsia" w:cstheme="majorEastAsia"/>
                <w:color w:val="auto"/>
                <w:sz w:val="21"/>
                <w:szCs w:val="21"/>
                <w:highlight w:val="none"/>
              </w:rPr>
              <w:t>更换新件</w:t>
            </w:r>
            <w:r>
              <w:rPr>
                <w:rFonts w:hint="eastAsia" w:asciiTheme="majorEastAsia" w:hAnsiTheme="majorEastAsia" w:eastAsiaTheme="majorEastAsia" w:cstheme="majorEastAsia"/>
                <w:color w:val="auto"/>
                <w:sz w:val="21"/>
                <w:szCs w:val="21"/>
                <w:highlight w:val="none"/>
                <w:lang w:eastAsia="zh-CN"/>
              </w:rPr>
              <w:t>或升级</w:t>
            </w:r>
            <w:r>
              <w:rPr>
                <w:rFonts w:hint="eastAsia" w:asciiTheme="majorEastAsia" w:hAnsiTheme="majorEastAsia" w:eastAsiaTheme="majorEastAsia" w:cstheme="majorEastAsia"/>
                <w:color w:val="auto"/>
                <w:sz w:val="21"/>
                <w:szCs w:val="21"/>
                <w:highlight w:val="none"/>
              </w:rPr>
              <w:t>。</w:t>
            </w:r>
          </w:p>
          <w:p w14:paraId="71A4FC3D">
            <w:pPr>
              <w:keepNext w:val="0"/>
              <w:keepLines w:val="0"/>
              <w:pageBreakBefore w:val="0"/>
              <w:kinsoku/>
              <w:wordWrap/>
              <w:overflowPunct/>
              <w:topLinePunct w:val="0"/>
              <w:autoSpaceDE/>
              <w:autoSpaceDN/>
              <w:bidi w:val="0"/>
              <w:snapToGrid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3、服务响应时间：7×24小时提供服务。电话报修要求</w:t>
            </w:r>
            <w:r>
              <w:rPr>
                <w:rFonts w:hint="eastAsia" w:asciiTheme="majorEastAsia" w:hAnsiTheme="majorEastAsia" w:eastAsiaTheme="majorEastAsia" w:cstheme="majorEastAsia"/>
                <w:color w:val="auto"/>
                <w:sz w:val="21"/>
                <w:szCs w:val="21"/>
                <w:highlight w:val="none"/>
                <w:lang w:val="en-US" w:eastAsia="zh-CN"/>
              </w:rPr>
              <w:t>1</w:t>
            </w:r>
            <w:r>
              <w:rPr>
                <w:rFonts w:hint="eastAsia" w:asciiTheme="majorEastAsia" w:hAnsiTheme="majorEastAsia" w:eastAsiaTheme="majorEastAsia" w:cstheme="majorEastAsia"/>
                <w:color w:val="auto"/>
                <w:sz w:val="21"/>
                <w:szCs w:val="21"/>
                <w:highlight w:val="none"/>
              </w:rPr>
              <w:t>小时内响应，12个小时内排除故障。</w:t>
            </w:r>
          </w:p>
          <w:p w14:paraId="5772AE34">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4</w:t>
            </w:r>
            <w:r>
              <w:rPr>
                <w:rFonts w:hint="eastAsia" w:asciiTheme="majorEastAsia" w:hAnsiTheme="majorEastAsia" w:eastAsiaTheme="majorEastAsia" w:cstheme="majorEastAsia"/>
                <w:color w:val="auto"/>
                <w:sz w:val="21"/>
                <w:szCs w:val="21"/>
                <w:highlight w:val="none"/>
              </w:rPr>
              <w:t>、备品备件要求：维修设备时更换问题部件，并负责备件的运输，具体包括：</w:t>
            </w:r>
          </w:p>
          <w:p w14:paraId="08F10096">
            <w:pPr>
              <w:keepNext w:val="0"/>
              <w:keepLines w:val="0"/>
              <w:pageBreakBefore w:val="0"/>
              <w:kinsoku/>
              <w:wordWrap/>
              <w:overflowPunct/>
              <w:topLinePunct w:val="0"/>
              <w:autoSpaceDE/>
              <w:autoSpaceDN/>
              <w:bidi w:val="0"/>
              <w:snapToGrid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（1）提供保修所需的备件供应要及时、充足。</w:t>
            </w:r>
          </w:p>
          <w:p w14:paraId="0D689CA8">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（2）备件必须是原厂提供的未拆封原装备件。</w:t>
            </w:r>
          </w:p>
          <w:p w14:paraId="2F9907D0">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、设备安装调试及技术培训（费用包含在投标报价中）：供应商协助进行安装前的准备工作。到货后，供应商安排工程师安装、调试</w:t>
            </w:r>
            <w:r>
              <w:rPr>
                <w:rFonts w:hint="eastAsia" w:asciiTheme="majorEastAsia" w:hAnsiTheme="majorEastAsia" w:eastAsiaTheme="majorEastAsia" w:cstheme="majorEastAsia"/>
                <w:color w:val="auto"/>
                <w:sz w:val="21"/>
                <w:szCs w:val="21"/>
                <w:highlight w:val="none"/>
                <w:lang w:eastAsia="zh-CN"/>
              </w:rPr>
              <w:t>、建设</w:t>
            </w:r>
            <w:r>
              <w:rPr>
                <w:rFonts w:hint="eastAsia" w:asciiTheme="majorEastAsia" w:hAnsiTheme="majorEastAsia" w:eastAsiaTheme="majorEastAsia" w:cstheme="majorEastAsia"/>
                <w:color w:val="auto"/>
                <w:sz w:val="21"/>
                <w:szCs w:val="21"/>
                <w:highlight w:val="none"/>
              </w:rPr>
              <w:t>。设备安装后，供应商为采购人提供为期</w:t>
            </w: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天现场培训，培训内容包括：基本原理、结构、操作、数据处理、维护保养及简单故障排除，保证采购人的使用人员</w:t>
            </w:r>
            <w:r>
              <w:rPr>
                <w:rFonts w:hint="eastAsia" w:asciiTheme="majorEastAsia" w:hAnsiTheme="majorEastAsia" w:eastAsiaTheme="majorEastAsia" w:cstheme="majorEastAsia"/>
                <w:color w:val="auto"/>
                <w:sz w:val="21"/>
                <w:szCs w:val="21"/>
                <w:highlight w:val="none"/>
                <w:lang w:eastAsia="zh-CN"/>
              </w:rPr>
              <w:t>、管理人员</w:t>
            </w:r>
            <w:r>
              <w:rPr>
                <w:rFonts w:hint="eastAsia" w:asciiTheme="majorEastAsia" w:hAnsiTheme="majorEastAsia" w:eastAsiaTheme="majorEastAsia" w:cstheme="majorEastAsia"/>
                <w:color w:val="auto"/>
                <w:sz w:val="21"/>
                <w:szCs w:val="21"/>
                <w:highlight w:val="none"/>
              </w:rPr>
              <w:t>能正确操作设备</w:t>
            </w:r>
            <w:r>
              <w:rPr>
                <w:rFonts w:hint="eastAsia" w:asciiTheme="majorEastAsia" w:hAnsiTheme="majorEastAsia" w:eastAsiaTheme="majorEastAsia" w:cstheme="majorEastAsia"/>
                <w:color w:val="auto"/>
                <w:sz w:val="21"/>
                <w:szCs w:val="21"/>
                <w:highlight w:val="none"/>
                <w:lang w:eastAsia="zh-CN"/>
              </w:rPr>
              <w:t>、系统</w:t>
            </w:r>
            <w:r>
              <w:rPr>
                <w:rFonts w:hint="eastAsia" w:asciiTheme="majorEastAsia" w:hAnsiTheme="majorEastAsia" w:eastAsiaTheme="majorEastAsia" w:cstheme="majorEastAsia"/>
                <w:color w:val="auto"/>
                <w:sz w:val="21"/>
                <w:szCs w:val="21"/>
                <w:highlight w:val="none"/>
              </w:rPr>
              <w:t>，熟练使用设备</w:t>
            </w:r>
            <w:r>
              <w:rPr>
                <w:rFonts w:hint="eastAsia" w:asciiTheme="majorEastAsia" w:hAnsiTheme="majorEastAsia" w:eastAsiaTheme="majorEastAsia" w:cstheme="majorEastAsia"/>
                <w:color w:val="auto"/>
                <w:sz w:val="21"/>
                <w:szCs w:val="21"/>
                <w:highlight w:val="none"/>
                <w:lang w:eastAsia="zh-CN"/>
              </w:rPr>
              <w:t>、系统</w:t>
            </w:r>
            <w:r>
              <w:rPr>
                <w:rFonts w:hint="eastAsia" w:asciiTheme="majorEastAsia" w:hAnsiTheme="majorEastAsia" w:eastAsiaTheme="majorEastAsia" w:cstheme="majorEastAsia"/>
                <w:color w:val="auto"/>
                <w:sz w:val="21"/>
                <w:szCs w:val="21"/>
                <w:highlight w:val="none"/>
              </w:rPr>
              <w:t>的各种功能</w:t>
            </w:r>
            <w:r>
              <w:rPr>
                <w:rFonts w:hint="eastAsia" w:asciiTheme="majorEastAsia" w:hAnsiTheme="majorEastAsia" w:eastAsiaTheme="majorEastAsia" w:cstheme="majorEastAsia"/>
                <w:color w:val="auto"/>
                <w:sz w:val="21"/>
                <w:szCs w:val="21"/>
                <w:highlight w:val="none"/>
                <w:lang w:eastAsia="zh-CN"/>
              </w:rPr>
              <w:t>等</w:t>
            </w:r>
            <w:r>
              <w:rPr>
                <w:rFonts w:hint="eastAsia" w:asciiTheme="majorEastAsia" w:hAnsiTheme="majorEastAsia" w:eastAsiaTheme="majorEastAsia" w:cstheme="majorEastAsia"/>
                <w:color w:val="auto"/>
                <w:sz w:val="21"/>
                <w:szCs w:val="21"/>
                <w:highlight w:val="none"/>
              </w:rPr>
              <w:t>。</w:t>
            </w:r>
          </w:p>
          <w:p w14:paraId="5487419C">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6</w:t>
            </w:r>
            <w:r>
              <w:rPr>
                <w:rFonts w:hint="eastAsia" w:asciiTheme="majorEastAsia" w:hAnsiTheme="majorEastAsia" w:eastAsiaTheme="majorEastAsia" w:cstheme="majorEastAsia"/>
                <w:color w:val="auto"/>
                <w:sz w:val="21"/>
                <w:szCs w:val="21"/>
                <w:highlight w:val="none"/>
              </w:rPr>
              <w:t>、在正常安装、使用过程中，凡是因产品质量问题所造成采购人损失的，</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负责赔偿采购人的一切经济损失。</w:t>
            </w:r>
          </w:p>
          <w:p w14:paraId="44D5B17E">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7</w:t>
            </w:r>
            <w:r>
              <w:rPr>
                <w:rFonts w:hint="eastAsia" w:asciiTheme="majorEastAsia" w:hAnsiTheme="majorEastAsia" w:eastAsiaTheme="majorEastAsia" w:cstheme="majorEastAsia"/>
                <w:color w:val="auto"/>
                <w:sz w:val="21"/>
                <w:szCs w:val="21"/>
                <w:highlight w:val="none"/>
              </w:rPr>
              <w:t>、本政府采购项目现执行的有关政策、法律及法规，如有与国家最新发布的政策、法律及法规相抵触时，供应商必须无条件按照最新规定执行，且造成的损失均由供应商自行承担。</w:t>
            </w:r>
          </w:p>
          <w:p w14:paraId="7A3B718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8</w:t>
            </w:r>
            <w:r>
              <w:rPr>
                <w:rFonts w:hint="eastAsia" w:asciiTheme="majorEastAsia" w:hAnsiTheme="majorEastAsia" w:eastAsiaTheme="majorEastAsia" w:cstheme="majorEastAsia"/>
                <w:color w:val="auto"/>
                <w:sz w:val="21"/>
                <w:szCs w:val="21"/>
                <w:highlight w:val="none"/>
              </w:rPr>
              <w:t>、其余按厂家承诺进行。</w:t>
            </w:r>
          </w:p>
          <w:p w14:paraId="329A465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9、项目规划布局、设计方案、实施方案须经采购人同意后方可进行实施、建设、安装等。</w:t>
            </w:r>
          </w:p>
          <w:p w14:paraId="53E46248">
            <w:pPr>
              <w:keepNext w:val="0"/>
              <w:keepLines w:val="0"/>
              <w:pageBreakBefore w:val="0"/>
              <w:kinsoku/>
              <w:wordWrap/>
              <w:overflowPunct/>
              <w:topLinePunct w:val="0"/>
              <w:autoSpaceDE/>
              <w:autoSpaceDN/>
              <w:bidi w:val="0"/>
              <w:spacing w:line="360" w:lineRule="auto"/>
              <w:ind w:right="0"/>
              <w:rPr>
                <w:rFonts w:hint="default"/>
                <w:color w:val="auto"/>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10、</w:t>
            </w:r>
            <w:r>
              <w:rPr>
                <w:rFonts w:hint="eastAsia" w:asciiTheme="majorEastAsia" w:hAnsiTheme="majorEastAsia" w:eastAsiaTheme="majorEastAsia" w:cstheme="majorEastAsia"/>
                <w:color w:val="auto"/>
                <w:sz w:val="21"/>
                <w:szCs w:val="21"/>
                <w:highlight w:val="none"/>
                <w:lang w:eastAsia="zh-CN"/>
              </w:rPr>
              <w:t>采购标的如涉及生产许可或须监管审批的由供应商和生产制造商负责，且须满足国家的有关规定及要求。</w:t>
            </w:r>
          </w:p>
        </w:tc>
      </w:tr>
      <w:tr w14:paraId="02F20838">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24EFCBF3">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付款方式</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57FB6AEF">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1、自签订合同之日起</w:t>
            </w: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个工作日内支付</w:t>
            </w:r>
            <w:r>
              <w:rPr>
                <w:rFonts w:hint="eastAsia" w:asciiTheme="majorEastAsia" w:hAnsiTheme="majorEastAsia" w:eastAsiaTheme="majorEastAsia" w:cstheme="majorEastAsia"/>
                <w:color w:val="auto"/>
                <w:sz w:val="21"/>
                <w:szCs w:val="21"/>
                <w:highlight w:val="none"/>
                <w:lang w:val="en-US" w:eastAsia="zh-CN"/>
              </w:rPr>
              <w:t>50</w:t>
            </w:r>
            <w:r>
              <w:rPr>
                <w:rFonts w:hint="eastAsia" w:asciiTheme="majorEastAsia" w:hAnsiTheme="majorEastAsia" w:eastAsiaTheme="majorEastAsia" w:cstheme="majorEastAsia"/>
                <w:color w:val="auto"/>
                <w:sz w:val="21"/>
                <w:szCs w:val="21"/>
                <w:highlight w:val="none"/>
              </w:rPr>
              <w:t>%合同款，货到采购人指定地点，</w:t>
            </w:r>
            <w:r>
              <w:rPr>
                <w:rFonts w:hint="eastAsia" w:asciiTheme="majorEastAsia" w:hAnsiTheme="majorEastAsia" w:eastAsiaTheme="majorEastAsia" w:cstheme="majorEastAsia"/>
                <w:color w:val="auto"/>
                <w:sz w:val="21"/>
                <w:szCs w:val="21"/>
                <w:highlight w:val="none"/>
                <w:lang w:eastAsia="zh-CN"/>
              </w:rPr>
              <w:t>安装调试试运行起</w:t>
            </w:r>
            <w:r>
              <w:rPr>
                <w:rFonts w:hint="eastAsia" w:asciiTheme="majorEastAsia" w:hAnsiTheme="majorEastAsia" w:eastAsiaTheme="majorEastAsia" w:cstheme="majorEastAsia"/>
                <w:color w:val="auto"/>
                <w:sz w:val="21"/>
                <w:szCs w:val="21"/>
                <w:highlight w:val="none"/>
                <w:lang w:val="en-US" w:eastAsia="zh-CN"/>
              </w:rPr>
              <w:t>5个工作日内支付30%合同款，</w:t>
            </w:r>
            <w:r>
              <w:rPr>
                <w:rFonts w:hint="eastAsia" w:asciiTheme="majorEastAsia" w:hAnsiTheme="majorEastAsia" w:eastAsiaTheme="majorEastAsia" w:cstheme="majorEastAsia"/>
                <w:color w:val="auto"/>
                <w:sz w:val="21"/>
                <w:szCs w:val="21"/>
                <w:highlight w:val="none"/>
              </w:rPr>
              <w:t>经采购人验收</w:t>
            </w:r>
            <w:r>
              <w:rPr>
                <w:rFonts w:hint="eastAsia" w:asciiTheme="majorEastAsia" w:hAnsiTheme="majorEastAsia" w:eastAsiaTheme="majorEastAsia" w:cstheme="majorEastAsia"/>
                <w:color w:val="auto"/>
                <w:sz w:val="21"/>
                <w:szCs w:val="21"/>
                <w:highlight w:val="none"/>
                <w:lang w:eastAsia="zh-CN"/>
              </w:rPr>
              <w:t>合格</w:t>
            </w:r>
            <w:r>
              <w:rPr>
                <w:rFonts w:hint="eastAsia" w:asciiTheme="majorEastAsia" w:hAnsiTheme="majorEastAsia" w:eastAsiaTheme="majorEastAsia" w:cstheme="majorEastAsia"/>
                <w:color w:val="auto"/>
                <w:sz w:val="21"/>
                <w:szCs w:val="21"/>
                <w:highlight w:val="none"/>
              </w:rPr>
              <w:t>后</w:t>
            </w:r>
            <w:r>
              <w:rPr>
                <w:rFonts w:hint="eastAsia" w:asciiTheme="majorEastAsia" w:hAnsiTheme="majorEastAsia" w:eastAsiaTheme="majorEastAsia" w:cstheme="majorEastAsia"/>
                <w:color w:val="auto"/>
                <w:sz w:val="21"/>
                <w:szCs w:val="21"/>
                <w:highlight w:val="none"/>
                <w:lang w:val="en-US" w:eastAsia="zh-CN"/>
              </w:rPr>
              <w:t>5</w:t>
            </w:r>
            <w:r>
              <w:rPr>
                <w:rFonts w:hint="eastAsia" w:asciiTheme="majorEastAsia" w:hAnsiTheme="majorEastAsia" w:eastAsiaTheme="majorEastAsia" w:cstheme="majorEastAsia"/>
                <w:color w:val="auto"/>
                <w:sz w:val="21"/>
                <w:szCs w:val="21"/>
                <w:highlight w:val="none"/>
              </w:rPr>
              <w:t>个工作日内向</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支付剩余的合同款。</w:t>
            </w:r>
          </w:p>
          <w:p w14:paraId="3748E23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2、采购人付款前，</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应向采购人开具等额有效的增值税普通发票，采购人未收到发票的，有权不予支付相应款项直至</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提供合格发票，并不承担延迟付款责任。发票认证通过是付款的必要前提之一。</w:t>
            </w:r>
          </w:p>
          <w:p w14:paraId="6769FBD5">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3、付款方式：银行转账。</w:t>
            </w:r>
          </w:p>
        </w:tc>
      </w:tr>
      <w:tr w14:paraId="10783494">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1BBD77E9">
            <w:pPr>
              <w:keepNext w:val="0"/>
              <w:keepLines w:val="0"/>
              <w:pageBreakBefore w:val="0"/>
              <w:kinsoku/>
              <w:wordWrap/>
              <w:overflowPunct/>
              <w:topLinePunct w:val="0"/>
              <w:autoSpaceDE/>
              <w:autoSpaceDN/>
              <w:bidi w:val="0"/>
              <w:spacing w:line="360" w:lineRule="auto"/>
              <w:ind w:right="0"/>
              <w:jc w:val="center"/>
              <w:textAlignment w:val="top"/>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投标报价要求</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52DA658B">
            <w:pPr>
              <w:pStyle w:val="27"/>
              <w:keepNext w:val="0"/>
              <w:keepLines w:val="0"/>
              <w:pageBreakBefore w:val="0"/>
              <w:kinsoku/>
              <w:wordWrap/>
              <w:overflowPunct/>
              <w:topLinePunct w:val="0"/>
              <w:autoSpaceDE/>
              <w:autoSpaceDN/>
              <w:bidi w:val="0"/>
              <w:spacing w:line="360" w:lineRule="auto"/>
              <w:ind w:right="0"/>
              <w:outlineLvl w:val="0"/>
              <w:rPr>
                <w:rFonts w:hint="eastAsia" w:asciiTheme="majorEastAsia" w:hAnsiTheme="majorEastAsia" w:eastAsiaTheme="majorEastAsia" w:cstheme="majorEastAsia"/>
                <w:color w:val="auto"/>
                <w:kern w:val="0"/>
                <w:sz w:val="21"/>
                <w:szCs w:val="21"/>
                <w:highlight w:val="none"/>
              </w:rPr>
            </w:pPr>
            <w:r>
              <w:rPr>
                <w:rFonts w:hint="eastAsia" w:cs="宋体" w:asciiTheme="majorEastAsia" w:hAnsiTheme="majorEastAsia" w:eastAsiaTheme="majorEastAsia"/>
                <w:color w:val="auto"/>
                <w:sz w:val="21"/>
                <w:highlight w:val="none"/>
                <w:lang w:eastAsia="zh-CN"/>
              </w:rPr>
              <w:t>本项目为交钥匙项目，</w:t>
            </w:r>
            <w:r>
              <w:rPr>
                <w:rFonts w:hint="eastAsia" w:cs="宋体" w:asciiTheme="majorEastAsia" w:hAnsiTheme="majorEastAsia" w:eastAsiaTheme="majorEastAsia"/>
                <w:color w:val="auto"/>
                <w:sz w:val="21"/>
                <w:highlight w:val="none"/>
              </w:rPr>
              <w:t>投标报价包含货物、货物标准附件、备品备件、专用工具、设备安装辅材</w:t>
            </w:r>
            <w:r>
              <w:rPr>
                <w:rFonts w:hint="eastAsia" w:cs="宋体" w:asciiTheme="majorEastAsia" w:hAnsiTheme="majorEastAsia" w:eastAsiaTheme="majorEastAsia"/>
                <w:color w:val="auto"/>
                <w:sz w:val="21"/>
                <w:highlight w:val="none"/>
                <w:lang w:eastAsia="zh-CN"/>
              </w:rPr>
              <w:t>、辅助配件</w:t>
            </w:r>
            <w:r>
              <w:rPr>
                <w:rFonts w:hint="eastAsia" w:cs="宋体" w:asciiTheme="majorEastAsia" w:hAnsiTheme="majorEastAsia" w:eastAsiaTheme="majorEastAsia"/>
                <w:color w:val="auto"/>
                <w:sz w:val="21"/>
                <w:highlight w:val="none"/>
              </w:rPr>
              <w:t>、施工辅材、包装、运输、装卸、保险、货到就位的各种费用以</w:t>
            </w:r>
            <w:r>
              <w:rPr>
                <w:rFonts w:hint="eastAsia" w:cs="宋体" w:asciiTheme="majorEastAsia" w:hAnsiTheme="majorEastAsia" w:eastAsiaTheme="majorEastAsia"/>
                <w:color w:val="auto"/>
                <w:sz w:val="21"/>
                <w:highlight w:val="none"/>
                <w:lang w:eastAsia="zh-CN"/>
              </w:rPr>
              <w:t>及建设、施工、新建、拆除、安装、调试等</w:t>
            </w:r>
            <w:r>
              <w:rPr>
                <w:rFonts w:hint="eastAsia" w:cs="宋体" w:asciiTheme="majorEastAsia" w:hAnsiTheme="majorEastAsia" w:eastAsiaTheme="majorEastAsia"/>
                <w:color w:val="auto"/>
                <w:sz w:val="21"/>
                <w:highlight w:val="none"/>
              </w:rPr>
              <w:t>本采购文件所列设备材料需进行补充完善才能完成本项目的功能配置或实际采购中产品材料有任何遗漏的费用（含本项目需要但本文件中未列出的设备材料、功能配置）、调试，及投入使用后质量保修期内的维护、保养、人员培训、售后服务及其他所有成本费用，以及合同明示或暗示的所有责任、义务和一般风险等一切费用。</w:t>
            </w:r>
          </w:p>
        </w:tc>
      </w:tr>
      <w:tr w14:paraId="5E86CE38">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7FF6C87B">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验收要求</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3076BB19">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向采购人提供的货物必须是全新的原装产品。</w:t>
            </w:r>
          </w:p>
          <w:p w14:paraId="1FE8CB05">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2、验收过程中所产生的一切费用均由</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承担，报价时应考虑相关费用。</w:t>
            </w:r>
          </w:p>
          <w:p w14:paraId="642A99B3">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3、</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在货物验收时由采购人对照采购文件的功能目标及技术指标全面核对检验，对所有要求出具的证明文件的原件进行核查，如不符合采购文件的技术需求及要求以及提供虚假承诺的，按相关规定做退货处理及违约处理，</w:t>
            </w:r>
            <w:r>
              <w:rPr>
                <w:rFonts w:hint="eastAsia" w:asciiTheme="majorEastAsia" w:hAnsiTheme="majorEastAsia" w:eastAsiaTheme="majorEastAsia" w:cstheme="majorEastAsia"/>
                <w:color w:val="auto"/>
                <w:sz w:val="21"/>
                <w:szCs w:val="21"/>
                <w:highlight w:val="none"/>
                <w:lang w:bidi="ar"/>
              </w:rPr>
              <w:t>中标人</w:t>
            </w:r>
            <w:r>
              <w:rPr>
                <w:rFonts w:hint="eastAsia" w:asciiTheme="majorEastAsia" w:hAnsiTheme="majorEastAsia" w:eastAsiaTheme="majorEastAsia" w:cstheme="majorEastAsia"/>
                <w:color w:val="auto"/>
                <w:sz w:val="21"/>
                <w:szCs w:val="21"/>
                <w:highlight w:val="none"/>
              </w:rPr>
              <w:t>承担所有责任和费用，采购人保留进一步追究责任的权利。</w:t>
            </w:r>
          </w:p>
          <w:p w14:paraId="054732C7">
            <w:pPr>
              <w:keepNext w:val="0"/>
              <w:keepLines w:val="0"/>
              <w:pageBreakBefore w:val="0"/>
              <w:kinsoku/>
              <w:wordWrap/>
              <w:overflowPunct/>
              <w:topLinePunct w:val="0"/>
              <w:autoSpaceDE/>
              <w:autoSpaceDN/>
              <w:bidi w:val="0"/>
              <w:snapToGrid w:val="0"/>
              <w:spacing w:line="360" w:lineRule="auto"/>
              <w:ind w:right="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4、本采购文件的相关要求。</w:t>
            </w:r>
          </w:p>
          <w:p w14:paraId="037082D6">
            <w:pPr>
              <w:keepNext w:val="0"/>
              <w:keepLines w:val="0"/>
              <w:pageBreakBefore w:val="0"/>
              <w:kinsoku/>
              <w:wordWrap/>
              <w:overflowPunct/>
              <w:topLinePunct w:val="0"/>
              <w:autoSpaceDE/>
              <w:autoSpaceDN/>
              <w:bidi w:val="0"/>
              <w:spacing w:line="360" w:lineRule="auto"/>
              <w:ind w:right="0"/>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5、国家相关法律、法规、标准和规范等。</w:t>
            </w:r>
          </w:p>
        </w:tc>
      </w:tr>
      <w:tr w14:paraId="74F31444">
        <w:tblPrEx>
          <w:tblCellMar>
            <w:top w:w="0" w:type="dxa"/>
            <w:left w:w="108" w:type="dxa"/>
            <w:bottom w:w="0" w:type="dxa"/>
            <w:right w:w="108" w:type="dxa"/>
          </w:tblCellMar>
        </w:tblPrEx>
        <w:trPr>
          <w:trHeight w:val="0" w:hRule="atLeast"/>
          <w:jc w:val="center"/>
        </w:trPr>
        <w:tc>
          <w:tcPr>
            <w:tcW w:w="1596" w:type="dxa"/>
            <w:gridSpan w:val="3"/>
            <w:tcBorders>
              <w:top w:val="single" w:color="auto" w:sz="4" w:space="0"/>
              <w:left w:val="single" w:color="auto" w:sz="4" w:space="0"/>
              <w:bottom w:val="single" w:color="auto" w:sz="4" w:space="0"/>
              <w:right w:val="single" w:color="auto" w:sz="4" w:space="0"/>
            </w:tcBorders>
            <w:vAlign w:val="center"/>
          </w:tcPr>
          <w:p w14:paraId="7100D60D">
            <w:pPr>
              <w:keepNext w:val="0"/>
              <w:keepLines w:val="0"/>
              <w:pageBreakBefore w:val="0"/>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规范标准</w:t>
            </w:r>
          </w:p>
        </w:tc>
        <w:tc>
          <w:tcPr>
            <w:tcW w:w="8765" w:type="dxa"/>
            <w:gridSpan w:val="4"/>
            <w:tcBorders>
              <w:top w:val="single" w:color="auto" w:sz="4" w:space="0"/>
              <w:left w:val="single" w:color="auto" w:sz="4" w:space="0"/>
              <w:bottom w:val="single" w:color="auto" w:sz="4" w:space="0"/>
              <w:right w:val="single" w:color="auto" w:sz="4" w:space="0"/>
            </w:tcBorders>
            <w:vAlign w:val="center"/>
          </w:tcPr>
          <w:p w14:paraId="0F1BC14D">
            <w:pPr>
              <w:keepNext w:val="0"/>
              <w:keepLines w:val="0"/>
              <w:pageBreakBefore w:val="0"/>
              <w:kinsoku/>
              <w:wordWrap/>
              <w:overflowPunct/>
              <w:topLinePunct w:val="0"/>
              <w:autoSpaceDE/>
              <w:autoSpaceDN/>
              <w:bidi w:val="0"/>
              <w:spacing w:line="360" w:lineRule="auto"/>
              <w:ind w:right="0"/>
              <w:jc w:val="left"/>
              <w:rPr>
                <w:rFonts w:hint="eastAsia" w:eastAsiaTheme="majorEastAsia"/>
                <w:color w:val="auto"/>
                <w:highlight w:val="none"/>
                <w:lang w:eastAsia="zh-CN"/>
              </w:rPr>
            </w:pPr>
            <w:r>
              <w:rPr>
                <w:rFonts w:hint="eastAsia" w:asciiTheme="majorEastAsia" w:hAnsiTheme="majorEastAsia" w:eastAsiaTheme="majorEastAsia" w:cstheme="majorEastAsia"/>
                <w:color w:val="auto"/>
                <w:sz w:val="21"/>
                <w:szCs w:val="21"/>
                <w:highlight w:val="none"/>
              </w:rPr>
              <w:t>采购标的需执行的国家标准、行业标准、地方标准或者其他标准、规范。多项标准的，按最新标准或较高标准执行。</w:t>
            </w:r>
          </w:p>
        </w:tc>
      </w:tr>
      <w:tr w14:paraId="369A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09A6E44E">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与实现项目目标相关的其他要求</w:t>
            </w:r>
          </w:p>
        </w:tc>
      </w:tr>
      <w:tr w14:paraId="15A5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5B17DA47">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（一）投标人的履约能力要求</w:t>
            </w:r>
          </w:p>
        </w:tc>
      </w:tr>
      <w:tr w14:paraId="4E9A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7" w:type="dxa"/>
            <w:gridSpan w:val="2"/>
            <w:tcBorders>
              <w:top w:val="single" w:color="auto" w:sz="4" w:space="0"/>
              <w:bottom w:val="single" w:color="auto" w:sz="4" w:space="0"/>
            </w:tcBorders>
            <w:shd w:val="clear" w:color="auto" w:fill="auto"/>
            <w:vAlign w:val="center"/>
          </w:tcPr>
          <w:p w14:paraId="6E700103">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质量管理、企业信用要求</w:t>
            </w:r>
          </w:p>
        </w:tc>
        <w:tc>
          <w:tcPr>
            <w:tcW w:w="8794" w:type="dxa"/>
            <w:gridSpan w:val="5"/>
            <w:tcBorders>
              <w:top w:val="single" w:color="auto" w:sz="4" w:space="0"/>
              <w:bottom w:val="single" w:color="auto" w:sz="4" w:space="0"/>
            </w:tcBorders>
            <w:shd w:val="clear" w:color="auto" w:fill="auto"/>
            <w:vAlign w:val="center"/>
          </w:tcPr>
          <w:p w14:paraId="0F3FC02C">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请结合本招标文件“评标办法及评分标准”在投标文件中自行提供。</w:t>
            </w:r>
          </w:p>
        </w:tc>
      </w:tr>
      <w:tr w14:paraId="57DC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7" w:type="dxa"/>
            <w:gridSpan w:val="2"/>
            <w:tcBorders>
              <w:top w:val="single" w:color="auto" w:sz="4" w:space="0"/>
              <w:bottom w:val="single" w:color="auto" w:sz="4" w:space="0"/>
            </w:tcBorders>
            <w:shd w:val="clear" w:color="auto" w:fill="auto"/>
            <w:vAlign w:val="center"/>
          </w:tcPr>
          <w:p w14:paraId="5D0DBDE4">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能力或者业绩要求</w:t>
            </w:r>
          </w:p>
        </w:tc>
        <w:tc>
          <w:tcPr>
            <w:tcW w:w="8794" w:type="dxa"/>
            <w:gridSpan w:val="5"/>
            <w:tcBorders>
              <w:top w:val="single" w:color="auto" w:sz="4" w:space="0"/>
              <w:bottom w:val="single" w:color="auto" w:sz="4" w:space="0"/>
            </w:tcBorders>
            <w:shd w:val="clear" w:color="auto" w:fill="auto"/>
            <w:vAlign w:val="center"/>
          </w:tcPr>
          <w:p w14:paraId="2D88F949">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请结合本招标文件“评标办法及评分标准”在投标文件中自行提供。</w:t>
            </w:r>
          </w:p>
        </w:tc>
      </w:tr>
      <w:tr w14:paraId="4742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166C5873">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（二）政策性加分条件</w:t>
            </w:r>
          </w:p>
        </w:tc>
      </w:tr>
      <w:tr w14:paraId="727F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5DC38FCF">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符合节能环保等国家政策要求。</w:t>
            </w:r>
          </w:p>
        </w:tc>
      </w:tr>
      <w:tr w14:paraId="7D25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4CB06463">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rPr>
              <w:t>（三）进口产品及核心产品说明</w:t>
            </w:r>
          </w:p>
        </w:tc>
      </w:tr>
      <w:tr w14:paraId="4EA1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2CAB4F60">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1.本项目货物不接受进口产品（即通过中国海关报关验放进入中国境内且产自关境外的产品）参与投标，如有进口产品参与投标的作无效标处理。</w:t>
            </w:r>
          </w:p>
          <w:p w14:paraId="6E306C41">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2.</w:t>
            </w:r>
            <w:r>
              <w:rPr>
                <w:rFonts w:hint="eastAsia" w:asciiTheme="majorEastAsia" w:hAnsiTheme="majorEastAsia" w:eastAsiaTheme="majorEastAsia" w:cstheme="majorEastAsia"/>
                <w:color w:val="auto"/>
                <w:sz w:val="21"/>
                <w:szCs w:val="21"/>
                <w:highlight w:val="none"/>
                <w:lang w:eastAsia="zh-CN"/>
              </w:rPr>
              <w:t>本项目</w:t>
            </w:r>
            <w:r>
              <w:rPr>
                <w:rFonts w:hint="eastAsia" w:asciiTheme="majorEastAsia" w:hAnsiTheme="majorEastAsia" w:eastAsiaTheme="majorEastAsia" w:cstheme="majorEastAsia"/>
                <w:color w:val="auto"/>
                <w:sz w:val="21"/>
                <w:szCs w:val="21"/>
                <w:highlight w:val="none"/>
              </w:rPr>
              <w:t>核心产品为：</w:t>
            </w:r>
            <w:r>
              <w:rPr>
                <w:rFonts w:hint="eastAsia" w:asciiTheme="majorEastAsia" w:hAnsiTheme="majorEastAsia" w:eastAsiaTheme="majorEastAsia" w:cstheme="majorEastAsia"/>
                <w:b/>
                <w:bCs/>
                <w:color w:val="auto"/>
                <w:sz w:val="21"/>
                <w:szCs w:val="21"/>
                <w:highlight w:val="none"/>
              </w:rPr>
              <w:t>第</w:t>
            </w:r>
            <w:r>
              <w:rPr>
                <w:rFonts w:hint="eastAsia" w:asciiTheme="majorEastAsia" w:hAnsiTheme="majorEastAsia" w:eastAsiaTheme="majorEastAsia" w:cstheme="majorEastAsia"/>
                <w:b/>
                <w:bCs/>
                <w:color w:val="auto"/>
                <w:sz w:val="21"/>
                <w:szCs w:val="21"/>
                <w:highlight w:val="none"/>
                <w:lang w:eastAsia="zh-CN"/>
              </w:rPr>
              <w:t>五的第</w:t>
            </w:r>
            <w:r>
              <w:rPr>
                <w:rFonts w:hint="eastAsia" w:asciiTheme="majorEastAsia" w:hAnsiTheme="majorEastAsia" w:eastAsiaTheme="majorEastAsia" w:cstheme="majorEastAsia"/>
                <w:b/>
                <w:bCs/>
                <w:color w:val="auto"/>
                <w:sz w:val="21"/>
                <w:szCs w:val="21"/>
                <w:highlight w:val="none"/>
                <w:lang w:val="en-US" w:eastAsia="zh-CN"/>
              </w:rPr>
              <w:t>3</w:t>
            </w:r>
            <w:r>
              <w:rPr>
                <w:rFonts w:hint="eastAsia" w:asciiTheme="majorEastAsia" w:hAnsiTheme="majorEastAsia" w:eastAsiaTheme="majorEastAsia" w:cstheme="majorEastAsia"/>
                <w:b/>
                <w:bCs/>
                <w:color w:val="auto"/>
                <w:sz w:val="21"/>
                <w:szCs w:val="21"/>
                <w:highlight w:val="none"/>
              </w:rPr>
              <w:t>项货物</w:t>
            </w:r>
            <w:r>
              <w:rPr>
                <w:rFonts w:hint="eastAsia" w:asciiTheme="majorEastAsia" w:hAnsiTheme="majorEastAsia" w:eastAsiaTheme="majorEastAsia" w:cstheme="majorEastAsia"/>
                <w:b/>
                <w:bCs/>
                <w:color w:val="auto"/>
                <w:sz w:val="21"/>
                <w:szCs w:val="21"/>
                <w:highlight w:val="none"/>
                <w:lang w:eastAsia="zh-CN"/>
              </w:rPr>
              <w:t>“</w:t>
            </w:r>
            <w:r>
              <w:rPr>
                <w:rFonts w:hint="eastAsia" w:asciiTheme="majorEastAsia" w:hAnsiTheme="majorEastAsia" w:eastAsiaTheme="majorEastAsia" w:cstheme="majorEastAsia"/>
                <w:b/>
                <w:bCs/>
                <w:color w:val="auto"/>
                <w:kern w:val="0"/>
                <w:sz w:val="21"/>
                <w:szCs w:val="21"/>
                <w:highlight w:val="none"/>
              </w:rPr>
              <w:t>智能长短枪柜</w:t>
            </w:r>
            <w:r>
              <w:rPr>
                <w:rFonts w:hint="eastAsia" w:asciiTheme="majorEastAsia" w:hAnsiTheme="majorEastAsia" w:eastAsiaTheme="majorEastAsia" w:cstheme="majorEastAsia"/>
                <w:b/>
                <w:bCs/>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14:paraId="0AC5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088E4DF3">
            <w:pPr>
              <w:keepNext w:val="0"/>
              <w:keepLines w:val="0"/>
              <w:pageBreakBefore w:val="0"/>
              <w:tabs>
                <w:tab w:val="left" w:pos="180"/>
                <w:tab w:val="left" w:pos="1620"/>
              </w:tabs>
              <w:kinsoku/>
              <w:wordWrap/>
              <w:overflowPunct/>
              <w:topLinePunct w:val="0"/>
              <w:autoSpaceDE/>
              <w:autoSpaceDN/>
              <w:bidi w:val="0"/>
              <w:spacing w:line="360" w:lineRule="auto"/>
              <w:ind w:right="0" w:rightChars="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z w:val="21"/>
                <w:szCs w:val="21"/>
                <w:highlight w:val="none"/>
                <w:lang w:eastAsia="zh-CN"/>
              </w:rPr>
              <w:t>（四）项目概况</w:t>
            </w:r>
          </w:p>
        </w:tc>
      </w:tr>
      <w:tr w14:paraId="6DA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61" w:type="dxa"/>
            <w:gridSpan w:val="7"/>
            <w:tcBorders>
              <w:top w:val="single" w:color="auto" w:sz="4" w:space="0"/>
              <w:bottom w:val="single" w:color="auto" w:sz="4" w:space="0"/>
            </w:tcBorders>
            <w:shd w:val="clear" w:color="auto" w:fill="auto"/>
            <w:vAlign w:val="center"/>
          </w:tcPr>
          <w:p w14:paraId="63AE5349">
            <w:pPr>
              <w:keepNext w:val="0"/>
              <w:keepLines w:val="0"/>
              <w:pageBreakBefore w:val="0"/>
              <w:tabs>
                <w:tab w:val="left" w:pos="180"/>
                <w:tab w:val="left" w:pos="1620"/>
              </w:tabs>
              <w:kinsoku/>
              <w:wordWrap/>
              <w:overflowPunct/>
              <w:topLinePunct w:val="0"/>
              <w:autoSpaceDE/>
              <w:autoSpaceDN/>
              <w:bidi w:val="0"/>
              <w:spacing w:line="360" w:lineRule="auto"/>
              <w:ind w:right="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eastAsia="zh-CN"/>
              </w:rPr>
              <w:t>详见附件一，项目概况是采购人为供应商提供项目了解，项目概况的基本情况、</w:t>
            </w:r>
            <w:r>
              <w:rPr>
                <w:rFonts w:hint="eastAsia" w:asciiTheme="majorEastAsia" w:hAnsiTheme="majorEastAsia" w:eastAsiaTheme="majorEastAsia" w:cstheme="majorEastAsia"/>
                <w:color w:val="auto"/>
                <w:sz w:val="21"/>
                <w:szCs w:val="21"/>
                <w:highlight w:val="none"/>
              </w:rPr>
              <w:t>示意图</w:t>
            </w:r>
            <w:r>
              <w:rPr>
                <w:rFonts w:hint="eastAsia" w:asciiTheme="majorEastAsia" w:hAnsiTheme="majorEastAsia" w:eastAsiaTheme="majorEastAsia" w:cstheme="majorEastAsia"/>
                <w:color w:val="auto"/>
                <w:sz w:val="21"/>
                <w:szCs w:val="21"/>
                <w:highlight w:val="none"/>
                <w:lang w:eastAsia="zh-CN"/>
              </w:rPr>
              <w:t>、布局图等仅作参考，供应商可以根据项目特点或自身情况或评标办法等进行优化或修改或设计或分析等。</w:t>
            </w:r>
          </w:p>
        </w:tc>
      </w:tr>
    </w:tbl>
    <w:p w14:paraId="766BA7BA">
      <w:pPr>
        <w:jc w:val="both"/>
        <w:rPr>
          <w:rFonts w:hint="eastAsia" w:cs="Arial Unicode MS" w:asciiTheme="majorEastAsia" w:hAnsiTheme="majorEastAsia" w:eastAsiaTheme="majorEastAsia"/>
          <w:b/>
          <w:bCs/>
          <w:color w:val="auto"/>
          <w:sz w:val="32"/>
          <w:szCs w:val="32"/>
          <w:highlight w:val="none"/>
        </w:rPr>
      </w:pPr>
    </w:p>
    <w:p w14:paraId="36CDF93E">
      <w:pPr>
        <w:jc w:val="center"/>
        <w:rPr>
          <w:rFonts w:hint="eastAsia" w:cs="Arial Unicode MS" w:asciiTheme="majorEastAsia" w:hAnsiTheme="majorEastAsia" w:eastAsiaTheme="majorEastAsia"/>
          <w:b/>
          <w:bCs/>
          <w:color w:val="auto"/>
          <w:sz w:val="32"/>
          <w:szCs w:val="32"/>
          <w:highlight w:val="none"/>
        </w:rPr>
      </w:pPr>
    </w:p>
    <w:p w14:paraId="418BC78A">
      <w:pPr>
        <w:jc w:val="center"/>
        <w:rPr>
          <w:rFonts w:hint="eastAsia" w:cs="Arial Unicode MS" w:asciiTheme="majorEastAsia" w:hAnsiTheme="majorEastAsia" w:eastAsiaTheme="majorEastAsia"/>
          <w:b/>
          <w:bCs/>
          <w:color w:val="auto"/>
          <w:sz w:val="32"/>
          <w:szCs w:val="32"/>
          <w:highlight w:val="none"/>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8"/>
      </w:tblGrid>
      <w:tr w14:paraId="3966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458" w:type="dxa"/>
          </w:tcPr>
          <w:p w14:paraId="524F8C3D">
            <w:pPr>
              <w:keepNext w:val="0"/>
              <w:keepLines w:val="0"/>
              <w:pageBreakBefore w:val="0"/>
              <w:widowControl w:val="0"/>
              <w:tabs>
                <w:tab w:val="left" w:pos="180"/>
                <w:tab w:val="left" w:pos="1620"/>
              </w:tabs>
              <w:kinsoku/>
              <w:wordWrap/>
              <w:overflowPunct/>
              <w:topLinePunct w:val="0"/>
              <w:autoSpaceDE/>
              <w:autoSpaceDN/>
              <w:bidi w:val="0"/>
              <w:adjustRightInd/>
              <w:snapToGrid/>
              <w:spacing w:line="324" w:lineRule="auto"/>
              <w:ind w:right="0"/>
              <w:jc w:val="left"/>
              <w:textAlignment w:val="auto"/>
              <w:rPr>
                <w:rFonts w:hint="eastAsia" w:asciiTheme="majorEastAsia" w:hAnsiTheme="majorEastAsia" w:eastAsiaTheme="majorEastAsia" w:cstheme="majorEastAsia"/>
                <w:b/>
                <w:bCs/>
                <w:color w:val="auto"/>
                <w:sz w:val="24"/>
                <w:szCs w:val="24"/>
                <w:highlight w:val="none"/>
                <w:lang w:eastAsia="zh-CN"/>
              </w:rPr>
            </w:pPr>
            <w:r>
              <w:rPr>
                <w:rFonts w:hint="eastAsia" w:asciiTheme="majorEastAsia" w:hAnsiTheme="majorEastAsia" w:eastAsiaTheme="majorEastAsia" w:cstheme="majorEastAsia"/>
                <w:b/>
                <w:bCs/>
                <w:color w:val="auto"/>
                <w:sz w:val="24"/>
                <w:szCs w:val="24"/>
                <w:highlight w:val="none"/>
                <w:lang w:eastAsia="zh-CN"/>
              </w:rPr>
              <w:t>附件一：项目概况</w:t>
            </w:r>
          </w:p>
          <w:p w14:paraId="7624F15B">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bookmarkStart w:id="51" w:name="_Toc201287694"/>
            <w:r>
              <w:rPr>
                <w:rFonts w:hint="eastAsia" w:asciiTheme="majorEastAsia" w:hAnsiTheme="majorEastAsia" w:eastAsiaTheme="majorEastAsia" w:cstheme="majorEastAsia"/>
                <w:color w:val="auto"/>
                <w:sz w:val="24"/>
                <w:szCs w:val="24"/>
                <w:highlight w:val="none"/>
              </w:rPr>
              <w:t>一、</w:t>
            </w:r>
            <w:r>
              <w:rPr>
                <w:rFonts w:hint="eastAsia" w:asciiTheme="majorEastAsia" w:hAnsiTheme="majorEastAsia" w:eastAsiaTheme="majorEastAsia" w:cstheme="majorEastAsia"/>
                <w:color w:val="auto"/>
                <w:sz w:val="24"/>
                <w:szCs w:val="24"/>
                <w:highlight w:val="none"/>
                <w:lang w:eastAsia="zh-CN"/>
              </w:rPr>
              <w:t>基本</w:t>
            </w:r>
            <w:r>
              <w:rPr>
                <w:rFonts w:hint="eastAsia" w:asciiTheme="majorEastAsia" w:hAnsiTheme="majorEastAsia" w:eastAsiaTheme="majorEastAsia" w:cstheme="majorEastAsia"/>
                <w:color w:val="auto"/>
                <w:sz w:val="24"/>
                <w:szCs w:val="24"/>
                <w:highlight w:val="none"/>
              </w:rPr>
              <w:t>情况</w:t>
            </w:r>
            <w:bookmarkEnd w:id="51"/>
          </w:p>
          <w:p w14:paraId="0B31CE64">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1、</w:t>
            </w:r>
            <w:r>
              <w:rPr>
                <w:rFonts w:hint="eastAsia" w:asciiTheme="majorEastAsia" w:hAnsiTheme="majorEastAsia" w:eastAsiaTheme="majorEastAsia" w:cstheme="majorEastAsia"/>
                <w:color w:val="auto"/>
                <w:sz w:val="24"/>
                <w:szCs w:val="24"/>
                <w:highlight w:val="none"/>
              </w:rPr>
              <w:t>场地规划</w:t>
            </w:r>
          </w:p>
          <w:p w14:paraId="49F80D7B">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室内射击训练器材主要用于实弹射击训练，安装场地长约45.7米、宽约17米、高约5.2米，场地原有设施老旧，需要拆除后重新布局，拆除原有隔墙将前部实弹训练区从原有的28米长度扩展到34米，改造后实弹射击区长34米、宽20米，构建新隔墙后控制观摩区长8米、宽20米,最后3*20米区域为安检区，场地内新建配备防弹玻璃的观察隔墙及控制室。</w:t>
            </w:r>
          </w:p>
          <w:p w14:paraId="31ED266E">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eastAsia="zh-CN"/>
              </w:rPr>
              <w:drawing>
                <wp:inline distT="0" distB="0" distL="114300" distR="114300">
                  <wp:extent cx="5641975" cy="2767330"/>
                  <wp:effectExtent l="0" t="0" r="15875" b="13970"/>
                  <wp:docPr id="4" name="图片 1" descr="5b9ef43cfeeca82342f75e0c701b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b9ef43cfeeca82342f75e0c701b826"/>
                          <pic:cNvPicPr>
                            <a:picLocks noChangeAspect="1"/>
                          </pic:cNvPicPr>
                        </pic:nvPicPr>
                        <pic:blipFill>
                          <a:blip r:embed="rId15"/>
                          <a:stretch>
                            <a:fillRect/>
                          </a:stretch>
                        </pic:blipFill>
                        <pic:spPr>
                          <a:xfrm>
                            <a:off x="0" y="0"/>
                            <a:ext cx="5641975" cy="2767330"/>
                          </a:xfrm>
                          <a:prstGeom prst="rect">
                            <a:avLst/>
                          </a:prstGeom>
                          <a:noFill/>
                          <a:ln>
                            <a:noFill/>
                          </a:ln>
                        </pic:spPr>
                      </pic:pic>
                    </a:graphicData>
                  </a:graphic>
                </wp:inline>
              </w:drawing>
            </w:r>
          </w:p>
          <w:p w14:paraId="4717E1FC">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场地分区示意图</w:t>
            </w:r>
          </w:p>
          <w:p w14:paraId="0FB1E6EC">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2、实现功能：</w:t>
            </w:r>
          </w:p>
          <w:p w14:paraId="11B18FEA">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①5-9mm全类型轻武器弹药准确识别，全靶面采集识别精度误小于3mm；②实弹、虚拟影像模拟场景射击；③15-25米多功能靶机实弹战术射击训练；④智能运动靶标射击训练；⑤训练环境监控指挥及成绩综合信息发布；⑥枪弹安全管理；⑦实弹射击训练安全保障。</w:t>
            </w:r>
          </w:p>
          <w:p w14:paraId="12B94F82">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3、主要器材配置</w:t>
            </w:r>
          </w:p>
          <w:p w14:paraId="04E21EB9">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rPr>
              <w:t>室内射击训练器材主要包括六部分组成，分别是：①可视化融合智能实弹采集系统、②16*3米大屏幕影像射击系统、③动态靶标射击系统、④监控及广播设备、⑤枪弹安全管理设备、⑥防弹防护器材。</w:t>
            </w:r>
          </w:p>
          <w:p w14:paraId="09D933B9">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4</w:t>
            </w:r>
            <w:r>
              <w:rPr>
                <w:rFonts w:hint="eastAsia" w:asciiTheme="majorEastAsia" w:hAnsiTheme="majorEastAsia" w:eastAsiaTheme="majorEastAsia" w:cstheme="majorEastAsia"/>
                <w:color w:val="auto"/>
                <w:sz w:val="24"/>
                <w:szCs w:val="24"/>
                <w:highlight w:val="none"/>
              </w:rPr>
              <w:t>、防弹防护器材同步配套保障训练安全</w:t>
            </w:r>
          </w:p>
          <w:p w14:paraId="3CDEE4D8">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防弹防护设施，通过配置防弹钢板、吸弹橡胶、防弹玻璃、防跳弹橡胶等防护器材，实现正面全区域及两侧面24米区域5-9mm枪弹垂直射击无穿透、无跳弹，满足室内实弹战术训练环境的安全防护需求。</w:t>
            </w:r>
          </w:p>
          <w:p w14:paraId="2651AB5C">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drawing>
                <wp:inline distT="0" distB="0" distL="114300" distR="114300">
                  <wp:extent cx="5283200" cy="2971800"/>
                  <wp:effectExtent l="0" t="0" r="12700" b="0"/>
                  <wp:docPr id="2" name="图片 2" descr="D:\2023工作文档\各地项目（23年新）\千灵山影像射击系统（卫戍区）\1.室内\室内XX规划\场地效果图\效果圖（第三版）\正面防弹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3工作文档\各地项目（23年新）\千灵山影像射击系统（卫戍区）\1.室内\室内XX规划\场地效果图\效果圖（第三版）\正面防弹墙.jpg"/>
                          <pic:cNvPicPr>
                            <a:picLocks noChangeAspect="1"/>
                          </pic:cNvPicPr>
                        </pic:nvPicPr>
                        <pic:blipFill>
                          <a:blip r:embed="rId16"/>
                          <a:stretch>
                            <a:fillRect/>
                          </a:stretch>
                        </pic:blipFill>
                        <pic:spPr>
                          <a:xfrm>
                            <a:off x="0" y="0"/>
                            <a:ext cx="5283200" cy="2971800"/>
                          </a:xfrm>
                          <a:prstGeom prst="rect">
                            <a:avLst/>
                          </a:prstGeom>
                          <a:noFill/>
                          <a:ln>
                            <a:noFill/>
                          </a:ln>
                        </pic:spPr>
                      </pic:pic>
                    </a:graphicData>
                  </a:graphic>
                </wp:inline>
              </w:drawing>
            </w:r>
          </w:p>
          <w:p w14:paraId="773BECDB">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正面防弹防护及吸弹柜结构示意图</w:t>
            </w:r>
          </w:p>
          <w:p w14:paraId="4E7BFA06">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drawing>
                <wp:inline distT="0" distB="0" distL="114300" distR="114300">
                  <wp:extent cx="5283200" cy="3100705"/>
                  <wp:effectExtent l="0" t="0" r="12700" b="4445"/>
                  <wp:docPr id="3" name="图片 3" descr="D:\2023工作文档\各地项目（23年新）\千灵山影像射击系统（卫戍区）\1.室内\室内XX规划\场地效果图\效果圖（第三版）\侧面防弹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23工作文档\各地项目（23年新）\千灵山影像射击系统（卫戍区）\1.室内\室内XX规划\场地效果图\效果圖（第三版）\侧面防弹墙.jpg"/>
                          <pic:cNvPicPr>
                            <a:picLocks noChangeAspect="1"/>
                          </pic:cNvPicPr>
                        </pic:nvPicPr>
                        <pic:blipFill>
                          <a:blip r:embed="rId17"/>
                          <a:srcRect l="4178"/>
                          <a:stretch>
                            <a:fillRect/>
                          </a:stretch>
                        </pic:blipFill>
                        <pic:spPr>
                          <a:xfrm>
                            <a:off x="0" y="0"/>
                            <a:ext cx="5283200" cy="3100705"/>
                          </a:xfrm>
                          <a:prstGeom prst="rect">
                            <a:avLst/>
                          </a:prstGeom>
                          <a:noFill/>
                          <a:ln>
                            <a:noFill/>
                          </a:ln>
                        </pic:spPr>
                      </pic:pic>
                    </a:graphicData>
                  </a:graphic>
                </wp:inline>
              </w:drawing>
            </w:r>
          </w:p>
          <w:p w14:paraId="117D547E">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侧面防弹防护结构示意图</w:t>
            </w:r>
          </w:p>
          <w:p w14:paraId="645FDA5C">
            <w:pPr>
              <w:keepNext w:val="0"/>
              <w:keepLines w:val="0"/>
              <w:pageBreakBefore w:val="0"/>
              <w:tabs>
                <w:tab w:val="left" w:pos="180"/>
                <w:tab w:val="left" w:pos="1620"/>
              </w:tabs>
              <w:kinsoku/>
              <w:wordWrap/>
              <w:overflowPunct/>
              <w:topLinePunct w:val="0"/>
              <w:autoSpaceDE/>
              <w:autoSpaceDN/>
              <w:bidi w:val="0"/>
              <w:spacing w:line="360" w:lineRule="auto"/>
              <w:ind w:right="0" w:firstLine="480" w:firstLineChars="200"/>
              <w:jc w:val="left"/>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室内实弹射击训练密不可分的就是安全防护器材，安全防护器材与训练系统同步建设能够有效提升安全防护设备安装效率，避免节省浪费，同时还能与训练系统紧密衔接对训练系统起到最大的防护作用。</w:t>
            </w:r>
          </w:p>
          <w:p w14:paraId="48B2F707">
            <w:pPr>
              <w:keepNext w:val="0"/>
              <w:keepLines w:val="0"/>
              <w:pageBreakBefore w:val="0"/>
              <w:tabs>
                <w:tab w:val="left" w:pos="180"/>
                <w:tab w:val="left" w:pos="1620"/>
              </w:tabs>
              <w:kinsoku/>
              <w:wordWrap/>
              <w:overflowPunct/>
              <w:topLinePunct w:val="0"/>
              <w:autoSpaceDE/>
              <w:autoSpaceDN/>
              <w:bidi w:val="0"/>
              <w:spacing w:line="360" w:lineRule="auto"/>
              <w:ind w:right="0" w:firstLine="480" w:firstLineChars="200"/>
              <w:jc w:val="left"/>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5</w:t>
            </w:r>
            <w:r>
              <w:rPr>
                <w:rFonts w:hint="eastAsia" w:asciiTheme="majorEastAsia" w:hAnsiTheme="majorEastAsia" w:eastAsiaTheme="majorEastAsia" w:cstheme="majorEastAsia"/>
                <w:color w:val="auto"/>
                <w:sz w:val="24"/>
                <w:szCs w:val="24"/>
                <w:highlight w:val="none"/>
              </w:rPr>
              <w:t>.有害气体排放</w:t>
            </w:r>
          </w:p>
          <w:p w14:paraId="23C91C96">
            <w:pPr>
              <w:keepNext w:val="0"/>
              <w:keepLines w:val="0"/>
              <w:pageBreakBefore w:val="0"/>
              <w:tabs>
                <w:tab w:val="left" w:pos="180"/>
                <w:tab w:val="left" w:pos="1620"/>
              </w:tabs>
              <w:kinsoku/>
              <w:wordWrap/>
              <w:overflowPunct/>
              <w:topLinePunct w:val="0"/>
              <w:autoSpaceDE/>
              <w:autoSpaceDN/>
              <w:bidi w:val="0"/>
              <w:spacing w:line="360" w:lineRule="auto"/>
              <w:ind w:right="0" w:firstLine="480" w:firstLineChars="200"/>
              <w:jc w:val="left"/>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实弹射击场的有害气体排放是保障人员训练健康的关键，实弹射击中火药燃烧会产生二氧化硫、子弹摩擦防弹钢板碎裂时会产生微量铅气，这类气体被受训人员过量吸入后都会对身体造成伤害，所以在实弹射击场地设计改造时需要从风量设计、布局设计和设备等方面进行优化。原有场地只有1道送风和1道排风，无法支撑场地使用需求，本次设计中从以下几个方面进行了深化调整：</w:t>
            </w:r>
          </w:p>
          <w:p w14:paraId="19E691C3">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drawing>
                <wp:inline distT="0" distB="0" distL="114300" distR="114300">
                  <wp:extent cx="5274310" cy="1125855"/>
                  <wp:effectExtent l="0" t="0" r="2540"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274310" cy="1125855"/>
                          </a:xfrm>
                          <a:prstGeom prst="rect">
                            <a:avLst/>
                          </a:prstGeom>
                          <a:noFill/>
                          <a:ln>
                            <a:noFill/>
                          </a:ln>
                        </pic:spPr>
                      </pic:pic>
                    </a:graphicData>
                  </a:graphic>
                </wp:inline>
              </w:drawing>
            </w:r>
          </w:p>
          <w:p w14:paraId="5868B0F7">
            <w:pPr>
              <w:keepNext w:val="0"/>
              <w:keepLines w:val="0"/>
              <w:pageBreakBefore w:val="0"/>
              <w:tabs>
                <w:tab w:val="left" w:pos="180"/>
                <w:tab w:val="left" w:pos="1620"/>
              </w:tabs>
              <w:kinsoku/>
              <w:wordWrap/>
              <w:overflowPunct/>
              <w:topLinePunct w:val="0"/>
              <w:autoSpaceDE/>
              <w:autoSpaceDN/>
              <w:bidi w:val="0"/>
              <w:spacing w:line="360" w:lineRule="auto"/>
              <w:ind w:right="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场地送排风布置示意图</w:t>
            </w:r>
          </w:p>
          <w:p w14:paraId="04DCB8DA">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①合理设计通风量：根据射击场的空间大小（训练空间1900立方左右）精确计算所需的通风量，确保通风系统能够在规定时间内将室内的有害气体充分排出，并引入足够的新鲜空气，室内实弹射击场的通风换气次数不低于每小时 6 - 10 次。​</w:t>
            </w:r>
          </w:p>
          <w:p w14:paraId="3BE9E16F">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②优化通风布局：科学设计通风道的位置和数量，使室内空气形成良好的单向气流流动方向，避免有害气体在局部区域积聚和向人的方向飘散。​</w:t>
            </w:r>
          </w:p>
          <w:p w14:paraId="34F42C21">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③选择合适的通风设备：选用高效、低噪声的离心风机作为送风和排风设备，通风管道采用耐腐蚀、密封性好的镀锌板制作，送风口采用喷口确保送风能够高速抵达地面。</w:t>
            </w:r>
          </w:p>
          <w:p w14:paraId="6F51BD36">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6</w:t>
            </w:r>
            <w:r>
              <w:rPr>
                <w:rFonts w:hint="eastAsia" w:asciiTheme="majorEastAsia" w:hAnsiTheme="majorEastAsia" w:eastAsiaTheme="majorEastAsia" w:cstheme="majorEastAsia"/>
                <w:color w:val="auto"/>
                <w:sz w:val="24"/>
                <w:szCs w:val="24"/>
                <w:highlight w:val="none"/>
              </w:rPr>
              <w:t>.场地照明</w:t>
            </w:r>
          </w:p>
          <w:p w14:paraId="3154DC8E">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场地照明设计采用LED冷光源照明设备，从吊顶顶部垂直向下照射场地，营造 相对自然的照明效果，避免照明直接投射靶面或屏幕，影像射手视觉和屏幕投影效果，初步设计场地照明采用规格600mm*600mm，功率不低于60W的照明设备，场地设计新配置照明光源不少于12横排，每排安装LED照明设备不少于8个，配置智能配电柜，支持每排照明设备单独开关控制。</w:t>
            </w:r>
          </w:p>
          <w:p w14:paraId="433F1313">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480" w:firstLineChars="200"/>
              <w:jc w:val="left"/>
              <w:textAlignment w:val="auto"/>
              <w:rPr>
                <w:rFonts w:hint="eastAsia" w:asciiTheme="majorEastAsia" w:hAnsiTheme="majorEastAsia" w:eastAsiaTheme="majorEastAsia" w:cstheme="majorEastAsia"/>
                <w:color w:val="auto"/>
                <w:sz w:val="24"/>
                <w:szCs w:val="24"/>
                <w:highlight w:val="none"/>
              </w:rPr>
            </w:pPr>
            <w:bookmarkStart w:id="52" w:name="_Toc201287698"/>
            <w:r>
              <w:rPr>
                <w:rFonts w:hint="eastAsia" w:asciiTheme="majorEastAsia" w:hAnsiTheme="majorEastAsia" w:eastAsiaTheme="majorEastAsia" w:cstheme="majorEastAsia"/>
                <w:color w:val="auto"/>
                <w:sz w:val="24"/>
                <w:szCs w:val="24"/>
                <w:highlight w:val="none"/>
                <w:lang w:eastAsia="zh-CN"/>
              </w:rPr>
              <w:t>二</w:t>
            </w:r>
            <w:r>
              <w:rPr>
                <w:rFonts w:hint="eastAsia" w:asciiTheme="majorEastAsia" w:hAnsiTheme="majorEastAsia" w:eastAsiaTheme="majorEastAsia" w:cstheme="majorEastAsia"/>
                <w:color w:val="auto"/>
                <w:sz w:val="24"/>
                <w:szCs w:val="24"/>
                <w:highlight w:val="none"/>
              </w:rPr>
              <w:t>、参考场地布局说明图</w:t>
            </w:r>
            <w:bookmarkEnd w:id="52"/>
          </w:p>
          <w:p w14:paraId="388F649A">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436870" cy="2604770"/>
                  <wp:effectExtent l="0" t="0" r="11430" b="5080"/>
                  <wp:docPr id="16"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图片1"/>
                          <pic:cNvPicPr>
                            <a:picLocks noChangeAspect="1"/>
                          </pic:cNvPicPr>
                        </pic:nvPicPr>
                        <pic:blipFill>
                          <a:blip r:embed="rId19"/>
                          <a:stretch>
                            <a:fillRect/>
                          </a:stretch>
                        </pic:blipFill>
                        <pic:spPr>
                          <a:xfrm>
                            <a:off x="0" y="0"/>
                            <a:ext cx="5436870" cy="2604770"/>
                          </a:xfrm>
                          <a:prstGeom prst="rect">
                            <a:avLst/>
                          </a:prstGeom>
                          <a:noFill/>
                          <a:ln>
                            <a:noFill/>
                          </a:ln>
                        </pic:spPr>
                      </pic:pic>
                    </a:graphicData>
                  </a:graphic>
                </wp:inline>
              </w:drawing>
            </w:r>
          </w:p>
          <w:p w14:paraId="6D1FEA0F">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精度射击布局图</w:t>
            </w:r>
          </w:p>
          <w:p w14:paraId="0D302F51">
            <w:pPr>
              <w:jc w:val="center"/>
              <w:rPr>
                <w:rFonts w:ascii="仿宋" w:hAnsi="仿宋" w:eastAsia="仿宋"/>
                <w:color w:val="auto"/>
                <w:sz w:val="28"/>
                <w:szCs w:val="28"/>
                <w:highlight w:val="none"/>
              </w:rPr>
            </w:pPr>
            <w:r>
              <w:rPr>
                <w:rFonts w:hint="eastAsia" w:ascii="仿宋" w:hAnsi="仿宋" w:eastAsia="仿宋"/>
                <w:b/>
                <w:color w:val="auto"/>
                <w:sz w:val="24"/>
                <w:szCs w:val="28"/>
                <w:highlight w:val="none"/>
                <w:lang w:eastAsia="zh-CN"/>
              </w:rPr>
              <w:drawing>
                <wp:inline distT="0" distB="0" distL="114300" distR="114300">
                  <wp:extent cx="5260975" cy="2520315"/>
                  <wp:effectExtent l="0" t="0" r="15875" b="13335"/>
                  <wp:docPr id="1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2"/>
                          <pic:cNvPicPr>
                            <a:picLocks noChangeAspect="1"/>
                          </pic:cNvPicPr>
                        </pic:nvPicPr>
                        <pic:blipFill>
                          <a:blip r:embed="rId20"/>
                          <a:stretch>
                            <a:fillRect/>
                          </a:stretch>
                        </pic:blipFill>
                        <pic:spPr>
                          <a:xfrm>
                            <a:off x="0" y="0"/>
                            <a:ext cx="5260975" cy="2520315"/>
                          </a:xfrm>
                          <a:prstGeom prst="rect">
                            <a:avLst/>
                          </a:prstGeom>
                          <a:noFill/>
                          <a:ln>
                            <a:noFill/>
                          </a:ln>
                        </pic:spPr>
                      </pic:pic>
                    </a:graphicData>
                  </a:graphic>
                </wp:inline>
              </w:drawing>
            </w:r>
          </w:p>
          <w:p w14:paraId="4BDFDC5F">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大屏幕影像情景射击布局图</w:t>
            </w:r>
          </w:p>
          <w:p w14:paraId="12F42717">
            <w:pPr>
              <w:jc w:val="center"/>
              <w:rPr>
                <w:rFonts w:hint="eastAsia" w:ascii="仿宋" w:hAnsi="仿宋" w:eastAsia="仿宋"/>
                <w:b/>
                <w:color w:val="auto"/>
                <w:sz w:val="28"/>
                <w:szCs w:val="28"/>
                <w:highlight w:val="none"/>
                <w:lang w:eastAsia="zh-CN"/>
              </w:rPr>
            </w:pPr>
            <w:r>
              <w:rPr>
                <w:rFonts w:hint="eastAsia" w:ascii="仿宋" w:hAnsi="仿宋" w:eastAsia="仿宋"/>
                <w:b/>
                <w:color w:val="auto"/>
                <w:sz w:val="28"/>
                <w:szCs w:val="28"/>
                <w:highlight w:val="none"/>
                <w:lang w:eastAsia="zh-CN"/>
              </w:rPr>
              <w:drawing>
                <wp:inline distT="0" distB="0" distL="114300" distR="114300">
                  <wp:extent cx="5459730" cy="2615565"/>
                  <wp:effectExtent l="0" t="0" r="7620" b="13335"/>
                  <wp:docPr id="14"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3"/>
                          <pic:cNvPicPr>
                            <a:picLocks noChangeAspect="1"/>
                          </pic:cNvPicPr>
                        </pic:nvPicPr>
                        <pic:blipFill>
                          <a:blip r:embed="rId21"/>
                          <a:stretch>
                            <a:fillRect/>
                          </a:stretch>
                        </pic:blipFill>
                        <pic:spPr>
                          <a:xfrm>
                            <a:off x="0" y="0"/>
                            <a:ext cx="5459730" cy="2615565"/>
                          </a:xfrm>
                          <a:prstGeom prst="rect">
                            <a:avLst/>
                          </a:prstGeom>
                          <a:noFill/>
                          <a:ln>
                            <a:noFill/>
                          </a:ln>
                        </pic:spPr>
                      </pic:pic>
                    </a:graphicData>
                  </a:graphic>
                </wp:inline>
              </w:drawing>
            </w:r>
          </w:p>
          <w:p w14:paraId="6BD31680">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影像对抗射击布局图</w:t>
            </w:r>
          </w:p>
          <w:p w14:paraId="0D1EB193">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490210" cy="2630170"/>
                  <wp:effectExtent l="0" t="0" r="15240" b="17780"/>
                  <wp:docPr id="15"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4"/>
                          <pic:cNvPicPr>
                            <a:picLocks noChangeAspect="1"/>
                          </pic:cNvPicPr>
                        </pic:nvPicPr>
                        <pic:blipFill>
                          <a:blip r:embed="rId22"/>
                          <a:stretch>
                            <a:fillRect/>
                          </a:stretch>
                        </pic:blipFill>
                        <pic:spPr>
                          <a:xfrm>
                            <a:off x="0" y="0"/>
                            <a:ext cx="5490210" cy="2630170"/>
                          </a:xfrm>
                          <a:prstGeom prst="rect">
                            <a:avLst/>
                          </a:prstGeom>
                          <a:noFill/>
                          <a:ln>
                            <a:noFill/>
                          </a:ln>
                        </pic:spPr>
                      </pic:pic>
                    </a:graphicData>
                  </a:graphic>
                </wp:inline>
              </w:drawing>
            </w:r>
          </w:p>
          <w:p w14:paraId="5DDAA2E6">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战术目标射击布局图</w:t>
            </w:r>
          </w:p>
          <w:p w14:paraId="14DFA52D">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219065" cy="2500630"/>
                  <wp:effectExtent l="0" t="0" r="635" b="13970"/>
                  <wp:docPr id="12"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5"/>
                          <pic:cNvPicPr>
                            <a:picLocks noChangeAspect="1"/>
                          </pic:cNvPicPr>
                        </pic:nvPicPr>
                        <pic:blipFill>
                          <a:blip r:embed="rId23"/>
                          <a:stretch>
                            <a:fillRect/>
                          </a:stretch>
                        </pic:blipFill>
                        <pic:spPr>
                          <a:xfrm>
                            <a:off x="0" y="0"/>
                            <a:ext cx="5219065" cy="2500630"/>
                          </a:xfrm>
                          <a:prstGeom prst="rect">
                            <a:avLst/>
                          </a:prstGeom>
                          <a:noFill/>
                          <a:ln>
                            <a:noFill/>
                          </a:ln>
                        </pic:spPr>
                      </pic:pic>
                    </a:graphicData>
                  </a:graphic>
                </wp:inline>
              </w:drawing>
            </w:r>
          </w:p>
          <w:p w14:paraId="676853F6">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智能运动目标射击布局图</w:t>
            </w:r>
          </w:p>
          <w:p w14:paraId="0E2A8B90">
            <w:pPr>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drawing>
                <wp:inline distT="0" distB="0" distL="114300" distR="114300">
                  <wp:extent cx="5260975" cy="2520315"/>
                  <wp:effectExtent l="0" t="0" r="15875" b="13335"/>
                  <wp:docPr id="13"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
                          <pic:cNvPicPr>
                            <a:picLocks noChangeAspect="1"/>
                          </pic:cNvPicPr>
                        </pic:nvPicPr>
                        <pic:blipFill>
                          <a:blip r:embed="rId24"/>
                          <a:stretch>
                            <a:fillRect/>
                          </a:stretch>
                        </pic:blipFill>
                        <pic:spPr>
                          <a:xfrm>
                            <a:off x="0" y="0"/>
                            <a:ext cx="5260975" cy="2520315"/>
                          </a:xfrm>
                          <a:prstGeom prst="rect">
                            <a:avLst/>
                          </a:prstGeom>
                          <a:noFill/>
                          <a:ln>
                            <a:noFill/>
                          </a:ln>
                        </pic:spPr>
                      </pic:pic>
                    </a:graphicData>
                  </a:graphic>
                </wp:inline>
              </w:drawing>
            </w:r>
          </w:p>
          <w:p w14:paraId="2260CEB1">
            <w:pPr>
              <w:jc w:val="center"/>
              <w:rPr>
                <w:rFonts w:hint="eastAsia" w:asciiTheme="majorEastAsia" w:hAnsiTheme="majorEastAsia" w:eastAsiaTheme="majorEastAsia" w:cstheme="majorEastAsia"/>
                <w:b w:val="0"/>
                <w:bCs/>
                <w:color w:val="auto"/>
                <w:sz w:val="24"/>
                <w:szCs w:val="28"/>
                <w:highlight w:val="none"/>
              </w:rPr>
            </w:pPr>
            <w:r>
              <w:rPr>
                <w:rFonts w:hint="eastAsia" w:asciiTheme="majorEastAsia" w:hAnsiTheme="majorEastAsia" w:eastAsiaTheme="majorEastAsia" w:cstheme="majorEastAsia"/>
                <w:b w:val="0"/>
                <w:bCs/>
                <w:color w:val="auto"/>
                <w:sz w:val="24"/>
                <w:szCs w:val="28"/>
                <w:highlight w:val="none"/>
              </w:rPr>
              <w:t>有害气体排放设施布局图</w:t>
            </w:r>
          </w:p>
          <w:p w14:paraId="0D6FDBC7">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right="0" w:firstLine="0" w:firstLineChars="0"/>
              <w:jc w:val="left"/>
              <w:textAlignment w:val="auto"/>
              <w:rPr>
                <w:rFonts w:hint="eastAsia" w:asciiTheme="majorEastAsia" w:hAnsiTheme="majorEastAsia" w:eastAsiaTheme="majorEastAsia" w:cstheme="majorEastAsia"/>
                <w:color w:val="auto"/>
                <w:sz w:val="24"/>
                <w:szCs w:val="24"/>
                <w:highlight w:val="none"/>
                <w:lang w:eastAsia="zh-CN"/>
              </w:rPr>
            </w:pPr>
          </w:p>
        </w:tc>
      </w:tr>
    </w:tbl>
    <w:p w14:paraId="2E7DD6D6">
      <w:pPr>
        <w:jc w:val="center"/>
        <w:rPr>
          <w:rFonts w:hint="eastAsia" w:cs="Arial Unicode MS" w:asciiTheme="majorEastAsia" w:hAnsiTheme="majorEastAsia" w:eastAsiaTheme="majorEastAsia"/>
          <w:b/>
          <w:bCs/>
          <w:color w:val="auto"/>
          <w:sz w:val="32"/>
          <w:szCs w:val="32"/>
          <w:highlight w:val="none"/>
        </w:rPr>
      </w:pPr>
    </w:p>
    <w:p w14:paraId="2086D7FC">
      <w:pPr>
        <w:jc w:val="center"/>
        <w:rPr>
          <w:rFonts w:hint="eastAsia" w:cs="Arial Unicode MS" w:asciiTheme="majorEastAsia" w:hAnsiTheme="majorEastAsia" w:eastAsiaTheme="majorEastAsia"/>
          <w:b/>
          <w:bCs/>
          <w:color w:val="auto"/>
          <w:sz w:val="32"/>
          <w:szCs w:val="32"/>
          <w:highlight w:val="none"/>
        </w:rPr>
      </w:pPr>
      <w:r>
        <w:rPr>
          <w:rFonts w:hint="eastAsia" w:cs="Arial Unicode MS" w:asciiTheme="majorEastAsia" w:hAnsiTheme="majorEastAsia" w:eastAsiaTheme="majorEastAsia"/>
          <w:b/>
          <w:bCs/>
          <w:color w:val="auto"/>
          <w:sz w:val="32"/>
          <w:szCs w:val="32"/>
          <w:highlight w:val="none"/>
        </w:rPr>
        <w:t>附件1：节能产品政府采购品目清单</w:t>
      </w:r>
    </w:p>
    <w:tbl>
      <w:tblPr>
        <w:tblStyle w:val="50"/>
        <w:tblW w:w="95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
        <w:gridCol w:w="1662"/>
        <w:gridCol w:w="1390"/>
        <w:gridCol w:w="1926"/>
        <w:gridCol w:w="3622"/>
      </w:tblGrid>
      <w:tr w14:paraId="11307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Align w:val="center"/>
          </w:tcPr>
          <w:p w14:paraId="100C46B1">
            <w:pPr>
              <w:autoSpaceDE w:val="0"/>
              <w:autoSpaceDN w:val="0"/>
              <w:jc w:val="center"/>
              <w:rPr>
                <w:rFonts w:hint="eastAsia" w:ascii="宋体" w:hAnsi="宋体" w:cs="宋体"/>
                <w:b/>
                <w:bCs/>
                <w:color w:val="auto"/>
                <w:sz w:val="18"/>
                <w:szCs w:val="18"/>
                <w:highlight w:val="none"/>
              </w:rPr>
            </w:pPr>
            <w:bookmarkStart w:id="53" w:name="_Hlk72765337"/>
            <w:r>
              <w:rPr>
                <w:rFonts w:hint="eastAsia" w:ascii="宋体" w:hAnsi="宋体" w:cs="宋体"/>
                <w:b/>
                <w:bCs/>
                <w:color w:val="auto"/>
                <w:sz w:val="18"/>
                <w:szCs w:val="18"/>
                <w:highlight w:val="none"/>
              </w:rPr>
              <w:t>品目序号</w:t>
            </w:r>
          </w:p>
        </w:tc>
        <w:tc>
          <w:tcPr>
            <w:tcW w:w="4978" w:type="dxa"/>
            <w:gridSpan w:val="3"/>
            <w:vAlign w:val="center"/>
          </w:tcPr>
          <w:p w14:paraId="49807D21">
            <w:pPr>
              <w:autoSpaceDE w:val="0"/>
              <w:autoSpaceDN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名称</w:t>
            </w:r>
          </w:p>
        </w:tc>
        <w:tc>
          <w:tcPr>
            <w:tcW w:w="3622" w:type="dxa"/>
            <w:vAlign w:val="center"/>
          </w:tcPr>
          <w:p w14:paraId="38FBB112">
            <w:pPr>
              <w:autoSpaceDE w:val="0"/>
              <w:autoSpaceDN w:val="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依据的标准</w:t>
            </w:r>
          </w:p>
        </w:tc>
      </w:tr>
      <w:tr w14:paraId="24A9E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41A453AA">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w:t>
            </w:r>
          </w:p>
        </w:tc>
        <w:tc>
          <w:tcPr>
            <w:tcW w:w="1662" w:type="dxa"/>
            <w:vMerge w:val="restart"/>
            <w:vAlign w:val="center"/>
          </w:tcPr>
          <w:p w14:paraId="1841C144">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w:t>
            </w:r>
            <w:r>
              <w:rPr>
                <w:rFonts w:hint="eastAsia" w:ascii="宋体" w:hAnsi="宋体" w:cs="宋体"/>
                <w:color w:val="auto"/>
                <w:spacing w:val="-20"/>
                <w:sz w:val="18"/>
                <w:szCs w:val="18"/>
                <w:highlight w:val="none"/>
              </w:rPr>
              <w:t xml:space="preserve"> 计算</w:t>
            </w:r>
            <w:r>
              <w:rPr>
                <w:rFonts w:hint="eastAsia" w:ascii="宋体" w:hAnsi="宋体" w:cs="宋体"/>
                <w:color w:val="auto"/>
                <w:sz w:val="18"/>
                <w:szCs w:val="18"/>
                <w:highlight w:val="none"/>
              </w:rPr>
              <w:t>机设备</w:t>
            </w:r>
          </w:p>
        </w:tc>
        <w:tc>
          <w:tcPr>
            <w:tcW w:w="1390" w:type="dxa"/>
            <w:vAlign w:val="center"/>
          </w:tcPr>
          <w:p w14:paraId="69F4B3DB">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★A02010104</w:t>
            </w:r>
            <w:r>
              <w:rPr>
                <w:rFonts w:hint="eastAsia" w:ascii="宋体" w:hAnsi="宋体" w:cs="宋体"/>
                <w:color w:val="auto"/>
                <w:spacing w:val="-7"/>
                <w:sz w:val="18"/>
                <w:szCs w:val="18"/>
                <w:highlight w:val="none"/>
              </w:rPr>
              <w:t xml:space="preserve"> 台式计</w:t>
            </w:r>
            <w:r>
              <w:rPr>
                <w:rFonts w:hint="eastAsia" w:ascii="宋体" w:hAnsi="宋体" w:cs="宋体"/>
                <w:color w:val="auto"/>
                <w:sz w:val="18"/>
                <w:szCs w:val="18"/>
                <w:highlight w:val="none"/>
              </w:rPr>
              <w:t>算机</w:t>
            </w:r>
          </w:p>
        </w:tc>
        <w:tc>
          <w:tcPr>
            <w:tcW w:w="1926" w:type="dxa"/>
            <w:vAlign w:val="center"/>
          </w:tcPr>
          <w:p w14:paraId="502CA501">
            <w:pPr>
              <w:autoSpaceDE w:val="0"/>
              <w:autoSpaceDN w:val="0"/>
              <w:jc w:val="center"/>
              <w:rPr>
                <w:rFonts w:hint="eastAsia" w:ascii="宋体" w:hAnsi="宋体" w:cs="宋体"/>
                <w:color w:val="auto"/>
                <w:sz w:val="18"/>
                <w:szCs w:val="18"/>
                <w:highlight w:val="none"/>
              </w:rPr>
            </w:pPr>
          </w:p>
        </w:tc>
        <w:tc>
          <w:tcPr>
            <w:tcW w:w="3622" w:type="dxa"/>
            <w:vAlign w:val="center"/>
          </w:tcPr>
          <w:p w14:paraId="1E6D43D5">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《微型计算机能效限定值及能效</w:t>
            </w:r>
            <w:r>
              <w:rPr>
                <w:rFonts w:hint="eastAsia" w:ascii="宋体" w:hAnsi="宋体" w:cs="宋体"/>
                <w:color w:val="auto"/>
                <w:sz w:val="18"/>
                <w:szCs w:val="18"/>
                <w:highlight w:val="none"/>
              </w:rPr>
              <w:t>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28380）</w:t>
            </w:r>
          </w:p>
        </w:tc>
      </w:tr>
      <w:tr w14:paraId="761CD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BA07A63">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4F0EA53">
            <w:pPr>
              <w:autoSpaceDE w:val="0"/>
              <w:autoSpaceDN w:val="0"/>
              <w:jc w:val="center"/>
              <w:rPr>
                <w:rFonts w:hint="eastAsia" w:ascii="宋体" w:hAnsi="宋体" w:cs="宋体"/>
                <w:color w:val="auto"/>
                <w:sz w:val="18"/>
                <w:szCs w:val="18"/>
                <w:highlight w:val="none"/>
              </w:rPr>
            </w:pPr>
          </w:p>
        </w:tc>
        <w:tc>
          <w:tcPr>
            <w:tcW w:w="1390" w:type="dxa"/>
            <w:vAlign w:val="center"/>
          </w:tcPr>
          <w:p w14:paraId="689BDEBE">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★A02010105</w:t>
            </w:r>
            <w:r>
              <w:rPr>
                <w:rFonts w:hint="eastAsia" w:ascii="宋体" w:hAnsi="宋体" w:cs="宋体"/>
                <w:color w:val="auto"/>
                <w:spacing w:val="-7"/>
                <w:sz w:val="18"/>
                <w:szCs w:val="18"/>
                <w:highlight w:val="none"/>
              </w:rPr>
              <w:t xml:space="preserve"> 便携式</w:t>
            </w:r>
            <w:r>
              <w:rPr>
                <w:rFonts w:hint="eastAsia" w:ascii="宋体" w:hAnsi="宋体" w:cs="宋体"/>
                <w:color w:val="auto"/>
                <w:sz w:val="18"/>
                <w:szCs w:val="18"/>
                <w:highlight w:val="none"/>
              </w:rPr>
              <w:t>计算机</w:t>
            </w:r>
          </w:p>
        </w:tc>
        <w:tc>
          <w:tcPr>
            <w:tcW w:w="1926" w:type="dxa"/>
            <w:vAlign w:val="center"/>
          </w:tcPr>
          <w:p w14:paraId="3D0F3A25">
            <w:pPr>
              <w:autoSpaceDE w:val="0"/>
              <w:autoSpaceDN w:val="0"/>
              <w:jc w:val="center"/>
              <w:rPr>
                <w:rFonts w:hint="eastAsia" w:ascii="宋体" w:hAnsi="宋体" w:cs="宋体"/>
                <w:color w:val="auto"/>
                <w:sz w:val="18"/>
                <w:szCs w:val="18"/>
                <w:highlight w:val="none"/>
              </w:rPr>
            </w:pPr>
          </w:p>
        </w:tc>
        <w:tc>
          <w:tcPr>
            <w:tcW w:w="3622" w:type="dxa"/>
            <w:vAlign w:val="center"/>
          </w:tcPr>
          <w:p w14:paraId="0FF042E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《微型计算机能效限定值及能效</w:t>
            </w:r>
            <w:r>
              <w:rPr>
                <w:rFonts w:hint="eastAsia" w:ascii="宋体" w:hAnsi="宋体" w:cs="宋体"/>
                <w:color w:val="auto"/>
                <w:sz w:val="18"/>
                <w:szCs w:val="18"/>
                <w:highlight w:val="none"/>
              </w:rPr>
              <w:t>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28380）</w:t>
            </w:r>
          </w:p>
        </w:tc>
      </w:tr>
      <w:tr w14:paraId="7DBF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59219810">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5C327F6">
            <w:pPr>
              <w:autoSpaceDE w:val="0"/>
              <w:autoSpaceDN w:val="0"/>
              <w:jc w:val="center"/>
              <w:rPr>
                <w:rFonts w:hint="eastAsia" w:ascii="宋体" w:hAnsi="宋体" w:cs="宋体"/>
                <w:color w:val="auto"/>
                <w:sz w:val="18"/>
                <w:szCs w:val="18"/>
                <w:highlight w:val="none"/>
              </w:rPr>
            </w:pPr>
          </w:p>
        </w:tc>
        <w:tc>
          <w:tcPr>
            <w:tcW w:w="1390" w:type="dxa"/>
            <w:vAlign w:val="center"/>
          </w:tcPr>
          <w:p w14:paraId="646957D7">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★A02010107</w:t>
            </w:r>
            <w:r>
              <w:rPr>
                <w:rFonts w:hint="eastAsia" w:ascii="宋体" w:hAnsi="宋体" w:cs="宋体"/>
                <w:color w:val="auto"/>
                <w:spacing w:val="-7"/>
                <w:sz w:val="18"/>
                <w:szCs w:val="18"/>
                <w:highlight w:val="none"/>
              </w:rPr>
              <w:t xml:space="preserve"> 平板式</w:t>
            </w:r>
            <w:r>
              <w:rPr>
                <w:rFonts w:hint="eastAsia" w:ascii="宋体" w:hAnsi="宋体" w:cs="宋体"/>
                <w:color w:val="auto"/>
                <w:sz w:val="18"/>
                <w:szCs w:val="18"/>
                <w:highlight w:val="none"/>
              </w:rPr>
              <w:t>微型计算机</w:t>
            </w:r>
          </w:p>
        </w:tc>
        <w:tc>
          <w:tcPr>
            <w:tcW w:w="1926" w:type="dxa"/>
            <w:vAlign w:val="center"/>
          </w:tcPr>
          <w:p w14:paraId="7E40CAAA">
            <w:pPr>
              <w:autoSpaceDE w:val="0"/>
              <w:autoSpaceDN w:val="0"/>
              <w:jc w:val="center"/>
              <w:rPr>
                <w:rFonts w:hint="eastAsia" w:ascii="宋体" w:hAnsi="宋体" w:cs="宋体"/>
                <w:color w:val="auto"/>
                <w:sz w:val="18"/>
                <w:szCs w:val="18"/>
                <w:highlight w:val="none"/>
              </w:rPr>
            </w:pPr>
          </w:p>
        </w:tc>
        <w:tc>
          <w:tcPr>
            <w:tcW w:w="3622" w:type="dxa"/>
            <w:vAlign w:val="center"/>
          </w:tcPr>
          <w:p w14:paraId="53A795C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《微型计算机能效限定值及能效</w:t>
            </w:r>
            <w:r>
              <w:rPr>
                <w:rFonts w:hint="eastAsia" w:ascii="宋体" w:hAnsi="宋体" w:cs="宋体"/>
                <w:color w:val="auto"/>
                <w:sz w:val="18"/>
                <w:szCs w:val="18"/>
                <w:highlight w:val="none"/>
              </w:rPr>
              <w:t>等级》（GB 28380）</w:t>
            </w:r>
          </w:p>
        </w:tc>
      </w:tr>
      <w:tr w14:paraId="626F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6F749C8A">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2</w:t>
            </w:r>
          </w:p>
        </w:tc>
        <w:tc>
          <w:tcPr>
            <w:tcW w:w="1662" w:type="dxa"/>
            <w:vMerge w:val="restart"/>
            <w:vAlign w:val="center"/>
          </w:tcPr>
          <w:p w14:paraId="77190BCA">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w:t>
            </w:r>
            <w:r>
              <w:rPr>
                <w:rFonts w:hint="eastAsia" w:ascii="宋体" w:hAnsi="宋体" w:cs="宋体"/>
                <w:color w:val="auto"/>
                <w:spacing w:val="-20"/>
                <w:sz w:val="18"/>
                <w:szCs w:val="18"/>
                <w:highlight w:val="none"/>
              </w:rPr>
              <w:t xml:space="preserve"> 输入</w:t>
            </w:r>
            <w:r>
              <w:rPr>
                <w:rFonts w:hint="eastAsia" w:ascii="宋体" w:hAnsi="宋体" w:cs="宋体"/>
                <w:color w:val="auto"/>
                <w:sz w:val="18"/>
                <w:szCs w:val="18"/>
                <w:highlight w:val="none"/>
              </w:rPr>
              <w:t>输出设备</w:t>
            </w:r>
          </w:p>
        </w:tc>
        <w:tc>
          <w:tcPr>
            <w:tcW w:w="1390" w:type="dxa"/>
            <w:vMerge w:val="restart"/>
            <w:vAlign w:val="center"/>
          </w:tcPr>
          <w:p w14:paraId="330371ED">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A02010601 打印设备</w:t>
            </w:r>
          </w:p>
        </w:tc>
        <w:tc>
          <w:tcPr>
            <w:tcW w:w="1926" w:type="dxa"/>
            <w:vAlign w:val="center"/>
          </w:tcPr>
          <w:p w14:paraId="1873183B">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A0201060101</w:t>
            </w:r>
            <w:r>
              <w:rPr>
                <w:rFonts w:hint="eastAsia" w:ascii="宋体" w:hAnsi="宋体" w:cs="宋体"/>
                <w:color w:val="auto"/>
                <w:spacing w:val="18"/>
                <w:sz w:val="18"/>
                <w:szCs w:val="18"/>
                <w:highlight w:val="none"/>
              </w:rPr>
              <w:t xml:space="preserve"> 喷墨打</w:t>
            </w:r>
            <w:r>
              <w:rPr>
                <w:rFonts w:hint="eastAsia" w:ascii="宋体" w:hAnsi="宋体" w:cs="宋体"/>
                <w:color w:val="auto"/>
                <w:sz w:val="18"/>
                <w:szCs w:val="18"/>
                <w:highlight w:val="none"/>
              </w:rPr>
              <w:t>印机</w:t>
            </w:r>
          </w:p>
        </w:tc>
        <w:tc>
          <w:tcPr>
            <w:tcW w:w="3622" w:type="dxa"/>
            <w:vAlign w:val="center"/>
          </w:tcPr>
          <w:p w14:paraId="498AD0F8">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09589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7969C58">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08AB353B">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480363E9">
            <w:pPr>
              <w:autoSpaceDE w:val="0"/>
              <w:autoSpaceDN w:val="0"/>
              <w:jc w:val="center"/>
              <w:rPr>
                <w:rFonts w:hint="eastAsia" w:ascii="宋体" w:hAnsi="宋体" w:cs="宋体"/>
                <w:color w:val="auto"/>
                <w:sz w:val="18"/>
                <w:szCs w:val="18"/>
                <w:highlight w:val="none"/>
              </w:rPr>
            </w:pPr>
          </w:p>
        </w:tc>
        <w:tc>
          <w:tcPr>
            <w:tcW w:w="1926" w:type="dxa"/>
            <w:vAlign w:val="center"/>
          </w:tcPr>
          <w:p w14:paraId="0A61A47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6"/>
                <w:sz w:val="18"/>
                <w:szCs w:val="18"/>
                <w:highlight w:val="none"/>
              </w:rPr>
              <w:t xml:space="preserve">★ </w:t>
            </w:r>
            <w:r>
              <w:rPr>
                <w:rFonts w:hint="eastAsia" w:ascii="宋体" w:hAnsi="宋体" w:cs="宋体"/>
                <w:color w:val="auto"/>
                <w:sz w:val="18"/>
                <w:szCs w:val="18"/>
                <w:highlight w:val="none"/>
              </w:rPr>
              <w:t>A0201060102</w:t>
            </w:r>
            <w:r>
              <w:rPr>
                <w:rFonts w:hint="eastAsia" w:ascii="宋体" w:hAnsi="宋体" w:cs="宋体"/>
                <w:color w:val="auto"/>
                <w:spacing w:val="38"/>
                <w:sz w:val="18"/>
                <w:szCs w:val="18"/>
                <w:highlight w:val="none"/>
              </w:rPr>
              <w:t xml:space="preserve"> 激光</w:t>
            </w:r>
            <w:r>
              <w:rPr>
                <w:rFonts w:hint="eastAsia" w:ascii="宋体" w:hAnsi="宋体" w:cs="宋体"/>
                <w:color w:val="auto"/>
                <w:sz w:val="18"/>
                <w:szCs w:val="18"/>
                <w:highlight w:val="none"/>
              </w:rPr>
              <w:t>打印机</w:t>
            </w:r>
          </w:p>
        </w:tc>
        <w:tc>
          <w:tcPr>
            <w:tcW w:w="3622" w:type="dxa"/>
            <w:vAlign w:val="center"/>
          </w:tcPr>
          <w:p w14:paraId="1AB8391C">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0187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9A9C1AB">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C3B35B3">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0AE7E23F">
            <w:pPr>
              <w:autoSpaceDE w:val="0"/>
              <w:autoSpaceDN w:val="0"/>
              <w:jc w:val="center"/>
              <w:rPr>
                <w:rFonts w:hint="eastAsia" w:ascii="宋体" w:hAnsi="宋体" w:cs="宋体"/>
                <w:color w:val="auto"/>
                <w:sz w:val="18"/>
                <w:szCs w:val="18"/>
                <w:highlight w:val="none"/>
              </w:rPr>
            </w:pPr>
          </w:p>
        </w:tc>
        <w:tc>
          <w:tcPr>
            <w:tcW w:w="1926" w:type="dxa"/>
            <w:vAlign w:val="center"/>
          </w:tcPr>
          <w:p w14:paraId="1D7C77D7">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6"/>
                <w:sz w:val="18"/>
                <w:szCs w:val="18"/>
                <w:highlight w:val="none"/>
              </w:rPr>
              <w:t xml:space="preserve">★ </w:t>
            </w:r>
            <w:r>
              <w:rPr>
                <w:rFonts w:hint="eastAsia" w:ascii="宋体" w:hAnsi="宋体" w:cs="宋体"/>
                <w:color w:val="auto"/>
                <w:sz w:val="18"/>
                <w:szCs w:val="18"/>
                <w:highlight w:val="none"/>
              </w:rPr>
              <w:t>A0201060104</w:t>
            </w:r>
            <w:r>
              <w:rPr>
                <w:rFonts w:hint="eastAsia" w:ascii="宋体" w:hAnsi="宋体" w:cs="宋体"/>
                <w:color w:val="auto"/>
                <w:spacing w:val="38"/>
                <w:sz w:val="18"/>
                <w:szCs w:val="18"/>
                <w:highlight w:val="none"/>
              </w:rPr>
              <w:t xml:space="preserve"> 针式</w:t>
            </w:r>
            <w:r>
              <w:rPr>
                <w:rFonts w:hint="eastAsia" w:ascii="宋体" w:hAnsi="宋体" w:cs="宋体"/>
                <w:color w:val="auto"/>
                <w:sz w:val="18"/>
                <w:szCs w:val="18"/>
                <w:highlight w:val="none"/>
              </w:rPr>
              <w:t>打印机</w:t>
            </w:r>
          </w:p>
        </w:tc>
        <w:tc>
          <w:tcPr>
            <w:tcW w:w="3622" w:type="dxa"/>
            <w:vAlign w:val="center"/>
          </w:tcPr>
          <w:p w14:paraId="18D0A3EE">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487C7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59588195">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3ABEB6D">
            <w:pPr>
              <w:autoSpaceDE w:val="0"/>
              <w:autoSpaceDN w:val="0"/>
              <w:jc w:val="center"/>
              <w:rPr>
                <w:rFonts w:hint="eastAsia" w:ascii="宋体" w:hAnsi="宋体" w:cs="宋体"/>
                <w:color w:val="auto"/>
                <w:sz w:val="18"/>
                <w:szCs w:val="18"/>
                <w:highlight w:val="none"/>
              </w:rPr>
            </w:pPr>
          </w:p>
        </w:tc>
        <w:tc>
          <w:tcPr>
            <w:tcW w:w="1390" w:type="dxa"/>
            <w:vAlign w:val="center"/>
          </w:tcPr>
          <w:p w14:paraId="3BB0BE8C">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A02010604 显示设备</w:t>
            </w:r>
          </w:p>
        </w:tc>
        <w:tc>
          <w:tcPr>
            <w:tcW w:w="1926" w:type="dxa"/>
            <w:vAlign w:val="center"/>
          </w:tcPr>
          <w:p w14:paraId="0E4E816B">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6"/>
                <w:sz w:val="18"/>
                <w:szCs w:val="18"/>
                <w:highlight w:val="none"/>
              </w:rPr>
              <w:t xml:space="preserve">★ </w:t>
            </w:r>
            <w:r>
              <w:rPr>
                <w:rFonts w:hint="eastAsia" w:ascii="宋体" w:hAnsi="宋体" w:cs="宋体"/>
                <w:color w:val="auto"/>
                <w:sz w:val="18"/>
                <w:szCs w:val="18"/>
                <w:highlight w:val="none"/>
              </w:rPr>
              <w:t>A0201060401</w:t>
            </w:r>
            <w:r>
              <w:rPr>
                <w:rFonts w:hint="eastAsia" w:ascii="宋体" w:hAnsi="宋体" w:cs="宋体"/>
                <w:color w:val="auto"/>
                <w:spacing w:val="38"/>
                <w:sz w:val="18"/>
                <w:szCs w:val="18"/>
                <w:highlight w:val="none"/>
              </w:rPr>
              <w:t xml:space="preserve"> 液晶</w:t>
            </w:r>
            <w:r>
              <w:rPr>
                <w:rFonts w:hint="eastAsia" w:ascii="宋体" w:hAnsi="宋体" w:cs="宋体"/>
                <w:color w:val="auto"/>
                <w:sz w:val="18"/>
                <w:szCs w:val="18"/>
                <w:highlight w:val="none"/>
              </w:rPr>
              <w:t>显示器</w:t>
            </w:r>
          </w:p>
        </w:tc>
        <w:tc>
          <w:tcPr>
            <w:tcW w:w="3622" w:type="dxa"/>
            <w:vAlign w:val="center"/>
          </w:tcPr>
          <w:p w14:paraId="639388F0">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《计算机显示器能效限定值及能</w:t>
            </w:r>
            <w:r>
              <w:rPr>
                <w:rFonts w:hint="eastAsia" w:ascii="宋体" w:hAnsi="宋体" w:cs="宋体"/>
                <w:color w:val="auto"/>
                <w:sz w:val="18"/>
                <w:szCs w:val="18"/>
                <w:highlight w:val="none"/>
              </w:rPr>
              <w:t>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21520）</w:t>
            </w:r>
          </w:p>
        </w:tc>
      </w:tr>
      <w:tr w14:paraId="0CE12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5847B519">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06AED71F">
            <w:pPr>
              <w:autoSpaceDE w:val="0"/>
              <w:autoSpaceDN w:val="0"/>
              <w:jc w:val="center"/>
              <w:rPr>
                <w:rFonts w:hint="eastAsia" w:ascii="宋体" w:hAnsi="宋体" w:cs="宋体"/>
                <w:color w:val="auto"/>
                <w:sz w:val="18"/>
                <w:szCs w:val="18"/>
                <w:highlight w:val="none"/>
              </w:rPr>
            </w:pPr>
          </w:p>
        </w:tc>
        <w:tc>
          <w:tcPr>
            <w:tcW w:w="1390" w:type="dxa"/>
            <w:vAlign w:val="center"/>
          </w:tcPr>
          <w:p w14:paraId="34AB8E80">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A02010609</w:t>
            </w:r>
            <w:r>
              <w:rPr>
                <w:rFonts w:hint="eastAsia" w:ascii="宋体" w:hAnsi="宋体" w:cs="宋体"/>
                <w:color w:val="auto"/>
                <w:spacing w:val="-6"/>
                <w:sz w:val="18"/>
                <w:szCs w:val="18"/>
                <w:highlight w:val="none"/>
              </w:rPr>
              <w:t xml:space="preserve"> 图形图像</w:t>
            </w:r>
            <w:r>
              <w:rPr>
                <w:rFonts w:hint="eastAsia" w:ascii="宋体" w:hAnsi="宋体" w:cs="宋体"/>
                <w:color w:val="auto"/>
                <w:sz w:val="18"/>
                <w:szCs w:val="18"/>
                <w:highlight w:val="none"/>
              </w:rPr>
              <w:t>输入设备</w:t>
            </w:r>
          </w:p>
        </w:tc>
        <w:tc>
          <w:tcPr>
            <w:tcW w:w="1926" w:type="dxa"/>
            <w:vAlign w:val="center"/>
          </w:tcPr>
          <w:p w14:paraId="4CAA7482">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A0201060901</w:t>
            </w:r>
            <w:r>
              <w:rPr>
                <w:rFonts w:hint="eastAsia" w:ascii="宋体" w:hAnsi="宋体" w:cs="宋体"/>
                <w:color w:val="auto"/>
                <w:spacing w:val="-7"/>
                <w:sz w:val="18"/>
                <w:szCs w:val="18"/>
                <w:highlight w:val="none"/>
              </w:rPr>
              <w:t xml:space="preserve"> 扫描仪</w:t>
            </w:r>
          </w:p>
        </w:tc>
        <w:tc>
          <w:tcPr>
            <w:tcW w:w="3622" w:type="dxa"/>
            <w:vAlign w:val="center"/>
          </w:tcPr>
          <w:p w14:paraId="27513E24">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参照《复印机、打印机和传真机能</w:t>
            </w:r>
            <w:r>
              <w:rPr>
                <w:rFonts w:hint="eastAsia" w:ascii="宋体" w:hAnsi="宋体" w:cs="宋体"/>
                <w:color w:val="auto"/>
                <w:spacing w:val="-11"/>
                <w:sz w:val="18"/>
                <w:szCs w:val="18"/>
                <w:highlight w:val="none"/>
              </w:rPr>
              <w:t>效限定值及能效等级》</w:t>
            </w:r>
            <w:r>
              <w:rPr>
                <w:rFonts w:hint="eastAsia" w:ascii="宋体" w:hAnsi="宋体" w:cs="宋体"/>
                <w:color w:val="auto"/>
                <w:sz w:val="18"/>
                <w:szCs w:val="18"/>
                <w:highlight w:val="none"/>
              </w:rPr>
              <w:t>（GB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21521）</w:t>
            </w:r>
            <w:r>
              <w:rPr>
                <w:rFonts w:hint="eastAsia" w:ascii="宋体" w:hAnsi="宋体" w:cs="宋体"/>
                <w:color w:val="auto"/>
                <w:spacing w:val="-92"/>
                <w:sz w:val="18"/>
                <w:szCs w:val="18"/>
                <w:highlight w:val="none"/>
              </w:rPr>
              <w:t xml:space="preserve"> </w:t>
            </w:r>
            <w:r>
              <w:rPr>
                <w:rFonts w:hint="eastAsia" w:ascii="宋体" w:hAnsi="宋体" w:cs="宋体"/>
                <w:color w:val="auto"/>
                <w:spacing w:val="1"/>
                <w:sz w:val="18"/>
                <w:szCs w:val="18"/>
                <w:highlight w:val="none"/>
              </w:rPr>
              <w:t xml:space="preserve">中打印速度为 </w:t>
            </w:r>
            <w:r>
              <w:rPr>
                <w:rFonts w:hint="eastAsia" w:ascii="宋体" w:hAnsi="宋体" w:cs="宋体"/>
                <w:color w:val="auto"/>
                <w:sz w:val="18"/>
                <w:szCs w:val="18"/>
                <w:highlight w:val="none"/>
              </w:rPr>
              <w:t>15</w:t>
            </w:r>
            <w:r>
              <w:rPr>
                <w:rFonts w:hint="eastAsia" w:ascii="宋体" w:hAnsi="宋体" w:cs="宋体"/>
                <w:color w:val="auto"/>
                <w:spacing w:val="6"/>
                <w:sz w:val="18"/>
                <w:szCs w:val="18"/>
                <w:highlight w:val="none"/>
              </w:rPr>
              <w:t xml:space="preserve"> 页</w:t>
            </w:r>
            <w:r>
              <w:rPr>
                <w:rFonts w:hint="eastAsia" w:ascii="宋体" w:hAnsi="宋体" w:cs="宋体"/>
                <w:color w:val="auto"/>
                <w:sz w:val="18"/>
                <w:szCs w:val="18"/>
                <w:highlight w:val="none"/>
              </w:rPr>
              <w:t>/分的针式打印机相关要求</w:t>
            </w:r>
          </w:p>
        </w:tc>
      </w:tr>
      <w:tr w14:paraId="18626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Align w:val="center"/>
          </w:tcPr>
          <w:p w14:paraId="3F72ED41">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3</w:t>
            </w:r>
          </w:p>
        </w:tc>
        <w:tc>
          <w:tcPr>
            <w:tcW w:w="1662" w:type="dxa"/>
            <w:vAlign w:val="center"/>
          </w:tcPr>
          <w:p w14:paraId="2A5CCDB8">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A020202</w:t>
            </w:r>
            <w:r>
              <w:rPr>
                <w:rFonts w:hint="eastAsia" w:ascii="宋体" w:hAnsi="宋体" w:cs="宋体"/>
                <w:color w:val="auto"/>
                <w:spacing w:val="-20"/>
                <w:sz w:val="18"/>
                <w:szCs w:val="18"/>
                <w:highlight w:val="none"/>
              </w:rPr>
              <w:t xml:space="preserve"> 投影</w:t>
            </w:r>
            <w:r>
              <w:rPr>
                <w:rFonts w:hint="eastAsia" w:ascii="宋体" w:hAnsi="宋体" w:cs="宋体"/>
                <w:color w:val="auto"/>
                <w:sz w:val="18"/>
                <w:szCs w:val="18"/>
                <w:highlight w:val="none"/>
              </w:rPr>
              <w:t>仪</w:t>
            </w:r>
          </w:p>
        </w:tc>
        <w:tc>
          <w:tcPr>
            <w:tcW w:w="1390" w:type="dxa"/>
            <w:vAlign w:val="center"/>
          </w:tcPr>
          <w:p w14:paraId="6CD59702">
            <w:pPr>
              <w:autoSpaceDE w:val="0"/>
              <w:autoSpaceDN w:val="0"/>
              <w:jc w:val="center"/>
              <w:rPr>
                <w:rFonts w:hint="eastAsia" w:ascii="宋体" w:hAnsi="宋体" w:cs="宋体"/>
                <w:color w:val="auto"/>
                <w:sz w:val="18"/>
                <w:szCs w:val="18"/>
                <w:highlight w:val="none"/>
              </w:rPr>
            </w:pPr>
          </w:p>
        </w:tc>
        <w:tc>
          <w:tcPr>
            <w:tcW w:w="1926" w:type="dxa"/>
            <w:vAlign w:val="center"/>
          </w:tcPr>
          <w:p w14:paraId="7F9B9CAB">
            <w:pPr>
              <w:autoSpaceDE w:val="0"/>
              <w:autoSpaceDN w:val="0"/>
              <w:jc w:val="center"/>
              <w:rPr>
                <w:rFonts w:hint="eastAsia" w:ascii="宋体" w:hAnsi="宋体" w:cs="宋体"/>
                <w:color w:val="auto"/>
                <w:sz w:val="18"/>
                <w:szCs w:val="18"/>
                <w:highlight w:val="none"/>
              </w:rPr>
            </w:pPr>
          </w:p>
        </w:tc>
        <w:tc>
          <w:tcPr>
            <w:tcW w:w="3622" w:type="dxa"/>
            <w:vAlign w:val="center"/>
          </w:tcPr>
          <w:p w14:paraId="2CCCF5A3">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《投影机能效限定值及能效等级》（GB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32028）</w:t>
            </w:r>
          </w:p>
        </w:tc>
      </w:tr>
      <w:tr w14:paraId="3B0D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7321257E">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4</w:t>
            </w:r>
          </w:p>
        </w:tc>
        <w:tc>
          <w:tcPr>
            <w:tcW w:w="1662" w:type="dxa"/>
            <w:vAlign w:val="center"/>
          </w:tcPr>
          <w:p w14:paraId="22B1CF85">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A020204</w:t>
            </w:r>
            <w:r>
              <w:rPr>
                <w:rFonts w:hint="eastAsia" w:ascii="宋体" w:hAnsi="宋体" w:cs="宋体"/>
                <w:color w:val="auto"/>
                <w:spacing w:val="-20"/>
                <w:sz w:val="18"/>
                <w:szCs w:val="18"/>
                <w:highlight w:val="none"/>
              </w:rPr>
              <w:t xml:space="preserve"> 多功</w:t>
            </w:r>
            <w:r>
              <w:rPr>
                <w:rFonts w:hint="eastAsia" w:ascii="宋体" w:hAnsi="宋体" w:cs="宋体"/>
                <w:color w:val="auto"/>
                <w:sz w:val="18"/>
                <w:szCs w:val="18"/>
                <w:highlight w:val="none"/>
              </w:rPr>
              <w:t>能一体机</w:t>
            </w:r>
          </w:p>
        </w:tc>
        <w:tc>
          <w:tcPr>
            <w:tcW w:w="1390" w:type="dxa"/>
            <w:vAlign w:val="center"/>
          </w:tcPr>
          <w:p w14:paraId="7FF2ACF0">
            <w:pPr>
              <w:autoSpaceDE w:val="0"/>
              <w:autoSpaceDN w:val="0"/>
              <w:jc w:val="center"/>
              <w:rPr>
                <w:rFonts w:hint="eastAsia" w:ascii="宋体" w:hAnsi="宋体" w:cs="宋体"/>
                <w:color w:val="auto"/>
                <w:sz w:val="18"/>
                <w:szCs w:val="18"/>
                <w:highlight w:val="none"/>
              </w:rPr>
            </w:pPr>
          </w:p>
        </w:tc>
        <w:tc>
          <w:tcPr>
            <w:tcW w:w="1926" w:type="dxa"/>
            <w:vAlign w:val="center"/>
          </w:tcPr>
          <w:p w14:paraId="255C45A5">
            <w:pPr>
              <w:autoSpaceDE w:val="0"/>
              <w:autoSpaceDN w:val="0"/>
              <w:jc w:val="center"/>
              <w:rPr>
                <w:rFonts w:hint="eastAsia" w:ascii="宋体" w:hAnsi="宋体" w:cs="宋体"/>
                <w:color w:val="auto"/>
                <w:sz w:val="18"/>
                <w:szCs w:val="18"/>
                <w:highlight w:val="none"/>
              </w:rPr>
            </w:pPr>
          </w:p>
        </w:tc>
        <w:tc>
          <w:tcPr>
            <w:tcW w:w="3622" w:type="dxa"/>
            <w:vAlign w:val="center"/>
          </w:tcPr>
          <w:p w14:paraId="64A09F1A">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《复印机、打印机和传真机能效限</w:t>
            </w:r>
            <w:r>
              <w:rPr>
                <w:rFonts w:hint="eastAsia" w:ascii="宋体" w:hAnsi="宋体" w:cs="宋体"/>
                <w:color w:val="auto"/>
                <w:sz w:val="18"/>
                <w:szCs w:val="18"/>
                <w:highlight w:val="none"/>
              </w:rPr>
              <w:t>定值及能效等级》（GB 21521）</w:t>
            </w:r>
          </w:p>
        </w:tc>
      </w:tr>
      <w:tr w14:paraId="1A8B4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67C69F52">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5</w:t>
            </w:r>
          </w:p>
        </w:tc>
        <w:tc>
          <w:tcPr>
            <w:tcW w:w="1662" w:type="dxa"/>
            <w:vAlign w:val="center"/>
          </w:tcPr>
          <w:p w14:paraId="16A7D5B1">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A020519</w:t>
            </w:r>
            <w:r>
              <w:rPr>
                <w:rFonts w:hint="eastAsia" w:ascii="宋体" w:hAnsi="宋体" w:cs="宋体"/>
                <w:color w:val="auto"/>
                <w:spacing w:val="-25"/>
                <w:sz w:val="18"/>
                <w:szCs w:val="18"/>
                <w:highlight w:val="none"/>
              </w:rPr>
              <w:t xml:space="preserve"> 泵</w:t>
            </w:r>
          </w:p>
        </w:tc>
        <w:tc>
          <w:tcPr>
            <w:tcW w:w="1390" w:type="dxa"/>
            <w:vAlign w:val="center"/>
          </w:tcPr>
          <w:p w14:paraId="70D5D0F1">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A02051901</w:t>
            </w:r>
            <w:r>
              <w:rPr>
                <w:rFonts w:hint="eastAsia" w:ascii="宋体" w:hAnsi="宋体" w:cs="宋体"/>
                <w:color w:val="auto"/>
                <w:spacing w:val="-8"/>
                <w:sz w:val="18"/>
                <w:szCs w:val="18"/>
                <w:highlight w:val="none"/>
              </w:rPr>
              <w:t xml:space="preserve"> 离心泵</w:t>
            </w:r>
          </w:p>
        </w:tc>
        <w:tc>
          <w:tcPr>
            <w:tcW w:w="1926" w:type="dxa"/>
            <w:vAlign w:val="center"/>
          </w:tcPr>
          <w:p w14:paraId="13967754">
            <w:pPr>
              <w:autoSpaceDE w:val="0"/>
              <w:autoSpaceDN w:val="0"/>
              <w:jc w:val="center"/>
              <w:rPr>
                <w:rFonts w:hint="eastAsia" w:ascii="宋体" w:hAnsi="宋体" w:cs="宋体"/>
                <w:color w:val="auto"/>
                <w:sz w:val="18"/>
                <w:szCs w:val="18"/>
                <w:highlight w:val="none"/>
              </w:rPr>
            </w:pPr>
          </w:p>
        </w:tc>
        <w:tc>
          <w:tcPr>
            <w:tcW w:w="3622" w:type="dxa"/>
            <w:vAlign w:val="center"/>
          </w:tcPr>
          <w:p w14:paraId="198BD5E0">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《清水离心泵能效限定值及节能</w:t>
            </w:r>
            <w:r>
              <w:rPr>
                <w:rFonts w:hint="eastAsia" w:ascii="宋体" w:hAnsi="宋体" w:cs="宋体"/>
                <w:color w:val="auto"/>
                <w:sz w:val="18"/>
                <w:szCs w:val="18"/>
                <w:highlight w:val="none"/>
              </w:rPr>
              <w:t>评价值》（GB 19762）</w:t>
            </w:r>
          </w:p>
        </w:tc>
      </w:tr>
      <w:tr w14:paraId="72C90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restart"/>
            <w:vAlign w:val="center"/>
          </w:tcPr>
          <w:p w14:paraId="20D7A326">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6</w:t>
            </w:r>
          </w:p>
        </w:tc>
        <w:tc>
          <w:tcPr>
            <w:tcW w:w="1662" w:type="dxa"/>
            <w:vMerge w:val="restart"/>
            <w:vAlign w:val="center"/>
          </w:tcPr>
          <w:p w14:paraId="667F3B93">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A020523</w:t>
            </w:r>
            <w:r>
              <w:rPr>
                <w:rFonts w:hint="eastAsia" w:ascii="宋体" w:hAnsi="宋体" w:cs="宋体"/>
                <w:color w:val="auto"/>
                <w:spacing w:val="-20"/>
                <w:sz w:val="18"/>
                <w:szCs w:val="18"/>
                <w:highlight w:val="none"/>
              </w:rPr>
              <w:t xml:space="preserve"> 制冷</w:t>
            </w:r>
            <w:r>
              <w:rPr>
                <w:rFonts w:hint="eastAsia" w:ascii="宋体" w:hAnsi="宋体" w:cs="宋体"/>
                <w:color w:val="auto"/>
                <w:sz w:val="18"/>
                <w:szCs w:val="18"/>
                <w:highlight w:val="none"/>
              </w:rPr>
              <w:t>空调设备</w:t>
            </w:r>
          </w:p>
        </w:tc>
        <w:tc>
          <w:tcPr>
            <w:tcW w:w="1390" w:type="dxa"/>
            <w:vMerge w:val="restart"/>
            <w:vAlign w:val="center"/>
          </w:tcPr>
          <w:p w14:paraId="78D12215">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★A02052301</w:t>
            </w:r>
            <w:r>
              <w:rPr>
                <w:rFonts w:hint="eastAsia" w:ascii="宋体" w:hAnsi="宋体" w:cs="宋体"/>
                <w:color w:val="auto"/>
                <w:spacing w:val="-7"/>
                <w:sz w:val="18"/>
                <w:szCs w:val="18"/>
                <w:highlight w:val="none"/>
              </w:rPr>
              <w:t xml:space="preserve"> 制冷压</w:t>
            </w:r>
            <w:r>
              <w:rPr>
                <w:rFonts w:hint="eastAsia" w:ascii="宋体" w:hAnsi="宋体" w:cs="宋体"/>
                <w:color w:val="auto"/>
                <w:sz w:val="18"/>
                <w:szCs w:val="18"/>
                <w:highlight w:val="none"/>
              </w:rPr>
              <w:t>缩机</w:t>
            </w:r>
          </w:p>
        </w:tc>
        <w:tc>
          <w:tcPr>
            <w:tcW w:w="1926" w:type="dxa"/>
            <w:vAlign w:val="center"/>
          </w:tcPr>
          <w:p w14:paraId="1776ACBF">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冷水机组</w:t>
            </w:r>
          </w:p>
        </w:tc>
        <w:tc>
          <w:tcPr>
            <w:tcW w:w="3622" w:type="dxa"/>
            <w:vAlign w:val="center"/>
          </w:tcPr>
          <w:p w14:paraId="495A041F">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《冷水机组能效限定值及能效等</w:t>
            </w:r>
            <w:r>
              <w:rPr>
                <w:rFonts w:hint="eastAsia" w:ascii="宋体" w:hAnsi="宋体" w:cs="宋体"/>
                <w:color w:val="auto"/>
                <w:sz w:val="18"/>
                <w:szCs w:val="18"/>
                <w:highlight w:val="none"/>
              </w:rPr>
              <w:t>级》（GB</w:t>
            </w:r>
            <w:r>
              <w:rPr>
                <w:rFonts w:hint="eastAsia" w:ascii="宋体" w:hAnsi="宋体" w:cs="宋体"/>
                <w:color w:val="auto"/>
                <w:spacing w:val="41"/>
                <w:sz w:val="18"/>
                <w:szCs w:val="18"/>
                <w:highlight w:val="none"/>
              </w:rPr>
              <w:t xml:space="preserve"> </w:t>
            </w:r>
            <w:r>
              <w:rPr>
                <w:rFonts w:hint="eastAsia" w:ascii="宋体" w:hAnsi="宋体" w:cs="宋体"/>
                <w:color w:val="auto"/>
                <w:sz w:val="18"/>
                <w:szCs w:val="18"/>
                <w:highlight w:val="none"/>
              </w:rPr>
              <w:t>19577），《低环境温度</w:t>
            </w:r>
            <w:r>
              <w:rPr>
                <w:rFonts w:hint="eastAsia" w:ascii="宋体" w:hAnsi="宋体" w:cs="宋体"/>
                <w:color w:val="auto"/>
                <w:spacing w:val="-5"/>
                <w:sz w:val="18"/>
                <w:szCs w:val="18"/>
                <w:highlight w:val="none"/>
              </w:rPr>
              <w:t>空气源热泵</w:t>
            </w:r>
            <w:r>
              <w:rPr>
                <w:rFonts w:hint="eastAsia" w:ascii="宋体" w:hAnsi="宋体" w:cs="宋体"/>
                <w:color w:val="auto"/>
                <w:spacing w:val="-4"/>
                <w:sz w:val="18"/>
                <w:szCs w:val="18"/>
                <w:highlight w:val="none"/>
              </w:rPr>
              <w:t>（冷水）机组能效限定</w:t>
            </w:r>
            <w:r>
              <w:rPr>
                <w:rFonts w:hint="eastAsia" w:ascii="宋体" w:hAnsi="宋体" w:cs="宋体"/>
                <w:color w:val="auto"/>
                <w:sz w:val="18"/>
                <w:szCs w:val="18"/>
                <w:highlight w:val="none"/>
              </w:rPr>
              <w:t>值及能效等级》（GB 37480）</w:t>
            </w:r>
          </w:p>
        </w:tc>
      </w:tr>
      <w:tr w14:paraId="1832D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6AC4436">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A02DF5B">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37F4432A">
            <w:pPr>
              <w:autoSpaceDE w:val="0"/>
              <w:autoSpaceDN w:val="0"/>
              <w:jc w:val="center"/>
              <w:rPr>
                <w:rFonts w:hint="eastAsia" w:ascii="宋体" w:hAnsi="宋体" w:cs="宋体"/>
                <w:color w:val="auto"/>
                <w:sz w:val="18"/>
                <w:szCs w:val="18"/>
                <w:highlight w:val="none"/>
              </w:rPr>
            </w:pPr>
          </w:p>
        </w:tc>
        <w:tc>
          <w:tcPr>
            <w:tcW w:w="1926" w:type="dxa"/>
            <w:vAlign w:val="center"/>
          </w:tcPr>
          <w:p w14:paraId="0E798FCC">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水源热泵机组</w:t>
            </w:r>
          </w:p>
        </w:tc>
        <w:tc>
          <w:tcPr>
            <w:tcW w:w="3622" w:type="dxa"/>
            <w:vAlign w:val="center"/>
          </w:tcPr>
          <w:p w14:paraId="645A5D20">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5"/>
                <w:sz w:val="18"/>
                <w:szCs w:val="18"/>
                <w:highlight w:val="none"/>
              </w:rPr>
              <w:t>《水（地</w:t>
            </w:r>
            <w:r>
              <w:rPr>
                <w:rFonts w:hint="eastAsia" w:ascii="宋体" w:hAnsi="宋体" w:cs="宋体"/>
                <w:color w:val="auto"/>
                <w:spacing w:val="-4"/>
                <w:sz w:val="18"/>
                <w:szCs w:val="18"/>
                <w:highlight w:val="none"/>
              </w:rPr>
              <w:t>）源热泵机组能效限定值</w:t>
            </w:r>
            <w:r>
              <w:rPr>
                <w:rFonts w:hint="eastAsia" w:ascii="宋体" w:hAnsi="宋体" w:cs="宋体"/>
                <w:color w:val="auto"/>
                <w:sz w:val="18"/>
                <w:szCs w:val="18"/>
                <w:highlight w:val="none"/>
              </w:rPr>
              <w:t>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30721）</w:t>
            </w:r>
          </w:p>
        </w:tc>
      </w:tr>
      <w:tr w14:paraId="315F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533EFA41">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1B03131D">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4CFF3204">
            <w:pPr>
              <w:autoSpaceDE w:val="0"/>
              <w:autoSpaceDN w:val="0"/>
              <w:jc w:val="center"/>
              <w:rPr>
                <w:rFonts w:hint="eastAsia" w:ascii="宋体" w:hAnsi="宋体" w:cs="宋体"/>
                <w:color w:val="auto"/>
                <w:sz w:val="18"/>
                <w:szCs w:val="18"/>
                <w:highlight w:val="none"/>
              </w:rPr>
            </w:pPr>
          </w:p>
        </w:tc>
        <w:tc>
          <w:tcPr>
            <w:tcW w:w="1926" w:type="dxa"/>
            <w:vAlign w:val="center"/>
          </w:tcPr>
          <w:p w14:paraId="6EF490B9">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溴化锂吸收式冷水机</w:t>
            </w:r>
            <w:r>
              <w:rPr>
                <w:rFonts w:hint="eastAsia" w:ascii="宋体" w:hAnsi="宋体" w:cs="宋体"/>
                <w:color w:val="auto"/>
                <w:sz w:val="18"/>
                <w:szCs w:val="18"/>
                <w:highlight w:val="none"/>
              </w:rPr>
              <w:t>组</w:t>
            </w:r>
          </w:p>
        </w:tc>
        <w:tc>
          <w:tcPr>
            <w:tcW w:w="3622" w:type="dxa"/>
            <w:vAlign w:val="center"/>
          </w:tcPr>
          <w:p w14:paraId="787AAECC">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《溴化锂吸收式冷水机组能效限</w:t>
            </w:r>
            <w:r>
              <w:rPr>
                <w:rFonts w:hint="eastAsia" w:ascii="宋体" w:hAnsi="宋体" w:cs="宋体"/>
                <w:color w:val="auto"/>
                <w:sz w:val="18"/>
                <w:szCs w:val="18"/>
                <w:highlight w:val="none"/>
              </w:rPr>
              <w:t>定值及能效等级》（GB 29540）</w:t>
            </w:r>
          </w:p>
        </w:tc>
      </w:tr>
      <w:tr w14:paraId="15AE3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69030887">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1936879">
            <w:pPr>
              <w:autoSpaceDE w:val="0"/>
              <w:autoSpaceDN w:val="0"/>
              <w:jc w:val="center"/>
              <w:rPr>
                <w:rFonts w:hint="eastAsia" w:ascii="宋体" w:hAnsi="宋体" w:cs="宋体"/>
                <w:color w:val="auto"/>
                <w:sz w:val="18"/>
                <w:szCs w:val="18"/>
                <w:highlight w:val="none"/>
              </w:rPr>
            </w:pPr>
          </w:p>
        </w:tc>
        <w:tc>
          <w:tcPr>
            <w:tcW w:w="1390" w:type="dxa"/>
            <w:vMerge w:val="restart"/>
            <w:vAlign w:val="center"/>
          </w:tcPr>
          <w:p w14:paraId="79922656">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★A02052305</w:t>
            </w:r>
            <w:r>
              <w:rPr>
                <w:rFonts w:hint="eastAsia" w:ascii="宋体" w:hAnsi="宋体" w:cs="宋体"/>
                <w:color w:val="auto"/>
                <w:spacing w:val="-7"/>
                <w:sz w:val="18"/>
                <w:szCs w:val="18"/>
                <w:highlight w:val="none"/>
              </w:rPr>
              <w:t xml:space="preserve"> 空调机</w:t>
            </w:r>
            <w:r>
              <w:rPr>
                <w:rFonts w:hint="eastAsia" w:ascii="宋体" w:hAnsi="宋体" w:cs="宋体"/>
                <w:color w:val="auto"/>
                <w:sz w:val="18"/>
                <w:szCs w:val="18"/>
                <w:highlight w:val="none"/>
              </w:rPr>
              <w:t>组</w:t>
            </w:r>
          </w:p>
        </w:tc>
        <w:tc>
          <w:tcPr>
            <w:tcW w:w="1926" w:type="dxa"/>
            <w:vAlign w:val="center"/>
          </w:tcPr>
          <w:p w14:paraId="207B4E4B">
            <w:pPr>
              <w:autoSpaceDE w:val="0"/>
              <w:autoSpaceDN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多联式空调（热泵）机 组 ( 制 冷量&gt;14000W)</w:t>
            </w:r>
          </w:p>
        </w:tc>
        <w:tc>
          <w:tcPr>
            <w:tcW w:w="3622" w:type="dxa"/>
            <w:vAlign w:val="center"/>
          </w:tcPr>
          <w:p w14:paraId="3975359E">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z w:val="18"/>
                <w:szCs w:val="18"/>
                <w:highlight w:val="none"/>
              </w:rPr>
              <w:t>《多联式空调（热泵）机组能效限</w:t>
            </w:r>
            <w:r>
              <w:rPr>
                <w:rFonts w:hint="eastAsia" w:ascii="宋体" w:hAnsi="宋体" w:cs="宋体"/>
                <w:color w:val="auto"/>
                <w:spacing w:val="-11"/>
                <w:sz w:val="18"/>
                <w:szCs w:val="18"/>
                <w:highlight w:val="none"/>
              </w:rPr>
              <w:t>定值及能源效率等级》</w:t>
            </w:r>
            <w:r>
              <w:rPr>
                <w:rFonts w:hint="eastAsia" w:ascii="宋体" w:hAnsi="宋体" w:cs="宋体"/>
                <w:color w:val="auto"/>
                <w:sz w:val="18"/>
                <w:szCs w:val="18"/>
                <w:highlight w:val="none"/>
              </w:rPr>
              <w:t>（GB</w:t>
            </w:r>
            <w:r>
              <w:rPr>
                <w:rFonts w:hint="eastAsia" w:ascii="宋体" w:hAnsi="宋体" w:cs="宋体"/>
                <w:color w:val="auto"/>
                <w:spacing w:val="55"/>
                <w:sz w:val="18"/>
                <w:szCs w:val="18"/>
                <w:highlight w:val="none"/>
              </w:rPr>
              <w:t xml:space="preserve"> </w:t>
            </w:r>
            <w:r>
              <w:rPr>
                <w:rFonts w:hint="eastAsia" w:ascii="宋体" w:hAnsi="宋体" w:cs="宋体"/>
                <w:color w:val="auto"/>
                <w:sz w:val="18"/>
                <w:szCs w:val="18"/>
                <w:highlight w:val="none"/>
              </w:rPr>
              <w:t>21454）</w:t>
            </w:r>
          </w:p>
        </w:tc>
      </w:tr>
      <w:tr w14:paraId="6C027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712BD2F0">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61D22F9D">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5C1B2A04">
            <w:pPr>
              <w:autoSpaceDE w:val="0"/>
              <w:autoSpaceDN w:val="0"/>
              <w:jc w:val="center"/>
              <w:rPr>
                <w:rFonts w:hint="eastAsia" w:ascii="宋体" w:hAnsi="宋体" w:cs="宋体"/>
                <w:color w:val="auto"/>
                <w:sz w:val="18"/>
                <w:szCs w:val="18"/>
                <w:highlight w:val="none"/>
              </w:rPr>
            </w:pPr>
          </w:p>
        </w:tc>
        <w:tc>
          <w:tcPr>
            <w:tcW w:w="1926" w:type="dxa"/>
            <w:vAlign w:val="center"/>
          </w:tcPr>
          <w:p w14:paraId="443FF501">
            <w:pPr>
              <w:autoSpaceDE w:val="0"/>
              <w:autoSpaceDN w:val="0"/>
              <w:jc w:val="center"/>
              <w:rPr>
                <w:rFonts w:hint="eastAsia" w:ascii="宋体" w:hAnsi="宋体" w:cs="宋体"/>
                <w:color w:val="auto"/>
                <w:spacing w:val="8"/>
                <w:sz w:val="18"/>
                <w:szCs w:val="18"/>
                <w:highlight w:val="none"/>
              </w:rPr>
            </w:pPr>
            <w:r>
              <w:rPr>
                <w:rFonts w:hint="eastAsia" w:ascii="宋体" w:hAnsi="宋体" w:cs="宋体"/>
                <w:color w:val="auto"/>
                <w:spacing w:val="35"/>
                <w:sz w:val="18"/>
                <w:szCs w:val="18"/>
                <w:highlight w:val="none"/>
              </w:rPr>
              <w:t>单元式空气调节机（</w:t>
            </w:r>
            <w:r>
              <w:rPr>
                <w:rFonts w:hint="eastAsia" w:ascii="宋体" w:hAnsi="宋体" w:cs="宋体"/>
                <w:color w:val="auto"/>
                <w:sz w:val="18"/>
                <w:szCs w:val="18"/>
                <w:highlight w:val="none"/>
              </w:rPr>
              <w:t>制冷量&gt;14000W)</w:t>
            </w:r>
          </w:p>
        </w:tc>
        <w:tc>
          <w:tcPr>
            <w:tcW w:w="3622" w:type="dxa"/>
            <w:vAlign w:val="center"/>
          </w:tcPr>
          <w:p w14:paraId="51DDA6D6">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《单元式空气调节机能效限定值</w:t>
            </w:r>
            <w:r>
              <w:rPr>
                <w:rFonts w:hint="eastAsia" w:ascii="宋体" w:hAnsi="宋体" w:cs="宋体"/>
                <w:color w:val="auto"/>
                <w:sz w:val="18"/>
                <w:szCs w:val="18"/>
                <w:highlight w:val="none"/>
              </w:rPr>
              <w:t>及能效等级》（GB</w:t>
            </w:r>
            <w:r>
              <w:rPr>
                <w:rFonts w:hint="eastAsia" w:ascii="宋体" w:hAnsi="宋体" w:cs="宋体"/>
                <w:color w:val="auto"/>
                <w:spacing w:val="41"/>
                <w:sz w:val="18"/>
                <w:szCs w:val="18"/>
                <w:highlight w:val="none"/>
              </w:rPr>
              <w:t xml:space="preserve"> </w:t>
            </w:r>
            <w:r>
              <w:rPr>
                <w:rFonts w:hint="eastAsia" w:ascii="宋体" w:hAnsi="宋体" w:cs="宋体"/>
                <w:color w:val="auto"/>
                <w:sz w:val="18"/>
                <w:szCs w:val="18"/>
                <w:highlight w:val="none"/>
              </w:rPr>
              <w:t>19576）《风管</w:t>
            </w:r>
            <w:r>
              <w:rPr>
                <w:rFonts w:hint="eastAsia" w:ascii="宋体" w:hAnsi="宋体" w:cs="宋体"/>
                <w:color w:val="auto"/>
                <w:spacing w:val="9"/>
                <w:sz w:val="18"/>
                <w:szCs w:val="18"/>
                <w:highlight w:val="none"/>
              </w:rPr>
              <w:t>送风式空调机组能效限定值及能</w:t>
            </w:r>
            <w:r>
              <w:rPr>
                <w:rFonts w:hint="eastAsia" w:ascii="宋体" w:hAnsi="宋体" w:cs="宋体"/>
                <w:color w:val="auto"/>
                <w:sz w:val="18"/>
                <w:szCs w:val="18"/>
                <w:highlight w:val="none"/>
              </w:rPr>
              <w:t>效等级》（GB 37479）</w:t>
            </w:r>
          </w:p>
        </w:tc>
      </w:tr>
      <w:tr w14:paraId="394E3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4870B23F">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4F40191">
            <w:pPr>
              <w:autoSpaceDE w:val="0"/>
              <w:autoSpaceDN w:val="0"/>
              <w:jc w:val="center"/>
              <w:rPr>
                <w:rFonts w:hint="eastAsia" w:ascii="宋体" w:hAnsi="宋体" w:cs="宋体"/>
                <w:color w:val="auto"/>
                <w:sz w:val="18"/>
                <w:szCs w:val="18"/>
                <w:highlight w:val="none"/>
              </w:rPr>
            </w:pPr>
          </w:p>
        </w:tc>
        <w:tc>
          <w:tcPr>
            <w:tcW w:w="1390" w:type="dxa"/>
            <w:vAlign w:val="center"/>
          </w:tcPr>
          <w:p w14:paraId="6B85363B">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★A02052309</w:t>
            </w:r>
            <w:r>
              <w:rPr>
                <w:rFonts w:hint="eastAsia" w:ascii="宋体" w:hAnsi="宋体" w:cs="宋体"/>
                <w:color w:val="auto"/>
                <w:spacing w:val="-7"/>
                <w:sz w:val="18"/>
                <w:szCs w:val="18"/>
                <w:highlight w:val="none"/>
              </w:rPr>
              <w:t xml:space="preserve"> 专用制</w:t>
            </w:r>
            <w:r>
              <w:rPr>
                <w:rFonts w:hint="eastAsia" w:ascii="宋体" w:hAnsi="宋体" w:cs="宋体"/>
                <w:color w:val="auto"/>
                <w:sz w:val="18"/>
                <w:szCs w:val="18"/>
                <w:highlight w:val="none"/>
              </w:rPr>
              <w:t>冷、空调设备</w:t>
            </w:r>
          </w:p>
        </w:tc>
        <w:tc>
          <w:tcPr>
            <w:tcW w:w="1926" w:type="dxa"/>
            <w:vAlign w:val="center"/>
          </w:tcPr>
          <w:p w14:paraId="4EF26FAE">
            <w:pPr>
              <w:autoSpaceDE w:val="0"/>
              <w:autoSpaceDN w:val="0"/>
              <w:jc w:val="center"/>
              <w:rPr>
                <w:rFonts w:hint="eastAsia" w:ascii="宋体" w:hAnsi="宋体" w:cs="宋体"/>
                <w:color w:val="auto"/>
                <w:spacing w:val="8"/>
                <w:sz w:val="18"/>
                <w:szCs w:val="18"/>
                <w:highlight w:val="none"/>
              </w:rPr>
            </w:pPr>
            <w:r>
              <w:rPr>
                <w:rFonts w:hint="eastAsia" w:ascii="宋体" w:hAnsi="宋体" w:cs="宋体"/>
                <w:color w:val="auto"/>
                <w:sz w:val="18"/>
                <w:szCs w:val="18"/>
                <w:highlight w:val="none"/>
              </w:rPr>
              <w:t>机房空调</w:t>
            </w:r>
          </w:p>
        </w:tc>
        <w:tc>
          <w:tcPr>
            <w:tcW w:w="3622" w:type="dxa"/>
            <w:vAlign w:val="center"/>
          </w:tcPr>
          <w:p w14:paraId="07B9B6E0">
            <w:pPr>
              <w:autoSpaceDE w:val="0"/>
              <w:autoSpaceDN w:val="0"/>
              <w:jc w:val="center"/>
              <w:rPr>
                <w:rFonts w:hint="eastAsia" w:ascii="宋体" w:hAnsi="宋体" w:cs="宋体"/>
                <w:color w:val="auto"/>
                <w:spacing w:val="9"/>
                <w:sz w:val="18"/>
                <w:szCs w:val="18"/>
                <w:highlight w:val="none"/>
              </w:rPr>
            </w:pPr>
            <w:r>
              <w:rPr>
                <w:rFonts w:hint="eastAsia" w:ascii="宋体" w:hAnsi="宋体" w:cs="宋体"/>
                <w:color w:val="auto"/>
                <w:spacing w:val="9"/>
                <w:sz w:val="18"/>
                <w:szCs w:val="18"/>
                <w:highlight w:val="none"/>
              </w:rPr>
              <w:t>《单元式空气调节机能效限定值</w:t>
            </w:r>
            <w:r>
              <w:rPr>
                <w:rFonts w:hint="eastAsia" w:ascii="宋体" w:hAnsi="宋体" w:cs="宋体"/>
                <w:color w:val="auto"/>
                <w:sz w:val="18"/>
                <w:szCs w:val="18"/>
                <w:highlight w:val="none"/>
              </w:rPr>
              <w:t>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19576）</w:t>
            </w:r>
          </w:p>
        </w:tc>
      </w:tr>
      <w:tr w14:paraId="576B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45D257E8">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0DA841B1">
            <w:pPr>
              <w:autoSpaceDE w:val="0"/>
              <w:autoSpaceDN w:val="0"/>
              <w:jc w:val="center"/>
              <w:rPr>
                <w:rFonts w:hint="eastAsia" w:ascii="宋体" w:hAnsi="宋体" w:cs="宋体"/>
                <w:color w:val="auto"/>
                <w:sz w:val="18"/>
                <w:szCs w:val="18"/>
                <w:highlight w:val="none"/>
              </w:rPr>
            </w:pPr>
          </w:p>
        </w:tc>
        <w:tc>
          <w:tcPr>
            <w:tcW w:w="1390" w:type="dxa"/>
            <w:vAlign w:val="center"/>
          </w:tcPr>
          <w:p w14:paraId="36968856">
            <w:pPr>
              <w:autoSpaceDE w:val="0"/>
              <w:autoSpaceDN w:val="0"/>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A02052399</w:t>
            </w:r>
            <w:r>
              <w:rPr>
                <w:rFonts w:hint="eastAsia" w:ascii="宋体" w:hAnsi="宋体" w:cs="宋体"/>
                <w:color w:val="auto"/>
                <w:spacing w:val="-6"/>
                <w:sz w:val="18"/>
                <w:szCs w:val="18"/>
                <w:highlight w:val="none"/>
              </w:rPr>
              <w:t xml:space="preserve"> 其他制冷</w:t>
            </w:r>
            <w:r>
              <w:rPr>
                <w:rFonts w:hint="eastAsia" w:ascii="宋体" w:hAnsi="宋体" w:cs="宋体"/>
                <w:color w:val="auto"/>
                <w:sz w:val="18"/>
                <w:szCs w:val="18"/>
                <w:highlight w:val="none"/>
              </w:rPr>
              <w:t>空调设备</w:t>
            </w:r>
          </w:p>
        </w:tc>
        <w:tc>
          <w:tcPr>
            <w:tcW w:w="1926" w:type="dxa"/>
            <w:vAlign w:val="center"/>
          </w:tcPr>
          <w:p w14:paraId="35682B19">
            <w:pPr>
              <w:autoSpaceDE w:val="0"/>
              <w:autoSpaceDN w:val="0"/>
              <w:jc w:val="center"/>
              <w:rPr>
                <w:rFonts w:hint="eastAsia" w:ascii="宋体" w:hAnsi="宋体" w:cs="宋体"/>
                <w:color w:val="auto"/>
                <w:spacing w:val="8"/>
                <w:sz w:val="18"/>
                <w:szCs w:val="18"/>
                <w:highlight w:val="none"/>
              </w:rPr>
            </w:pPr>
            <w:r>
              <w:rPr>
                <w:rFonts w:hint="eastAsia" w:ascii="宋体" w:hAnsi="宋体" w:cs="宋体"/>
                <w:color w:val="auto"/>
                <w:sz w:val="18"/>
                <w:szCs w:val="18"/>
                <w:highlight w:val="none"/>
              </w:rPr>
              <w:t>冷却塔</w:t>
            </w:r>
          </w:p>
        </w:tc>
        <w:tc>
          <w:tcPr>
            <w:tcW w:w="3622" w:type="dxa"/>
            <w:vAlign w:val="center"/>
          </w:tcPr>
          <w:p w14:paraId="50771E97">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 xml:space="preserve">《机械通风冷却塔 第 </w:t>
            </w:r>
            <w:r>
              <w:rPr>
                <w:rFonts w:hint="eastAsia" w:ascii="宋体" w:hAnsi="宋体" w:cs="宋体"/>
                <w:color w:val="auto"/>
                <w:sz w:val="18"/>
                <w:szCs w:val="18"/>
                <w:highlight w:val="none"/>
              </w:rPr>
              <w:t>1 部分：中小型开式冷却塔</w:t>
            </w:r>
            <w:r>
              <w:rPr>
                <w:rFonts w:hint="eastAsia" w:ascii="宋体" w:hAnsi="宋体" w:cs="宋体"/>
                <w:color w:val="auto"/>
                <w:spacing w:val="-171"/>
                <w:sz w:val="18"/>
                <w:szCs w:val="18"/>
                <w:highlight w:val="none"/>
              </w:rPr>
              <w:t>》</w:t>
            </w:r>
            <w:r>
              <w:rPr>
                <w:rFonts w:hint="eastAsia" w:ascii="宋体" w:hAnsi="宋体" w:cs="宋体"/>
                <w:color w:val="auto"/>
                <w:spacing w:val="-1"/>
                <w:sz w:val="18"/>
                <w:szCs w:val="18"/>
                <w:highlight w:val="none"/>
              </w:rPr>
              <w:t>（</w:t>
            </w:r>
            <w:r>
              <w:rPr>
                <w:rFonts w:hint="eastAsia" w:ascii="宋体" w:hAnsi="宋体" w:cs="宋体"/>
                <w:color w:val="auto"/>
                <w:spacing w:val="1"/>
                <w:sz w:val="18"/>
                <w:szCs w:val="18"/>
                <w:highlight w:val="none"/>
              </w:rPr>
              <w:t>G</w:t>
            </w:r>
            <w:r>
              <w:rPr>
                <w:rFonts w:hint="eastAsia" w:ascii="宋体" w:hAnsi="宋体" w:cs="宋体"/>
                <w:color w:val="auto"/>
                <w:sz w:val="18"/>
                <w:szCs w:val="18"/>
                <w:highlight w:val="none"/>
              </w:rPr>
              <w:t>B</w:t>
            </w:r>
            <w:r>
              <w:rPr>
                <w:rFonts w:hint="eastAsia" w:ascii="宋体" w:hAnsi="宋体" w:cs="宋体"/>
                <w:color w:val="auto"/>
                <w:spacing w:val="-49"/>
                <w:sz w:val="18"/>
                <w:szCs w:val="18"/>
                <w:highlight w:val="none"/>
              </w:rPr>
              <w:t xml:space="preserve"> </w:t>
            </w:r>
            <w:r>
              <w:rPr>
                <w:rFonts w:hint="eastAsia" w:ascii="宋体" w:hAnsi="宋体" w:cs="宋体"/>
                <w:color w:val="auto"/>
                <w:spacing w:val="1"/>
                <w:sz w:val="18"/>
                <w:szCs w:val="18"/>
                <w:highlight w:val="none"/>
              </w:rPr>
              <w:t>/</w:t>
            </w:r>
            <w:r>
              <w:rPr>
                <w:rFonts w:hint="eastAsia" w:ascii="宋体" w:hAnsi="宋体" w:cs="宋体"/>
                <w:color w:val="auto"/>
                <w:sz w:val="18"/>
                <w:szCs w:val="18"/>
                <w:highlight w:val="none"/>
              </w:rPr>
              <w:t>T</w:t>
            </w:r>
            <w:r>
              <w:rPr>
                <w:rFonts w:hint="eastAsia" w:ascii="宋体" w:hAnsi="宋体" w:cs="宋体"/>
                <w:color w:val="auto"/>
                <w:spacing w:val="-49"/>
                <w:sz w:val="18"/>
                <w:szCs w:val="18"/>
                <w:highlight w:val="none"/>
              </w:rPr>
              <w:t xml:space="preserve"> </w:t>
            </w:r>
            <w:r>
              <w:rPr>
                <w:rFonts w:hint="eastAsia" w:ascii="宋体" w:hAnsi="宋体" w:cs="宋体"/>
                <w:color w:val="auto"/>
                <w:sz w:val="18"/>
                <w:szCs w:val="18"/>
                <w:highlight w:val="none"/>
              </w:rPr>
              <w:t>7190</w:t>
            </w:r>
            <w:r>
              <w:rPr>
                <w:rFonts w:hint="eastAsia" w:ascii="宋体" w:hAnsi="宋体" w:cs="宋体"/>
                <w:color w:val="auto"/>
                <w:spacing w:val="1"/>
                <w:sz w:val="18"/>
                <w:szCs w:val="18"/>
                <w:highlight w:val="none"/>
              </w:rPr>
              <w:t>.1</w:t>
            </w:r>
            <w:r>
              <w:rPr>
                <w:rFonts w:hint="eastAsia" w:ascii="宋体" w:hAnsi="宋体" w:cs="宋体"/>
                <w:color w:val="auto"/>
                <w:spacing w:val="-87"/>
                <w:sz w:val="18"/>
                <w:szCs w:val="18"/>
                <w:highlight w:val="none"/>
              </w:rPr>
              <w:t>）</w:t>
            </w:r>
            <w:r>
              <w:rPr>
                <w:rFonts w:hint="eastAsia" w:ascii="宋体" w:hAnsi="宋体" w:cs="宋体"/>
                <w:color w:val="auto"/>
                <w:sz w:val="18"/>
                <w:szCs w:val="18"/>
                <w:highlight w:val="none"/>
              </w:rPr>
              <w:t>；</w:t>
            </w:r>
            <w:r>
              <w:rPr>
                <w:rFonts w:hint="eastAsia" w:ascii="宋体" w:hAnsi="宋体" w:cs="宋体"/>
                <w:color w:val="auto"/>
                <w:spacing w:val="4"/>
                <w:sz w:val="18"/>
                <w:szCs w:val="18"/>
                <w:highlight w:val="none"/>
              </w:rPr>
              <w:t xml:space="preserve">《机械通风冷却塔 第 </w:t>
            </w:r>
            <w:r>
              <w:rPr>
                <w:rFonts w:hint="eastAsia" w:ascii="宋体" w:hAnsi="宋体" w:cs="宋体"/>
                <w:color w:val="auto"/>
                <w:sz w:val="18"/>
                <w:szCs w:val="18"/>
                <w:highlight w:val="none"/>
              </w:rPr>
              <w:t>2 部分：大型开式冷却塔》（GB</w:t>
            </w:r>
            <w:r>
              <w:rPr>
                <w:rFonts w:hint="eastAsia" w:ascii="宋体" w:hAnsi="宋体" w:cs="宋体"/>
                <w:color w:val="auto"/>
                <w:spacing w:val="-6"/>
                <w:sz w:val="18"/>
                <w:szCs w:val="18"/>
                <w:highlight w:val="none"/>
              </w:rPr>
              <w:t xml:space="preserve"> </w:t>
            </w:r>
            <w:r>
              <w:rPr>
                <w:rFonts w:hint="eastAsia" w:ascii="宋体" w:hAnsi="宋体" w:cs="宋体"/>
                <w:color w:val="auto"/>
                <w:sz w:val="18"/>
                <w:szCs w:val="18"/>
                <w:highlight w:val="none"/>
              </w:rPr>
              <w:t>/T</w:t>
            </w:r>
            <w:r>
              <w:rPr>
                <w:rFonts w:hint="eastAsia" w:ascii="宋体" w:hAnsi="宋体" w:cs="宋体"/>
                <w:color w:val="auto"/>
                <w:spacing w:val="-7"/>
                <w:sz w:val="18"/>
                <w:szCs w:val="18"/>
                <w:highlight w:val="none"/>
              </w:rPr>
              <w:t xml:space="preserve"> </w:t>
            </w:r>
            <w:r>
              <w:rPr>
                <w:rFonts w:hint="eastAsia" w:ascii="宋体" w:hAnsi="宋体" w:cs="宋体"/>
                <w:color w:val="auto"/>
                <w:sz w:val="18"/>
                <w:szCs w:val="18"/>
                <w:highlight w:val="none"/>
              </w:rPr>
              <w:t>7190.2）</w:t>
            </w:r>
          </w:p>
        </w:tc>
      </w:tr>
      <w:tr w14:paraId="3BC8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6EC18CC3">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7</w:t>
            </w:r>
          </w:p>
        </w:tc>
        <w:tc>
          <w:tcPr>
            <w:tcW w:w="1662" w:type="dxa"/>
            <w:vAlign w:val="center"/>
          </w:tcPr>
          <w:p w14:paraId="70D53F12">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A020601</w:t>
            </w:r>
            <w:r>
              <w:rPr>
                <w:rFonts w:hint="eastAsia" w:ascii="宋体" w:hAnsi="宋体" w:cs="宋体"/>
                <w:color w:val="auto"/>
                <w:spacing w:val="-20"/>
                <w:sz w:val="18"/>
                <w:szCs w:val="18"/>
                <w:highlight w:val="none"/>
              </w:rPr>
              <w:t xml:space="preserve"> 电机</w:t>
            </w:r>
          </w:p>
        </w:tc>
        <w:tc>
          <w:tcPr>
            <w:tcW w:w="1390" w:type="dxa"/>
            <w:vAlign w:val="center"/>
          </w:tcPr>
          <w:p w14:paraId="2DCB7EE6">
            <w:pPr>
              <w:jc w:val="center"/>
              <w:rPr>
                <w:rFonts w:hint="eastAsia" w:ascii="宋体" w:hAnsi="宋体" w:cs="宋体"/>
                <w:color w:val="auto"/>
                <w:sz w:val="18"/>
                <w:szCs w:val="18"/>
                <w:highlight w:val="none"/>
              </w:rPr>
            </w:pPr>
          </w:p>
        </w:tc>
        <w:tc>
          <w:tcPr>
            <w:tcW w:w="1926" w:type="dxa"/>
            <w:vAlign w:val="center"/>
          </w:tcPr>
          <w:p w14:paraId="3EF837DD">
            <w:pPr>
              <w:jc w:val="center"/>
              <w:rPr>
                <w:rFonts w:hint="eastAsia" w:ascii="宋体" w:hAnsi="宋体" w:cs="宋体"/>
                <w:color w:val="auto"/>
                <w:sz w:val="18"/>
                <w:szCs w:val="18"/>
                <w:highlight w:val="none"/>
              </w:rPr>
            </w:pPr>
          </w:p>
        </w:tc>
        <w:tc>
          <w:tcPr>
            <w:tcW w:w="3622" w:type="dxa"/>
            <w:vAlign w:val="center"/>
          </w:tcPr>
          <w:p w14:paraId="4EE80766">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《中小型三相异步电动机能效限</w:t>
            </w:r>
            <w:r>
              <w:rPr>
                <w:rFonts w:hint="eastAsia" w:ascii="宋体" w:hAnsi="宋体" w:cs="宋体"/>
                <w:color w:val="auto"/>
                <w:sz w:val="18"/>
                <w:szCs w:val="18"/>
                <w:highlight w:val="none"/>
              </w:rPr>
              <w:t>定值及能效等级》（GB 18613）</w:t>
            </w:r>
          </w:p>
        </w:tc>
      </w:tr>
      <w:tr w14:paraId="14E79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311652C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8</w:t>
            </w:r>
          </w:p>
        </w:tc>
        <w:tc>
          <w:tcPr>
            <w:tcW w:w="1662" w:type="dxa"/>
            <w:vAlign w:val="center"/>
          </w:tcPr>
          <w:p w14:paraId="5AC7EE00">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A020602</w:t>
            </w:r>
            <w:r>
              <w:rPr>
                <w:rFonts w:hint="eastAsia" w:ascii="宋体" w:hAnsi="宋体" w:cs="宋体"/>
                <w:color w:val="auto"/>
                <w:spacing w:val="-20"/>
                <w:sz w:val="18"/>
                <w:szCs w:val="18"/>
                <w:highlight w:val="none"/>
              </w:rPr>
              <w:t xml:space="preserve"> 变 压 </w:t>
            </w:r>
            <w:r>
              <w:rPr>
                <w:rFonts w:hint="eastAsia" w:ascii="宋体" w:hAnsi="宋体" w:cs="宋体"/>
                <w:color w:val="auto"/>
                <w:sz w:val="18"/>
                <w:szCs w:val="18"/>
                <w:highlight w:val="none"/>
              </w:rPr>
              <w:t>器</w:t>
            </w:r>
          </w:p>
        </w:tc>
        <w:tc>
          <w:tcPr>
            <w:tcW w:w="1390" w:type="dxa"/>
            <w:vAlign w:val="center"/>
          </w:tcPr>
          <w:p w14:paraId="24588556">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配电变压器</w:t>
            </w:r>
          </w:p>
        </w:tc>
        <w:tc>
          <w:tcPr>
            <w:tcW w:w="1926" w:type="dxa"/>
            <w:vAlign w:val="center"/>
          </w:tcPr>
          <w:p w14:paraId="5997C89A">
            <w:pPr>
              <w:jc w:val="center"/>
              <w:rPr>
                <w:rFonts w:hint="eastAsia" w:ascii="宋体" w:hAnsi="宋体" w:cs="宋体"/>
                <w:color w:val="auto"/>
                <w:sz w:val="18"/>
                <w:szCs w:val="18"/>
                <w:highlight w:val="none"/>
              </w:rPr>
            </w:pPr>
          </w:p>
        </w:tc>
        <w:tc>
          <w:tcPr>
            <w:tcW w:w="3622" w:type="dxa"/>
            <w:vAlign w:val="center"/>
          </w:tcPr>
          <w:p w14:paraId="40FFDE69">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《三相配电变压器能效限定值及</w:t>
            </w:r>
            <w:r>
              <w:rPr>
                <w:rFonts w:hint="eastAsia" w:ascii="宋体" w:hAnsi="宋体" w:cs="宋体"/>
                <w:color w:val="auto"/>
                <w:sz w:val="18"/>
                <w:szCs w:val="18"/>
                <w:highlight w:val="none"/>
              </w:rPr>
              <w:t>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20052）</w:t>
            </w:r>
          </w:p>
        </w:tc>
      </w:tr>
      <w:tr w14:paraId="0326A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2346FC4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9</w:t>
            </w:r>
          </w:p>
        </w:tc>
        <w:tc>
          <w:tcPr>
            <w:tcW w:w="1662" w:type="dxa"/>
            <w:vAlign w:val="center"/>
          </w:tcPr>
          <w:p w14:paraId="1C65275D">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★A020609</w:t>
            </w:r>
            <w:r>
              <w:rPr>
                <w:rFonts w:hint="eastAsia" w:ascii="宋体" w:hAnsi="宋体" w:cs="宋体"/>
                <w:color w:val="auto"/>
                <w:spacing w:val="-29"/>
                <w:sz w:val="18"/>
                <w:szCs w:val="18"/>
                <w:highlight w:val="none"/>
              </w:rPr>
              <w:t xml:space="preserve"> 镇 </w:t>
            </w:r>
            <w:r>
              <w:rPr>
                <w:rFonts w:hint="eastAsia" w:ascii="宋体" w:hAnsi="宋体" w:cs="宋体"/>
                <w:color w:val="auto"/>
                <w:sz w:val="18"/>
                <w:szCs w:val="18"/>
                <w:highlight w:val="none"/>
              </w:rPr>
              <w:t>流器</w:t>
            </w:r>
          </w:p>
        </w:tc>
        <w:tc>
          <w:tcPr>
            <w:tcW w:w="1390" w:type="dxa"/>
            <w:vAlign w:val="center"/>
          </w:tcPr>
          <w:p w14:paraId="74679FE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管型荧光灯镇流器</w:t>
            </w:r>
          </w:p>
        </w:tc>
        <w:tc>
          <w:tcPr>
            <w:tcW w:w="1926" w:type="dxa"/>
            <w:vAlign w:val="center"/>
          </w:tcPr>
          <w:p w14:paraId="525B48B6">
            <w:pPr>
              <w:jc w:val="center"/>
              <w:rPr>
                <w:rFonts w:hint="eastAsia" w:ascii="宋体" w:hAnsi="宋体" w:cs="宋体"/>
                <w:color w:val="auto"/>
                <w:sz w:val="18"/>
                <w:szCs w:val="18"/>
                <w:highlight w:val="none"/>
              </w:rPr>
            </w:pPr>
          </w:p>
        </w:tc>
        <w:tc>
          <w:tcPr>
            <w:tcW w:w="3622" w:type="dxa"/>
            <w:vAlign w:val="center"/>
          </w:tcPr>
          <w:p w14:paraId="749DE261">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《管形荧光灯镇流器能效限定值</w:t>
            </w:r>
            <w:r>
              <w:rPr>
                <w:rFonts w:hint="eastAsia" w:ascii="宋体" w:hAnsi="宋体" w:cs="宋体"/>
                <w:color w:val="auto"/>
                <w:sz w:val="18"/>
                <w:szCs w:val="18"/>
                <w:highlight w:val="none"/>
              </w:rPr>
              <w:t>及能效等级》（GB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17896）</w:t>
            </w:r>
          </w:p>
        </w:tc>
      </w:tr>
      <w:tr w14:paraId="03669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4586B3C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10</w:t>
            </w:r>
          </w:p>
        </w:tc>
        <w:tc>
          <w:tcPr>
            <w:tcW w:w="1662" w:type="dxa"/>
            <w:vMerge w:val="restart"/>
            <w:vAlign w:val="center"/>
          </w:tcPr>
          <w:p w14:paraId="04C0783F">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A020618</w:t>
            </w:r>
            <w:r>
              <w:rPr>
                <w:rFonts w:hint="eastAsia" w:ascii="宋体" w:hAnsi="宋体" w:cs="宋体"/>
                <w:color w:val="auto"/>
                <w:spacing w:val="-20"/>
                <w:sz w:val="18"/>
                <w:szCs w:val="18"/>
                <w:highlight w:val="none"/>
              </w:rPr>
              <w:t xml:space="preserve"> 生活</w:t>
            </w:r>
            <w:r>
              <w:rPr>
                <w:rFonts w:hint="eastAsia" w:ascii="宋体" w:hAnsi="宋体" w:cs="宋体"/>
                <w:color w:val="auto"/>
                <w:sz w:val="18"/>
                <w:szCs w:val="18"/>
                <w:highlight w:val="none"/>
              </w:rPr>
              <w:t>用电器</w:t>
            </w:r>
          </w:p>
        </w:tc>
        <w:tc>
          <w:tcPr>
            <w:tcW w:w="1390" w:type="dxa"/>
            <w:vAlign w:val="center"/>
          </w:tcPr>
          <w:p w14:paraId="64AE813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A0206180101 电冰箱</w:t>
            </w:r>
          </w:p>
        </w:tc>
        <w:tc>
          <w:tcPr>
            <w:tcW w:w="1926" w:type="dxa"/>
            <w:vAlign w:val="center"/>
          </w:tcPr>
          <w:p w14:paraId="526E15DF">
            <w:pPr>
              <w:jc w:val="center"/>
              <w:rPr>
                <w:rFonts w:hint="eastAsia" w:ascii="宋体" w:hAnsi="宋体" w:cs="宋体"/>
                <w:color w:val="auto"/>
                <w:sz w:val="18"/>
                <w:szCs w:val="18"/>
                <w:highlight w:val="none"/>
              </w:rPr>
            </w:pPr>
          </w:p>
        </w:tc>
        <w:tc>
          <w:tcPr>
            <w:tcW w:w="3622" w:type="dxa"/>
            <w:vAlign w:val="center"/>
          </w:tcPr>
          <w:p w14:paraId="3521EA6D">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《家用电冰箱耗电量限定值及能</w:t>
            </w:r>
            <w:r>
              <w:rPr>
                <w:rFonts w:hint="eastAsia" w:ascii="宋体" w:hAnsi="宋体" w:cs="宋体"/>
                <w:color w:val="auto"/>
                <w:sz w:val="18"/>
                <w:szCs w:val="18"/>
                <w:highlight w:val="none"/>
              </w:rPr>
              <w:t>效等级》（GB</w:t>
            </w:r>
            <w:r>
              <w:rPr>
                <w:rFonts w:hint="eastAsia" w:ascii="宋体" w:hAnsi="宋体" w:cs="宋体"/>
                <w:color w:val="auto"/>
                <w:spacing w:val="2"/>
                <w:sz w:val="18"/>
                <w:szCs w:val="18"/>
                <w:highlight w:val="none"/>
              </w:rPr>
              <w:t xml:space="preserve"> </w:t>
            </w:r>
            <w:r>
              <w:rPr>
                <w:rFonts w:hint="eastAsia" w:ascii="宋体" w:hAnsi="宋体" w:cs="宋体"/>
                <w:color w:val="auto"/>
                <w:sz w:val="18"/>
                <w:szCs w:val="18"/>
                <w:highlight w:val="none"/>
              </w:rPr>
              <w:t>12021.2）</w:t>
            </w:r>
          </w:p>
        </w:tc>
      </w:tr>
      <w:tr w14:paraId="352F6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46" w:type="dxa"/>
            <w:vMerge w:val="continue"/>
            <w:vAlign w:val="center"/>
          </w:tcPr>
          <w:p w14:paraId="6DAF8E32">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8057580">
            <w:pPr>
              <w:autoSpaceDE w:val="0"/>
              <w:autoSpaceDN w:val="0"/>
              <w:jc w:val="center"/>
              <w:rPr>
                <w:rFonts w:hint="eastAsia" w:ascii="宋体" w:hAnsi="宋体" w:cs="宋体"/>
                <w:color w:val="auto"/>
                <w:sz w:val="18"/>
                <w:szCs w:val="18"/>
                <w:highlight w:val="none"/>
              </w:rPr>
            </w:pPr>
          </w:p>
        </w:tc>
        <w:tc>
          <w:tcPr>
            <w:tcW w:w="1390" w:type="dxa"/>
            <w:vMerge w:val="restart"/>
            <w:vAlign w:val="center"/>
          </w:tcPr>
          <w:p w14:paraId="7A9DAF5B">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★A0206180203</w:t>
            </w:r>
            <w:r>
              <w:rPr>
                <w:rFonts w:hint="eastAsia" w:ascii="宋体" w:hAnsi="宋体" w:cs="宋体"/>
                <w:color w:val="auto"/>
                <w:spacing w:val="-7"/>
                <w:sz w:val="18"/>
                <w:szCs w:val="18"/>
                <w:highlight w:val="none"/>
              </w:rPr>
              <w:t xml:space="preserve"> 空调</w:t>
            </w:r>
            <w:r>
              <w:rPr>
                <w:rFonts w:hint="eastAsia" w:ascii="宋体" w:hAnsi="宋体" w:cs="宋体"/>
                <w:color w:val="auto"/>
                <w:sz w:val="18"/>
                <w:szCs w:val="18"/>
                <w:highlight w:val="none"/>
              </w:rPr>
              <w:t>机</w:t>
            </w:r>
          </w:p>
        </w:tc>
        <w:tc>
          <w:tcPr>
            <w:tcW w:w="1926" w:type="dxa"/>
            <w:vAlign w:val="center"/>
          </w:tcPr>
          <w:p w14:paraId="36FD55DC">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房间空气调节器</w:t>
            </w:r>
          </w:p>
        </w:tc>
        <w:tc>
          <w:tcPr>
            <w:tcW w:w="3622" w:type="dxa"/>
            <w:vAlign w:val="center"/>
          </w:tcPr>
          <w:p w14:paraId="3854340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《转速可控型房间空气调节器能</w:t>
            </w:r>
            <w:r>
              <w:rPr>
                <w:rFonts w:hint="eastAsia" w:ascii="宋体" w:hAnsi="宋体" w:cs="宋体"/>
                <w:color w:val="auto"/>
                <w:spacing w:val="-18"/>
                <w:sz w:val="18"/>
                <w:szCs w:val="18"/>
                <w:highlight w:val="none"/>
              </w:rPr>
              <w:t xml:space="preserve">效 限 定 值 及 能 效 等 级》 </w:t>
            </w:r>
            <w:r>
              <w:rPr>
                <w:rFonts w:hint="eastAsia" w:ascii="宋体" w:hAnsi="宋体" w:cs="宋体"/>
                <w:color w:val="auto"/>
                <w:sz w:val="18"/>
                <w:szCs w:val="18"/>
                <w:highlight w:val="none"/>
              </w:rPr>
              <w:t>（ GB</w:t>
            </w:r>
            <w:r>
              <w:rPr>
                <w:rFonts w:hint="eastAsia" w:ascii="宋体" w:hAnsi="宋体" w:cs="宋体"/>
                <w:color w:val="auto"/>
                <w:spacing w:val="-92"/>
                <w:sz w:val="18"/>
                <w:szCs w:val="18"/>
                <w:highlight w:val="none"/>
              </w:rPr>
              <w:t xml:space="preserve"> </w:t>
            </w:r>
            <w:r>
              <w:rPr>
                <w:rFonts w:hint="eastAsia" w:ascii="宋体" w:hAnsi="宋体" w:cs="宋体"/>
                <w:color w:val="auto"/>
                <w:sz w:val="18"/>
                <w:szCs w:val="18"/>
                <w:highlight w:val="none"/>
              </w:rPr>
              <w:t>21455-2013），</w:t>
            </w:r>
            <w:r>
              <w:rPr>
                <w:rFonts w:hint="eastAsia" w:ascii="宋体" w:hAnsi="宋体" w:cs="宋体"/>
                <w:color w:val="auto"/>
                <w:spacing w:val="6"/>
                <w:sz w:val="18"/>
                <w:szCs w:val="18"/>
                <w:highlight w:val="none"/>
              </w:rPr>
              <w:t xml:space="preserve">待 </w:t>
            </w:r>
            <w:r>
              <w:rPr>
                <w:rFonts w:hint="eastAsia" w:ascii="宋体" w:hAnsi="宋体" w:cs="宋体"/>
                <w:color w:val="auto"/>
                <w:sz w:val="18"/>
                <w:szCs w:val="18"/>
                <w:highlight w:val="none"/>
              </w:rPr>
              <w:t>2019</w:t>
            </w:r>
            <w:r>
              <w:rPr>
                <w:rFonts w:hint="eastAsia" w:ascii="宋体" w:hAnsi="宋体" w:cs="宋体"/>
                <w:color w:val="auto"/>
                <w:spacing w:val="2"/>
                <w:sz w:val="18"/>
                <w:szCs w:val="18"/>
                <w:highlight w:val="none"/>
              </w:rPr>
              <w:t xml:space="preserve"> 年修订发</w:t>
            </w:r>
            <w:r>
              <w:rPr>
                <w:rFonts w:hint="eastAsia" w:ascii="宋体" w:hAnsi="宋体" w:cs="宋体"/>
                <w:color w:val="auto"/>
                <w:sz w:val="18"/>
                <w:szCs w:val="18"/>
                <w:highlight w:val="none"/>
              </w:rPr>
              <w:t>布后，按《房间空气调节器能效限</w:t>
            </w:r>
            <w:r>
              <w:rPr>
                <w:rFonts w:hint="eastAsia" w:ascii="宋体" w:hAnsi="宋体" w:cs="宋体"/>
                <w:color w:val="auto"/>
                <w:spacing w:val="-1"/>
                <w:sz w:val="18"/>
                <w:szCs w:val="18"/>
                <w:highlight w:val="none"/>
              </w:rPr>
              <w:t>定值及能效等级</w:t>
            </w:r>
            <w:r>
              <w:rPr>
                <w:rFonts w:hint="eastAsia" w:ascii="宋体" w:hAnsi="宋体" w:cs="宋体"/>
                <w:color w:val="auto"/>
                <w:spacing w:val="-156"/>
                <w:sz w:val="18"/>
                <w:szCs w:val="18"/>
                <w:highlight w:val="none"/>
              </w:rPr>
              <w:t>》</w:t>
            </w:r>
            <w:r>
              <w:rPr>
                <w:rFonts w:hint="eastAsia" w:ascii="宋体" w:hAnsi="宋体" w:cs="宋体"/>
                <w:color w:val="auto"/>
                <w:sz w:val="18"/>
                <w:szCs w:val="18"/>
                <w:highlight w:val="none"/>
              </w:rPr>
              <w:t>（GB21455-2019）实施。</w:t>
            </w:r>
          </w:p>
        </w:tc>
      </w:tr>
      <w:tr w14:paraId="4E32B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18D77A42">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F2B714E">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04BE5251">
            <w:pPr>
              <w:autoSpaceDE w:val="0"/>
              <w:autoSpaceDN w:val="0"/>
              <w:jc w:val="center"/>
              <w:rPr>
                <w:rFonts w:hint="eastAsia" w:ascii="宋体" w:hAnsi="宋体" w:cs="宋体"/>
                <w:color w:val="auto"/>
                <w:sz w:val="18"/>
                <w:szCs w:val="18"/>
                <w:highlight w:val="none"/>
              </w:rPr>
            </w:pPr>
          </w:p>
        </w:tc>
        <w:tc>
          <w:tcPr>
            <w:tcW w:w="1926" w:type="dxa"/>
            <w:vAlign w:val="center"/>
          </w:tcPr>
          <w:p w14:paraId="4EA23D2A">
            <w:pPr>
              <w:jc w:val="center"/>
              <w:rPr>
                <w:rFonts w:hint="eastAsia" w:ascii="宋体" w:hAnsi="宋体" w:cs="宋体"/>
                <w:color w:val="auto"/>
                <w:sz w:val="18"/>
                <w:szCs w:val="18"/>
                <w:highlight w:val="none"/>
              </w:rPr>
            </w:pPr>
            <w:r>
              <w:rPr>
                <w:rFonts w:hint="eastAsia" w:ascii="宋体" w:hAnsi="宋体" w:cs="宋体"/>
                <w:color w:val="auto"/>
                <w:spacing w:val="11"/>
                <w:sz w:val="18"/>
                <w:szCs w:val="18"/>
                <w:highlight w:val="none"/>
              </w:rPr>
              <w:t>多联式空调（</w:t>
            </w:r>
            <w:r>
              <w:rPr>
                <w:rFonts w:hint="eastAsia" w:ascii="宋体" w:hAnsi="宋体" w:cs="宋体"/>
                <w:color w:val="auto"/>
                <w:spacing w:val="12"/>
                <w:sz w:val="18"/>
                <w:szCs w:val="18"/>
                <w:highlight w:val="none"/>
              </w:rPr>
              <w:t>热泵</w:t>
            </w:r>
            <w:r>
              <w:rPr>
                <w:rFonts w:hint="eastAsia" w:ascii="宋体" w:hAnsi="宋体" w:cs="宋体"/>
                <w:color w:val="auto"/>
                <w:sz w:val="18"/>
                <w:szCs w:val="18"/>
                <w:highlight w:val="none"/>
              </w:rPr>
              <w:t>）</w:t>
            </w:r>
            <w:r>
              <w:rPr>
                <w:rFonts w:hint="eastAsia" w:ascii="宋体" w:hAnsi="宋体" w:cs="宋体"/>
                <w:color w:val="auto"/>
                <w:spacing w:val="-12"/>
                <w:sz w:val="18"/>
                <w:szCs w:val="18"/>
                <w:highlight w:val="none"/>
              </w:rPr>
              <w:t xml:space="preserve">机 组 </w:t>
            </w:r>
            <w:r>
              <w:rPr>
                <w:rFonts w:hint="eastAsia" w:ascii="宋体" w:hAnsi="宋体" w:cs="宋体"/>
                <w:color w:val="auto"/>
                <w:sz w:val="18"/>
                <w:szCs w:val="18"/>
                <w:highlight w:val="none"/>
              </w:rPr>
              <w:t>（</w:t>
            </w:r>
            <w:r>
              <w:rPr>
                <w:rFonts w:hint="eastAsia" w:ascii="宋体" w:hAnsi="宋体" w:cs="宋体"/>
                <w:color w:val="auto"/>
                <w:spacing w:val="-13"/>
                <w:sz w:val="18"/>
                <w:szCs w:val="18"/>
                <w:highlight w:val="none"/>
              </w:rPr>
              <w:t xml:space="preserve"> 制 冷 量 ≤</w:t>
            </w:r>
            <w:r>
              <w:rPr>
                <w:rFonts w:hint="eastAsia" w:ascii="宋体" w:hAnsi="宋体" w:cs="宋体"/>
                <w:color w:val="auto"/>
                <w:spacing w:val="-97"/>
                <w:sz w:val="18"/>
                <w:szCs w:val="18"/>
                <w:highlight w:val="none"/>
              </w:rPr>
              <w:t xml:space="preserve"> </w:t>
            </w:r>
            <w:r>
              <w:rPr>
                <w:rFonts w:hint="eastAsia" w:ascii="宋体" w:hAnsi="宋体" w:cs="宋体"/>
                <w:color w:val="auto"/>
                <w:sz w:val="18"/>
                <w:szCs w:val="18"/>
                <w:highlight w:val="none"/>
              </w:rPr>
              <w:t>14000W）</w:t>
            </w:r>
          </w:p>
        </w:tc>
        <w:tc>
          <w:tcPr>
            <w:tcW w:w="3622" w:type="dxa"/>
            <w:vAlign w:val="center"/>
          </w:tcPr>
          <w:p w14:paraId="05DD42D7">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《多联式空调（热泵）机组能效限</w:t>
            </w:r>
            <w:r>
              <w:rPr>
                <w:rFonts w:hint="eastAsia" w:ascii="宋体" w:hAnsi="宋体" w:cs="宋体"/>
                <w:color w:val="auto"/>
                <w:spacing w:val="-11"/>
                <w:sz w:val="18"/>
                <w:szCs w:val="18"/>
                <w:highlight w:val="none"/>
              </w:rPr>
              <w:t>定值及能源效率等级》</w:t>
            </w:r>
            <w:r>
              <w:rPr>
                <w:rFonts w:hint="eastAsia" w:ascii="宋体" w:hAnsi="宋体" w:cs="宋体"/>
                <w:color w:val="auto"/>
                <w:sz w:val="18"/>
                <w:szCs w:val="18"/>
                <w:highlight w:val="none"/>
              </w:rPr>
              <w:t>（GB</w:t>
            </w:r>
            <w:r>
              <w:rPr>
                <w:rFonts w:hint="eastAsia" w:ascii="宋体" w:hAnsi="宋体" w:cs="宋体"/>
                <w:color w:val="auto"/>
                <w:spacing w:val="55"/>
                <w:sz w:val="18"/>
                <w:szCs w:val="18"/>
                <w:highlight w:val="none"/>
              </w:rPr>
              <w:t xml:space="preserve"> </w:t>
            </w:r>
            <w:r>
              <w:rPr>
                <w:rFonts w:hint="eastAsia" w:ascii="宋体" w:hAnsi="宋体" w:cs="宋体"/>
                <w:color w:val="auto"/>
                <w:sz w:val="18"/>
                <w:szCs w:val="18"/>
                <w:highlight w:val="none"/>
              </w:rPr>
              <w:t>21454）</w:t>
            </w:r>
          </w:p>
        </w:tc>
      </w:tr>
      <w:tr w14:paraId="7C2D0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05DC132F">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205D9BF5">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3E76B97F">
            <w:pPr>
              <w:autoSpaceDE w:val="0"/>
              <w:autoSpaceDN w:val="0"/>
              <w:jc w:val="center"/>
              <w:rPr>
                <w:rFonts w:hint="eastAsia" w:ascii="宋体" w:hAnsi="宋体" w:cs="宋体"/>
                <w:color w:val="auto"/>
                <w:sz w:val="18"/>
                <w:szCs w:val="18"/>
                <w:highlight w:val="none"/>
              </w:rPr>
            </w:pPr>
          </w:p>
        </w:tc>
        <w:tc>
          <w:tcPr>
            <w:tcW w:w="1926" w:type="dxa"/>
            <w:vAlign w:val="center"/>
          </w:tcPr>
          <w:p w14:paraId="063B44AB">
            <w:pPr>
              <w:jc w:val="center"/>
              <w:rPr>
                <w:rFonts w:hint="eastAsia" w:ascii="宋体" w:hAnsi="宋体" w:cs="宋体"/>
                <w:color w:val="auto"/>
                <w:sz w:val="18"/>
                <w:szCs w:val="18"/>
                <w:highlight w:val="none"/>
              </w:rPr>
            </w:pPr>
            <w:r>
              <w:rPr>
                <w:rFonts w:hint="eastAsia" w:ascii="宋体" w:hAnsi="宋体" w:cs="宋体"/>
                <w:color w:val="auto"/>
                <w:spacing w:val="35"/>
                <w:sz w:val="18"/>
                <w:szCs w:val="18"/>
                <w:highlight w:val="none"/>
              </w:rPr>
              <w:t>单元式空气调节机（</w:t>
            </w:r>
            <w:r>
              <w:rPr>
                <w:rFonts w:hint="eastAsia" w:ascii="宋体" w:hAnsi="宋体" w:cs="宋体"/>
                <w:color w:val="auto"/>
                <w:sz w:val="18"/>
                <w:szCs w:val="18"/>
                <w:highlight w:val="none"/>
              </w:rPr>
              <w:t>制冷量≤14000W)</w:t>
            </w:r>
          </w:p>
        </w:tc>
        <w:tc>
          <w:tcPr>
            <w:tcW w:w="3622" w:type="dxa"/>
            <w:vAlign w:val="center"/>
          </w:tcPr>
          <w:p w14:paraId="7B287E66">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《单元式空气调节机能效限定值</w:t>
            </w:r>
            <w:r>
              <w:rPr>
                <w:rFonts w:hint="eastAsia" w:ascii="宋体" w:hAnsi="宋体" w:cs="宋体"/>
                <w:color w:val="auto"/>
                <w:spacing w:val="-13"/>
                <w:sz w:val="18"/>
                <w:szCs w:val="18"/>
                <w:highlight w:val="none"/>
              </w:rPr>
              <w:t>及能源效率等级》</w:t>
            </w:r>
            <w:r>
              <w:rPr>
                <w:rFonts w:hint="eastAsia" w:ascii="宋体" w:hAnsi="宋体" w:cs="宋体"/>
                <w:color w:val="auto"/>
                <w:sz w:val="18"/>
                <w:szCs w:val="18"/>
                <w:highlight w:val="none"/>
              </w:rPr>
              <w:t>（</w:t>
            </w:r>
            <w:r>
              <w:rPr>
                <w:rFonts w:hint="eastAsia" w:ascii="宋体" w:hAnsi="宋体" w:cs="宋体"/>
                <w:color w:val="auto"/>
                <w:spacing w:val="1"/>
                <w:sz w:val="18"/>
                <w:szCs w:val="18"/>
                <w:highlight w:val="none"/>
              </w:rPr>
              <w:t>G</w:t>
            </w:r>
            <w:r>
              <w:rPr>
                <w:rFonts w:hint="eastAsia" w:ascii="宋体" w:hAnsi="宋体" w:cs="宋体"/>
                <w:color w:val="auto"/>
                <w:sz w:val="18"/>
                <w:szCs w:val="18"/>
                <w:highlight w:val="none"/>
              </w:rPr>
              <w:t>B</w:t>
            </w:r>
            <w:r>
              <w:rPr>
                <w:rFonts w:hint="eastAsia" w:ascii="宋体" w:hAnsi="宋体" w:cs="宋体"/>
                <w:color w:val="auto"/>
                <w:spacing w:val="-49"/>
                <w:sz w:val="18"/>
                <w:szCs w:val="18"/>
                <w:highlight w:val="none"/>
              </w:rPr>
              <w:t xml:space="preserve"> </w:t>
            </w:r>
            <w:r>
              <w:rPr>
                <w:rFonts w:hint="eastAsia" w:ascii="宋体" w:hAnsi="宋体" w:cs="宋体"/>
                <w:color w:val="auto"/>
                <w:spacing w:val="1"/>
                <w:sz w:val="18"/>
                <w:szCs w:val="18"/>
                <w:highlight w:val="none"/>
              </w:rPr>
              <w:t>195</w:t>
            </w:r>
            <w:r>
              <w:rPr>
                <w:rFonts w:hint="eastAsia" w:ascii="宋体" w:hAnsi="宋体" w:cs="宋体"/>
                <w:color w:val="auto"/>
                <w:sz w:val="18"/>
                <w:szCs w:val="18"/>
                <w:highlight w:val="none"/>
              </w:rPr>
              <w:t>7</w:t>
            </w:r>
            <w:r>
              <w:rPr>
                <w:rFonts w:hint="eastAsia" w:ascii="宋体" w:hAnsi="宋体" w:cs="宋体"/>
                <w:color w:val="auto"/>
                <w:spacing w:val="-3"/>
                <w:sz w:val="18"/>
                <w:szCs w:val="18"/>
                <w:highlight w:val="none"/>
              </w:rPr>
              <w:t>6</w:t>
            </w:r>
            <w:r>
              <w:rPr>
                <w:rFonts w:hint="eastAsia" w:ascii="宋体" w:hAnsi="宋体" w:cs="宋体"/>
                <w:color w:val="auto"/>
                <w:spacing w:val="-104"/>
                <w:sz w:val="18"/>
                <w:szCs w:val="18"/>
                <w:highlight w:val="none"/>
              </w:rPr>
              <w:t>）</w:t>
            </w:r>
            <w:r>
              <w:rPr>
                <w:rFonts w:hint="eastAsia" w:ascii="宋体" w:hAnsi="宋体" w:cs="宋体"/>
                <w:color w:val="auto"/>
                <w:spacing w:val="-6"/>
                <w:sz w:val="18"/>
                <w:szCs w:val="18"/>
                <w:highlight w:val="none"/>
              </w:rPr>
              <w:t>《风</w:t>
            </w:r>
            <w:r>
              <w:rPr>
                <w:rFonts w:hint="eastAsia" w:ascii="宋体" w:hAnsi="宋体" w:cs="宋体"/>
                <w:color w:val="auto"/>
                <w:spacing w:val="9"/>
                <w:sz w:val="18"/>
                <w:szCs w:val="18"/>
                <w:highlight w:val="none"/>
              </w:rPr>
              <w:t>管送风式空调机组能效限定值及</w:t>
            </w:r>
            <w:r>
              <w:rPr>
                <w:rFonts w:hint="eastAsia" w:ascii="宋体" w:hAnsi="宋体" w:cs="宋体"/>
                <w:color w:val="auto"/>
                <w:sz w:val="18"/>
                <w:szCs w:val="18"/>
                <w:highlight w:val="none"/>
              </w:rPr>
              <w:t>能效等级》（GB</w:t>
            </w:r>
            <w:r>
              <w:rPr>
                <w:rFonts w:hint="eastAsia" w:ascii="宋体" w:hAnsi="宋体" w:cs="宋体"/>
                <w:color w:val="auto"/>
                <w:spacing w:val="-2"/>
                <w:sz w:val="18"/>
                <w:szCs w:val="18"/>
                <w:highlight w:val="none"/>
              </w:rPr>
              <w:t xml:space="preserve"> </w:t>
            </w:r>
            <w:r>
              <w:rPr>
                <w:rFonts w:hint="eastAsia" w:ascii="宋体" w:hAnsi="宋体" w:cs="宋体"/>
                <w:color w:val="auto"/>
                <w:sz w:val="18"/>
                <w:szCs w:val="18"/>
                <w:highlight w:val="none"/>
              </w:rPr>
              <w:t>37479）</w:t>
            </w:r>
          </w:p>
        </w:tc>
      </w:tr>
      <w:tr w14:paraId="5750B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8F0C1A4">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FB3B157">
            <w:pPr>
              <w:autoSpaceDE w:val="0"/>
              <w:autoSpaceDN w:val="0"/>
              <w:jc w:val="center"/>
              <w:rPr>
                <w:rFonts w:hint="eastAsia" w:ascii="宋体" w:hAnsi="宋体" w:cs="宋体"/>
                <w:color w:val="auto"/>
                <w:sz w:val="18"/>
                <w:szCs w:val="18"/>
                <w:highlight w:val="none"/>
              </w:rPr>
            </w:pPr>
          </w:p>
        </w:tc>
        <w:tc>
          <w:tcPr>
            <w:tcW w:w="1390" w:type="dxa"/>
            <w:vAlign w:val="center"/>
          </w:tcPr>
          <w:p w14:paraId="39725AB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A0206180301 洗衣机</w:t>
            </w:r>
          </w:p>
        </w:tc>
        <w:tc>
          <w:tcPr>
            <w:tcW w:w="1926" w:type="dxa"/>
            <w:vAlign w:val="center"/>
          </w:tcPr>
          <w:p w14:paraId="64C051DE">
            <w:pPr>
              <w:jc w:val="center"/>
              <w:rPr>
                <w:rFonts w:hint="eastAsia" w:ascii="宋体" w:hAnsi="宋体" w:cs="宋体"/>
                <w:color w:val="auto"/>
                <w:sz w:val="18"/>
                <w:szCs w:val="18"/>
                <w:highlight w:val="none"/>
              </w:rPr>
            </w:pPr>
          </w:p>
        </w:tc>
        <w:tc>
          <w:tcPr>
            <w:tcW w:w="3622" w:type="dxa"/>
            <w:vAlign w:val="center"/>
          </w:tcPr>
          <w:p w14:paraId="103B2D45">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《电动洗衣机能效水效限定值及</w:t>
            </w:r>
            <w:r>
              <w:rPr>
                <w:rFonts w:hint="eastAsia" w:ascii="宋体" w:hAnsi="宋体" w:cs="宋体"/>
                <w:color w:val="auto"/>
                <w:sz w:val="18"/>
                <w:szCs w:val="18"/>
                <w:highlight w:val="none"/>
              </w:rPr>
              <w:t>等级》（GB 12021.4）</w:t>
            </w:r>
          </w:p>
        </w:tc>
      </w:tr>
      <w:tr w14:paraId="40ABA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5BBB0188">
            <w:pPr>
              <w:jc w:val="center"/>
              <w:rPr>
                <w:rFonts w:hint="eastAsia" w:ascii="宋体" w:hAnsi="宋体" w:cs="宋体"/>
                <w:color w:val="auto"/>
                <w:sz w:val="18"/>
                <w:szCs w:val="18"/>
                <w:highlight w:val="none"/>
              </w:rPr>
            </w:pPr>
          </w:p>
        </w:tc>
        <w:tc>
          <w:tcPr>
            <w:tcW w:w="1662" w:type="dxa"/>
            <w:vMerge w:val="continue"/>
            <w:vAlign w:val="center"/>
          </w:tcPr>
          <w:p w14:paraId="44A8E12D">
            <w:pPr>
              <w:jc w:val="center"/>
              <w:rPr>
                <w:rFonts w:hint="eastAsia" w:ascii="宋体" w:hAnsi="宋体" w:cs="宋体"/>
                <w:color w:val="auto"/>
                <w:sz w:val="18"/>
                <w:szCs w:val="18"/>
                <w:highlight w:val="none"/>
              </w:rPr>
            </w:pPr>
          </w:p>
        </w:tc>
        <w:tc>
          <w:tcPr>
            <w:tcW w:w="1390" w:type="dxa"/>
            <w:vMerge w:val="restart"/>
            <w:vAlign w:val="center"/>
          </w:tcPr>
          <w:p w14:paraId="4DE33AF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A02061808</w:t>
            </w:r>
            <w:r>
              <w:rPr>
                <w:rFonts w:hint="eastAsia" w:ascii="宋体" w:hAnsi="宋体" w:cs="宋体"/>
                <w:color w:val="auto"/>
                <w:spacing w:val="-8"/>
                <w:sz w:val="18"/>
                <w:szCs w:val="18"/>
                <w:highlight w:val="none"/>
              </w:rPr>
              <w:t xml:space="preserve"> 热水器</w:t>
            </w:r>
          </w:p>
        </w:tc>
        <w:tc>
          <w:tcPr>
            <w:tcW w:w="1926" w:type="dxa"/>
            <w:vAlign w:val="center"/>
          </w:tcPr>
          <w:p w14:paraId="16299BC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★电热水器</w:t>
            </w:r>
          </w:p>
        </w:tc>
        <w:tc>
          <w:tcPr>
            <w:tcW w:w="3622" w:type="dxa"/>
            <w:vAlign w:val="center"/>
          </w:tcPr>
          <w:p w14:paraId="324BFE59">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《储水式电热水器能效限定值及</w:t>
            </w:r>
            <w:r>
              <w:rPr>
                <w:rFonts w:hint="eastAsia" w:ascii="宋体" w:hAnsi="宋体" w:cs="宋体"/>
                <w:color w:val="auto"/>
                <w:sz w:val="18"/>
                <w:szCs w:val="18"/>
                <w:highlight w:val="none"/>
              </w:rPr>
              <w:t>能效等级》（GB</w:t>
            </w:r>
            <w:r>
              <w:rPr>
                <w:rFonts w:hint="eastAsia" w:ascii="宋体" w:hAnsi="宋体" w:cs="宋体"/>
                <w:color w:val="auto"/>
                <w:spacing w:val="2"/>
                <w:sz w:val="18"/>
                <w:szCs w:val="18"/>
                <w:highlight w:val="none"/>
              </w:rPr>
              <w:t xml:space="preserve"> </w:t>
            </w:r>
            <w:r>
              <w:rPr>
                <w:rFonts w:hint="eastAsia" w:ascii="宋体" w:hAnsi="宋体" w:cs="宋体"/>
                <w:color w:val="auto"/>
                <w:sz w:val="18"/>
                <w:szCs w:val="18"/>
                <w:highlight w:val="none"/>
              </w:rPr>
              <w:t>21519）</w:t>
            </w:r>
          </w:p>
        </w:tc>
      </w:tr>
      <w:tr w14:paraId="49AA5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14041DBE">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46E40A8C">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76F75F1F">
            <w:pPr>
              <w:autoSpaceDE w:val="0"/>
              <w:autoSpaceDN w:val="0"/>
              <w:jc w:val="center"/>
              <w:rPr>
                <w:rFonts w:hint="eastAsia" w:ascii="宋体" w:hAnsi="宋体" w:cs="宋体"/>
                <w:color w:val="auto"/>
                <w:sz w:val="18"/>
                <w:szCs w:val="18"/>
                <w:highlight w:val="none"/>
              </w:rPr>
            </w:pPr>
          </w:p>
        </w:tc>
        <w:tc>
          <w:tcPr>
            <w:tcW w:w="1926" w:type="dxa"/>
            <w:vAlign w:val="center"/>
          </w:tcPr>
          <w:p w14:paraId="5DA46395">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燃气热水器</w:t>
            </w:r>
          </w:p>
        </w:tc>
        <w:tc>
          <w:tcPr>
            <w:tcW w:w="3622" w:type="dxa"/>
            <w:vAlign w:val="center"/>
          </w:tcPr>
          <w:p w14:paraId="79561989">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《家用燃气快速热水器和燃气采</w:t>
            </w:r>
            <w:r>
              <w:rPr>
                <w:rFonts w:hint="eastAsia" w:ascii="宋体" w:hAnsi="宋体" w:cs="宋体"/>
                <w:color w:val="auto"/>
                <w:spacing w:val="-1"/>
                <w:sz w:val="18"/>
                <w:szCs w:val="18"/>
                <w:highlight w:val="none"/>
              </w:rPr>
              <w:t>暖热水炉能效限定值及能效等级》</w:t>
            </w:r>
            <w:r>
              <w:rPr>
                <w:rFonts w:hint="eastAsia" w:ascii="宋体" w:hAnsi="宋体" w:cs="宋体"/>
                <w:color w:val="auto"/>
                <w:sz w:val="18"/>
                <w:szCs w:val="18"/>
                <w:highlight w:val="none"/>
              </w:rPr>
              <w:t>（GB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20665）</w:t>
            </w:r>
          </w:p>
        </w:tc>
      </w:tr>
      <w:tr w14:paraId="10639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62DB50C">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659B96F9">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5700DD44">
            <w:pPr>
              <w:autoSpaceDE w:val="0"/>
              <w:autoSpaceDN w:val="0"/>
              <w:jc w:val="center"/>
              <w:rPr>
                <w:rFonts w:hint="eastAsia" w:ascii="宋体" w:hAnsi="宋体" w:cs="宋体"/>
                <w:color w:val="auto"/>
                <w:sz w:val="18"/>
                <w:szCs w:val="18"/>
                <w:highlight w:val="none"/>
              </w:rPr>
            </w:pPr>
          </w:p>
        </w:tc>
        <w:tc>
          <w:tcPr>
            <w:tcW w:w="1926" w:type="dxa"/>
            <w:vAlign w:val="center"/>
          </w:tcPr>
          <w:p w14:paraId="325C5CFB">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热泵热水器</w:t>
            </w:r>
          </w:p>
        </w:tc>
        <w:tc>
          <w:tcPr>
            <w:tcW w:w="3622" w:type="dxa"/>
            <w:vAlign w:val="center"/>
          </w:tcPr>
          <w:p w14:paraId="08ABF7B3">
            <w:pPr>
              <w:jc w:val="center"/>
              <w:rPr>
                <w:rFonts w:hint="eastAsia" w:ascii="宋体" w:hAnsi="宋体" w:cs="宋体"/>
                <w:color w:val="auto"/>
                <w:sz w:val="18"/>
                <w:szCs w:val="18"/>
                <w:highlight w:val="none"/>
              </w:rPr>
            </w:pPr>
            <w:r>
              <w:rPr>
                <w:rFonts w:hint="eastAsia" w:ascii="宋体" w:hAnsi="宋体" w:cs="宋体"/>
                <w:color w:val="auto"/>
                <w:spacing w:val="-5"/>
                <w:sz w:val="18"/>
                <w:szCs w:val="18"/>
                <w:highlight w:val="none"/>
              </w:rPr>
              <w:t>《热泵热水机（电</w:t>
            </w:r>
            <w:r>
              <w:rPr>
                <w:rFonts w:hint="eastAsia" w:ascii="宋体" w:hAnsi="宋体" w:cs="宋体"/>
                <w:color w:val="auto"/>
                <w:spacing w:val="-4"/>
                <w:sz w:val="18"/>
                <w:szCs w:val="18"/>
                <w:highlight w:val="none"/>
              </w:rPr>
              <w:t>器）能效限定值及</w:t>
            </w:r>
            <w:r>
              <w:rPr>
                <w:rFonts w:hint="eastAsia" w:ascii="宋体" w:hAnsi="宋体" w:cs="宋体"/>
                <w:color w:val="auto"/>
                <w:sz w:val="18"/>
                <w:szCs w:val="18"/>
                <w:highlight w:val="none"/>
              </w:rPr>
              <w:t>能效等级》（GB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29541）</w:t>
            </w:r>
          </w:p>
        </w:tc>
      </w:tr>
      <w:tr w14:paraId="5C225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76BA42F8">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767AB6D7">
            <w:pPr>
              <w:autoSpaceDE w:val="0"/>
              <w:autoSpaceDN w:val="0"/>
              <w:jc w:val="center"/>
              <w:rPr>
                <w:rFonts w:hint="eastAsia" w:ascii="宋体" w:hAnsi="宋体" w:cs="宋体"/>
                <w:color w:val="auto"/>
                <w:sz w:val="18"/>
                <w:szCs w:val="18"/>
                <w:highlight w:val="none"/>
              </w:rPr>
            </w:pPr>
          </w:p>
        </w:tc>
        <w:tc>
          <w:tcPr>
            <w:tcW w:w="1390" w:type="dxa"/>
            <w:vMerge w:val="continue"/>
            <w:vAlign w:val="center"/>
          </w:tcPr>
          <w:p w14:paraId="37385A2F">
            <w:pPr>
              <w:autoSpaceDE w:val="0"/>
              <w:autoSpaceDN w:val="0"/>
              <w:jc w:val="center"/>
              <w:rPr>
                <w:rFonts w:hint="eastAsia" w:ascii="宋体" w:hAnsi="宋体" w:cs="宋体"/>
                <w:color w:val="auto"/>
                <w:sz w:val="18"/>
                <w:szCs w:val="18"/>
                <w:highlight w:val="none"/>
              </w:rPr>
            </w:pPr>
          </w:p>
        </w:tc>
        <w:tc>
          <w:tcPr>
            <w:tcW w:w="1926" w:type="dxa"/>
            <w:vAlign w:val="center"/>
          </w:tcPr>
          <w:p w14:paraId="09E8CB20">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太阳能热水系统</w:t>
            </w:r>
          </w:p>
        </w:tc>
        <w:tc>
          <w:tcPr>
            <w:tcW w:w="3622" w:type="dxa"/>
            <w:vAlign w:val="center"/>
          </w:tcPr>
          <w:p w14:paraId="3C1BC0E8">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《家用太阳能热水系统能效限定</w:t>
            </w:r>
            <w:r>
              <w:rPr>
                <w:rFonts w:hint="eastAsia" w:ascii="宋体" w:hAnsi="宋体" w:cs="宋体"/>
                <w:color w:val="auto"/>
                <w:sz w:val="18"/>
                <w:szCs w:val="18"/>
                <w:highlight w:val="none"/>
              </w:rPr>
              <w:t>值及能效等级》（GB 26969）</w:t>
            </w:r>
          </w:p>
        </w:tc>
      </w:tr>
      <w:tr w14:paraId="7E974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restart"/>
            <w:vAlign w:val="center"/>
          </w:tcPr>
          <w:p w14:paraId="728E0200">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11</w:t>
            </w:r>
          </w:p>
        </w:tc>
        <w:tc>
          <w:tcPr>
            <w:tcW w:w="1662" w:type="dxa"/>
            <w:vMerge w:val="restart"/>
            <w:vAlign w:val="center"/>
          </w:tcPr>
          <w:p w14:paraId="4B0C3778">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A020619</w:t>
            </w:r>
            <w:r>
              <w:rPr>
                <w:rFonts w:hint="eastAsia" w:ascii="宋体" w:hAnsi="宋体" w:cs="宋体"/>
                <w:color w:val="auto"/>
                <w:spacing w:val="-20"/>
                <w:sz w:val="18"/>
                <w:szCs w:val="18"/>
                <w:highlight w:val="none"/>
              </w:rPr>
              <w:t xml:space="preserve"> 照明</w:t>
            </w:r>
            <w:r>
              <w:rPr>
                <w:rFonts w:hint="eastAsia" w:ascii="宋体" w:hAnsi="宋体" w:cs="宋体"/>
                <w:color w:val="auto"/>
                <w:sz w:val="18"/>
                <w:szCs w:val="18"/>
                <w:highlight w:val="none"/>
              </w:rPr>
              <w:t>设备</w:t>
            </w:r>
          </w:p>
        </w:tc>
        <w:tc>
          <w:tcPr>
            <w:tcW w:w="1390" w:type="dxa"/>
            <w:vAlign w:val="center"/>
          </w:tcPr>
          <w:p w14:paraId="6B5DB915">
            <w:pPr>
              <w:jc w:val="center"/>
              <w:rPr>
                <w:rFonts w:hint="eastAsia" w:ascii="宋体" w:hAnsi="宋体" w:cs="宋体"/>
                <w:color w:val="auto"/>
                <w:sz w:val="18"/>
                <w:szCs w:val="18"/>
                <w:highlight w:val="none"/>
              </w:rPr>
            </w:pPr>
            <w:r>
              <w:rPr>
                <w:rFonts w:hint="eastAsia" w:ascii="宋体" w:hAnsi="宋体" w:cs="宋体"/>
                <w:color w:val="auto"/>
                <w:spacing w:val="11"/>
                <w:sz w:val="18"/>
                <w:szCs w:val="18"/>
                <w:highlight w:val="none"/>
              </w:rPr>
              <w:t>★ 普通照明用双端</w:t>
            </w:r>
            <w:r>
              <w:rPr>
                <w:rFonts w:hint="eastAsia" w:ascii="宋体" w:hAnsi="宋体" w:cs="宋体"/>
                <w:color w:val="auto"/>
                <w:sz w:val="18"/>
                <w:szCs w:val="18"/>
                <w:highlight w:val="none"/>
              </w:rPr>
              <w:t>荧光灯</w:t>
            </w:r>
          </w:p>
        </w:tc>
        <w:tc>
          <w:tcPr>
            <w:tcW w:w="1926" w:type="dxa"/>
            <w:vAlign w:val="center"/>
          </w:tcPr>
          <w:p w14:paraId="5F251BED">
            <w:pPr>
              <w:jc w:val="center"/>
              <w:rPr>
                <w:rFonts w:hint="eastAsia" w:ascii="宋体" w:hAnsi="宋体" w:cs="宋体"/>
                <w:color w:val="auto"/>
                <w:sz w:val="18"/>
                <w:szCs w:val="18"/>
                <w:highlight w:val="none"/>
              </w:rPr>
            </w:pPr>
          </w:p>
        </w:tc>
        <w:tc>
          <w:tcPr>
            <w:tcW w:w="3622" w:type="dxa"/>
            <w:vAlign w:val="center"/>
          </w:tcPr>
          <w:p w14:paraId="165989B4">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《普通照明用双端荧光灯能效限</w:t>
            </w:r>
            <w:r>
              <w:rPr>
                <w:rFonts w:hint="eastAsia" w:ascii="宋体" w:hAnsi="宋体" w:cs="宋体"/>
                <w:color w:val="auto"/>
                <w:sz w:val="18"/>
                <w:szCs w:val="18"/>
                <w:highlight w:val="none"/>
              </w:rPr>
              <w:t>定值及能效等级》（GB 19043）</w:t>
            </w:r>
          </w:p>
        </w:tc>
      </w:tr>
      <w:tr w14:paraId="750C7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682B0452">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E383D5A">
            <w:pPr>
              <w:autoSpaceDE w:val="0"/>
              <w:autoSpaceDN w:val="0"/>
              <w:jc w:val="center"/>
              <w:rPr>
                <w:rFonts w:hint="eastAsia" w:ascii="宋体" w:hAnsi="宋体" w:cs="宋体"/>
                <w:color w:val="auto"/>
                <w:sz w:val="18"/>
                <w:szCs w:val="18"/>
                <w:highlight w:val="none"/>
              </w:rPr>
            </w:pPr>
          </w:p>
        </w:tc>
        <w:tc>
          <w:tcPr>
            <w:tcW w:w="1390" w:type="dxa"/>
            <w:vAlign w:val="center"/>
          </w:tcPr>
          <w:p w14:paraId="5AAD7603">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LED</w:t>
            </w:r>
            <w:r>
              <w:rPr>
                <w:rFonts w:hint="eastAsia" w:ascii="宋体" w:hAnsi="宋体" w:cs="宋体"/>
                <w:color w:val="auto"/>
                <w:spacing w:val="3"/>
                <w:sz w:val="18"/>
                <w:szCs w:val="18"/>
                <w:highlight w:val="none"/>
              </w:rPr>
              <w:t xml:space="preserve"> 道路</w:t>
            </w:r>
            <w:r>
              <w:rPr>
                <w:rFonts w:hint="eastAsia" w:ascii="宋体" w:hAnsi="宋体" w:cs="宋体"/>
                <w:color w:val="auto"/>
                <w:spacing w:val="13"/>
                <w:sz w:val="18"/>
                <w:szCs w:val="18"/>
                <w:highlight w:val="none"/>
              </w:rPr>
              <w:t>/</w:t>
            </w:r>
            <w:r>
              <w:rPr>
                <w:rFonts w:hint="eastAsia" w:ascii="宋体" w:hAnsi="宋体" w:cs="宋体"/>
                <w:color w:val="auto"/>
                <w:spacing w:val="9"/>
                <w:sz w:val="18"/>
                <w:szCs w:val="18"/>
                <w:highlight w:val="none"/>
              </w:rPr>
              <w:t>隧道照明</w:t>
            </w:r>
            <w:r>
              <w:rPr>
                <w:rFonts w:hint="eastAsia" w:ascii="宋体" w:hAnsi="宋体" w:cs="宋体"/>
                <w:color w:val="auto"/>
                <w:sz w:val="18"/>
                <w:szCs w:val="18"/>
                <w:highlight w:val="none"/>
              </w:rPr>
              <w:t>产品</w:t>
            </w:r>
          </w:p>
        </w:tc>
        <w:tc>
          <w:tcPr>
            <w:tcW w:w="1926" w:type="dxa"/>
            <w:vAlign w:val="center"/>
          </w:tcPr>
          <w:p w14:paraId="1E6205D4">
            <w:pPr>
              <w:jc w:val="center"/>
              <w:rPr>
                <w:rFonts w:hint="eastAsia" w:ascii="宋体" w:hAnsi="宋体" w:cs="宋体"/>
                <w:color w:val="auto"/>
                <w:sz w:val="18"/>
                <w:szCs w:val="18"/>
                <w:highlight w:val="none"/>
              </w:rPr>
            </w:pPr>
          </w:p>
        </w:tc>
        <w:tc>
          <w:tcPr>
            <w:tcW w:w="3622" w:type="dxa"/>
            <w:vAlign w:val="center"/>
          </w:tcPr>
          <w:p w14:paraId="115B094C">
            <w:pPr>
              <w:jc w:val="center"/>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 xml:space="preserve">《道路和隧道照明用 </w:t>
            </w:r>
            <w:r>
              <w:rPr>
                <w:rFonts w:hint="eastAsia" w:ascii="宋体" w:hAnsi="宋体" w:cs="宋体"/>
                <w:color w:val="auto"/>
                <w:sz w:val="18"/>
                <w:szCs w:val="18"/>
                <w:highlight w:val="none"/>
              </w:rPr>
              <w:t>LED</w:t>
            </w:r>
            <w:r>
              <w:rPr>
                <w:rFonts w:hint="eastAsia" w:ascii="宋体" w:hAnsi="宋体" w:cs="宋体"/>
                <w:color w:val="auto"/>
                <w:spacing w:val="3"/>
                <w:sz w:val="18"/>
                <w:szCs w:val="18"/>
                <w:highlight w:val="none"/>
              </w:rPr>
              <w:t xml:space="preserve"> 灯具能</w:t>
            </w:r>
            <w:r>
              <w:rPr>
                <w:rFonts w:hint="eastAsia" w:ascii="宋体" w:hAnsi="宋体" w:cs="宋体"/>
                <w:color w:val="auto"/>
                <w:spacing w:val="-11"/>
                <w:sz w:val="18"/>
                <w:szCs w:val="18"/>
                <w:highlight w:val="none"/>
              </w:rPr>
              <w:t>效限定值及能效等级》</w:t>
            </w:r>
            <w:r>
              <w:rPr>
                <w:rFonts w:hint="eastAsia" w:ascii="宋体" w:hAnsi="宋体" w:cs="宋体"/>
                <w:color w:val="auto"/>
                <w:sz w:val="18"/>
                <w:szCs w:val="18"/>
                <w:highlight w:val="none"/>
              </w:rPr>
              <w:t>（GB</w:t>
            </w:r>
            <w:r>
              <w:rPr>
                <w:rFonts w:hint="eastAsia" w:ascii="宋体" w:hAnsi="宋体" w:cs="宋体"/>
                <w:color w:val="auto"/>
                <w:spacing w:val="55"/>
                <w:sz w:val="18"/>
                <w:szCs w:val="18"/>
                <w:highlight w:val="none"/>
              </w:rPr>
              <w:t xml:space="preserve"> </w:t>
            </w:r>
            <w:r>
              <w:rPr>
                <w:rFonts w:hint="eastAsia" w:ascii="宋体" w:hAnsi="宋体" w:cs="宋体"/>
                <w:color w:val="auto"/>
                <w:sz w:val="18"/>
                <w:szCs w:val="18"/>
                <w:highlight w:val="none"/>
              </w:rPr>
              <w:t>37478）</w:t>
            </w:r>
          </w:p>
        </w:tc>
      </w:tr>
      <w:tr w14:paraId="3B7D0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2654D593">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61350688">
            <w:pPr>
              <w:autoSpaceDE w:val="0"/>
              <w:autoSpaceDN w:val="0"/>
              <w:jc w:val="center"/>
              <w:rPr>
                <w:rFonts w:hint="eastAsia" w:ascii="宋体" w:hAnsi="宋体" w:cs="宋体"/>
                <w:color w:val="auto"/>
                <w:sz w:val="18"/>
                <w:szCs w:val="18"/>
                <w:highlight w:val="none"/>
              </w:rPr>
            </w:pPr>
          </w:p>
        </w:tc>
        <w:tc>
          <w:tcPr>
            <w:tcW w:w="1390" w:type="dxa"/>
            <w:vAlign w:val="center"/>
          </w:tcPr>
          <w:p w14:paraId="663A326E">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LED</w:t>
            </w:r>
            <w:r>
              <w:rPr>
                <w:rFonts w:hint="eastAsia" w:ascii="宋体" w:hAnsi="宋体" w:cs="宋体"/>
                <w:color w:val="auto"/>
                <w:spacing w:val="-13"/>
                <w:sz w:val="18"/>
                <w:szCs w:val="18"/>
                <w:highlight w:val="none"/>
              </w:rPr>
              <w:t xml:space="preserve"> 筒灯</w:t>
            </w:r>
          </w:p>
        </w:tc>
        <w:tc>
          <w:tcPr>
            <w:tcW w:w="1926" w:type="dxa"/>
            <w:vAlign w:val="center"/>
          </w:tcPr>
          <w:p w14:paraId="17B80DC6">
            <w:pPr>
              <w:jc w:val="center"/>
              <w:rPr>
                <w:rFonts w:hint="eastAsia" w:ascii="宋体" w:hAnsi="宋体" w:cs="宋体"/>
                <w:color w:val="auto"/>
                <w:sz w:val="18"/>
                <w:szCs w:val="18"/>
                <w:highlight w:val="none"/>
              </w:rPr>
            </w:pPr>
          </w:p>
        </w:tc>
        <w:tc>
          <w:tcPr>
            <w:tcW w:w="3622" w:type="dxa"/>
            <w:vAlign w:val="center"/>
          </w:tcPr>
          <w:p w14:paraId="13C10714">
            <w:pPr>
              <w:jc w:val="center"/>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 xml:space="preserve">《室内照明用 </w:t>
            </w:r>
            <w:r>
              <w:rPr>
                <w:rFonts w:hint="eastAsia" w:ascii="宋体" w:hAnsi="宋体" w:cs="宋体"/>
                <w:color w:val="auto"/>
                <w:sz w:val="18"/>
                <w:szCs w:val="18"/>
                <w:highlight w:val="none"/>
              </w:rPr>
              <w:t>LED 产品能效限定值及能效等级》（GB 30255）</w:t>
            </w:r>
          </w:p>
        </w:tc>
      </w:tr>
      <w:tr w14:paraId="3E9B7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vAlign w:val="center"/>
          </w:tcPr>
          <w:p w14:paraId="3211D3F4">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3D0B75AD">
            <w:pPr>
              <w:autoSpaceDE w:val="0"/>
              <w:autoSpaceDN w:val="0"/>
              <w:jc w:val="center"/>
              <w:rPr>
                <w:rFonts w:hint="eastAsia" w:ascii="宋体" w:hAnsi="宋体" w:cs="宋体"/>
                <w:color w:val="auto"/>
                <w:sz w:val="18"/>
                <w:szCs w:val="18"/>
                <w:highlight w:val="none"/>
              </w:rPr>
            </w:pPr>
          </w:p>
        </w:tc>
        <w:tc>
          <w:tcPr>
            <w:tcW w:w="1390" w:type="dxa"/>
            <w:vAlign w:val="center"/>
          </w:tcPr>
          <w:p w14:paraId="1ACFA227">
            <w:pPr>
              <w:jc w:val="center"/>
              <w:rPr>
                <w:rFonts w:hint="eastAsia" w:ascii="宋体" w:hAnsi="宋体" w:cs="宋体"/>
                <w:color w:val="auto"/>
                <w:sz w:val="18"/>
                <w:szCs w:val="18"/>
                <w:highlight w:val="none"/>
              </w:rPr>
            </w:pPr>
            <w:r>
              <w:rPr>
                <w:rFonts w:hint="eastAsia" w:ascii="宋体" w:hAnsi="宋体" w:cs="宋体"/>
                <w:color w:val="auto"/>
                <w:spacing w:val="21"/>
                <w:sz w:val="18"/>
                <w:szCs w:val="18"/>
                <w:highlight w:val="none"/>
              </w:rPr>
              <w:t>普通照明用非定向</w:t>
            </w:r>
            <w:r>
              <w:rPr>
                <w:rFonts w:hint="eastAsia" w:ascii="宋体" w:hAnsi="宋体" w:cs="宋体"/>
                <w:color w:val="auto"/>
                <w:spacing w:val="-11"/>
                <w:sz w:val="18"/>
                <w:szCs w:val="18"/>
                <w:highlight w:val="none"/>
              </w:rPr>
              <w:t xml:space="preserve">自镇流 </w:t>
            </w:r>
            <w:r>
              <w:rPr>
                <w:rFonts w:hint="eastAsia" w:ascii="宋体" w:hAnsi="宋体" w:cs="宋体"/>
                <w:color w:val="auto"/>
                <w:sz w:val="18"/>
                <w:szCs w:val="18"/>
                <w:highlight w:val="none"/>
              </w:rPr>
              <w:t>LED</w:t>
            </w:r>
            <w:r>
              <w:rPr>
                <w:rFonts w:hint="eastAsia" w:ascii="宋体" w:hAnsi="宋体" w:cs="宋体"/>
                <w:color w:val="auto"/>
                <w:spacing w:val="-20"/>
                <w:sz w:val="18"/>
                <w:szCs w:val="18"/>
                <w:highlight w:val="none"/>
              </w:rPr>
              <w:t xml:space="preserve"> 灯</w:t>
            </w:r>
          </w:p>
        </w:tc>
        <w:tc>
          <w:tcPr>
            <w:tcW w:w="1926" w:type="dxa"/>
            <w:vAlign w:val="center"/>
          </w:tcPr>
          <w:p w14:paraId="0B8985D6">
            <w:pPr>
              <w:jc w:val="center"/>
              <w:rPr>
                <w:rFonts w:hint="eastAsia" w:ascii="宋体" w:hAnsi="宋体" w:cs="宋体"/>
                <w:color w:val="auto"/>
                <w:sz w:val="18"/>
                <w:szCs w:val="18"/>
                <w:highlight w:val="none"/>
              </w:rPr>
            </w:pPr>
          </w:p>
        </w:tc>
        <w:tc>
          <w:tcPr>
            <w:tcW w:w="3622" w:type="dxa"/>
            <w:vAlign w:val="center"/>
          </w:tcPr>
          <w:p w14:paraId="3F55AE46">
            <w:pPr>
              <w:jc w:val="center"/>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 xml:space="preserve">《室内照明用 </w:t>
            </w:r>
            <w:r>
              <w:rPr>
                <w:rFonts w:hint="eastAsia" w:ascii="宋体" w:hAnsi="宋体" w:cs="宋体"/>
                <w:color w:val="auto"/>
                <w:sz w:val="18"/>
                <w:szCs w:val="18"/>
                <w:highlight w:val="none"/>
              </w:rPr>
              <w:t>LED 产品能效限定值及能效等级》（GB 30255）</w:t>
            </w:r>
          </w:p>
        </w:tc>
      </w:tr>
      <w:tr w14:paraId="067C2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Align w:val="center"/>
          </w:tcPr>
          <w:p w14:paraId="216FAE3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12</w:t>
            </w:r>
          </w:p>
        </w:tc>
        <w:tc>
          <w:tcPr>
            <w:tcW w:w="1662" w:type="dxa"/>
            <w:vAlign w:val="center"/>
          </w:tcPr>
          <w:p w14:paraId="7D9BBD46">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★A020910</w:t>
            </w:r>
            <w:r>
              <w:rPr>
                <w:rFonts w:hint="eastAsia" w:ascii="宋体" w:hAnsi="宋体" w:cs="宋体"/>
                <w:color w:val="auto"/>
                <w:spacing w:val="-29"/>
                <w:sz w:val="18"/>
                <w:szCs w:val="18"/>
                <w:highlight w:val="none"/>
              </w:rPr>
              <w:t xml:space="preserve"> 电 </w:t>
            </w:r>
            <w:r>
              <w:rPr>
                <w:rFonts w:hint="eastAsia" w:ascii="宋体" w:hAnsi="宋体" w:cs="宋体"/>
                <w:color w:val="auto"/>
                <w:sz w:val="18"/>
                <w:szCs w:val="18"/>
                <w:highlight w:val="none"/>
              </w:rPr>
              <w:t>视设备</w:t>
            </w:r>
          </w:p>
        </w:tc>
        <w:tc>
          <w:tcPr>
            <w:tcW w:w="1390" w:type="dxa"/>
            <w:vAlign w:val="center"/>
          </w:tcPr>
          <w:p w14:paraId="2006F348">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A02091001</w:t>
            </w:r>
            <w:r>
              <w:rPr>
                <w:rFonts w:hint="eastAsia" w:ascii="宋体" w:hAnsi="宋体" w:cs="宋体"/>
                <w:color w:val="auto"/>
                <w:spacing w:val="-6"/>
                <w:sz w:val="18"/>
                <w:szCs w:val="18"/>
                <w:highlight w:val="none"/>
              </w:rPr>
              <w:t xml:space="preserve"> 普通电视</w:t>
            </w:r>
            <w:r>
              <w:rPr>
                <w:rFonts w:hint="eastAsia" w:ascii="宋体" w:hAnsi="宋体" w:cs="宋体"/>
                <w:color w:val="auto"/>
                <w:sz w:val="18"/>
                <w:szCs w:val="18"/>
                <w:highlight w:val="none"/>
              </w:rPr>
              <w:t>设备（电视机）</w:t>
            </w:r>
          </w:p>
        </w:tc>
        <w:tc>
          <w:tcPr>
            <w:tcW w:w="1926" w:type="dxa"/>
            <w:vAlign w:val="center"/>
          </w:tcPr>
          <w:p w14:paraId="762E1D76">
            <w:pPr>
              <w:jc w:val="center"/>
              <w:rPr>
                <w:rFonts w:hint="eastAsia" w:ascii="宋体" w:hAnsi="宋体" w:cs="宋体"/>
                <w:color w:val="auto"/>
                <w:sz w:val="18"/>
                <w:szCs w:val="18"/>
                <w:highlight w:val="none"/>
              </w:rPr>
            </w:pPr>
          </w:p>
        </w:tc>
        <w:tc>
          <w:tcPr>
            <w:tcW w:w="3622" w:type="dxa"/>
            <w:vAlign w:val="center"/>
          </w:tcPr>
          <w:p w14:paraId="3C5B59BF">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《平板电视能效限定值及能效等</w:t>
            </w:r>
            <w:r>
              <w:rPr>
                <w:rFonts w:hint="eastAsia" w:ascii="宋体" w:hAnsi="宋体" w:cs="宋体"/>
                <w:color w:val="auto"/>
                <w:sz w:val="18"/>
                <w:szCs w:val="18"/>
                <w:highlight w:val="none"/>
              </w:rPr>
              <w:t>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24850）</w:t>
            </w:r>
          </w:p>
        </w:tc>
      </w:tr>
      <w:tr w14:paraId="33C49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946" w:type="dxa"/>
            <w:vAlign w:val="center"/>
          </w:tcPr>
          <w:p w14:paraId="07E46E18">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13</w:t>
            </w:r>
          </w:p>
        </w:tc>
        <w:tc>
          <w:tcPr>
            <w:tcW w:w="1662" w:type="dxa"/>
            <w:vAlign w:val="center"/>
          </w:tcPr>
          <w:p w14:paraId="5B68C9E7">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★A020911</w:t>
            </w:r>
            <w:r>
              <w:rPr>
                <w:rFonts w:hint="eastAsia" w:ascii="宋体" w:hAnsi="宋体" w:cs="宋体"/>
                <w:color w:val="auto"/>
                <w:spacing w:val="-29"/>
                <w:sz w:val="18"/>
                <w:szCs w:val="18"/>
                <w:highlight w:val="none"/>
              </w:rPr>
              <w:t xml:space="preserve"> 视 </w:t>
            </w:r>
            <w:r>
              <w:rPr>
                <w:rFonts w:hint="eastAsia" w:ascii="宋体" w:hAnsi="宋体" w:cs="宋体"/>
                <w:color w:val="auto"/>
                <w:sz w:val="18"/>
                <w:szCs w:val="18"/>
                <w:highlight w:val="none"/>
              </w:rPr>
              <w:t>频设备</w:t>
            </w:r>
          </w:p>
        </w:tc>
        <w:tc>
          <w:tcPr>
            <w:tcW w:w="1390" w:type="dxa"/>
            <w:vAlign w:val="center"/>
          </w:tcPr>
          <w:p w14:paraId="4468CB43">
            <w:pPr>
              <w:jc w:val="center"/>
              <w:rPr>
                <w:rFonts w:hint="eastAsia" w:ascii="宋体" w:hAnsi="宋体" w:cs="宋体"/>
                <w:color w:val="auto"/>
                <w:spacing w:val="-6"/>
                <w:sz w:val="18"/>
                <w:szCs w:val="18"/>
                <w:highlight w:val="none"/>
              </w:rPr>
            </w:pPr>
            <w:r>
              <w:rPr>
                <w:rFonts w:hint="eastAsia" w:ascii="宋体" w:hAnsi="宋体" w:cs="宋体"/>
                <w:color w:val="auto"/>
                <w:spacing w:val="-2"/>
                <w:sz w:val="18"/>
                <w:szCs w:val="18"/>
                <w:highlight w:val="none"/>
              </w:rPr>
              <w:t>A02091107</w:t>
            </w:r>
          </w:p>
          <w:p w14:paraId="73C3E175">
            <w:pPr>
              <w:jc w:val="center"/>
              <w:rPr>
                <w:rFonts w:hint="eastAsia" w:ascii="宋体" w:hAnsi="宋体" w:cs="宋体"/>
                <w:color w:val="auto"/>
                <w:sz w:val="18"/>
                <w:szCs w:val="18"/>
                <w:highlight w:val="none"/>
              </w:rPr>
            </w:pPr>
            <w:r>
              <w:rPr>
                <w:rFonts w:hint="eastAsia" w:ascii="宋体" w:hAnsi="宋体" w:cs="宋体"/>
                <w:color w:val="auto"/>
                <w:spacing w:val="-6"/>
                <w:sz w:val="18"/>
                <w:szCs w:val="18"/>
                <w:highlight w:val="none"/>
              </w:rPr>
              <w:t>视频监控</w:t>
            </w:r>
            <w:r>
              <w:rPr>
                <w:rFonts w:hint="eastAsia" w:ascii="宋体" w:hAnsi="宋体" w:cs="宋体"/>
                <w:color w:val="auto"/>
                <w:sz w:val="18"/>
                <w:szCs w:val="18"/>
                <w:highlight w:val="none"/>
              </w:rPr>
              <w:t>设备</w:t>
            </w:r>
          </w:p>
        </w:tc>
        <w:tc>
          <w:tcPr>
            <w:tcW w:w="1926" w:type="dxa"/>
            <w:vAlign w:val="center"/>
          </w:tcPr>
          <w:p w14:paraId="5D447D68">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监视器</w:t>
            </w:r>
          </w:p>
        </w:tc>
        <w:tc>
          <w:tcPr>
            <w:tcW w:w="3622" w:type="dxa"/>
            <w:vAlign w:val="center"/>
          </w:tcPr>
          <w:p w14:paraId="58060BC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以射频信号为主要信号输入的监</w:t>
            </w:r>
            <w:r>
              <w:rPr>
                <w:rFonts w:hint="eastAsia" w:ascii="宋体" w:hAnsi="宋体" w:cs="宋体"/>
                <w:color w:val="auto"/>
                <w:spacing w:val="-8"/>
                <w:sz w:val="18"/>
                <w:szCs w:val="18"/>
                <w:highlight w:val="none"/>
              </w:rPr>
              <w:t>视器应符合《平板电视能效限定值</w:t>
            </w:r>
            <w:r>
              <w:rPr>
                <w:rFonts w:hint="eastAsia" w:ascii="宋体" w:hAnsi="宋体" w:cs="宋体"/>
                <w:color w:val="auto"/>
                <w:sz w:val="18"/>
                <w:szCs w:val="18"/>
                <w:highlight w:val="none"/>
              </w:rPr>
              <w:t>及能效等级》（GB 24850），</w:t>
            </w:r>
            <w:r>
              <w:rPr>
                <w:rFonts w:hint="eastAsia" w:ascii="宋体" w:hAnsi="宋体" w:cs="宋体"/>
                <w:color w:val="auto"/>
                <w:spacing w:val="9"/>
                <w:sz w:val="18"/>
                <w:szCs w:val="18"/>
                <w:highlight w:val="none"/>
              </w:rPr>
              <w:t>以数字信号为主要信号输入的监</w:t>
            </w:r>
          </w:p>
          <w:p w14:paraId="0A6AED0C">
            <w:pPr>
              <w:jc w:val="center"/>
              <w:rPr>
                <w:rFonts w:hint="eastAsia" w:ascii="宋体" w:hAnsi="宋体" w:cs="宋体"/>
                <w:color w:val="auto"/>
                <w:sz w:val="18"/>
                <w:szCs w:val="18"/>
                <w:highlight w:val="none"/>
              </w:rPr>
            </w:pPr>
            <w:r>
              <w:rPr>
                <w:rFonts w:hint="eastAsia" w:ascii="宋体" w:hAnsi="宋体" w:cs="宋体"/>
                <w:color w:val="auto"/>
                <w:spacing w:val="-8"/>
                <w:sz w:val="18"/>
                <w:szCs w:val="18"/>
                <w:highlight w:val="none"/>
              </w:rPr>
              <w:t>视器应符合《计算机显示器能效限</w:t>
            </w:r>
            <w:r>
              <w:rPr>
                <w:rFonts w:hint="eastAsia" w:ascii="宋体" w:hAnsi="宋体" w:cs="宋体"/>
                <w:color w:val="auto"/>
                <w:sz w:val="18"/>
                <w:szCs w:val="18"/>
                <w:highlight w:val="none"/>
              </w:rPr>
              <w:t>定值及能效等级》（GB 21520）</w:t>
            </w:r>
          </w:p>
        </w:tc>
      </w:tr>
      <w:tr w14:paraId="2BA3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7413A66A">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14</w:t>
            </w:r>
          </w:p>
        </w:tc>
        <w:tc>
          <w:tcPr>
            <w:tcW w:w="1662" w:type="dxa"/>
            <w:vAlign w:val="center"/>
          </w:tcPr>
          <w:p w14:paraId="60EB6B74">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A031210</w:t>
            </w:r>
            <w:r>
              <w:rPr>
                <w:rFonts w:hint="eastAsia" w:ascii="宋体" w:hAnsi="宋体" w:cs="宋体"/>
                <w:color w:val="auto"/>
                <w:spacing w:val="-20"/>
                <w:sz w:val="18"/>
                <w:szCs w:val="18"/>
                <w:highlight w:val="none"/>
              </w:rPr>
              <w:t xml:space="preserve"> 饮 食 </w:t>
            </w:r>
            <w:r>
              <w:rPr>
                <w:rFonts w:hint="eastAsia" w:ascii="宋体" w:hAnsi="宋体" w:cs="宋体"/>
                <w:color w:val="auto"/>
                <w:sz w:val="18"/>
                <w:szCs w:val="18"/>
                <w:highlight w:val="none"/>
              </w:rPr>
              <w:t>炊事机械</w:t>
            </w:r>
          </w:p>
        </w:tc>
        <w:tc>
          <w:tcPr>
            <w:tcW w:w="1390" w:type="dxa"/>
            <w:vAlign w:val="center"/>
          </w:tcPr>
          <w:p w14:paraId="338B3291">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商用燃气灶具</w:t>
            </w:r>
          </w:p>
        </w:tc>
        <w:tc>
          <w:tcPr>
            <w:tcW w:w="1926" w:type="dxa"/>
            <w:vAlign w:val="center"/>
          </w:tcPr>
          <w:p w14:paraId="4CDD7827">
            <w:pPr>
              <w:jc w:val="center"/>
              <w:rPr>
                <w:rFonts w:hint="eastAsia" w:ascii="宋体" w:hAnsi="宋体" w:cs="宋体"/>
                <w:color w:val="auto"/>
                <w:sz w:val="18"/>
                <w:szCs w:val="18"/>
                <w:highlight w:val="none"/>
              </w:rPr>
            </w:pPr>
          </w:p>
        </w:tc>
        <w:tc>
          <w:tcPr>
            <w:tcW w:w="3622" w:type="dxa"/>
            <w:vAlign w:val="center"/>
          </w:tcPr>
          <w:p w14:paraId="6E5C167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《商用燃气灶具能效限定值及能</w:t>
            </w:r>
            <w:r>
              <w:rPr>
                <w:rFonts w:hint="eastAsia" w:ascii="宋体" w:hAnsi="宋体" w:cs="宋体"/>
                <w:color w:val="auto"/>
                <w:sz w:val="18"/>
                <w:szCs w:val="18"/>
                <w:highlight w:val="none"/>
              </w:rPr>
              <w:t>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30531）</w:t>
            </w:r>
          </w:p>
        </w:tc>
      </w:tr>
      <w:tr w14:paraId="7422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Merge w:val="restart"/>
            <w:vAlign w:val="center"/>
          </w:tcPr>
          <w:p w14:paraId="1EE3506E">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15</w:t>
            </w:r>
          </w:p>
        </w:tc>
        <w:tc>
          <w:tcPr>
            <w:tcW w:w="1662" w:type="dxa"/>
            <w:vMerge w:val="restart"/>
            <w:vAlign w:val="center"/>
          </w:tcPr>
          <w:p w14:paraId="7D14DCD1">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★A060805</w:t>
            </w:r>
            <w:r>
              <w:rPr>
                <w:rFonts w:hint="eastAsia" w:ascii="宋体" w:hAnsi="宋体" w:cs="宋体"/>
                <w:color w:val="auto"/>
                <w:spacing w:val="-29"/>
                <w:sz w:val="18"/>
                <w:szCs w:val="18"/>
                <w:highlight w:val="none"/>
              </w:rPr>
              <w:t xml:space="preserve"> 便 </w:t>
            </w:r>
            <w:r>
              <w:rPr>
                <w:rFonts w:hint="eastAsia" w:ascii="宋体" w:hAnsi="宋体" w:cs="宋体"/>
                <w:color w:val="auto"/>
                <w:sz w:val="18"/>
                <w:szCs w:val="18"/>
                <w:highlight w:val="none"/>
              </w:rPr>
              <w:t>器</w:t>
            </w:r>
          </w:p>
        </w:tc>
        <w:tc>
          <w:tcPr>
            <w:tcW w:w="1390" w:type="dxa"/>
            <w:vAlign w:val="center"/>
          </w:tcPr>
          <w:p w14:paraId="7BFC4FA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坐便器</w:t>
            </w:r>
          </w:p>
        </w:tc>
        <w:tc>
          <w:tcPr>
            <w:tcW w:w="1926" w:type="dxa"/>
            <w:vAlign w:val="center"/>
          </w:tcPr>
          <w:p w14:paraId="14EDF928">
            <w:pPr>
              <w:jc w:val="center"/>
              <w:rPr>
                <w:rFonts w:hint="eastAsia" w:ascii="宋体" w:hAnsi="宋体" w:cs="宋体"/>
                <w:color w:val="auto"/>
                <w:sz w:val="18"/>
                <w:szCs w:val="18"/>
                <w:highlight w:val="none"/>
              </w:rPr>
            </w:pPr>
          </w:p>
        </w:tc>
        <w:tc>
          <w:tcPr>
            <w:tcW w:w="3622" w:type="dxa"/>
            <w:vAlign w:val="center"/>
          </w:tcPr>
          <w:p w14:paraId="35BF655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《坐便器水效限定值及水效等级》（GB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25502）</w:t>
            </w:r>
          </w:p>
        </w:tc>
      </w:tr>
      <w:tr w14:paraId="4DD17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3E8D5776">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4415662F">
            <w:pPr>
              <w:autoSpaceDE w:val="0"/>
              <w:autoSpaceDN w:val="0"/>
              <w:jc w:val="center"/>
              <w:rPr>
                <w:rFonts w:hint="eastAsia" w:ascii="宋体" w:hAnsi="宋体" w:cs="宋体"/>
                <w:color w:val="auto"/>
                <w:sz w:val="18"/>
                <w:szCs w:val="18"/>
                <w:highlight w:val="none"/>
              </w:rPr>
            </w:pPr>
          </w:p>
        </w:tc>
        <w:tc>
          <w:tcPr>
            <w:tcW w:w="1390" w:type="dxa"/>
            <w:vAlign w:val="center"/>
          </w:tcPr>
          <w:p w14:paraId="31CD5C8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蹲便器</w:t>
            </w:r>
          </w:p>
        </w:tc>
        <w:tc>
          <w:tcPr>
            <w:tcW w:w="1926" w:type="dxa"/>
            <w:vAlign w:val="center"/>
          </w:tcPr>
          <w:p w14:paraId="77D6EA4F">
            <w:pPr>
              <w:jc w:val="center"/>
              <w:rPr>
                <w:rFonts w:hint="eastAsia" w:ascii="宋体" w:hAnsi="宋体" w:cs="宋体"/>
                <w:color w:val="auto"/>
                <w:sz w:val="18"/>
                <w:szCs w:val="18"/>
                <w:highlight w:val="none"/>
              </w:rPr>
            </w:pPr>
          </w:p>
        </w:tc>
        <w:tc>
          <w:tcPr>
            <w:tcW w:w="3622" w:type="dxa"/>
            <w:vAlign w:val="center"/>
          </w:tcPr>
          <w:p w14:paraId="6740FB40">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《蹲便器用水效率限定值及用水</w:t>
            </w:r>
            <w:r>
              <w:rPr>
                <w:rFonts w:hint="eastAsia" w:ascii="宋体" w:hAnsi="宋体" w:cs="宋体"/>
                <w:color w:val="auto"/>
                <w:sz w:val="18"/>
                <w:szCs w:val="18"/>
                <w:highlight w:val="none"/>
              </w:rPr>
              <w:t>效率等级》（GB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30717）</w:t>
            </w:r>
          </w:p>
        </w:tc>
      </w:tr>
      <w:tr w14:paraId="2AC32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Merge w:val="continue"/>
            <w:vAlign w:val="center"/>
          </w:tcPr>
          <w:p w14:paraId="0003522F">
            <w:pPr>
              <w:autoSpaceDE w:val="0"/>
              <w:autoSpaceDN w:val="0"/>
              <w:jc w:val="center"/>
              <w:rPr>
                <w:rFonts w:hint="eastAsia" w:ascii="宋体" w:hAnsi="宋体" w:cs="宋体"/>
                <w:color w:val="auto"/>
                <w:sz w:val="18"/>
                <w:szCs w:val="18"/>
                <w:highlight w:val="none"/>
              </w:rPr>
            </w:pPr>
          </w:p>
        </w:tc>
        <w:tc>
          <w:tcPr>
            <w:tcW w:w="1662" w:type="dxa"/>
            <w:vMerge w:val="continue"/>
            <w:vAlign w:val="center"/>
          </w:tcPr>
          <w:p w14:paraId="585A5196">
            <w:pPr>
              <w:autoSpaceDE w:val="0"/>
              <w:autoSpaceDN w:val="0"/>
              <w:jc w:val="center"/>
              <w:rPr>
                <w:rFonts w:hint="eastAsia" w:ascii="宋体" w:hAnsi="宋体" w:cs="宋体"/>
                <w:color w:val="auto"/>
                <w:sz w:val="18"/>
                <w:szCs w:val="18"/>
                <w:highlight w:val="none"/>
              </w:rPr>
            </w:pPr>
          </w:p>
        </w:tc>
        <w:tc>
          <w:tcPr>
            <w:tcW w:w="1390" w:type="dxa"/>
            <w:vAlign w:val="center"/>
          </w:tcPr>
          <w:p w14:paraId="10D0A98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小便器</w:t>
            </w:r>
          </w:p>
        </w:tc>
        <w:tc>
          <w:tcPr>
            <w:tcW w:w="1926" w:type="dxa"/>
            <w:vAlign w:val="center"/>
          </w:tcPr>
          <w:p w14:paraId="0E358A75">
            <w:pPr>
              <w:jc w:val="center"/>
              <w:rPr>
                <w:rFonts w:hint="eastAsia" w:ascii="宋体" w:hAnsi="宋体" w:cs="宋体"/>
                <w:color w:val="auto"/>
                <w:sz w:val="18"/>
                <w:szCs w:val="18"/>
                <w:highlight w:val="none"/>
              </w:rPr>
            </w:pPr>
          </w:p>
        </w:tc>
        <w:tc>
          <w:tcPr>
            <w:tcW w:w="3622" w:type="dxa"/>
            <w:vAlign w:val="center"/>
          </w:tcPr>
          <w:p w14:paraId="78DCD418">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《小便器用水效率限定值及用水</w:t>
            </w:r>
            <w:r>
              <w:rPr>
                <w:rFonts w:hint="eastAsia" w:ascii="宋体" w:hAnsi="宋体" w:cs="宋体"/>
                <w:color w:val="auto"/>
                <w:sz w:val="18"/>
                <w:szCs w:val="18"/>
                <w:highlight w:val="none"/>
              </w:rPr>
              <w:t>效率等级》（GB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28377）</w:t>
            </w:r>
          </w:p>
        </w:tc>
      </w:tr>
      <w:tr w14:paraId="126A7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79D66754">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16</w:t>
            </w:r>
          </w:p>
        </w:tc>
        <w:tc>
          <w:tcPr>
            <w:tcW w:w="1662" w:type="dxa"/>
            <w:vAlign w:val="center"/>
          </w:tcPr>
          <w:p w14:paraId="473352EB">
            <w:pPr>
              <w:jc w:val="center"/>
              <w:rPr>
                <w:rFonts w:hint="eastAsia" w:ascii="宋体" w:hAnsi="宋体" w:cs="宋体"/>
                <w:color w:val="auto"/>
                <w:sz w:val="18"/>
                <w:szCs w:val="18"/>
                <w:highlight w:val="none"/>
              </w:rPr>
            </w:pPr>
            <w:r>
              <w:rPr>
                <w:rFonts w:hint="eastAsia" w:ascii="宋体" w:hAnsi="宋体" w:cs="宋体"/>
                <w:color w:val="auto"/>
                <w:spacing w:val="-2"/>
                <w:sz w:val="18"/>
                <w:szCs w:val="18"/>
                <w:highlight w:val="none"/>
              </w:rPr>
              <w:t>★A060806</w:t>
            </w:r>
            <w:r>
              <w:rPr>
                <w:rFonts w:hint="eastAsia" w:ascii="宋体" w:hAnsi="宋体" w:cs="宋体"/>
                <w:color w:val="auto"/>
                <w:spacing w:val="-29"/>
                <w:sz w:val="18"/>
                <w:szCs w:val="18"/>
                <w:highlight w:val="none"/>
              </w:rPr>
              <w:t xml:space="preserve"> 水 </w:t>
            </w:r>
            <w:r>
              <w:rPr>
                <w:rFonts w:hint="eastAsia" w:ascii="宋体" w:hAnsi="宋体" w:cs="宋体"/>
                <w:color w:val="auto"/>
                <w:sz w:val="18"/>
                <w:szCs w:val="18"/>
                <w:highlight w:val="none"/>
              </w:rPr>
              <w:t>嘴</w:t>
            </w:r>
          </w:p>
        </w:tc>
        <w:tc>
          <w:tcPr>
            <w:tcW w:w="1390" w:type="dxa"/>
            <w:vAlign w:val="center"/>
          </w:tcPr>
          <w:p w14:paraId="1BD3F8BD">
            <w:pPr>
              <w:jc w:val="center"/>
              <w:rPr>
                <w:rFonts w:hint="eastAsia" w:ascii="宋体" w:hAnsi="宋体" w:cs="宋体"/>
                <w:color w:val="auto"/>
                <w:sz w:val="18"/>
                <w:szCs w:val="18"/>
                <w:highlight w:val="none"/>
              </w:rPr>
            </w:pPr>
          </w:p>
        </w:tc>
        <w:tc>
          <w:tcPr>
            <w:tcW w:w="1926" w:type="dxa"/>
            <w:vAlign w:val="center"/>
          </w:tcPr>
          <w:p w14:paraId="5083C009">
            <w:pPr>
              <w:jc w:val="center"/>
              <w:rPr>
                <w:rFonts w:hint="eastAsia" w:ascii="宋体" w:hAnsi="宋体" w:cs="宋体"/>
                <w:color w:val="auto"/>
                <w:sz w:val="18"/>
                <w:szCs w:val="18"/>
                <w:highlight w:val="none"/>
              </w:rPr>
            </w:pPr>
          </w:p>
        </w:tc>
        <w:tc>
          <w:tcPr>
            <w:tcW w:w="3622" w:type="dxa"/>
            <w:vAlign w:val="center"/>
          </w:tcPr>
          <w:p w14:paraId="50594B8F">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《水嘴用水效率限定值及用水效</w:t>
            </w:r>
            <w:r>
              <w:rPr>
                <w:rFonts w:hint="eastAsia" w:ascii="宋体" w:hAnsi="宋体" w:cs="宋体"/>
                <w:color w:val="auto"/>
                <w:sz w:val="18"/>
                <w:szCs w:val="18"/>
                <w:highlight w:val="none"/>
              </w:rPr>
              <w:t>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25501）</w:t>
            </w:r>
          </w:p>
        </w:tc>
      </w:tr>
      <w:tr w14:paraId="0F09B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946" w:type="dxa"/>
            <w:vAlign w:val="center"/>
          </w:tcPr>
          <w:p w14:paraId="4FB4EB6B">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17</w:t>
            </w:r>
          </w:p>
        </w:tc>
        <w:tc>
          <w:tcPr>
            <w:tcW w:w="1662" w:type="dxa"/>
            <w:vAlign w:val="center"/>
          </w:tcPr>
          <w:p w14:paraId="2066613C">
            <w:pPr>
              <w:jc w:val="center"/>
              <w:rPr>
                <w:rFonts w:hint="eastAsia" w:ascii="宋体" w:hAnsi="宋体" w:cs="宋体"/>
                <w:color w:val="auto"/>
                <w:spacing w:val="-20"/>
                <w:sz w:val="18"/>
                <w:szCs w:val="18"/>
                <w:highlight w:val="none"/>
              </w:rPr>
            </w:pPr>
            <w:r>
              <w:rPr>
                <w:rFonts w:hint="eastAsia" w:ascii="宋体" w:hAnsi="宋体" w:cs="宋体"/>
                <w:color w:val="auto"/>
                <w:spacing w:val="-2"/>
                <w:sz w:val="18"/>
                <w:szCs w:val="18"/>
                <w:highlight w:val="none"/>
              </w:rPr>
              <w:t>A060807</w:t>
            </w:r>
            <w:r>
              <w:rPr>
                <w:rFonts w:hint="eastAsia" w:ascii="宋体" w:hAnsi="宋体" w:cs="宋体"/>
                <w:color w:val="auto"/>
                <w:spacing w:val="-20"/>
                <w:sz w:val="18"/>
                <w:szCs w:val="18"/>
                <w:highlight w:val="none"/>
              </w:rPr>
              <w:t xml:space="preserve"> 便</w:t>
            </w:r>
          </w:p>
          <w:p w14:paraId="0EA7095E">
            <w:pPr>
              <w:jc w:val="center"/>
              <w:rPr>
                <w:rFonts w:hint="eastAsia" w:ascii="宋体" w:hAnsi="宋体" w:cs="宋体"/>
                <w:color w:val="auto"/>
                <w:sz w:val="18"/>
                <w:szCs w:val="18"/>
                <w:highlight w:val="none"/>
              </w:rPr>
            </w:pPr>
            <w:r>
              <w:rPr>
                <w:rFonts w:hint="eastAsia" w:ascii="宋体" w:hAnsi="宋体" w:cs="宋体"/>
                <w:color w:val="auto"/>
                <w:spacing w:val="-20"/>
                <w:sz w:val="18"/>
                <w:szCs w:val="18"/>
                <w:highlight w:val="none"/>
              </w:rPr>
              <w:t>器</w:t>
            </w:r>
            <w:r>
              <w:rPr>
                <w:rFonts w:hint="eastAsia" w:ascii="宋体" w:hAnsi="宋体" w:cs="宋体"/>
                <w:color w:val="auto"/>
                <w:sz w:val="18"/>
                <w:szCs w:val="18"/>
                <w:highlight w:val="none"/>
              </w:rPr>
              <w:t>冲洗阀</w:t>
            </w:r>
          </w:p>
        </w:tc>
        <w:tc>
          <w:tcPr>
            <w:tcW w:w="1390" w:type="dxa"/>
            <w:vAlign w:val="center"/>
          </w:tcPr>
          <w:p w14:paraId="7E877E4A">
            <w:pPr>
              <w:jc w:val="center"/>
              <w:rPr>
                <w:rFonts w:hint="eastAsia" w:ascii="宋体" w:hAnsi="宋体" w:cs="宋体"/>
                <w:color w:val="auto"/>
                <w:sz w:val="18"/>
                <w:szCs w:val="18"/>
                <w:highlight w:val="none"/>
              </w:rPr>
            </w:pPr>
          </w:p>
        </w:tc>
        <w:tc>
          <w:tcPr>
            <w:tcW w:w="1926" w:type="dxa"/>
            <w:vAlign w:val="center"/>
          </w:tcPr>
          <w:p w14:paraId="411B753B">
            <w:pPr>
              <w:jc w:val="center"/>
              <w:rPr>
                <w:rFonts w:hint="eastAsia" w:ascii="宋体" w:hAnsi="宋体" w:cs="宋体"/>
                <w:color w:val="auto"/>
                <w:sz w:val="18"/>
                <w:szCs w:val="18"/>
                <w:highlight w:val="none"/>
              </w:rPr>
            </w:pPr>
          </w:p>
        </w:tc>
        <w:tc>
          <w:tcPr>
            <w:tcW w:w="3622" w:type="dxa"/>
            <w:vAlign w:val="center"/>
          </w:tcPr>
          <w:p w14:paraId="036EE315">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《便器冲洗阀用水效率限定值及</w:t>
            </w:r>
            <w:r>
              <w:rPr>
                <w:rFonts w:hint="eastAsia" w:ascii="宋体" w:hAnsi="宋体" w:cs="宋体"/>
                <w:color w:val="auto"/>
                <w:sz w:val="18"/>
                <w:szCs w:val="18"/>
                <w:highlight w:val="none"/>
              </w:rPr>
              <w:t>用水效率等级》（GB 28379）</w:t>
            </w:r>
          </w:p>
        </w:tc>
      </w:tr>
      <w:tr w14:paraId="75C35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46" w:type="dxa"/>
            <w:vAlign w:val="center"/>
          </w:tcPr>
          <w:p w14:paraId="6B85F216">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18</w:t>
            </w:r>
          </w:p>
        </w:tc>
        <w:tc>
          <w:tcPr>
            <w:tcW w:w="1662" w:type="dxa"/>
            <w:vAlign w:val="center"/>
          </w:tcPr>
          <w:p w14:paraId="2292F74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A060810</w:t>
            </w:r>
            <w:r>
              <w:rPr>
                <w:rFonts w:hint="eastAsia" w:ascii="宋体" w:hAnsi="宋体" w:cs="宋体"/>
                <w:color w:val="auto"/>
                <w:spacing w:val="-9"/>
                <w:sz w:val="18"/>
                <w:szCs w:val="18"/>
                <w:highlight w:val="none"/>
              </w:rPr>
              <w:t xml:space="preserve"> 淋浴</w:t>
            </w:r>
            <w:r>
              <w:rPr>
                <w:rFonts w:hint="eastAsia" w:ascii="宋体" w:hAnsi="宋体" w:cs="宋体"/>
                <w:color w:val="auto"/>
                <w:sz w:val="18"/>
                <w:szCs w:val="18"/>
                <w:highlight w:val="none"/>
              </w:rPr>
              <w:t>器</w:t>
            </w:r>
          </w:p>
        </w:tc>
        <w:tc>
          <w:tcPr>
            <w:tcW w:w="1390" w:type="dxa"/>
            <w:vAlign w:val="center"/>
          </w:tcPr>
          <w:p w14:paraId="366E381E">
            <w:pPr>
              <w:jc w:val="center"/>
              <w:rPr>
                <w:rFonts w:hint="eastAsia" w:ascii="宋体" w:hAnsi="宋体" w:cs="宋体"/>
                <w:color w:val="auto"/>
                <w:sz w:val="18"/>
                <w:szCs w:val="18"/>
                <w:highlight w:val="none"/>
              </w:rPr>
            </w:pPr>
          </w:p>
        </w:tc>
        <w:tc>
          <w:tcPr>
            <w:tcW w:w="1926" w:type="dxa"/>
            <w:vAlign w:val="center"/>
          </w:tcPr>
          <w:p w14:paraId="512E9C66">
            <w:pPr>
              <w:jc w:val="center"/>
              <w:rPr>
                <w:rFonts w:hint="eastAsia" w:ascii="宋体" w:hAnsi="宋体" w:cs="宋体"/>
                <w:color w:val="auto"/>
                <w:sz w:val="18"/>
                <w:szCs w:val="18"/>
                <w:highlight w:val="none"/>
              </w:rPr>
            </w:pPr>
          </w:p>
        </w:tc>
        <w:tc>
          <w:tcPr>
            <w:tcW w:w="3622" w:type="dxa"/>
            <w:vAlign w:val="center"/>
          </w:tcPr>
          <w:p w14:paraId="5F9ED422">
            <w:pPr>
              <w:jc w:val="center"/>
              <w:rPr>
                <w:rFonts w:hint="eastAsia" w:ascii="宋体" w:hAnsi="宋体" w:cs="宋体"/>
                <w:color w:val="auto"/>
                <w:sz w:val="18"/>
                <w:szCs w:val="18"/>
                <w:highlight w:val="none"/>
              </w:rPr>
            </w:pPr>
            <w:r>
              <w:rPr>
                <w:rFonts w:hint="eastAsia" w:ascii="宋体" w:hAnsi="宋体" w:cs="宋体"/>
                <w:color w:val="auto"/>
                <w:spacing w:val="9"/>
                <w:sz w:val="18"/>
                <w:szCs w:val="18"/>
                <w:highlight w:val="none"/>
              </w:rPr>
              <w:t>《淋浴器用水效率限定值及用水</w:t>
            </w:r>
            <w:r>
              <w:rPr>
                <w:rFonts w:hint="eastAsia" w:ascii="宋体" w:hAnsi="宋体" w:cs="宋体"/>
                <w:color w:val="auto"/>
                <w:sz w:val="18"/>
                <w:szCs w:val="18"/>
                <w:highlight w:val="none"/>
              </w:rPr>
              <w:t>效率等级》（GB</w:t>
            </w:r>
            <w:r>
              <w:rPr>
                <w:rFonts w:hint="eastAsia" w:ascii="宋体" w:hAnsi="宋体" w:cs="宋体"/>
                <w:color w:val="auto"/>
                <w:spacing w:val="1"/>
                <w:sz w:val="18"/>
                <w:szCs w:val="18"/>
                <w:highlight w:val="none"/>
              </w:rPr>
              <w:t xml:space="preserve"> </w:t>
            </w:r>
            <w:r>
              <w:rPr>
                <w:rFonts w:hint="eastAsia" w:ascii="宋体" w:hAnsi="宋体" w:cs="宋体"/>
                <w:color w:val="auto"/>
                <w:sz w:val="18"/>
                <w:szCs w:val="18"/>
                <w:highlight w:val="none"/>
              </w:rPr>
              <w:t>28378）</w:t>
            </w:r>
          </w:p>
        </w:tc>
      </w:tr>
      <w:bookmarkEnd w:id="53"/>
    </w:tbl>
    <w:p w14:paraId="38301499">
      <w:pPr>
        <w:pStyle w:val="20"/>
        <w:spacing w:line="360" w:lineRule="auto"/>
        <w:rPr>
          <w:rFonts w:hint="eastAsia"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pacing w:val="-3"/>
          <w:sz w:val="21"/>
          <w:szCs w:val="21"/>
          <w:highlight w:val="none"/>
        </w:rPr>
        <w:t>注：1.节能产品认证应依据相关国家标准的最新版本，依据国家标准中二级能效（水效）</w:t>
      </w:r>
      <w:r>
        <w:rPr>
          <w:rFonts w:hint="eastAsia" w:cs="宋体" w:asciiTheme="majorEastAsia" w:hAnsiTheme="majorEastAsia" w:eastAsiaTheme="majorEastAsia"/>
          <w:color w:val="auto"/>
          <w:sz w:val="21"/>
          <w:szCs w:val="21"/>
          <w:highlight w:val="none"/>
        </w:rPr>
        <w:t>指标。</w:t>
      </w:r>
    </w:p>
    <w:p w14:paraId="5F77C321">
      <w:pPr>
        <w:pStyle w:val="20"/>
        <w:spacing w:line="360" w:lineRule="auto"/>
        <w:rPr>
          <w:rFonts w:hint="eastAsia"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 xml:space="preserve">    2.上述产品中认证标准发生变更的，依据原认证标准获得的、仍在有效期内的认证证书可使用至2019年6月1日。</w:t>
      </w:r>
    </w:p>
    <w:p w14:paraId="3B52E5E0">
      <w:pPr>
        <w:widowControl/>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3.以“★”标注的为政府强制采购产品。</w:t>
      </w:r>
    </w:p>
    <w:p w14:paraId="756A0872">
      <w:pPr>
        <w:spacing w:line="528" w:lineRule="exact"/>
        <w:ind w:left="1871"/>
        <w:rPr>
          <w:rFonts w:hint="eastAsia" w:cs="微软雅黑" w:asciiTheme="majorEastAsia" w:hAnsiTheme="majorEastAsia" w:eastAsiaTheme="majorEastAsia"/>
          <w:color w:val="auto"/>
          <w:sz w:val="40"/>
          <w:szCs w:val="40"/>
          <w:highlight w:val="none"/>
        </w:rPr>
        <w:sectPr>
          <w:footerReference r:id="rId8" w:type="default"/>
          <w:pgSz w:w="11906" w:h="16838"/>
          <w:pgMar w:top="1134" w:right="1332" w:bottom="1134" w:left="1332" w:header="851" w:footer="992" w:gutter="0"/>
          <w:cols w:space="0" w:num="1"/>
          <w:titlePg/>
          <w:docGrid w:linePitch="312" w:charSpace="0"/>
        </w:sectPr>
      </w:pPr>
    </w:p>
    <w:p w14:paraId="23521DB3">
      <w:pPr>
        <w:widowControl/>
        <w:jc w:val="left"/>
        <w:rPr>
          <w:rFonts w:hint="eastAsia"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附件2：</w:t>
      </w:r>
    </w:p>
    <w:p w14:paraId="415DEC41">
      <w:pPr>
        <w:pStyle w:val="20"/>
        <w:spacing w:line="360" w:lineRule="auto"/>
        <w:jc w:val="center"/>
        <w:rPr>
          <w:rFonts w:hint="eastAsia" w:cs="宋体" w:asciiTheme="majorEastAsia" w:hAnsiTheme="majorEastAsia" w:eastAsiaTheme="majorEastAsia"/>
          <w:b/>
          <w:color w:val="auto"/>
          <w:sz w:val="28"/>
          <w:szCs w:val="28"/>
          <w:highlight w:val="none"/>
        </w:rPr>
      </w:pPr>
      <w:r>
        <w:rPr>
          <w:rFonts w:hint="eastAsia" w:cs="宋体" w:asciiTheme="majorEastAsia" w:hAnsiTheme="majorEastAsia" w:eastAsiaTheme="majorEastAsia"/>
          <w:b/>
          <w:color w:val="auto"/>
          <w:sz w:val="28"/>
          <w:szCs w:val="28"/>
          <w:highlight w:val="none"/>
        </w:rPr>
        <w:t>中小企业划型标准规定</w:t>
      </w:r>
    </w:p>
    <w:tbl>
      <w:tblPr>
        <w:tblStyle w:val="50"/>
        <w:tblW w:w="9615" w:type="dxa"/>
        <w:jc w:val="center"/>
        <w:tblLayout w:type="fixed"/>
        <w:tblCellMar>
          <w:top w:w="0" w:type="dxa"/>
          <w:left w:w="108" w:type="dxa"/>
          <w:bottom w:w="0" w:type="dxa"/>
          <w:right w:w="108" w:type="dxa"/>
        </w:tblCellMar>
      </w:tblPr>
      <w:tblGrid>
        <w:gridCol w:w="2161"/>
        <w:gridCol w:w="1618"/>
        <w:gridCol w:w="1346"/>
        <w:gridCol w:w="1796"/>
        <w:gridCol w:w="1647"/>
        <w:gridCol w:w="1047"/>
      </w:tblGrid>
      <w:tr w14:paraId="3250AF47">
        <w:tblPrEx>
          <w:tblCellMar>
            <w:top w:w="0" w:type="dxa"/>
            <w:left w:w="108" w:type="dxa"/>
            <w:bottom w:w="0" w:type="dxa"/>
            <w:right w:w="108" w:type="dxa"/>
          </w:tblCellMar>
        </w:tblPrEx>
        <w:trPr>
          <w:trHeight w:val="453" w:hRule="atLeast"/>
          <w:jc w:val="center"/>
        </w:trPr>
        <w:tc>
          <w:tcPr>
            <w:tcW w:w="2161" w:type="dxa"/>
            <w:tcBorders>
              <w:top w:val="single" w:color="auto" w:sz="4" w:space="0"/>
              <w:left w:val="single" w:color="auto" w:sz="4" w:space="0"/>
              <w:bottom w:val="single" w:color="auto" w:sz="4" w:space="0"/>
              <w:right w:val="single" w:color="auto" w:sz="4" w:space="0"/>
            </w:tcBorders>
            <w:vAlign w:val="center"/>
          </w:tcPr>
          <w:p w14:paraId="04F5ED35">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618" w:type="dxa"/>
            <w:tcBorders>
              <w:top w:val="single" w:color="auto" w:sz="4" w:space="0"/>
              <w:left w:val="nil"/>
              <w:bottom w:val="single" w:color="auto" w:sz="4" w:space="0"/>
              <w:right w:val="single" w:color="auto" w:sz="4" w:space="0"/>
            </w:tcBorders>
            <w:vAlign w:val="center"/>
          </w:tcPr>
          <w:p w14:paraId="4A288B08">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1346" w:type="dxa"/>
            <w:tcBorders>
              <w:top w:val="single" w:color="auto" w:sz="4" w:space="0"/>
              <w:left w:val="nil"/>
              <w:bottom w:val="single" w:color="auto" w:sz="4" w:space="0"/>
              <w:right w:val="single" w:color="auto" w:sz="4" w:space="0"/>
            </w:tcBorders>
            <w:vAlign w:val="center"/>
          </w:tcPr>
          <w:p w14:paraId="2D93D23A">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796" w:type="dxa"/>
            <w:tcBorders>
              <w:top w:val="single" w:color="auto" w:sz="4" w:space="0"/>
              <w:left w:val="nil"/>
              <w:bottom w:val="single" w:color="auto" w:sz="4" w:space="0"/>
              <w:right w:val="single" w:color="auto" w:sz="4" w:space="0"/>
            </w:tcBorders>
            <w:vAlign w:val="center"/>
          </w:tcPr>
          <w:p w14:paraId="7C385A30">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647" w:type="dxa"/>
            <w:tcBorders>
              <w:top w:val="single" w:color="auto" w:sz="4" w:space="0"/>
              <w:left w:val="nil"/>
              <w:bottom w:val="single" w:color="auto" w:sz="4" w:space="0"/>
              <w:right w:val="single" w:color="auto" w:sz="4" w:space="0"/>
            </w:tcBorders>
            <w:vAlign w:val="center"/>
          </w:tcPr>
          <w:p w14:paraId="6E271675">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047" w:type="dxa"/>
            <w:tcBorders>
              <w:top w:val="single" w:color="auto" w:sz="4" w:space="0"/>
              <w:left w:val="nil"/>
              <w:bottom w:val="single" w:color="auto" w:sz="4" w:space="0"/>
              <w:right w:val="single" w:color="auto" w:sz="4" w:space="0"/>
            </w:tcBorders>
            <w:vAlign w:val="center"/>
          </w:tcPr>
          <w:p w14:paraId="3D867BC5">
            <w:pPr>
              <w:widowControl/>
              <w:spacing w:line="336" w:lineRule="auto"/>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350BF330">
        <w:tblPrEx>
          <w:tblCellMar>
            <w:top w:w="0" w:type="dxa"/>
            <w:left w:w="108" w:type="dxa"/>
            <w:bottom w:w="0" w:type="dxa"/>
            <w:right w:w="108" w:type="dxa"/>
          </w:tblCellMar>
        </w:tblPrEx>
        <w:trPr>
          <w:trHeight w:val="342" w:hRule="atLeast"/>
          <w:jc w:val="center"/>
        </w:trPr>
        <w:tc>
          <w:tcPr>
            <w:tcW w:w="2161" w:type="dxa"/>
            <w:tcBorders>
              <w:top w:val="nil"/>
              <w:left w:val="single" w:color="auto" w:sz="4" w:space="0"/>
              <w:bottom w:val="single" w:color="auto" w:sz="4" w:space="0"/>
              <w:right w:val="single" w:color="auto" w:sz="4" w:space="0"/>
            </w:tcBorders>
            <w:vAlign w:val="center"/>
          </w:tcPr>
          <w:p w14:paraId="75FB161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618" w:type="dxa"/>
            <w:tcBorders>
              <w:top w:val="nil"/>
              <w:left w:val="nil"/>
              <w:bottom w:val="single" w:color="auto" w:sz="4" w:space="0"/>
              <w:right w:val="single" w:color="auto" w:sz="4" w:space="0"/>
            </w:tcBorders>
            <w:vAlign w:val="center"/>
          </w:tcPr>
          <w:p w14:paraId="2301734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69077B1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3741227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647" w:type="dxa"/>
            <w:tcBorders>
              <w:top w:val="nil"/>
              <w:left w:val="nil"/>
              <w:bottom w:val="single" w:color="auto" w:sz="4" w:space="0"/>
              <w:right w:val="single" w:color="auto" w:sz="4" w:space="0"/>
            </w:tcBorders>
            <w:vAlign w:val="center"/>
          </w:tcPr>
          <w:p w14:paraId="1F0B500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047" w:type="dxa"/>
            <w:tcBorders>
              <w:top w:val="nil"/>
              <w:left w:val="nil"/>
              <w:bottom w:val="single" w:color="auto" w:sz="4" w:space="0"/>
              <w:right w:val="single" w:color="auto" w:sz="4" w:space="0"/>
            </w:tcBorders>
            <w:vAlign w:val="center"/>
          </w:tcPr>
          <w:p w14:paraId="5325914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333977A">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09E91575">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618" w:type="dxa"/>
            <w:tcBorders>
              <w:top w:val="nil"/>
              <w:left w:val="nil"/>
              <w:bottom w:val="single" w:color="auto" w:sz="4" w:space="0"/>
              <w:right w:val="single" w:color="auto" w:sz="4" w:space="0"/>
            </w:tcBorders>
            <w:vAlign w:val="center"/>
          </w:tcPr>
          <w:p w14:paraId="415F664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174B93C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227A8B3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542193A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tcBorders>
              <w:top w:val="nil"/>
              <w:left w:val="nil"/>
              <w:bottom w:val="single" w:color="auto" w:sz="4" w:space="0"/>
              <w:right w:val="single" w:color="auto" w:sz="4" w:space="0"/>
            </w:tcBorders>
            <w:vAlign w:val="center"/>
          </w:tcPr>
          <w:p w14:paraId="70D69C6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0A8DEE4">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207E1A3C">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6E89842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248EAEF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407E5F5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647" w:type="dxa"/>
            <w:tcBorders>
              <w:top w:val="nil"/>
              <w:left w:val="nil"/>
              <w:bottom w:val="single" w:color="auto" w:sz="4" w:space="0"/>
              <w:right w:val="single" w:color="auto" w:sz="4" w:space="0"/>
            </w:tcBorders>
            <w:vAlign w:val="center"/>
          </w:tcPr>
          <w:p w14:paraId="7233000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047" w:type="dxa"/>
            <w:tcBorders>
              <w:top w:val="nil"/>
              <w:left w:val="nil"/>
              <w:bottom w:val="single" w:color="auto" w:sz="4" w:space="0"/>
              <w:right w:val="single" w:color="auto" w:sz="4" w:space="0"/>
            </w:tcBorders>
            <w:vAlign w:val="center"/>
          </w:tcPr>
          <w:p w14:paraId="6961DE3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11DFD59">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5C14541B">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618" w:type="dxa"/>
            <w:tcBorders>
              <w:top w:val="nil"/>
              <w:left w:val="nil"/>
              <w:bottom w:val="single" w:color="auto" w:sz="4" w:space="0"/>
              <w:right w:val="single" w:color="auto" w:sz="4" w:space="0"/>
            </w:tcBorders>
            <w:vAlign w:val="center"/>
          </w:tcPr>
          <w:p w14:paraId="5D90A0E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18E9942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8FB507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647" w:type="dxa"/>
            <w:tcBorders>
              <w:top w:val="nil"/>
              <w:left w:val="nil"/>
              <w:bottom w:val="single" w:color="auto" w:sz="4" w:space="0"/>
              <w:right w:val="single" w:color="auto" w:sz="4" w:space="0"/>
            </w:tcBorders>
            <w:vAlign w:val="center"/>
          </w:tcPr>
          <w:p w14:paraId="338E2FF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047" w:type="dxa"/>
            <w:tcBorders>
              <w:top w:val="nil"/>
              <w:left w:val="nil"/>
              <w:bottom w:val="single" w:color="auto" w:sz="4" w:space="0"/>
              <w:right w:val="single" w:color="auto" w:sz="4" w:space="0"/>
            </w:tcBorders>
            <w:vAlign w:val="center"/>
          </w:tcPr>
          <w:p w14:paraId="73723A2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B1A7D5F">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1374EFAD">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70DB8D3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346" w:type="dxa"/>
            <w:tcBorders>
              <w:top w:val="nil"/>
              <w:left w:val="nil"/>
              <w:bottom w:val="single" w:color="auto" w:sz="4" w:space="0"/>
              <w:right w:val="single" w:color="auto" w:sz="4" w:space="0"/>
            </w:tcBorders>
            <w:vAlign w:val="center"/>
          </w:tcPr>
          <w:p w14:paraId="55C6EC2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94B2E8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647" w:type="dxa"/>
            <w:tcBorders>
              <w:top w:val="nil"/>
              <w:left w:val="nil"/>
              <w:bottom w:val="single" w:color="auto" w:sz="4" w:space="0"/>
              <w:right w:val="single" w:color="auto" w:sz="4" w:space="0"/>
            </w:tcBorders>
            <w:vAlign w:val="center"/>
          </w:tcPr>
          <w:p w14:paraId="669CBD5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047" w:type="dxa"/>
            <w:tcBorders>
              <w:top w:val="nil"/>
              <w:left w:val="nil"/>
              <w:bottom w:val="single" w:color="auto" w:sz="4" w:space="0"/>
              <w:right w:val="single" w:color="auto" w:sz="4" w:space="0"/>
            </w:tcBorders>
            <w:vAlign w:val="center"/>
          </w:tcPr>
          <w:p w14:paraId="52F1FBC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48445A4C">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33848706">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618" w:type="dxa"/>
            <w:tcBorders>
              <w:top w:val="nil"/>
              <w:left w:val="nil"/>
              <w:bottom w:val="single" w:color="auto" w:sz="4" w:space="0"/>
              <w:right w:val="single" w:color="auto" w:sz="4" w:space="0"/>
            </w:tcBorders>
            <w:vAlign w:val="center"/>
          </w:tcPr>
          <w:p w14:paraId="5DCBE31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0782B82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5B1D795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647" w:type="dxa"/>
            <w:tcBorders>
              <w:top w:val="nil"/>
              <w:left w:val="nil"/>
              <w:bottom w:val="single" w:color="auto" w:sz="4" w:space="0"/>
              <w:right w:val="single" w:color="auto" w:sz="4" w:space="0"/>
            </w:tcBorders>
            <w:vAlign w:val="center"/>
          </w:tcPr>
          <w:p w14:paraId="7019611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047" w:type="dxa"/>
            <w:tcBorders>
              <w:top w:val="nil"/>
              <w:left w:val="nil"/>
              <w:bottom w:val="single" w:color="auto" w:sz="4" w:space="0"/>
              <w:right w:val="single" w:color="auto" w:sz="4" w:space="0"/>
            </w:tcBorders>
            <w:vAlign w:val="center"/>
          </w:tcPr>
          <w:p w14:paraId="6B9ECBA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2050FD1D">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5E4F0790">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465283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74E63B3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08D28F0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647" w:type="dxa"/>
            <w:tcBorders>
              <w:top w:val="nil"/>
              <w:left w:val="nil"/>
              <w:bottom w:val="single" w:color="auto" w:sz="4" w:space="0"/>
              <w:right w:val="single" w:color="auto" w:sz="4" w:space="0"/>
            </w:tcBorders>
            <w:vAlign w:val="center"/>
          </w:tcPr>
          <w:p w14:paraId="534687B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047" w:type="dxa"/>
            <w:tcBorders>
              <w:top w:val="nil"/>
              <w:left w:val="nil"/>
              <w:bottom w:val="single" w:color="auto" w:sz="4" w:space="0"/>
              <w:right w:val="single" w:color="auto" w:sz="4" w:space="0"/>
            </w:tcBorders>
            <w:vAlign w:val="center"/>
          </w:tcPr>
          <w:p w14:paraId="56D1CE9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EEF3EEF">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12120E69">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618" w:type="dxa"/>
            <w:tcBorders>
              <w:top w:val="nil"/>
              <w:left w:val="nil"/>
              <w:bottom w:val="single" w:color="auto" w:sz="4" w:space="0"/>
              <w:right w:val="single" w:color="auto" w:sz="4" w:space="0"/>
            </w:tcBorders>
            <w:vAlign w:val="center"/>
          </w:tcPr>
          <w:p w14:paraId="0FD1CE2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5C3D446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744FC22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647" w:type="dxa"/>
            <w:tcBorders>
              <w:top w:val="nil"/>
              <w:left w:val="nil"/>
              <w:bottom w:val="single" w:color="auto" w:sz="4" w:space="0"/>
              <w:right w:val="single" w:color="auto" w:sz="4" w:space="0"/>
            </w:tcBorders>
            <w:vAlign w:val="center"/>
          </w:tcPr>
          <w:p w14:paraId="4D45FBC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047" w:type="dxa"/>
            <w:tcBorders>
              <w:top w:val="nil"/>
              <w:left w:val="nil"/>
              <w:bottom w:val="single" w:color="auto" w:sz="4" w:space="0"/>
              <w:right w:val="single" w:color="auto" w:sz="4" w:space="0"/>
            </w:tcBorders>
            <w:vAlign w:val="center"/>
          </w:tcPr>
          <w:p w14:paraId="2C1905D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4F4C4E7">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8A8B660">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682E47B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14A5F43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7D293A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647" w:type="dxa"/>
            <w:tcBorders>
              <w:top w:val="nil"/>
              <w:left w:val="nil"/>
              <w:bottom w:val="single" w:color="auto" w:sz="4" w:space="0"/>
              <w:right w:val="single" w:color="auto" w:sz="4" w:space="0"/>
            </w:tcBorders>
            <w:vAlign w:val="center"/>
          </w:tcPr>
          <w:p w14:paraId="6567943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047" w:type="dxa"/>
            <w:tcBorders>
              <w:top w:val="nil"/>
              <w:left w:val="nil"/>
              <w:bottom w:val="single" w:color="auto" w:sz="4" w:space="0"/>
              <w:right w:val="single" w:color="auto" w:sz="4" w:space="0"/>
            </w:tcBorders>
            <w:vAlign w:val="center"/>
          </w:tcPr>
          <w:p w14:paraId="58D42EB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FE18255">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30AFC78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618" w:type="dxa"/>
            <w:tcBorders>
              <w:top w:val="nil"/>
              <w:left w:val="nil"/>
              <w:bottom w:val="single" w:color="auto" w:sz="4" w:space="0"/>
              <w:right w:val="single" w:color="auto" w:sz="4" w:space="0"/>
            </w:tcBorders>
            <w:vAlign w:val="center"/>
          </w:tcPr>
          <w:p w14:paraId="31727EB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25F0CCE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1AF015C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6CCE9C2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tcBorders>
              <w:top w:val="nil"/>
              <w:left w:val="nil"/>
              <w:bottom w:val="single" w:color="auto" w:sz="4" w:space="0"/>
              <w:right w:val="single" w:color="auto" w:sz="4" w:space="0"/>
            </w:tcBorders>
            <w:vAlign w:val="center"/>
          </w:tcPr>
          <w:p w14:paraId="53E2A71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E195D34">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057304B7">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7D2092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0725DED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471088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647" w:type="dxa"/>
            <w:tcBorders>
              <w:top w:val="nil"/>
              <w:left w:val="nil"/>
              <w:bottom w:val="single" w:color="auto" w:sz="4" w:space="0"/>
              <w:right w:val="single" w:color="auto" w:sz="4" w:space="0"/>
            </w:tcBorders>
            <w:vAlign w:val="center"/>
          </w:tcPr>
          <w:p w14:paraId="310D36C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047" w:type="dxa"/>
            <w:tcBorders>
              <w:top w:val="nil"/>
              <w:left w:val="nil"/>
              <w:bottom w:val="single" w:color="auto" w:sz="4" w:space="0"/>
              <w:right w:val="single" w:color="auto" w:sz="4" w:space="0"/>
            </w:tcBorders>
            <w:vAlign w:val="center"/>
          </w:tcPr>
          <w:p w14:paraId="5F4804A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203E01C8">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0468579B">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618" w:type="dxa"/>
            <w:tcBorders>
              <w:top w:val="nil"/>
              <w:left w:val="nil"/>
              <w:bottom w:val="single" w:color="auto" w:sz="4" w:space="0"/>
              <w:right w:val="single" w:color="auto" w:sz="4" w:space="0"/>
            </w:tcBorders>
            <w:vAlign w:val="center"/>
          </w:tcPr>
          <w:p w14:paraId="67F8DC9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5B13DBD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167A826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647" w:type="dxa"/>
            <w:tcBorders>
              <w:top w:val="nil"/>
              <w:left w:val="nil"/>
              <w:bottom w:val="single" w:color="auto" w:sz="4" w:space="0"/>
              <w:right w:val="single" w:color="auto" w:sz="4" w:space="0"/>
            </w:tcBorders>
            <w:vAlign w:val="center"/>
          </w:tcPr>
          <w:p w14:paraId="56078BD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047" w:type="dxa"/>
            <w:tcBorders>
              <w:top w:val="nil"/>
              <w:left w:val="nil"/>
              <w:bottom w:val="single" w:color="auto" w:sz="4" w:space="0"/>
              <w:right w:val="single" w:color="auto" w:sz="4" w:space="0"/>
            </w:tcBorders>
            <w:vAlign w:val="center"/>
          </w:tcPr>
          <w:p w14:paraId="15E64EC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3C456B1">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7A547D79">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118FD71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08C31BF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6B0045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647" w:type="dxa"/>
            <w:tcBorders>
              <w:top w:val="nil"/>
              <w:left w:val="nil"/>
              <w:bottom w:val="single" w:color="auto" w:sz="4" w:space="0"/>
              <w:right w:val="single" w:color="auto" w:sz="4" w:space="0"/>
            </w:tcBorders>
            <w:vAlign w:val="center"/>
          </w:tcPr>
          <w:p w14:paraId="0300713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tcBorders>
              <w:top w:val="nil"/>
              <w:left w:val="nil"/>
              <w:bottom w:val="single" w:color="auto" w:sz="4" w:space="0"/>
              <w:right w:val="single" w:color="auto" w:sz="4" w:space="0"/>
            </w:tcBorders>
            <w:vAlign w:val="center"/>
          </w:tcPr>
          <w:p w14:paraId="479ACA6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18C6345">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400C304F">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618" w:type="dxa"/>
            <w:tcBorders>
              <w:top w:val="nil"/>
              <w:left w:val="nil"/>
              <w:bottom w:val="single" w:color="auto" w:sz="4" w:space="0"/>
              <w:right w:val="single" w:color="auto" w:sz="4" w:space="0"/>
            </w:tcBorders>
            <w:vAlign w:val="center"/>
          </w:tcPr>
          <w:p w14:paraId="26F8C50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742E77D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6E4353A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3FD7D0E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tcBorders>
              <w:top w:val="nil"/>
              <w:left w:val="nil"/>
              <w:bottom w:val="single" w:color="auto" w:sz="4" w:space="0"/>
              <w:right w:val="single" w:color="auto" w:sz="4" w:space="0"/>
            </w:tcBorders>
            <w:vAlign w:val="center"/>
          </w:tcPr>
          <w:p w14:paraId="0C93BD7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8BFA769">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222DD14C">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43667B5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5B68C0F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7D6FF4E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647" w:type="dxa"/>
            <w:tcBorders>
              <w:top w:val="nil"/>
              <w:left w:val="nil"/>
              <w:bottom w:val="single" w:color="auto" w:sz="4" w:space="0"/>
              <w:right w:val="single" w:color="auto" w:sz="4" w:space="0"/>
            </w:tcBorders>
            <w:vAlign w:val="center"/>
          </w:tcPr>
          <w:p w14:paraId="6465A89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tcBorders>
              <w:top w:val="nil"/>
              <w:left w:val="nil"/>
              <w:bottom w:val="single" w:color="auto" w:sz="4" w:space="0"/>
              <w:right w:val="single" w:color="auto" w:sz="4" w:space="0"/>
            </w:tcBorders>
            <w:vAlign w:val="center"/>
          </w:tcPr>
          <w:p w14:paraId="5DEC8EC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E20A3E">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51F31A43">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618" w:type="dxa"/>
            <w:tcBorders>
              <w:top w:val="nil"/>
              <w:left w:val="nil"/>
              <w:bottom w:val="single" w:color="auto" w:sz="4" w:space="0"/>
              <w:right w:val="single" w:color="auto" w:sz="4" w:space="0"/>
            </w:tcBorders>
            <w:vAlign w:val="center"/>
          </w:tcPr>
          <w:p w14:paraId="2BB5833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04E7DED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088B3E1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02C5CDE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7C6676A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7B0F084">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7BDAE3B6">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0231F64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13AD8DC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522E370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647" w:type="dxa"/>
            <w:tcBorders>
              <w:top w:val="nil"/>
              <w:left w:val="nil"/>
              <w:bottom w:val="single" w:color="auto" w:sz="4" w:space="0"/>
              <w:right w:val="single" w:color="auto" w:sz="4" w:space="0"/>
            </w:tcBorders>
            <w:vAlign w:val="center"/>
          </w:tcPr>
          <w:p w14:paraId="2ACF329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tcBorders>
              <w:top w:val="nil"/>
              <w:left w:val="nil"/>
              <w:bottom w:val="single" w:color="auto" w:sz="4" w:space="0"/>
              <w:right w:val="single" w:color="auto" w:sz="4" w:space="0"/>
            </w:tcBorders>
            <w:vAlign w:val="center"/>
          </w:tcPr>
          <w:p w14:paraId="099512C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793C97E">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19C63433">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618" w:type="dxa"/>
            <w:tcBorders>
              <w:top w:val="nil"/>
              <w:left w:val="nil"/>
              <w:bottom w:val="single" w:color="auto" w:sz="4" w:space="0"/>
              <w:right w:val="single" w:color="auto" w:sz="4" w:space="0"/>
            </w:tcBorders>
            <w:vAlign w:val="center"/>
          </w:tcPr>
          <w:p w14:paraId="51BA50E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6468A2D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759B61E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5B0D05E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5BA777A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43BE1CE">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E1203C8">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7E3FED9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28E2368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7DB367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647" w:type="dxa"/>
            <w:tcBorders>
              <w:top w:val="nil"/>
              <w:left w:val="nil"/>
              <w:bottom w:val="single" w:color="auto" w:sz="4" w:space="0"/>
              <w:right w:val="single" w:color="auto" w:sz="4" w:space="0"/>
            </w:tcBorders>
            <w:vAlign w:val="center"/>
          </w:tcPr>
          <w:p w14:paraId="7CB03FF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tcBorders>
              <w:top w:val="nil"/>
              <w:left w:val="nil"/>
              <w:bottom w:val="single" w:color="auto" w:sz="4" w:space="0"/>
              <w:right w:val="single" w:color="auto" w:sz="4" w:space="0"/>
            </w:tcBorders>
            <w:vAlign w:val="center"/>
          </w:tcPr>
          <w:p w14:paraId="57249A4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72FA75E">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066FE45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618" w:type="dxa"/>
            <w:tcBorders>
              <w:top w:val="nil"/>
              <w:left w:val="nil"/>
              <w:bottom w:val="single" w:color="auto" w:sz="4" w:space="0"/>
              <w:right w:val="single" w:color="auto" w:sz="4" w:space="0"/>
            </w:tcBorders>
            <w:vAlign w:val="center"/>
          </w:tcPr>
          <w:p w14:paraId="1A00703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4117B40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4F13482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647" w:type="dxa"/>
            <w:tcBorders>
              <w:top w:val="nil"/>
              <w:left w:val="nil"/>
              <w:bottom w:val="single" w:color="auto" w:sz="4" w:space="0"/>
              <w:right w:val="single" w:color="auto" w:sz="4" w:space="0"/>
            </w:tcBorders>
            <w:vAlign w:val="center"/>
          </w:tcPr>
          <w:p w14:paraId="08F35E6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0BB5354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713EF77">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B32A6CB">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26A6C5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6997274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119FDE2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647" w:type="dxa"/>
            <w:tcBorders>
              <w:top w:val="nil"/>
              <w:left w:val="nil"/>
              <w:bottom w:val="single" w:color="auto" w:sz="4" w:space="0"/>
              <w:right w:val="single" w:color="auto" w:sz="4" w:space="0"/>
            </w:tcBorders>
            <w:vAlign w:val="center"/>
          </w:tcPr>
          <w:p w14:paraId="6B71EB0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tcBorders>
              <w:top w:val="nil"/>
              <w:left w:val="nil"/>
              <w:bottom w:val="single" w:color="auto" w:sz="4" w:space="0"/>
              <w:right w:val="single" w:color="auto" w:sz="4" w:space="0"/>
            </w:tcBorders>
            <w:vAlign w:val="center"/>
          </w:tcPr>
          <w:p w14:paraId="1F27FD2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58A7766">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71D83564">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618" w:type="dxa"/>
            <w:tcBorders>
              <w:top w:val="nil"/>
              <w:left w:val="nil"/>
              <w:bottom w:val="single" w:color="auto" w:sz="4" w:space="0"/>
              <w:right w:val="single" w:color="auto" w:sz="4" w:space="0"/>
            </w:tcBorders>
            <w:vAlign w:val="center"/>
          </w:tcPr>
          <w:p w14:paraId="2067DB2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526B305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5848217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48D271B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4F2C8C4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411AEA8">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305E62F9">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4C4738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386BE5C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3D55C56">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647" w:type="dxa"/>
            <w:tcBorders>
              <w:top w:val="nil"/>
              <w:left w:val="nil"/>
              <w:bottom w:val="single" w:color="auto" w:sz="4" w:space="0"/>
              <w:right w:val="single" w:color="auto" w:sz="4" w:space="0"/>
            </w:tcBorders>
            <w:vAlign w:val="center"/>
          </w:tcPr>
          <w:p w14:paraId="6AA8C24F">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047" w:type="dxa"/>
            <w:tcBorders>
              <w:top w:val="nil"/>
              <w:left w:val="nil"/>
              <w:bottom w:val="single" w:color="auto" w:sz="4" w:space="0"/>
              <w:right w:val="single" w:color="auto" w:sz="4" w:space="0"/>
            </w:tcBorders>
            <w:vAlign w:val="center"/>
          </w:tcPr>
          <w:p w14:paraId="6814BCB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24351C3C">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7BA9D190">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618" w:type="dxa"/>
            <w:tcBorders>
              <w:top w:val="nil"/>
              <w:left w:val="nil"/>
              <w:bottom w:val="single" w:color="auto" w:sz="4" w:space="0"/>
              <w:right w:val="single" w:color="auto" w:sz="4" w:space="0"/>
            </w:tcBorders>
            <w:vAlign w:val="center"/>
          </w:tcPr>
          <w:p w14:paraId="0D7229C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6AF402B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34A0A3DE">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647" w:type="dxa"/>
            <w:tcBorders>
              <w:top w:val="nil"/>
              <w:left w:val="nil"/>
              <w:bottom w:val="single" w:color="auto" w:sz="4" w:space="0"/>
              <w:right w:val="single" w:color="auto" w:sz="4" w:space="0"/>
            </w:tcBorders>
            <w:vAlign w:val="center"/>
          </w:tcPr>
          <w:p w14:paraId="4ED4521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047" w:type="dxa"/>
            <w:tcBorders>
              <w:top w:val="nil"/>
              <w:left w:val="nil"/>
              <w:bottom w:val="single" w:color="auto" w:sz="4" w:space="0"/>
              <w:right w:val="single" w:color="auto" w:sz="4" w:space="0"/>
            </w:tcBorders>
            <w:vAlign w:val="center"/>
          </w:tcPr>
          <w:p w14:paraId="223BE1A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8D8BA72">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71DE2231">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394FE9EA">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346" w:type="dxa"/>
            <w:tcBorders>
              <w:top w:val="nil"/>
              <w:left w:val="nil"/>
              <w:bottom w:val="single" w:color="auto" w:sz="4" w:space="0"/>
              <w:right w:val="single" w:color="auto" w:sz="4" w:space="0"/>
            </w:tcBorders>
            <w:vAlign w:val="center"/>
          </w:tcPr>
          <w:p w14:paraId="565BE9C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0EE72B4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647" w:type="dxa"/>
            <w:tcBorders>
              <w:top w:val="nil"/>
              <w:left w:val="nil"/>
              <w:bottom w:val="single" w:color="auto" w:sz="4" w:space="0"/>
              <w:right w:val="single" w:color="auto" w:sz="4" w:space="0"/>
            </w:tcBorders>
            <w:vAlign w:val="center"/>
          </w:tcPr>
          <w:p w14:paraId="483E456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047" w:type="dxa"/>
            <w:tcBorders>
              <w:top w:val="nil"/>
              <w:left w:val="nil"/>
              <w:bottom w:val="single" w:color="auto" w:sz="4" w:space="0"/>
              <w:right w:val="single" w:color="auto" w:sz="4" w:space="0"/>
            </w:tcBorders>
            <w:vAlign w:val="center"/>
          </w:tcPr>
          <w:p w14:paraId="34AF4A6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1F4D0650">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5C3E3F1D">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618" w:type="dxa"/>
            <w:tcBorders>
              <w:top w:val="nil"/>
              <w:left w:val="nil"/>
              <w:bottom w:val="single" w:color="auto" w:sz="4" w:space="0"/>
              <w:right w:val="single" w:color="auto" w:sz="4" w:space="0"/>
            </w:tcBorders>
            <w:vAlign w:val="center"/>
          </w:tcPr>
          <w:p w14:paraId="2911D68C">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60867E1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4CD4E25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647" w:type="dxa"/>
            <w:tcBorders>
              <w:top w:val="nil"/>
              <w:left w:val="nil"/>
              <w:bottom w:val="single" w:color="auto" w:sz="4" w:space="0"/>
              <w:right w:val="single" w:color="auto" w:sz="4" w:space="0"/>
            </w:tcBorders>
            <w:vAlign w:val="center"/>
          </w:tcPr>
          <w:p w14:paraId="516DA95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047" w:type="dxa"/>
            <w:tcBorders>
              <w:top w:val="nil"/>
              <w:left w:val="nil"/>
              <w:bottom w:val="single" w:color="auto" w:sz="4" w:space="0"/>
              <w:right w:val="single" w:color="auto" w:sz="4" w:space="0"/>
            </w:tcBorders>
            <w:vAlign w:val="center"/>
          </w:tcPr>
          <w:p w14:paraId="379515B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A2FE955">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472268F1">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5BCF9B7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346" w:type="dxa"/>
            <w:tcBorders>
              <w:top w:val="nil"/>
              <w:left w:val="nil"/>
              <w:bottom w:val="single" w:color="auto" w:sz="4" w:space="0"/>
              <w:right w:val="single" w:color="auto" w:sz="4" w:space="0"/>
            </w:tcBorders>
            <w:vAlign w:val="center"/>
          </w:tcPr>
          <w:p w14:paraId="43BD139D">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2E0EF73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647" w:type="dxa"/>
            <w:tcBorders>
              <w:top w:val="nil"/>
              <w:left w:val="nil"/>
              <w:bottom w:val="single" w:color="auto" w:sz="4" w:space="0"/>
              <w:right w:val="single" w:color="auto" w:sz="4" w:space="0"/>
            </w:tcBorders>
            <w:vAlign w:val="center"/>
          </w:tcPr>
          <w:p w14:paraId="3612561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047" w:type="dxa"/>
            <w:tcBorders>
              <w:top w:val="nil"/>
              <w:left w:val="nil"/>
              <w:bottom w:val="single" w:color="auto" w:sz="4" w:space="0"/>
              <w:right w:val="single" w:color="auto" w:sz="4" w:space="0"/>
            </w:tcBorders>
            <w:vAlign w:val="center"/>
          </w:tcPr>
          <w:p w14:paraId="6AA5B475">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69ADB478">
        <w:tblPrEx>
          <w:tblCellMar>
            <w:top w:w="0" w:type="dxa"/>
            <w:left w:w="108" w:type="dxa"/>
            <w:bottom w:w="0" w:type="dxa"/>
            <w:right w:w="108" w:type="dxa"/>
          </w:tblCellMar>
        </w:tblPrEx>
        <w:trPr>
          <w:trHeight w:val="342" w:hRule="atLeast"/>
          <w:jc w:val="center"/>
        </w:trPr>
        <w:tc>
          <w:tcPr>
            <w:tcW w:w="2161" w:type="dxa"/>
            <w:vMerge w:val="restart"/>
            <w:tcBorders>
              <w:top w:val="nil"/>
              <w:left w:val="single" w:color="auto" w:sz="4" w:space="0"/>
              <w:bottom w:val="single" w:color="auto" w:sz="4" w:space="0"/>
              <w:right w:val="single" w:color="auto" w:sz="4" w:space="0"/>
            </w:tcBorders>
            <w:vAlign w:val="center"/>
          </w:tcPr>
          <w:p w14:paraId="2006D18A">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618" w:type="dxa"/>
            <w:tcBorders>
              <w:top w:val="nil"/>
              <w:left w:val="nil"/>
              <w:bottom w:val="single" w:color="auto" w:sz="4" w:space="0"/>
              <w:right w:val="single" w:color="auto" w:sz="4" w:space="0"/>
            </w:tcBorders>
            <w:vAlign w:val="center"/>
          </w:tcPr>
          <w:p w14:paraId="3908C228">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1EADBD7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405158C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0647CEB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67511AC3">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6E130B">
        <w:tblPrEx>
          <w:tblCellMar>
            <w:top w:w="0" w:type="dxa"/>
            <w:left w:w="108" w:type="dxa"/>
            <w:bottom w:w="0" w:type="dxa"/>
            <w:right w:w="108" w:type="dxa"/>
          </w:tblCellMar>
        </w:tblPrEx>
        <w:trPr>
          <w:trHeight w:val="342" w:hRule="atLeast"/>
          <w:jc w:val="center"/>
        </w:trPr>
        <w:tc>
          <w:tcPr>
            <w:tcW w:w="2161" w:type="dxa"/>
            <w:vMerge w:val="continue"/>
            <w:tcBorders>
              <w:top w:val="nil"/>
              <w:left w:val="single" w:color="auto" w:sz="4" w:space="0"/>
              <w:bottom w:val="single" w:color="auto" w:sz="4" w:space="0"/>
              <w:right w:val="single" w:color="auto" w:sz="4" w:space="0"/>
            </w:tcBorders>
            <w:vAlign w:val="center"/>
          </w:tcPr>
          <w:p w14:paraId="110B4682">
            <w:pPr>
              <w:widowControl/>
              <w:spacing w:line="336" w:lineRule="auto"/>
              <w:jc w:val="center"/>
              <w:rPr>
                <w:rFonts w:hint="eastAsia" w:ascii="宋体" w:hAnsi="宋体" w:cs="宋体"/>
                <w:b/>
                <w:bCs/>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14:paraId="173E11A0">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346" w:type="dxa"/>
            <w:tcBorders>
              <w:top w:val="nil"/>
              <w:left w:val="nil"/>
              <w:bottom w:val="single" w:color="auto" w:sz="4" w:space="0"/>
              <w:right w:val="single" w:color="auto" w:sz="4" w:space="0"/>
            </w:tcBorders>
            <w:vAlign w:val="center"/>
          </w:tcPr>
          <w:p w14:paraId="08BA060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96" w:type="dxa"/>
            <w:tcBorders>
              <w:top w:val="nil"/>
              <w:left w:val="nil"/>
              <w:bottom w:val="single" w:color="auto" w:sz="4" w:space="0"/>
              <w:right w:val="single" w:color="auto" w:sz="4" w:space="0"/>
            </w:tcBorders>
            <w:vAlign w:val="center"/>
          </w:tcPr>
          <w:p w14:paraId="6A70BBAB">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647" w:type="dxa"/>
            <w:tcBorders>
              <w:top w:val="nil"/>
              <w:left w:val="nil"/>
              <w:bottom w:val="single" w:color="auto" w:sz="4" w:space="0"/>
              <w:right w:val="single" w:color="auto" w:sz="4" w:space="0"/>
            </w:tcBorders>
            <w:vAlign w:val="center"/>
          </w:tcPr>
          <w:p w14:paraId="63556A41">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047" w:type="dxa"/>
            <w:tcBorders>
              <w:top w:val="nil"/>
              <w:left w:val="nil"/>
              <w:bottom w:val="single" w:color="auto" w:sz="4" w:space="0"/>
              <w:right w:val="single" w:color="auto" w:sz="4" w:space="0"/>
            </w:tcBorders>
            <w:vAlign w:val="center"/>
          </w:tcPr>
          <w:p w14:paraId="2DEB49C9">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13F13A9">
        <w:tblPrEx>
          <w:tblCellMar>
            <w:top w:w="0" w:type="dxa"/>
            <w:left w:w="108" w:type="dxa"/>
            <w:bottom w:w="0" w:type="dxa"/>
            <w:right w:w="108" w:type="dxa"/>
          </w:tblCellMar>
        </w:tblPrEx>
        <w:trPr>
          <w:trHeight w:val="426" w:hRule="atLeast"/>
          <w:jc w:val="center"/>
        </w:trPr>
        <w:tc>
          <w:tcPr>
            <w:tcW w:w="2161" w:type="dxa"/>
            <w:tcBorders>
              <w:top w:val="nil"/>
              <w:left w:val="single" w:color="auto" w:sz="4" w:space="0"/>
              <w:bottom w:val="single" w:color="auto" w:sz="4" w:space="0"/>
              <w:right w:val="single" w:color="auto" w:sz="4" w:space="0"/>
            </w:tcBorders>
            <w:vAlign w:val="center"/>
          </w:tcPr>
          <w:p w14:paraId="65011066">
            <w:pPr>
              <w:widowControl/>
              <w:spacing w:line="336" w:lineRule="auto"/>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618" w:type="dxa"/>
            <w:tcBorders>
              <w:top w:val="nil"/>
              <w:left w:val="nil"/>
              <w:bottom w:val="single" w:color="auto" w:sz="4" w:space="0"/>
              <w:right w:val="single" w:color="auto" w:sz="4" w:space="0"/>
            </w:tcBorders>
            <w:vAlign w:val="center"/>
          </w:tcPr>
          <w:p w14:paraId="148CBF0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346" w:type="dxa"/>
            <w:tcBorders>
              <w:top w:val="nil"/>
              <w:left w:val="nil"/>
              <w:bottom w:val="single" w:color="auto" w:sz="4" w:space="0"/>
              <w:right w:val="single" w:color="auto" w:sz="4" w:space="0"/>
            </w:tcBorders>
            <w:vAlign w:val="center"/>
          </w:tcPr>
          <w:p w14:paraId="25CE5187">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96" w:type="dxa"/>
            <w:tcBorders>
              <w:top w:val="nil"/>
              <w:left w:val="nil"/>
              <w:bottom w:val="single" w:color="auto" w:sz="4" w:space="0"/>
              <w:right w:val="single" w:color="auto" w:sz="4" w:space="0"/>
            </w:tcBorders>
            <w:vAlign w:val="center"/>
          </w:tcPr>
          <w:p w14:paraId="0B5A04E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647" w:type="dxa"/>
            <w:tcBorders>
              <w:top w:val="nil"/>
              <w:left w:val="nil"/>
              <w:bottom w:val="single" w:color="auto" w:sz="4" w:space="0"/>
              <w:right w:val="single" w:color="auto" w:sz="4" w:space="0"/>
            </w:tcBorders>
            <w:vAlign w:val="center"/>
          </w:tcPr>
          <w:p w14:paraId="4C809202">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tcBorders>
              <w:top w:val="nil"/>
              <w:left w:val="nil"/>
              <w:bottom w:val="single" w:color="auto" w:sz="4" w:space="0"/>
              <w:right w:val="single" w:color="auto" w:sz="4" w:space="0"/>
            </w:tcBorders>
            <w:vAlign w:val="center"/>
          </w:tcPr>
          <w:p w14:paraId="3DDEECF4">
            <w:pPr>
              <w:widowControl/>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14BD362">
      <w:pPr>
        <w:pStyle w:val="125"/>
        <w:spacing w:after="120"/>
        <w:ind w:firstLine="420"/>
        <w:rPr>
          <w:color w:val="auto"/>
          <w:highlight w:val="none"/>
        </w:rPr>
      </w:pPr>
      <w:r>
        <w:rPr>
          <w:rFonts w:hint="eastAsia" w:ascii="宋体" w:hAnsi="宋体" w:cs="宋体"/>
          <w:color w:val="auto"/>
          <w:kern w:val="2"/>
          <w:sz w:val="21"/>
          <w:szCs w:val="21"/>
          <w:highlight w:val="none"/>
        </w:rPr>
        <w:t>说明：上述标准参照《关于印发中小企业划型标准规定的通知》（工信部联企业[2011]300号），大型、中型和小型企业须同时满足所列指标的下限，否则下划一档；微型企业只需满足所列指标中的一项即可。</w:t>
      </w:r>
    </w:p>
    <w:p w14:paraId="7DA464F9">
      <w:pPr>
        <w:pStyle w:val="61"/>
        <w:rPr>
          <w:color w:val="auto"/>
          <w:highlight w:val="none"/>
        </w:rPr>
        <w:sectPr>
          <w:pgSz w:w="11906" w:h="16838"/>
          <w:pgMar w:top="1134" w:right="1332" w:bottom="1134" w:left="1332" w:header="851" w:footer="992" w:gutter="0"/>
          <w:cols w:space="0" w:num="1"/>
          <w:titlePg/>
          <w:docGrid w:linePitch="312" w:charSpace="0"/>
        </w:sectPr>
      </w:pPr>
    </w:p>
    <w:p w14:paraId="2A12270A">
      <w:pPr>
        <w:pStyle w:val="3"/>
        <w:spacing w:before="0" w:after="0" w:line="360" w:lineRule="auto"/>
        <w:jc w:val="center"/>
        <w:rPr>
          <w:rFonts w:hint="eastAsia" w:asciiTheme="majorEastAsia" w:hAnsiTheme="majorEastAsia" w:eastAsiaTheme="majorEastAsia"/>
          <w:color w:val="auto"/>
          <w:highlight w:val="none"/>
        </w:rPr>
      </w:pPr>
      <w:bookmarkStart w:id="54" w:name="_Toc74320802"/>
      <w:r>
        <w:rPr>
          <w:rFonts w:hint="eastAsia" w:asciiTheme="majorEastAsia" w:hAnsiTheme="majorEastAsia" w:eastAsiaTheme="majorEastAsia"/>
          <w:color w:val="auto"/>
          <w:highlight w:val="none"/>
        </w:rPr>
        <w:t>第三章  投标人须知</w:t>
      </w:r>
      <w:bookmarkEnd w:id="54"/>
    </w:p>
    <w:p w14:paraId="0CFF4218">
      <w:pPr>
        <w:jc w:val="center"/>
        <w:rPr>
          <w:rFonts w:hint="eastAsia" w:asciiTheme="majorEastAsia" w:hAnsiTheme="majorEastAsia" w:eastAsiaTheme="majorEastAsia"/>
          <w:color w:val="auto"/>
          <w:sz w:val="36"/>
          <w:szCs w:val="36"/>
          <w:highlight w:val="none"/>
        </w:rPr>
      </w:pPr>
      <w:bookmarkStart w:id="55" w:name="_Toc254970667"/>
      <w:bookmarkStart w:id="56" w:name="_Toc254970526"/>
      <w:r>
        <w:rPr>
          <w:rFonts w:hint="eastAsia" w:asciiTheme="majorEastAsia" w:hAnsiTheme="majorEastAsia" w:eastAsiaTheme="majorEastAsia"/>
          <w:color w:val="auto"/>
          <w:sz w:val="36"/>
          <w:szCs w:val="36"/>
          <w:highlight w:val="none"/>
        </w:rPr>
        <w:t>投标人须知前附表</w:t>
      </w:r>
      <w:bookmarkEnd w:id="55"/>
      <w:bookmarkEnd w:id="56"/>
    </w:p>
    <w:tbl>
      <w:tblPr>
        <w:tblStyle w:val="50"/>
        <w:tblW w:w="98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2"/>
        <w:gridCol w:w="8853"/>
      </w:tblGrid>
      <w:tr w14:paraId="4B344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78611C0F">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条款号</w:t>
            </w:r>
          </w:p>
        </w:tc>
        <w:tc>
          <w:tcPr>
            <w:tcW w:w="8853" w:type="dxa"/>
            <w:tcBorders>
              <w:top w:val="single" w:color="auto" w:sz="4" w:space="0"/>
              <w:left w:val="single" w:color="auto" w:sz="4" w:space="0"/>
              <w:bottom w:val="single" w:color="auto" w:sz="4" w:space="0"/>
              <w:right w:val="single" w:color="auto" w:sz="4" w:space="0"/>
            </w:tcBorders>
            <w:vAlign w:val="center"/>
          </w:tcPr>
          <w:p w14:paraId="4E01341C">
            <w:pPr>
              <w:snapToGrid w:val="0"/>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编列内容</w:t>
            </w:r>
          </w:p>
        </w:tc>
      </w:tr>
      <w:tr w14:paraId="6EECE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1C98844F">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w:t>
            </w:r>
          </w:p>
        </w:tc>
        <w:tc>
          <w:tcPr>
            <w:tcW w:w="8853" w:type="dxa"/>
            <w:tcBorders>
              <w:top w:val="single" w:color="auto" w:sz="4" w:space="0"/>
              <w:left w:val="single" w:color="auto" w:sz="4" w:space="0"/>
              <w:bottom w:val="single" w:color="auto" w:sz="4" w:space="0"/>
              <w:right w:val="single" w:color="auto" w:sz="4" w:space="0"/>
            </w:tcBorders>
            <w:vAlign w:val="center"/>
          </w:tcPr>
          <w:p w14:paraId="28686C50">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投标人的资格要求详见招标公告。</w:t>
            </w:r>
          </w:p>
          <w:p w14:paraId="39819901">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投标人出现下列情形之一的，不得参加政府采购活动：</w:t>
            </w:r>
          </w:p>
          <w:p w14:paraId="0E6697F1">
            <w:pPr>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2.1</w:t>
            </w:r>
            <w:r>
              <w:rPr>
                <w:rFonts w:hint="eastAsia" w:asciiTheme="majorEastAsia" w:hAnsiTheme="majorEastAsia" w:eastAsiaTheme="majorEastAsia"/>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FD3C746">
            <w:pPr>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2.2</w:t>
            </w:r>
            <w:r>
              <w:rPr>
                <w:rFonts w:hint="eastAsia" w:asciiTheme="majorEastAsia" w:hAnsiTheme="majorEastAsia" w:eastAsiaTheme="majorEastAsia"/>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0509A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113B3C61">
            <w:pPr>
              <w:spacing w:line="360" w:lineRule="auto"/>
              <w:jc w:val="center"/>
              <w:rPr>
                <w:rFonts w:hint="eastAsia" w:asciiTheme="majorEastAsia" w:hAnsiTheme="majorEastAsia" w:eastAsiaTheme="majorEastAsia"/>
                <w:color w:val="auto"/>
                <w:szCs w:val="21"/>
                <w:highlight w:val="none"/>
              </w:rPr>
            </w:pPr>
            <w:bookmarkStart w:id="57" w:name="_5"/>
            <w:bookmarkEnd w:id="57"/>
            <w:bookmarkStart w:id="58" w:name="_8.1"/>
            <w:bookmarkEnd w:id="58"/>
            <w:bookmarkStart w:id="59" w:name="_9.2"/>
            <w:bookmarkEnd w:id="59"/>
            <w:r>
              <w:rPr>
                <w:rFonts w:hint="eastAsia" w:asciiTheme="majorEastAsia" w:hAnsiTheme="majorEastAsia" w:eastAsiaTheme="majorEastAsia"/>
                <w:color w:val="auto"/>
                <w:szCs w:val="21"/>
                <w:highlight w:val="none"/>
              </w:rPr>
              <w:t>6.1</w:t>
            </w:r>
          </w:p>
        </w:tc>
        <w:tc>
          <w:tcPr>
            <w:tcW w:w="8853" w:type="dxa"/>
            <w:tcBorders>
              <w:top w:val="single" w:color="auto" w:sz="4" w:space="0"/>
              <w:left w:val="single" w:color="auto" w:sz="4" w:space="0"/>
              <w:bottom w:val="single" w:color="auto" w:sz="4" w:space="0"/>
              <w:right w:val="single" w:color="auto" w:sz="4" w:space="0"/>
            </w:tcBorders>
            <w:vAlign w:val="center"/>
          </w:tcPr>
          <w:p w14:paraId="163B8868">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本项目是否接受联合体投标：</w:t>
            </w:r>
            <w:r>
              <w:rPr>
                <w:rFonts w:hint="eastAsia" w:asciiTheme="majorEastAsia" w:hAnsiTheme="majorEastAsia" w:eastAsiaTheme="majorEastAsia"/>
                <w:b/>
                <w:bCs/>
                <w:color w:val="auto"/>
                <w:szCs w:val="21"/>
                <w:highlight w:val="none"/>
                <w:lang w:eastAsia="zh-CN"/>
              </w:rPr>
              <w:t>不接受</w:t>
            </w:r>
            <w:r>
              <w:rPr>
                <w:rFonts w:hint="eastAsia" w:asciiTheme="majorEastAsia" w:hAnsiTheme="majorEastAsia" w:eastAsiaTheme="majorEastAsia"/>
                <w:color w:val="auto"/>
                <w:szCs w:val="21"/>
                <w:highlight w:val="none"/>
              </w:rPr>
              <w:t>。</w:t>
            </w:r>
          </w:p>
        </w:tc>
      </w:tr>
      <w:tr w14:paraId="1201B8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2B052982">
            <w:pPr>
              <w:spacing w:line="360" w:lineRule="auto"/>
              <w:jc w:val="center"/>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6.2</w:t>
            </w:r>
          </w:p>
        </w:tc>
        <w:tc>
          <w:tcPr>
            <w:tcW w:w="8853" w:type="dxa"/>
            <w:tcBorders>
              <w:top w:val="single" w:color="auto" w:sz="4" w:space="0"/>
              <w:left w:val="single" w:color="auto" w:sz="4" w:space="0"/>
              <w:bottom w:val="single" w:color="auto" w:sz="4" w:space="0"/>
              <w:right w:val="single" w:color="auto" w:sz="4" w:space="0"/>
            </w:tcBorders>
            <w:vAlign w:val="center"/>
          </w:tcPr>
          <w:p w14:paraId="784BEA7B">
            <w:pPr>
              <w:pStyle w:val="18"/>
              <w:spacing w:line="360" w:lineRule="auto"/>
              <w:rPr>
                <w:rFonts w:hint="eastAsia" w:asciiTheme="majorEastAsia" w:hAnsiTheme="majorEastAsia" w:eastAsiaTheme="majorEastAsia"/>
                <w:color w:val="auto"/>
                <w:szCs w:val="21"/>
                <w:highlight w:val="none"/>
              </w:rPr>
            </w:pPr>
            <w:bookmarkStart w:id="60" w:name="_Hlk54105293"/>
            <w:r>
              <w:rPr>
                <w:rFonts w:hint="eastAsia" w:asciiTheme="majorEastAsia" w:hAnsiTheme="majorEastAsia" w:eastAsiaTheme="majorEastAsia"/>
                <w:color w:val="auto"/>
                <w:szCs w:val="21"/>
                <w:highlight w:val="none"/>
              </w:rPr>
              <w:t>如接受联合体投标，</w:t>
            </w:r>
            <w:bookmarkEnd w:id="60"/>
            <w:r>
              <w:rPr>
                <w:rFonts w:hint="eastAsia" w:asciiTheme="majorEastAsia" w:hAnsiTheme="majorEastAsia" w:eastAsiaTheme="majorEastAsia"/>
                <w:color w:val="auto"/>
                <w:szCs w:val="21"/>
                <w:highlight w:val="none"/>
              </w:rPr>
              <w:t>联合体投标要求如下：</w:t>
            </w:r>
          </w:p>
          <w:p w14:paraId="64CE58B8">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两个以上投标人可以组成一个投标联合体，以一个投标人的身份共同参加投标。联合体投标的，须提供《联合体投标协议书》（格式后附）。</w:t>
            </w:r>
          </w:p>
          <w:p w14:paraId="4DAE0FF1">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1F3B5845">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联合体各方之间必须签订联合投标协议，协议书必须明确主体方（或者牵头方）并明确约定联合体各方承担的工作和相应的责任（各方承担责任与义务的分工必须符合采购需求，否则，</w:t>
            </w:r>
            <w:r>
              <w:rPr>
                <w:rFonts w:hint="eastAsia" w:asciiTheme="majorEastAsia" w:hAnsiTheme="majorEastAsia" w:eastAsiaTheme="majorEastAsia"/>
                <w:b/>
                <w:bCs/>
                <w:color w:val="auto"/>
                <w:szCs w:val="21"/>
                <w:highlight w:val="none"/>
              </w:rPr>
              <w:t>联合体投标无效</w:t>
            </w:r>
            <w:r>
              <w:rPr>
                <w:rFonts w:hint="eastAsia" w:asciiTheme="majorEastAsia" w:hAnsiTheme="majorEastAsia" w:eastAsiaTheme="majorEastAsia"/>
                <w:color w:val="auto"/>
                <w:szCs w:val="21"/>
                <w:highlight w:val="none"/>
              </w:rPr>
              <w:t>），并将联合投标协议放入投标文件。联合体各方必须共同与采购人签订采购合同，就采购合同约定的事项对采购人承担连带责任。</w:t>
            </w:r>
          </w:p>
          <w:p w14:paraId="5A7FE24F">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以联合体形式参加政府采购活动的，联合体各方不得再单独参加或者与其他投标人另外组成联合体参加同一合同项下的政府采购活动。</w:t>
            </w:r>
          </w:p>
          <w:p w14:paraId="1F8AC869">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联合体中有同类资质的投标人按照联合体分工承担相同工作的，应当按照资质等级较低的投标人确定资质等级。</w:t>
            </w:r>
          </w:p>
          <w:p w14:paraId="700FD03B">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联合体投标业绩、履约能力按照联合体各方其中较高的一方认定并计算（招标文件另有规定的除外）。</w:t>
            </w:r>
          </w:p>
          <w:p w14:paraId="61AADE02">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投标人为联合体的，可以由联合体中的一方或者多方共同交纳投标保证金，其交纳的保证金对联合体各方均具有约束力。</w:t>
            </w:r>
          </w:p>
          <w:p w14:paraId="150F332E">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联合体各方均应按照招标文件的规定提交资格证明文件。</w:t>
            </w:r>
          </w:p>
        </w:tc>
      </w:tr>
      <w:tr w14:paraId="56F7C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728D95BF">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7.2</w:t>
            </w:r>
          </w:p>
        </w:tc>
        <w:tc>
          <w:tcPr>
            <w:tcW w:w="8853" w:type="dxa"/>
            <w:tcBorders>
              <w:top w:val="single" w:color="auto" w:sz="4" w:space="0"/>
              <w:left w:val="single" w:color="auto" w:sz="4" w:space="0"/>
              <w:bottom w:val="single" w:color="auto" w:sz="4" w:space="0"/>
              <w:right w:val="single" w:color="auto" w:sz="4" w:space="0"/>
            </w:tcBorders>
            <w:vAlign w:val="center"/>
          </w:tcPr>
          <w:p w14:paraId="2A89FB66">
            <w:pPr>
              <w:pStyle w:val="18"/>
              <w:spacing w:line="360" w:lineRule="auto"/>
              <w:rPr>
                <w:rFonts w:hint="eastAsia" w:asciiTheme="majorEastAsia" w:hAnsiTheme="majorEastAsia" w:eastAsiaTheme="majorEastAsia"/>
                <w:color w:val="auto"/>
                <w:szCs w:val="21"/>
                <w:highlight w:val="none"/>
              </w:rPr>
            </w:pPr>
            <w:r>
              <w:rPr>
                <w:rFonts w:hint="eastAsia" w:ascii="Segoe UI Symbol" w:hAnsi="Segoe UI Symbol" w:cs="Segoe UI Symbol" w:eastAsiaTheme="majorEastAsia"/>
                <w:color w:val="auto"/>
                <w:szCs w:val="21"/>
                <w:highlight w:val="none"/>
                <w:lang w:eastAsia="zh-CN"/>
              </w:rPr>
              <w:t>□</w:t>
            </w:r>
            <w:r>
              <w:rPr>
                <w:rFonts w:hint="eastAsia" w:asciiTheme="majorEastAsia" w:hAnsiTheme="majorEastAsia" w:eastAsiaTheme="majorEastAsia"/>
                <w:color w:val="auto"/>
                <w:szCs w:val="21"/>
                <w:highlight w:val="none"/>
              </w:rPr>
              <w:t>不允许分包</w:t>
            </w:r>
          </w:p>
          <w:p w14:paraId="6841F9CF">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rPr>
              <w:t>允许分包</w:t>
            </w:r>
          </w:p>
          <w:p w14:paraId="2751C491">
            <w:pPr>
              <w:pStyle w:val="18"/>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分包内容：</w:t>
            </w:r>
            <w:r>
              <w:rPr>
                <w:rFonts w:hint="eastAsia" w:asciiTheme="majorEastAsia" w:hAnsiTheme="majorEastAsia" w:eastAsiaTheme="majorEastAsia"/>
                <w:color w:val="auto"/>
                <w:szCs w:val="21"/>
                <w:highlight w:val="none"/>
                <w:u w:val="single"/>
                <w:lang w:val="en-US" w:eastAsia="zh-CN"/>
              </w:rPr>
              <w:t>第六部分内容，分包需经采购人审核</w:t>
            </w:r>
            <w:r>
              <w:rPr>
                <w:rFonts w:hint="eastAsia" w:asciiTheme="majorEastAsia" w:hAnsiTheme="majorEastAsia" w:eastAsiaTheme="majorEastAsia"/>
                <w:color w:val="auto"/>
                <w:szCs w:val="21"/>
                <w:highlight w:val="none"/>
                <w:u w:val="single"/>
                <w:lang w:eastAsia="zh-CN"/>
              </w:rPr>
              <w:t>。（</w:t>
            </w:r>
            <w:r>
              <w:rPr>
                <w:rFonts w:hint="eastAsia" w:asciiTheme="majorEastAsia" w:hAnsiTheme="majorEastAsia" w:eastAsiaTheme="majorEastAsia"/>
                <w:color w:val="auto"/>
                <w:szCs w:val="21"/>
                <w:highlight w:val="none"/>
                <w:u w:val="single"/>
                <w:lang w:val="en-US" w:eastAsia="zh-CN"/>
              </w:rPr>
              <w:t>承</w:t>
            </w:r>
            <w:r>
              <w:rPr>
                <w:rFonts w:hint="eastAsia" w:asciiTheme="majorEastAsia" w:hAnsiTheme="majorEastAsia" w:eastAsiaTheme="majorEastAsia"/>
                <w:color w:val="auto"/>
                <w:szCs w:val="21"/>
                <w:highlight w:val="none"/>
                <w:u w:val="single"/>
                <w:lang w:eastAsia="zh-CN"/>
              </w:rPr>
              <w:t>包人必须具备符合国家要求的有效的资质证书）</w:t>
            </w:r>
            <w:r>
              <w:rPr>
                <w:rFonts w:hint="eastAsia" w:asciiTheme="majorEastAsia" w:hAnsiTheme="majorEastAsia" w:eastAsiaTheme="majorEastAsia"/>
                <w:color w:val="auto"/>
                <w:szCs w:val="21"/>
                <w:highlight w:val="none"/>
                <w:u w:val="single"/>
              </w:rPr>
              <w:t>。</w:t>
            </w:r>
          </w:p>
          <w:p w14:paraId="3B89CD42">
            <w:pPr>
              <w:pStyle w:val="18"/>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分包金额或者比例：</w:t>
            </w:r>
            <w:r>
              <w:rPr>
                <w:rFonts w:hint="eastAsia" w:asciiTheme="majorEastAsia" w:hAnsiTheme="majorEastAsia" w:eastAsiaTheme="majorEastAsia"/>
                <w:color w:val="auto"/>
                <w:szCs w:val="21"/>
                <w:highlight w:val="none"/>
                <w:u w:val="single"/>
                <w:lang w:val="en-US" w:eastAsia="zh-CN"/>
              </w:rPr>
              <w:t>第六部分内容，分包需经采购人审核。</w:t>
            </w:r>
            <w:r>
              <w:rPr>
                <w:rFonts w:hint="eastAsia" w:asciiTheme="majorEastAsia" w:hAnsiTheme="majorEastAsia" w:eastAsiaTheme="majorEastAsia"/>
                <w:color w:val="auto"/>
                <w:szCs w:val="21"/>
                <w:highlight w:val="none"/>
                <w:u w:val="single"/>
                <w:lang w:eastAsia="zh-CN"/>
              </w:rPr>
              <w:t>（</w:t>
            </w:r>
            <w:r>
              <w:rPr>
                <w:rFonts w:hint="eastAsia" w:asciiTheme="majorEastAsia" w:hAnsiTheme="majorEastAsia" w:eastAsiaTheme="majorEastAsia"/>
                <w:color w:val="auto"/>
                <w:szCs w:val="21"/>
                <w:highlight w:val="none"/>
                <w:u w:val="single"/>
                <w:lang w:val="en-US" w:eastAsia="zh-CN"/>
              </w:rPr>
              <w:t>承</w:t>
            </w:r>
            <w:r>
              <w:rPr>
                <w:rFonts w:hint="eastAsia" w:asciiTheme="majorEastAsia" w:hAnsiTheme="majorEastAsia" w:eastAsiaTheme="majorEastAsia"/>
                <w:color w:val="auto"/>
                <w:szCs w:val="21"/>
                <w:highlight w:val="none"/>
                <w:u w:val="single"/>
                <w:lang w:eastAsia="zh-CN"/>
              </w:rPr>
              <w:t>包人必须具备符合国家要求的有效的资质证书）</w:t>
            </w:r>
            <w:r>
              <w:rPr>
                <w:rFonts w:hint="eastAsia" w:asciiTheme="majorEastAsia" w:hAnsiTheme="majorEastAsia" w:eastAsiaTheme="majorEastAsia"/>
                <w:color w:val="auto"/>
                <w:szCs w:val="21"/>
                <w:highlight w:val="none"/>
                <w:u w:val="single"/>
              </w:rPr>
              <w:t>。</w:t>
            </w:r>
          </w:p>
        </w:tc>
      </w:tr>
      <w:tr w14:paraId="5D7CB0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52C5CCC9">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8.1</w:t>
            </w:r>
          </w:p>
        </w:tc>
        <w:tc>
          <w:tcPr>
            <w:tcW w:w="8853" w:type="dxa"/>
            <w:tcBorders>
              <w:top w:val="single" w:color="auto" w:sz="4" w:space="0"/>
              <w:left w:val="single" w:color="auto" w:sz="4" w:space="0"/>
              <w:bottom w:val="single" w:color="auto" w:sz="4" w:space="0"/>
              <w:right w:val="single" w:color="auto" w:sz="4" w:space="0"/>
            </w:tcBorders>
            <w:vAlign w:val="center"/>
          </w:tcPr>
          <w:p w14:paraId="18F7CDBE">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采用综合评分法的采购项目，提供相同品牌产品（非单一产品采购项目的，指核心产品）的不同投标人评审得分相同时，按照下列方式确定一个投标人获得中标人推荐资格：</w:t>
            </w:r>
          </w:p>
          <w:p w14:paraId="4824138B">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Segoe UI Symbol" w:hAnsi="Segoe UI Symbol" w:cs="Segoe UI Symbol" w:eastAsiaTheme="majorEastAsia"/>
                <w:color w:val="auto"/>
                <w:szCs w:val="21"/>
                <w:highlight w:val="none"/>
                <w:lang w:eastAsia="zh-CN"/>
              </w:rPr>
              <w:t>☑</w:t>
            </w:r>
            <w:r>
              <w:rPr>
                <w:rFonts w:hint="eastAsia" w:asciiTheme="majorEastAsia" w:hAnsiTheme="majorEastAsia" w:eastAsiaTheme="majorEastAsia"/>
                <w:color w:val="auto"/>
                <w:szCs w:val="21"/>
                <w:highlight w:val="none"/>
              </w:rPr>
              <w:t>依次按投标报价低的优先、政策分得分高的优先、技术评分高的优先、商务评分高的优先、保修期长优先、交货期短优先、故障响应时间短优先的顺序推荐；</w:t>
            </w:r>
          </w:p>
          <w:p w14:paraId="28EA477E">
            <w:pPr>
              <w:autoSpaceDE w:val="0"/>
              <w:autoSpaceDN w:val="0"/>
              <w:snapToGrid w:val="0"/>
              <w:spacing w:line="360" w:lineRule="auto"/>
              <w:textAlignment w:val="bottom"/>
              <w:rPr>
                <w:rFonts w:hint="eastAsia" w:asciiTheme="majorEastAsia" w:hAnsiTheme="majorEastAsia" w:eastAsiaTheme="majorEastAsia"/>
                <w:color w:val="auto"/>
                <w:szCs w:val="21"/>
                <w:highlight w:val="none"/>
                <w:lang w:eastAsia="zh-CN"/>
              </w:rPr>
            </w:pPr>
            <w:r>
              <w:rPr>
                <w:rFonts w:hint="eastAsia" w:asciiTheme="majorEastAsia" w:hAnsiTheme="majorEastAsia" w:eastAsiaTheme="majorEastAsia"/>
                <w:color w:val="auto"/>
                <w:szCs w:val="21"/>
                <w:highlight w:val="none"/>
              </w:rPr>
              <w:t>□随机抽取</w:t>
            </w:r>
            <w:r>
              <w:rPr>
                <w:rFonts w:hint="eastAsia" w:asciiTheme="majorEastAsia" w:hAnsiTheme="majorEastAsia" w:eastAsiaTheme="majorEastAsia"/>
                <w:color w:val="auto"/>
                <w:szCs w:val="21"/>
                <w:highlight w:val="none"/>
                <w:lang w:eastAsia="zh-CN"/>
              </w:rPr>
              <w:t>。</w:t>
            </w:r>
          </w:p>
        </w:tc>
      </w:tr>
      <w:tr w14:paraId="5B4817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972" w:type="dxa"/>
            <w:vMerge w:val="restart"/>
            <w:tcBorders>
              <w:top w:val="single" w:color="auto" w:sz="4" w:space="0"/>
              <w:left w:val="single" w:color="auto" w:sz="4" w:space="0"/>
              <w:right w:val="single" w:color="auto" w:sz="4" w:space="0"/>
            </w:tcBorders>
            <w:vAlign w:val="center"/>
          </w:tcPr>
          <w:p w14:paraId="55BE7738">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1.2</w:t>
            </w:r>
          </w:p>
        </w:tc>
        <w:tc>
          <w:tcPr>
            <w:tcW w:w="8853" w:type="dxa"/>
            <w:tcBorders>
              <w:top w:val="single" w:color="auto" w:sz="4" w:space="0"/>
              <w:left w:val="single" w:color="auto" w:sz="4" w:space="0"/>
              <w:bottom w:val="single" w:color="auto" w:sz="4" w:space="0"/>
              <w:right w:val="single" w:color="auto" w:sz="4" w:space="0"/>
            </w:tcBorders>
            <w:vAlign w:val="center"/>
          </w:tcPr>
          <w:p w14:paraId="20698221">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是否组织现场考察详见第二章《采购需求》中的《</w:t>
            </w:r>
            <w:r>
              <w:rPr>
                <w:rFonts w:hint="eastAsia" w:cs="宋体" w:asciiTheme="majorEastAsia" w:hAnsiTheme="majorEastAsia" w:eastAsiaTheme="majorEastAsia"/>
                <w:color w:val="auto"/>
                <w:szCs w:val="21"/>
                <w:highlight w:val="none"/>
              </w:rPr>
              <w:t>涉及项目的其他要求及说明</w:t>
            </w:r>
            <w:r>
              <w:rPr>
                <w:rFonts w:hint="eastAsia" w:asciiTheme="majorEastAsia" w:hAnsiTheme="majorEastAsia" w:eastAsiaTheme="majorEastAsia"/>
                <w:color w:val="auto"/>
                <w:szCs w:val="21"/>
                <w:highlight w:val="none"/>
              </w:rPr>
              <w:t>》。</w:t>
            </w:r>
          </w:p>
        </w:tc>
      </w:tr>
      <w:tr w14:paraId="0101CB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972" w:type="dxa"/>
            <w:vMerge w:val="continue"/>
            <w:tcBorders>
              <w:left w:val="single" w:color="auto" w:sz="4" w:space="0"/>
              <w:bottom w:val="single" w:color="auto" w:sz="4" w:space="0"/>
              <w:right w:val="single" w:color="auto" w:sz="4" w:space="0"/>
            </w:tcBorders>
            <w:vAlign w:val="center"/>
          </w:tcPr>
          <w:p w14:paraId="55357E5F">
            <w:pPr>
              <w:spacing w:line="360" w:lineRule="auto"/>
              <w:jc w:val="center"/>
              <w:rPr>
                <w:rFonts w:hint="eastAsia" w:asciiTheme="majorEastAsia" w:hAnsiTheme="majorEastAsia" w:eastAsiaTheme="majorEastAsia"/>
                <w:color w:val="auto"/>
                <w:szCs w:val="21"/>
                <w:highlight w:val="none"/>
              </w:rPr>
            </w:pPr>
          </w:p>
        </w:tc>
        <w:tc>
          <w:tcPr>
            <w:tcW w:w="8853" w:type="dxa"/>
            <w:tcBorders>
              <w:top w:val="single" w:color="auto" w:sz="4" w:space="0"/>
              <w:left w:val="single" w:color="auto" w:sz="4" w:space="0"/>
              <w:bottom w:val="single" w:color="auto" w:sz="4" w:space="0"/>
              <w:right w:val="single" w:color="auto" w:sz="4" w:space="0"/>
            </w:tcBorders>
            <w:vAlign w:val="center"/>
          </w:tcPr>
          <w:p w14:paraId="72F4D15B">
            <w:pPr>
              <w:snapToGrid w:val="0"/>
              <w:spacing w:line="360" w:lineRule="auto"/>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不组织召开开标前答疑会</w:t>
            </w:r>
          </w:p>
          <w:p w14:paraId="11FE1FD6">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□组织召开开标前答疑会</w:t>
            </w:r>
          </w:p>
          <w:p w14:paraId="47F320D5">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会议开始时间：</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年</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月</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 xml:space="preserve">日 </w:t>
            </w:r>
            <w:r>
              <w:rPr>
                <w:rFonts w:hint="eastAsia" w:asciiTheme="majorEastAsia" w:hAnsiTheme="majorEastAsia" w:eastAsiaTheme="majorEastAsia"/>
                <w:color w:val="auto"/>
                <w:szCs w:val="21"/>
                <w:highlight w:val="none"/>
                <w:u w:val="single"/>
              </w:rPr>
              <w:t xml:space="preserve"> / </w:t>
            </w:r>
            <w:r>
              <w:rPr>
                <w:rFonts w:hint="eastAsia" w:asciiTheme="majorEastAsia" w:hAnsiTheme="majorEastAsia" w:eastAsiaTheme="majorEastAsia"/>
                <w:color w:val="auto"/>
                <w:szCs w:val="21"/>
                <w:highlight w:val="none"/>
              </w:rPr>
              <w:t>时</w:t>
            </w:r>
            <w:r>
              <w:rPr>
                <w:rFonts w:hint="eastAsia" w:asciiTheme="majorEastAsia" w:hAnsiTheme="majorEastAsia" w:eastAsiaTheme="majorEastAsia"/>
                <w:color w:val="auto"/>
                <w:szCs w:val="21"/>
                <w:highlight w:val="none"/>
                <w:u w:val="single"/>
              </w:rPr>
              <w:t xml:space="preserve"> / 分</w:t>
            </w:r>
            <w:r>
              <w:rPr>
                <w:rFonts w:hint="eastAsia" w:asciiTheme="majorEastAsia" w:hAnsiTheme="majorEastAsia" w:eastAsiaTheme="majorEastAsia"/>
                <w:color w:val="auto"/>
                <w:szCs w:val="21"/>
                <w:highlight w:val="none"/>
              </w:rPr>
              <w:t>，逾期后果自负。会议地点：</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u w:val="single"/>
              </w:rPr>
              <w:t>/</w:t>
            </w:r>
            <w:r>
              <w:rPr>
                <w:rFonts w:asciiTheme="majorEastAsia" w:hAnsiTheme="majorEastAsia" w:eastAsiaTheme="majorEastAsia"/>
                <w:color w:val="auto"/>
                <w:szCs w:val="21"/>
                <w:highlight w:val="none"/>
                <w:u w:val="single"/>
              </w:rPr>
              <w:t xml:space="preserve">   </w:t>
            </w:r>
          </w:p>
        </w:tc>
      </w:tr>
      <w:tr w14:paraId="41C4B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restart"/>
            <w:tcBorders>
              <w:top w:val="single" w:color="auto" w:sz="4" w:space="0"/>
              <w:left w:val="single" w:color="auto" w:sz="4" w:space="0"/>
              <w:right w:val="single" w:color="auto" w:sz="4" w:space="0"/>
            </w:tcBorders>
            <w:vAlign w:val="center"/>
          </w:tcPr>
          <w:p w14:paraId="355740D2">
            <w:pPr>
              <w:spacing w:line="360" w:lineRule="auto"/>
              <w:jc w:val="center"/>
              <w:rPr>
                <w:rFonts w:hint="eastAsia" w:asciiTheme="majorEastAsia" w:hAnsiTheme="majorEastAsia" w:eastAsiaTheme="majorEastAsia"/>
                <w:color w:val="auto"/>
                <w:szCs w:val="21"/>
                <w:highlight w:val="none"/>
              </w:rPr>
            </w:pPr>
            <w:bookmarkStart w:id="61" w:name="_13.1"/>
            <w:bookmarkEnd w:id="61"/>
            <w:r>
              <w:rPr>
                <w:rFonts w:hint="eastAsia" w:asciiTheme="majorEastAsia" w:hAnsiTheme="majorEastAsia" w:eastAsiaTheme="majorEastAsia"/>
                <w:color w:val="auto"/>
                <w:szCs w:val="21"/>
                <w:highlight w:val="none"/>
              </w:rPr>
              <w:t>13</w:t>
            </w:r>
          </w:p>
        </w:tc>
        <w:tc>
          <w:tcPr>
            <w:tcW w:w="8853" w:type="dxa"/>
            <w:tcBorders>
              <w:top w:val="single" w:color="auto" w:sz="4" w:space="0"/>
              <w:left w:val="single" w:color="auto" w:sz="4" w:space="0"/>
              <w:bottom w:val="single" w:color="auto" w:sz="4" w:space="0"/>
              <w:right w:val="single" w:color="auto" w:sz="4" w:space="0"/>
            </w:tcBorders>
            <w:vAlign w:val="center"/>
          </w:tcPr>
          <w:p w14:paraId="39C1053F">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报价文件：</w:t>
            </w:r>
          </w:p>
          <w:p w14:paraId="0E273E0F">
            <w:pPr>
              <w:tabs>
                <w:tab w:val="left" w:pos="34"/>
              </w:tabs>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1.</w:t>
            </w:r>
            <w:r>
              <w:rPr>
                <w:rFonts w:hint="eastAsia" w:asciiTheme="majorEastAsia" w:hAnsiTheme="majorEastAsia" w:eastAsiaTheme="majorEastAsia"/>
                <w:color w:val="auto"/>
                <w:szCs w:val="21"/>
                <w:highlight w:val="none"/>
              </w:rPr>
              <w:t>投标函（格式后附）；</w:t>
            </w:r>
            <w:r>
              <w:rPr>
                <w:rFonts w:hint="eastAsia" w:asciiTheme="majorEastAsia" w:hAnsiTheme="majorEastAsia" w:eastAsiaTheme="majorEastAsia"/>
                <w:b/>
                <w:color w:val="auto"/>
                <w:szCs w:val="21"/>
                <w:highlight w:val="none"/>
              </w:rPr>
              <w:t>（必须提供，否则按无效投标处理）</w:t>
            </w:r>
          </w:p>
          <w:p w14:paraId="61481E8C">
            <w:pPr>
              <w:tabs>
                <w:tab w:val="left" w:pos="34"/>
              </w:tabs>
              <w:snapToGrid w:val="0"/>
              <w:spacing w:line="360" w:lineRule="auto"/>
              <w:jc w:val="left"/>
              <w:rPr>
                <w:rFonts w:hint="eastAsia" w:asciiTheme="majorEastAsia" w:hAnsiTheme="majorEastAsia" w:eastAsiaTheme="majorEastAsia"/>
                <w:color w:val="auto"/>
                <w:szCs w:val="21"/>
                <w:highlight w:val="none"/>
              </w:rPr>
            </w:pPr>
            <w:bookmarkStart w:id="62" w:name="_Hlk71299233"/>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开标一览表</w:t>
            </w:r>
            <w:bookmarkEnd w:id="62"/>
            <w:r>
              <w:rPr>
                <w:rFonts w:hint="eastAsia" w:asciiTheme="majorEastAsia" w:hAnsiTheme="majorEastAsia" w:eastAsiaTheme="majorEastAsia"/>
                <w:color w:val="auto"/>
                <w:szCs w:val="21"/>
                <w:highlight w:val="none"/>
              </w:rPr>
              <w:t>（格式后附）；（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2E84858B">
            <w:pPr>
              <w:tabs>
                <w:tab w:val="left" w:pos="34"/>
              </w:tabs>
              <w:snapToGrid w:val="0"/>
              <w:spacing w:line="360" w:lineRule="auto"/>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3.</w:t>
            </w:r>
            <w:r>
              <w:rPr>
                <w:rFonts w:hint="eastAsia" w:asciiTheme="majorEastAsia" w:hAnsiTheme="majorEastAsia" w:eastAsiaTheme="majorEastAsia"/>
                <w:color w:val="auto"/>
                <w:szCs w:val="21"/>
                <w:highlight w:val="none"/>
              </w:rPr>
              <w:t>投标人针对报价需要说明的其他文件和说明（格式自拟）。</w:t>
            </w:r>
          </w:p>
          <w:p w14:paraId="18F8F04C">
            <w:pPr>
              <w:tabs>
                <w:tab w:val="left" w:pos="34"/>
              </w:tabs>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b/>
                <w:bCs/>
                <w:color w:val="auto"/>
                <w:szCs w:val="21"/>
                <w:highlight w:val="none"/>
              </w:rPr>
              <w:t>注：投标函、开标一览表必须由法定代表人（或负责人）或者委托代理人在规定签章处逐一签字或者电子签名并加盖投标人公章，否则按无效投标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tc>
      </w:tr>
      <w:tr w14:paraId="68F3F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continue"/>
            <w:tcBorders>
              <w:left w:val="single" w:color="auto" w:sz="4" w:space="0"/>
              <w:right w:val="single" w:color="auto" w:sz="4" w:space="0"/>
            </w:tcBorders>
            <w:vAlign w:val="center"/>
          </w:tcPr>
          <w:p w14:paraId="2A3A2ABB">
            <w:pPr>
              <w:spacing w:line="360" w:lineRule="auto"/>
              <w:rPr>
                <w:rFonts w:hint="eastAsia" w:asciiTheme="majorEastAsia" w:hAnsiTheme="majorEastAsia" w:eastAsiaTheme="majorEastAsia"/>
                <w:color w:val="auto"/>
                <w:szCs w:val="21"/>
                <w:highlight w:val="none"/>
              </w:rPr>
            </w:pPr>
            <w:bookmarkStart w:id="63" w:name="_13.2"/>
            <w:bookmarkEnd w:id="63"/>
          </w:p>
        </w:tc>
        <w:tc>
          <w:tcPr>
            <w:tcW w:w="8853" w:type="dxa"/>
            <w:tcBorders>
              <w:top w:val="single" w:color="auto" w:sz="4" w:space="0"/>
              <w:left w:val="single" w:color="auto" w:sz="4" w:space="0"/>
              <w:bottom w:val="single" w:color="auto" w:sz="4" w:space="0"/>
              <w:right w:val="single" w:color="auto" w:sz="4" w:space="0"/>
            </w:tcBorders>
            <w:vAlign w:val="center"/>
          </w:tcPr>
          <w:p w14:paraId="39777E73">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资格证明文件</w:t>
            </w:r>
          </w:p>
          <w:p w14:paraId="0B864262">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1.投标人为法人或者其他组织的，提供营业执照等证明文件</w:t>
            </w:r>
            <w:r>
              <w:rPr>
                <w:rFonts w:hint="eastAsia" w:cs="宋体" w:asciiTheme="majorEastAsia" w:hAnsiTheme="majorEastAsia" w:eastAsiaTheme="majorEastAsia"/>
                <w:color w:val="auto"/>
                <w:szCs w:val="21"/>
                <w:highlight w:val="none"/>
              </w:rPr>
              <w:t>（如营业执照或者事业单位法人证书或者</w:t>
            </w:r>
            <w:r>
              <w:rPr>
                <w:rStyle w:val="109"/>
                <w:rFonts w:asciiTheme="majorEastAsia" w:hAnsiTheme="majorEastAsia" w:eastAsiaTheme="majorEastAsia"/>
                <w:color w:val="auto"/>
                <w:sz w:val="21"/>
                <w:szCs w:val="21"/>
                <w:highlight w:val="none"/>
              </w:rPr>
              <w:t>执业许可证</w:t>
            </w:r>
            <w:r>
              <w:rPr>
                <w:rFonts w:hint="eastAsia" w:cs="宋体" w:asciiTheme="majorEastAsia" w:hAnsiTheme="majorEastAsia" w:eastAsiaTheme="majorEastAsia"/>
                <w:color w:val="auto"/>
                <w:szCs w:val="21"/>
                <w:highlight w:val="none"/>
              </w:rPr>
              <w:t>或者登记证书等）</w:t>
            </w:r>
            <w:r>
              <w:rPr>
                <w:rFonts w:hint="eastAsia" w:asciiTheme="majorEastAsia" w:hAnsiTheme="majorEastAsia" w:eastAsiaTheme="majorEastAsia"/>
                <w:color w:val="auto"/>
                <w:szCs w:val="21"/>
                <w:highlight w:val="none"/>
              </w:rPr>
              <w:t>，投标人为自然人的，提供身份证</w:t>
            </w:r>
            <w:r>
              <w:rPr>
                <w:rFonts w:hint="eastAsia" w:cs="宋体" w:asciiTheme="majorEastAsia" w:hAnsiTheme="majorEastAsia" w:eastAsiaTheme="majorEastAsia"/>
                <w:color w:val="auto"/>
                <w:szCs w:val="21"/>
                <w:highlight w:val="none"/>
              </w:rPr>
              <w:t>复印件</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454ECA9E">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宋体" w:asciiTheme="majorEastAsia" w:hAnsiTheme="majorEastAsia" w:eastAsiaTheme="majorEastAsia"/>
                <w:color w:val="auto"/>
                <w:szCs w:val="21"/>
                <w:highlight w:val="none"/>
              </w:rPr>
              <w:t>2.投标人依法缴纳税收的相关材料（202</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年</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月至2025年</w:t>
            </w:r>
            <w:r>
              <w:rPr>
                <w:rFonts w:hint="eastAsia" w:cs="宋体" w:asciiTheme="majorEastAsia" w:hAnsiTheme="majorEastAsia" w:eastAsiaTheme="majorEastAsia"/>
                <w:color w:val="auto"/>
                <w:szCs w:val="21"/>
                <w:highlight w:val="none"/>
                <w:lang w:val="en-US" w:eastAsia="zh-CN"/>
              </w:rPr>
              <w:t>10</w:t>
            </w:r>
            <w:r>
              <w:rPr>
                <w:rFonts w:hint="eastAsia" w:cs="宋体" w:asciiTheme="majorEastAsia" w:hAnsiTheme="majorEastAsia" w:eastAsiaTheme="majorEastAsia"/>
                <w:color w:val="auto"/>
                <w:szCs w:val="21"/>
                <w:highlight w:val="none"/>
              </w:rPr>
              <w:t>月内任意</w:t>
            </w:r>
            <w:r>
              <w:rPr>
                <w:rFonts w:hint="eastAsia" w:cs="宋体" w:asciiTheme="majorEastAsia" w:hAnsiTheme="majorEastAsia" w:eastAsiaTheme="majorEastAsia"/>
                <w:color w:val="auto"/>
                <w:szCs w:val="21"/>
                <w:highlight w:val="none"/>
                <w:u w:val="single"/>
              </w:rPr>
              <w:t xml:space="preserve"> 1</w:t>
            </w:r>
            <w:r>
              <w:rPr>
                <w:rFonts w:hint="eastAsia" w:cs="宋体" w:asciiTheme="majorEastAsia" w:hAnsiTheme="majorEastAsia" w:eastAsiaTheme="majorEastAsia"/>
                <w:color w:val="auto"/>
                <w:szCs w:val="21"/>
                <w:highlight w:val="none"/>
              </w:rPr>
              <w:t>个月的依法缴纳税收的凭据复印件；</w:t>
            </w:r>
            <w:r>
              <w:rPr>
                <w:rFonts w:hint="eastAsia" w:asciiTheme="majorEastAsia" w:hAnsiTheme="majorEastAsia" w:eastAsiaTheme="majorEastAsia"/>
                <w:color w:val="auto"/>
                <w:szCs w:val="21"/>
                <w:highlight w:val="none"/>
              </w:rPr>
              <w:t>依法免税的供应商，必须提供相应文件证明其依法免税。</w:t>
            </w:r>
            <w:r>
              <w:rPr>
                <w:rFonts w:hint="eastAsia" w:cs="宋体" w:asciiTheme="majorEastAsia" w:hAnsiTheme="majorEastAsia" w:eastAsiaTheme="majorEastAsia"/>
                <w:color w:val="auto"/>
                <w:szCs w:val="21"/>
                <w:highlight w:val="none"/>
              </w:rPr>
              <w:t>从</w:t>
            </w:r>
            <w:r>
              <w:rPr>
                <w:rFonts w:hint="eastAsia" w:asciiTheme="majorEastAsia" w:hAnsiTheme="majorEastAsia" w:eastAsiaTheme="majorEastAsia"/>
                <w:color w:val="auto"/>
                <w:szCs w:val="21"/>
                <w:highlight w:val="none"/>
              </w:rPr>
              <w:t>成立之日</w:t>
            </w:r>
            <w:r>
              <w:rPr>
                <w:rFonts w:hint="eastAsia" w:cs="宋体" w:asciiTheme="majorEastAsia" w:hAnsiTheme="majorEastAsia" w:eastAsiaTheme="majorEastAsia"/>
                <w:color w:val="auto"/>
                <w:szCs w:val="21"/>
                <w:highlight w:val="none"/>
              </w:rPr>
              <w:t>起到投标文件提交截止时间止不足要求月数的，只需提供从</w:t>
            </w:r>
            <w:r>
              <w:rPr>
                <w:rFonts w:hint="eastAsia" w:asciiTheme="majorEastAsia" w:hAnsiTheme="majorEastAsia" w:eastAsiaTheme="majorEastAsia"/>
                <w:color w:val="auto"/>
                <w:szCs w:val="21"/>
                <w:highlight w:val="none"/>
              </w:rPr>
              <w:t>成立之日起</w:t>
            </w:r>
            <w:r>
              <w:rPr>
                <w:rFonts w:hint="eastAsia" w:cs="宋体" w:asciiTheme="majorEastAsia" w:hAnsiTheme="majorEastAsia" w:eastAsiaTheme="majorEastAsia"/>
                <w:color w:val="auto"/>
                <w:szCs w:val="21"/>
                <w:highlight w:val="none"/>
              </w:rPr>
              <w:t>的依法缴纳税收</w:t>
            </w:r>
            <w:r>
              <w:rPr>
                <w:rFonts w:hint="eastAsia" w:asciiTheme="majorEastAsia" w:hAnsiTheme="majorEastAsia" w:eastAsiaTheme="majorEastAsia"/>
                <w:color w:val="auto"/>
                <w:szCs w:val="21"/>
                <w:highlight w:val="none"/>
              </w:rPr>
              <w:t>相应证明文件</w:t>
            </w:r>
            <w:r>
              <w:rPr>
                <w:rFonts w:hint="eastAsia" w:cs="宋体"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235A914F">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宋体" w:asciiTheme="majorEastAsia" w:hAnsiTheme="majorEastAsia" w:eastAsiaTheme="majorEastAsia"/>
                <w:color w:val="auto"/>
                <w:szCs w:val="21"/>
                <w:highlight w:val="none"/>
              </w:rPr>
              <w:t>3.投标人依法缴纳社会保障资金的相关材料[202</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年</w:t>
            </w:r>
            <w:r>
              <w:rPr>
                <w:rFonts w:hint="eastAsia" w:cs="宋体" w:asciiTheme="majorEastAsia" w:hAnsiTheme="majorEastAsia" w:eastAsiaTheme="majorEastAsia"/>
                <w:color w:val="auto"/>
                <w:szCs w:val="21"/>
                <w:highlight w:val="none"/>
                <w:lang w:val="en-US" w:eastAsia="zh-CN"/>
              </w:rPr>
              <w:t>5</w:t>
            </w:r>
            <w:r>
              <w:rPr>
                <w:rFonts w:hint="eastAsia" w:cs="宋体" w:asciiTheme="majorEastAsia" w:hAnsiTheme="majorEastAsia" w:eastAsiaTheme="majorEastAsia"/>
                <w:color w:val="auto"/>
                <w:szCs w:val="21"/>
                <w:highlight w:val="none"/>
              </w:rPr>
              <w:t>月至2025年</w:t>
            </w:r>
            <w:r>
              <w:rPr>
                <w:rFonts w:hint="eastAsia" w:cs="宋体" w:asciiTheme="majorEastAsia" w:hAnsiTheme="majorEastAsia" w:eastAsiaTheme="majorEastAsia"/>
                <w:color w:val="auto"/>
                <w:szCs w:val="21"/>
                <w:highlight w:val="none"/>
                <w:lang w:val="en-US" w:eastAsia="zh-CN"/>
              </w:rPr>
              <w:t>10</w:t>
            </w:r>
            <w:r>
              <w:rPr>
                <w:rFonts w:hint="eastAsia" w:cs="宋体" w:asciiTheme="majorEastAsia" w:hAnsiTheme="majorEastAsia" w:eastAsiaTheme="majorEastAsia"/>
                <w:color w:val="auto"/>
                <w:szCs w:val="21"/>
                <w:highlight w:val="none"/>
              </w:rPr>
              <w:t>月内任意</w:t>
            </w:r>
            <w:r>
              <w:rPr>
                <w:rFonts w:hint="eastAsia" w:cs="宋体" w:asciiTheme="majorEastAsia" w:hAnsiTheme="majorEastAsia" w:eastAsiaTheme="majorEastAsia"/>
                <w:color w:val="auto"/>
                <w:szCs w:val="21"/>
                <w:highlight w:val="none"/>
                <w:u w:val="single"/>
              </w:rPr>
              <w:t>1</w:t>
            </w:r>
            <w:r>
              <w:rPr>
                <w:rFonts w:hint="eastAsia" w:cs="宋体" w:asciiTheme="majorEastAsia" w:hAnsiTheme="majorEastAsia" w:eastAsiaTheme="majorEastAsia"/>
                <w:color w:val="auto"/>
                <w:szCs w:val="21"/>
                <w:highlight w:val="none"/>
              </w:rPr>
              <w:t>个月的依法缴纳社会保障资金的缴费凭证（专用收据或者社会保险缴纳清单）复印件；</w:t>
            </w:r>
            <w:r>
              <w:rPr>
                <w:rFonts w:hint="eastAsia" w:asciiTheme="majorEastAsia" w:hAnsiTheme="majorEastAsia" w:eastAsiaTheme="majorEastAsia"/>
                <w:color w:val="auto"/>
                <w:szCs w:val="21"/>
                <w:highlight w:val="none"/>
              </w:rPr>
              <w:t>依法不需要缴纳社会保障资金的供应商，必须提供相应文件证明不需要缴纳社会保障资金。</w:t>
            </w:r>
            <w:r>
              <w:rPr>
                <w:rFonts w:hint="eastAsia" w:cs="宋体" w:asciiTheme="majorEastAsia" w:hAnsiTheme="majorEastAsia" w:eastAsiaTheme="majorEastAsia"/>
                <w:color w:val="auto"/>
                <w:szCs w:val="21"/>
                <w:highlight w:val="none"/>
              </w:rPr>
              <w:t>从</w:t>
            </w:r>
            <w:r>
              <w:rPr>
                <w:rFonts w:hint="eastAsia" w:asciiTheme="majorEastAsia" w:hAnsiTheme="majorEastAsia" w:eastAsiaTheme="majorEastAsia"/>
                <w:color w:val="auto"/>
                <w:szCs w:val="21"/>
                <w:highlight w:val="none"/>
              </w:rPr>
              <w:t>成立之日起</w:t>
            </w:r>
            <w:r>
              <w:rPr>
                <w:rFonts w:hint="eastAsia" w:cs="宋体" w:asciiTheme="majorEastAsia" w:hAnsiTheme="majorEastAsia" w:eastAsiaTheme="majorEastAsia"/>
                <w:color w:val="auto"/>
                <w:szCs w:val="21"/>
                <w:highlight w:val="none"/>
              </w:rPr>
              <w:t>到投标文件提交截止时间止不足要求月数的只需提供从</w:t>
            </w:r>
            <w:r>
              <w:rPr>
                <w:rFonts w:hint="eastAsia" w:asciiTheme="majorEastAsia" w:hAnsiTheme="majorEastAsia" w:eastAsiaTheme="majorEastAsia"/>
                <w:color w:val="auto"/>
                <w:szCs w:val="21"/>
                <w:highlight w:val="none"/>
              </w:rPr>
              <w:t>成立之日起</w:t>
            </w:r>
            <w:r>
              <w:rPr>
                <w:rFonts w:hint="eastAsia" w:cs="宋体" w:asciiTheme="majorEastAsia" w:hAnsiTheme="majorEastAsia" w:eastAsiaTheme="majorEastAsia"/>
                <w:color w:val="auto"/>
                <w:szCs w:val="21"/>
                <w:highlight w:val="none"/>
              </w:rPr>
              <w:t>的依法缴纳社会保障资金的</w:t>
            </w:r>
            <w:r>
              <w:rPr>
                <w:rFonts w:hint="eastAsia" w:asciiTheme="majorEastAsia" w:hAnsiTheme="majorEastAsia" w:eastAsiaTheme="majorEastAsia"/>
                <w:color w:val="auto"/>
                <w:szCs w:val="21"/>
                <w:highlight w:val="none"/>
              </w:rPr>
              <w:t>相应证明文件</w:t>
            </w:r>
            <w:r>
              <w:rPr>
                <w:rFonts w:hint="eastAsia" w:cs="宋体"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170E93A3">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宋体" w:asciiTheme="majorEastAsia" w:hAnsiTheme="majorEastAsia" w:eastAsiaTheme="majorEastAsia"/>
                <w:color w:val="auto"/>
                <w:szCs w:val="21"/>
                <w:highlight w:val="none"/>
              </w:rPr>
              <w:t>4.投标人</w:t>
            </w:r>
            <w:r>
              <w:rPr>
                <w:rFonts w:hint="eastAsia" w:asciiTheme="majorEastAsia" w:hAnsiTheme="majorEastAsia" w:eastAsiaTheme="majorEastAsia"/>
                <w:color w:val="auto"/>
                <w:szCs w:val="21"/>
                <w:highlight w:val="none"/>
              </w:rPr>
              <w:t>财务状况报告（</w:t>
            </w:r>
            <w:r>
              <w:rPr>
                <w:rFonts w:hint="eastAsia" w:asciiTheme="majorEastAsia" w:hAnsiTheme="majorEastAsia" w:eastAsiaTheme="majorEastAsia"/>
                <w:color w:val="auto"/>
                <w:szCs w:val="21"/>
                <w:highlight w:val="none"/>
                <w:u w:val="single"/>
              </w:rPr>
              <w:t>202</w:t>
            </w:r>
            <w:r>
              <w:rPr>
                <w:rFonts w:hint="eastAsia" w:asciiTheme="majorEastAsia" w:hAnsiTheme="majorEastAsia" w:eastAsiaTheme="majorEastAsia"/>
                <w:color w:val="auto"/>
                <w:szCs w:val="21"/>
                <w:highlight w:val="none"/>
                <w:u w:val="single"/>
                <w:lang w:val="en-US" w:eastAsia="zh-CN"/>
              </w:rPr>
              <w:t>4</w:t>
            </w:r>
            <w:r>
              <w:rPr>
                <w:rFonts w:hint="eastAsia" w:asciiTheme="majorEastAsia" w:hAnsiTheme="majorEastAsia" w:eastAsiaTheme="majorEastAsia"/>
                <w:color w:val="auto"/>
                <w:szCs w:val="21"/>
                <w:highlight w:val="none"/>
              </w:rPr>
              <w:t>年度财务报表复印件或者银行出具的资信证明；投标人属于成立时间</w:t>
            </w:r>
            <w:r>
              <w:rPr>
                <w:rFonts w:hint="eastAsia" w:asciiTheme="majorEastAsia" w:hAnsiTheme="majorEastAsia" w:eastAsiaTheme="majorEastAsia"/>
                <w:color w:val="auto"/>
                <w:kern w:val="0"/>
                <w:szCs w:val="21"/>
                <w:highlight w:val="none"/>
              </w:rPr>
              <w:t>在规定年度之后</w:t>
            </w:r>
            <w:r>
              <w:rPr>
                <w:rFonts w:hint="eastAsia" w:asciiTheme="majorEastAsia" w:hAnsiTheme="majorEastAsia" w:eastAsiaTheme="majorEastAsia"/>
                <w:color w:val="auto"/>
                <w:szCs w:val="21"/>
                <w:highlight w:val="none"/>
              </w:rPr>
              <w:t>的法人或其他组织，需提供成立之日起至投标截止时间前的月报表或银行出具的资信证明；资信证明应在有效期内，未注明有效期的，银行出具时间至投标截止时间不超过一年）；（</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4E22792C">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5.投标人直接控股、管理关系信息表（格式后附）；（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11AB5F0D">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6.投标声明（格式后附）；（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23014B9B">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7.联合体协议书（格式后附）；（</w:t>
            </w:r>
            <w:r>
              <w:rPr>
                <w:rFonts w:hint="eastAsia" w:asciiTheme="majorEastAsia" w:hAnsiTheme="majorEastAsia" w:eastAsiaTheme="majorEastAsia"/>
                <w:b/>
                <w:color w:val="auto"/>
                <w:szCs w:val="21"/>
                <w:highlight w:val="none"/>
              </w:rPr>
              <w:t>联合体投标时必须提供，否则按无效投标处理</w:t>
            </w:r>
            <w:r>
              <w:rPr>
                <w:rFonts w:hint="eastAsia" w:asciiTheme="majorEastAsia" w:hAnsiTheme="majorEastAsia" w:eastAsiaTheme="majorEastAsia"/>
                <w:color w:val="auto"/>
                <w:szCs w:val="21"/>
                <w:highlight w:val="none"/>
              </w:rPr>
              <w:t>）</w:t>
            </w:r>
          </w:p>
          <w:p w14:paraId="6703A223">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8.除招标文件规定必须提供以外，投标人认为需要提供的其他证明材料。</w:t>
            </w:r>
          </w:p>
          <w:p w14:paraId="27091ED7">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注：</w:t>
            </w:r>
          </w:p>
          <w:p w14:paraId="2DE41094">
            <w:pPr>
              <w:tabs>
                <w:tab w:val="left" w:pos="0"/>
              </w:tabs>
              <w:snapToGrid w:val="0"/>
              <w:spacing w:line="360" w:lineRule="auto"/>
              <w:jc w:val="left"/>
              <w:rPr>
                <w:rFonts w:hint="eastAsia" w:cs="Courier New" w:asciiTheme="majorEastAsia" w:hAnsiTheme="majorEastAsia" w:eastAsiaTheme="majorEastAsia"/>
                <w:b/>
                <w:color w:val="auto"/>
                <w:szCs w:val="21"/>
                <w:highlight w:val="none"/>
              </w:rPr>
            </w:pPr>
            <w:r>
              <w:rPr>
                <w:rFonts w:hint="eastAsia" w:asciiTheme="majorEastAsia" w:hAnsiTheme="majorEastAsia" w:eastAsiaTheme="majorEastAsia"/>
                <w:b/>
                <w:bCs/>
                <w:color w:val="auto"/>
                <w:szCs w:val="21"/>
                <w:highlight w:val="none"/>
              </w:rPr>
              <w:t>1.以上标明“必须提供”的材料属于复印件的，必须加盖投标人公章，否则按无效投标</w:t>
            </w:r>
            <w:r>
              <w:rPr>
                <w:rFonts w:hint="eastAsia" w:cs="Courier New" w:asciiTheme="majorEastAsia" w:hAnsiTheme="majorEastAsia" w:eastAsiaTheme="majorEastAsia"/>
                <w:b/>
                <w:color w:val="auto"/>
                <w:szCs w:val="21"/>
                <w:highlight w:val="none"/>
              </w:rPr>
              <w:t>处理。</w:t>
            </w:r>
          </w:p>
          <w:p w14:paraId="0C1EBEFB">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cs="Courier New" w:asciiTheme="majorEastAsia" w:hAnsiTheme="majorEastAsia" w:eastAsiaTheme="majorEastAsia"/>
                <w:b/>
                <w:color w:val="auto"/>
                <w:szCs w:val="21"/>
                <w:highlight w:val="none"/>
              </w:rPr>
              <w:t>2.</w:t>
            </w:r>
            <w:r>
              <w:rPr>
                <w:rFonts w:hint="eastAsia" w:asciiTheme="majorEastAsia" w:hAnsiTheme="majorEastAsia" w:eastAsiaTheme="majorEastAsia"/>
                <w:b/>
                <w:bCs/>
                <w:color w:val="auto"/>
                <w:szCs w:val="21"/>
                <w:highlight w:val="none"/>
              </w:rPr>
              <w:t>投标声明必须由法定代表人（或负责人）在规定签章处签字或者电子签名并加盖投标人公章，否则按无效投标处理。</w:t>
            </w:r>
          </w:p>
          <w:p w14:paraId="7FD12554">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3.投标人直接控股、管理关系信息表必须由法定代表人（或负责人）或者委托代理人在规定签章处签字或者电子签名并加盖投标人公章，否则按无效投标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p w14:paraId="6155302E">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4.联合体投标时，第1-5项资格证明文件联合体各方均必须分别提供，联合体各方分别盖章和签字（或者电子签名），否则按无效投标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p w14:paraId="3F62B1E4">
            <w:pPr>
              <w:tabs>
                <w:tab w:val="left" w:pos="0"/>
              </w:tabs>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5.分公司参加投标的，应当取得总公司授权。</w:t>
            </w:r>
          </w:p>
        </w:tc>
      </w:tr>
      <w:tr w14:paraId="44EA7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continue"/>
            <w:tcBorders>
              <w:left w:val="single" w:color="auto" w:sz="4" w:space="0"/>
              <w:right w:val="single" w:color="auto" w:sz="4" w:space="0"/>
            </w:tcBorders>
            <w:vAlign w:val="center"/>
          </w:tcPr>
          <w:p w14:paraId="3AF57CE4">
            <w:pPr>
              <w:spacing w:line="360" w:lineRule="auto"/>
              <w:rPr>
                <w:rFonts w:hint="eastAsia" w:asciiTheme="majorEastAsia" w:hAnsiTheme="majorEastAsia" w:eastAsiaTheme="majorEastAsia"/>
                <w:color w:val="auto"/>
                <w:szCs w:val="21"/>
                <w:highlight w:val="none"/>
              </w:rPr>
            </w:pPr>
            <w:bookmarkStart w:id="64" w:name="_13.3"/>
            <w:bookmarkEnd w:id="64"/>
          </w:p>
        </w:tc>
        <w:tc>
          <w:tcPr>
            <w:tcW w:w="8853" w:type="dxa"/>
            <w:tcBorders>
              <w:top w:val="single" w:color="auto" w:sz="4" w:space="0"/>
              <w:left w:val="single" w:color="auto" w:sz="4" w:space="0"/>
              <w:bottom w:val="single" w:color="auto" w:sz="4" w:space="0"/>
              <w:right w:val="single" w:color="auto" w:sz="4" w:space="0"/>
            </w:tcBorders>
            <w:vAlign w:val="center"/>
          </w:tcPr>
          <w:p w14:paraId="71230BB9">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商务文件：</w:t>
            </w:r>
          </w:p>
          <w:p w14:paraId="0A184CC4">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1.无串通投标行为的承诺函（格式后附）；（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6801127D">
            <w:pPr>
              <w:pStyle w:val="2"/>
              <w:spacing w:line="360" w:lineRule="auto"/>
              <w:rPr>
                <w:rFonts w:hint="eastAsia" w:cs="Times New Roman" w:asciiTheme="majorEastAsia" w:hAnsiTheme="majorEastAsia" w:eastAsiaTheme="majorEastAsia"/>
                <w:color w:val="auto"/>
                <w:kern w:val="2"/>
                <w:sz w:val="21"/>
                <w:szCs w:val="21"/>
                <w:highlight w:val="none"/>
              </w:rPr>
            </w:pPr>
            <w:r>
              <w:rPr>
                <w:rFonts w:hint="eastAsia" w:cs="Times New Roman" w:asciiTheme="majorEastAsia" w:hAnsiTheme="majorEastAsia" w:eastAsiaTheme="majorEastAsia"/>
                <w:color w:val="auto"/>
                <w:kern w:val="2"/>
                <w:sz w:val="21"/>
                <w:szCs w:val="21"/>
                <w:highlight w:val="none"/>
              </w:rPr>
              <w:t>2.投标保证金提交凭证；</w:t>
            </w:r>
            <w:r>
              <w:rPr>
                <w:rFonts w:hint="eastAsia" w:cs="Times New Roman" w:asciiTheme="majorEastAsia" w:hAnsiTheme="majorEastAsia" w:eastAsiaTheme="majorEastAsia"/>
                <w:b/>
                <w:bCs/>
                <w:color w:val="auto"/>
                <w:kern w:val="2"/>
                <w:sz w:val="21"/>
                <w:szCs w:val="21"/>
                <w:highlight w:val="none"/>
              </w:rPr>
              <w:t>（必须提供，否则按无效投标处理）</w:t>
            </w:r>
          </w:p>
          <w:p w14:paraId="585BB578">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3.法定代表人（或负责人）身份证明及法定代表人（或负责人）有效身份证正反面复印件（格式后附）；</w:t>
            </w:r>
            <w:r>
              <w:rPr>
                <w:rFonts w:hint="eastAsia" w:asciiTheme="majorEastAsia" w:hAnsiTheme="majorEastAsia" w:eastAsiaTheme="majorEastAsia"/>
                <w:b/>
                <w:bCs/>
                <w:color w:val="auto"/>
                <w:szCs w:val="21"/>
                <w:highlight w:val="none"/>
              </w:rPr>
              <w:t>（除自然人投标外必须提供，否则按无效投标处理）</w:t>
            </w:r>
          </w:p>
          <w:p w14:paraId="4EBA83AB">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4.授权委托书及委托代理人有效身份证正反面复印件（格式后附）；（</w:t>
            </w:r>
            <w:r>
              <w:rPr>
                <w:rFonts w:hint="eastAsia" w:asciiTheme="majorEastAsia" w:hAnsiTheme="majorEastAsia" w:eastAsiaTheme="majorEastAsia"/>
                <w:b/>
                <w:color w:val="auto"/>
                <w:szCs w:val="21"/>
                <w:highlight w:val="none"/>
              </w:rPr>
              <w:t>委托时必须提供，否则按无效投标处理</w:t>
            </w:r>
            <w:r>
              <w:rPr>
                <w:rFonts w:hint="eastAsia" w:asciiTheme="majorEastAsia" w:hAnsiTheme="majorEastAsia" w:eastAsiaTheme="majorEastAsia"/>
                <w:color w:val="auto"/>
                <w:szCs w:val="21"/>
                <w:highlight w:val="none"/>
              </w:rPr>
              <w:t>）</w:t>
            </w:r>
          </w:p>
          <w:p w14:paraId="57B4649D">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商务要求偏离表（格式后附）；（</w:t>
            </w:r>
            <w:r>
              <w:rPr>
                <w:rFonts w:hint="eastAsia" w:asciiTheme="majorEastAsia" w:hAnsiTheme="majorEastAsia" w:eastAsiaTheme="majorEastAsia"/>
                <w:b/>
                <w:color w:val="auto"/>
                <w:szCs w:val="21"/>
                <w:highlight w:val="none"/>
              </w:rPr>
              <w:t>必须提供，否则按无效投标处理</w:t>
            </w:r>
            <w:r>
              <w:rPr>
                <w:rFonts w:hint="eastAsia" w:asciiTheme="majorEastAsia" w:hAnsiTheme="majorEastAsia" w:eastAsiaTheme="majorEastAsia"/>
                <w:color w:val="auto"/>
                <w:szCs w:val="21"/>
                <w:highlight w:val="none"/>
              </w:rPr>
              <w:t>）</w:t>
            </w:r>
          </w:p>
          <w:p w14:paraId="1CC7C661">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6.投标人情况介绍（格式自拟）；</w:t>
            </w:r>
          </w:p>
          <w:p w14:paraId="03E9BE39">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7.联合体协议书（格式后附）；（</w:t>
            </w:r>
            <w:r>
              <w:rPr>
                <w:rFonts w:hint="eastAsia" w:asciiTheme="majorEastAsia" w:hAnsiTheme="majorEastAsia" w:eastAsiaTheme="majorEastAsia"/>
                <w:b/>
                <w:color w:val="auto"/>
                <w:szCs w:val="21"/>
                <w:highlight w:val="none"/>
              </w:rPr>
              <w:t>联合体投标时必须提供，否则按无效投标处理</w:t>
            </w:r>
            <w:r>
              <w:rPr>
                <w:rFonts w:hint="eastAsia" w:asciiTheme="majorEastAsia" w:hAnsiTheme="majorEastAsia" w:eastAsiaTheme="majorEastAsia"/>
                <w:color w:val="auto"/>
                <w:szCs w:val="21"/>
                <w:highlight w:val="none"/>
              </w:rPr>
              <w:t>）</w:t>
            </w:r>
          </w:p>
          <w:p w14:paraId="3333F74D">
            <w:pPr>
              <w:snapToGrid w:val="0"/>
              <w:spacing w:line="360" w:lineRule="auto"/>
              <w:ind w:left="34"/>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8.除招标文件规定必须提供以外，投标人认为需要提供的其他证明材料（格式自拟）。（投标人根据“第二章 采购需求”及“第四章 评标方法及评标标准”提供有关证明材料）。</w:t>
            </w:r>
          </w:p>
          <w:p w14:paraId="45FFD06B">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b/>
                <w:bCs/>
                <w:color w:val="auto"/>
                <w:szCs w:val="21"/>
                <w:highlight w:val="none"/>
              </w:rPr>
              <w:t>注：以上标明“必须提供”的材料属于复印件的，必须加盖投标人公章，否则按无效投标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tc>
      </w:tr>
      <w:tr w14:paraId="2CEC3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vMerge w:val="continue"/>
            <w:tcBorders>
              <w:left w:val="single" w:color="auto" w:sz="4" w:space="0"/>
              <w:bottom w:val="single" w:color="auto" w:sz="4" w:space="0"/>
              <w:right w:val="single" w:color="auto" w:sz="4" w:space="0"/>
            </w:tcBorders>
            <w:vAlign w:val="center"/>
          </w:tcPr>
          <w:p w14:paraId="6870133A">
            <w:pPr>
              <w:spacing w:line="360" w:lineRule="auto"/>
              <w:rPr>
                <w:rFonts w:hint="eastAsia" w:asciiTheme="majorEastAsia" w:hAnsiTheme="majorEastAsia" w:eastAsiaTheme="majorEastAsia"/>
                <w:color w:val="auto"/>
                <w:szCs w:val="21"/>
                <w:highlight w:val="none"/>
              </w:rPr>
            </w:pPr>
            <w:bookmarkStart w:id="65" w:name="_13.4"/>
            <w:bookmarkEnd w:id="65"/>
          </w:p>
        </w:tc>
        <w:tc>
          <w:tcPr>
            <w:tcW w:w="8853" w:type="dxa"/>
            <w:tcBorders>
              <w:top w:val="single" w:color="auto" w:sz="4" w:space="0"/>
              <w:left w:val="single" w:color="auto" w:sz="4" w:space="0"/>
              <w:bottom w:val="single" w:color="auto" w:sz="4" w:space="0"/>
              <w:right w:val="single" w:color="auto" w:sz="4" w:space="0"/>
            </w:tcBorders>
            <w:vAlign w:val="center"/>
          </w:tcPr>
          <w:p w14:paraId="0FFFC722">
            <w:pPr>
              <w:snapToGrid w:val="0"/>
              <w:spacing w:line="360" w:lineRule="auto"/>
              <w:jc w:val="left"/>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b/>
                <w:color w:val="auto"/>
                <w:szCs w:val="21"/>
                <w:highlight w:val="none"/>
              </w:rPr>
              <w:t>技术文件：</w:t>
            </w:r>
          </w:p>
          <w:p w14:paraId="028C4D0C">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1.设备性能配置清单（格式后附）；（</w:t>
            </w:r>
            <w:r>
              <w:rPr>
                <w:rFonts w:hint="eastAsia" w:cs="宋体" w:asciiTheme="majorEastAsia" w:hAnsiTheme="majorEastAsia" w:eastAsiaTheme="majorEastAsia"/>
                <w:b/>
                <w:color w:val="auto"/>
                <w:szCs w:val="21"/>
                <w:highlight w:val="none"/>
              </w:rPr>
              <w:t>必须提供，否则按无效投标处理</w:t>
            </w:r>
            <w:r>
              <w:rPr>
                <w:rFonts w:hint="eastAsia" w:cs="宋体" w:asciiTheme="majorEastAsia" w:hAnsiTheme="majorEastAsia" w:eastAsiaTheme="majorEastAsia"/>
                <w:color w:val="auto"/>
                <w:szCs w:val="21"/>
                <w:highlight w:val="none"/>
              </w:rPr>
              <w:t>）</w:t>
            </w:r>
          </w:p>
          <w:p w14:paraId="595FB7DD">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2.技术要求偏离表（格式后附）；（</w:t>
            </w:r>
            <w:r>
              <w:rPr>
                <w:rFonts w:hint="eastAsia" w:cs="宋体" w:asciiTheme="majorEastAsia" w:hAnsiTheme="majorEastAsia" w:eastAsiaTheme="majorEastAsia"/>
                <w:b/>
                <w:color w:val="auto"/>
                <w:szCs w:val="21"/>
                <w:highlight w:val="none"/>
              </w:rPr>
              <w:t>必须提供，否则按无效投标处理</w:t>
            </w:r>
            <w:r>
              <w:rPr>
                <w:rFonts w:hint="eastAsia" w:cs="宋体" w:asciiTheme="majorEastAsia" w:hAnsiTheme="majorEastAsia" w:eastAsiaTheme="majorEastAsia"/>
                <w:color w:val="auto"/>
                <w:szCs w:val="21"/>
                <w:highlight w:val="none"/>
              </w:rPr>
              <w:t>）</w:t>
            </w:r>
          </w:p>
          <w:p w14:paraId="0387498C">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3.项目实施方案；（如有，请提供，格式自拟）</w:t>
            </w:r>
          </w:p>
          <w:p w14:paraId="652F55BF">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4.售后服务方案；（如有，请提供，格式自拟）</w:t>
            </w:r>
          </w:p>
          <w:p w14:paraId="4945D923">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5.拟投入人员一览表；（如有，请提供，格式自拟）</w:t>
            </w:r>
          </w:p>
          <w:p w14:paraId="425532B3">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6.产品出厂标准、质量检测报告；【其中有精度要求的仪器设备类政府采购项目，应当要求投标人提供精度数据（国家认可的有资质的第三方检测机构出具的检测报告复印件或者由采购人在投标前组织的实测获得）】（视项目情况设置是否必须提供）</w:t>
            </w:r>
          </w:p>
          <w:p w14:paraId="19400B94">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7.优惠条件：投标人承诺给予招标人的各种优惠条件，包括售后服务、备品备件、专用耗材等方面的优惠；投标人不得给予赠品或者与采购无关的其他商品、服务；</w:t>
            </w:r>
          </w:p>
          <w:p w14:paraId="16D2942D">
            <w:pPr>
              <w:snapToGrid w:val="0"/>
              <w:spacing w:line="360" w:lineRule="auto"/>
              <w:ind w:left="-2" w:leftChars="-1"/>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8.投标人对本项目的合理化建议和改进措施；（格式自拟）</w:t>
            </w:r>
          </w:p>
          <w:p w14:paraId="3F5F3237">
            <w:pPr>
              <w:snapToGrid w:val="0"/>
              <w:spacing w:line="360" w:lineRule="auto"/>
              <w:ind w:left="-2" w:leftChars="-1"/>
              <w:jc w:val="left"/>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color w:val="auto"/>
                <w:szCs w:val="21"/>
                <w:highlight w:val="none"/>
              </w:rPr>
              <w:t>9.除招标文件规定必须提供以外，投标人需要说明的其他文件和说明。（格式自拟）</w:t>
            </w:r>
          </w:p>
          <w:p w14:paraId="7583672E">
            <w:pPr>
              <w:snapToGrid w:val="0"/>
              <w:spacing w:line="360" w:lineRule="auto"/>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注：以上标明“必须提供”的材料属于复印件的，必须加盖投标人公章，否则按无效投标</w:t>
            </w:r>
            <w:r>
              <w:rPr>
                <w:rFonts w:hint="eastAsia" w:cs="Courier New" w:asciiTheme="majorEastAsia" w:hAnsiTheme="majorEastAsia" w:eastAsiaTheme="majorEastAsia"/>
                <w:b/>
                <w:color w:val="auto"/>
                <w:szCs w:val="21"/>
                <w:highlight w:val="none"/>
              </w:rPr>
              <w:t>处理</w:t>
            </w:r>
            <w:r>
              <w:rPr>
                <w:rFonts w:hint="eastAsia" w:asciiTheme="majorEastAsia" w:hAnsiTheme="majorEastAsia" w:eastAsiaTheme="majorEastAsia"/>
                <w:b/>
                <w:bCs/>
                <w:color w:val="auto"/>
                <w:szCs w:val="21"/>
                <w:highlight w:val="none"/>
              </w:rPr>
              <w:t>。</w:t>
            </w:r>
          </w:p>
        </w:tc>
      </w:tr>
      <w:tr w14:paraId="34F90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22E424A9">
            <w:pPr>
              <w:spacing w:line="360" w:lineRule="auto"/>
              <w:jc w:val="center"/>
              <w:rPr>
                <w:rFonts w:hint="eastAsia" w:asciiTheme="majorEastAsia" w:hAnsiTheme="majorEastAsia" w:eastAsiaTheme="majorEastAsia"/>
                <w:color w:val="auto"/>
                <w:szCs w:val="21"/>
                <w:highlight w:val="none"/>
              </w:rPr>
            </w:pPr>
            <w:bookmarkStart w:id="66" w:name="_13.5"/>
            <w:bookmarkEnd w:id="66"/>
            <w:bookmarkStart w:id="67" w:name="_16.2"/>
            <w:bookmarkEnd w:id="67"/>
            <w:r>
              <w:rPr>
                <w:rFonts w:hint="eastAsia" w:asciiTheme="majorEastAsia" w:hAnsiTheme="majorEastAsia" w:eastAsiaTheme="majorEastAsia"/>
                <w:color w:val="auto"/>
                <w:szCs w:val="21"/>
                <w:highlight w:val="none"/>
              </w:rPr>
              <w:t>16</w:t>
            </w:r>
            <w:bookmarkStart w:id="68" w:name="_Hlt19194067"/>
            <w:bookmarkStart w:id="69" w:name="_Hlt19693758"/>
            <w:bookmarkStart w:id="70" w:name="_Hlt19194066"/>
            <w:bookmarkStart w:id="71" w:name="_Hlt19693759"/>
            <w:r>
              <w:rPr>
                <w:rFonts w:hint="eastAsia" w:asciiTheme="majorEastAsia" w:hAnsiTheme="majorEastAsia" w:eastAsiaTheme="majorEastAsia"/>
                <w:color w:val="auto"/>
                <w:szCs w:val="21"/>
                <w:highlight w:val="none"/>
              </w:rPr>
              <w:t>.</w:t>
            </w:r>
            <w:bookmarkEnd w:id="68"/>
            <w:bookmarkEnd w:id="69"/>
            <w:bookmarkEnd w:id="70"/>
            <w:bookmarkEnd w:id="71"/>
            <w:r>
              <w:rPr>
                <w:rFonts w:hint="eastAsia" w:asciiTheme="majorEastAsia" w:hAnsiTheme="majorEastAsia" w:eastAsiaTheme="majorEastAsia"/>
                <w:color w:val="auto"/>
                <w:szCs w:val="21"/>
                <w:highlight w:val="none"/>
              </w:rPr>
              <w:t>2</w:t>
            </w:r>
          </w:p>
        </w:tc>
        <w:tc>
          <w:tcPr>
            <w:tcW w:w="8853" w:type="dxa"/>
            <w:tcBorders>
              <w:top w:val="single" w:color="auto" w:sz="4" w:space="0"/>
              <w:left w:val="single" w:color="auto" w:sz="4" w:space="0"/>
              <w:bottom w:val="single" w:color="auto" w:sz="4" w:space="0"/>
              <w:right w:val="single" w:color="auto" w:sz="4" w:space="0"/>
            </w:tcBorders>
            <w:vAlign w:val="center"/>
          </w:tcPr>
          <w:p w14:paraId="360A010A">
            <w:pPr>
              <w:pStyle w:val="27"/>
              <w:snapToGrid w:val="0"/>
              <w:spacing w:line="360" w:lineRule="auto"/>
              <w:ind w:left="34"/>
              <w:outlineLvl w:val="0"/>
              <w:rPr>
                <w:rFonts w:hint="eastAsia" w:asciiTheme="majorEastAsia" w:hAnsiTheme="majorEastAsia" w:eastAsiaTheme="majorEastAsia"/>
                <w:b/>
                <w:color w:val="auto"/>
                <w:szCs w:val="21"/>
                <w:highlight w:val="none"/>
              </w:rPr>
            </w:pPr>
            <w:r>
              <w:rPr>
                <w:rFonts w:hint="eastAsia" w:cs="宋体" w:asciiTheme="majorEastAsia" w:hAnsiTheme="majorEastAsia" w:eastAsiaTheme="majorEastAsia"/>
                <w:color w:val="auto"/>
                <w:sz w:val="21"/>
                <w:highlight w:val="none"/>
              </w:rPr>
              <w:t>投标报价包含货物、货物标准附件、备品备件、专用工具、设备安装辅材、施工辅材、包装、运输、装卸、保险、货到就位的各种费用以</w:t>
            </w:r>
            <w:r>
              <w:rPr>
                <w:rFonts w:hint="eastAsia" w:cs="宋体" w:asciiTheme="majorEastAsia" w:hAnsiTheme="majorEastAsia" w:eastAsiaTheme="majorEastAsia"/>
                <w:color w:val="auto"/>
                <w:sz w:val="21"/>
                <w:highlight w:val="none"/>
                <w:lang w:eastAsia="zh-CN"/>
              </w:rPr>
              <w:t>及建设、施工、安装、调试等</w:t>
            </w:r>
            <w:r>
              <w:rPr>
                <w:rFonts w:hint="eastAsia" w:cs="宋体" w:asciiTheme="majorEastAsia" w:hAnsiTheme="majorEastAsia" w:eastAsiaTheme="majorEastAsia"/>
                <w:color w:val="auto"/>
                <w:sz w:val="21"/>
                <w:highlight w:val="none"/>
              </w:rPr>
              <w:t>本采购文件所列设备材料需进行补充完善才能完成本项目的功能配置或实际采购中产品材料有任何遗漏的费用（含本项目需要但本文件中未列出的设备材料、功能配置）、调试，及投入使用后质量保修期内的维护、保养、人员培训、售后服务及其他所有成本费用，以及合同明示或暗示的所有责任、义务和一般风险等一切费用。</w:t>
            </w:r>
          </w:p>
        </w:tc>
      </w:tr>
      <w:tr w14:paraId="2EEA3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030F37B0">
            <w:pPr>
              <w:spacing w:line="360" w:lineRule="auto"/>
              <w:jc w:val="center"/>
              <w:rPr>
                <w:rFonts w:hint="eastAsia" w:asciiTheme="majorEastAsia" w:hAnsiTheme="majorEastAsia" w:eastAsiaTheme="majorEastAsia"/>
                <w:color w:val="auto"/>
                <w:szCs w:val="21"/>
                <w:highlight w:val="none"/>
              </w:rPr>
            </w:pPr>
            <w:bookmarkStart w:id="72" w:name="_17.1"/>
            <w:bookmarkEnd w:id="72"/>
            <w:r>
              <w:rPr>
                <w:rFonts w:hint="eastAsia" w:asciiTheme="majorEastAsia" w:hAnsiTheme="majorEastAsia" w:eastAsiaTheme="majorEastAsia"/>
                <w:color w:val="auto"/>
                <w:szCs w:val="21"/>
                <w:highlight w:val="none"/>
              </w:rPr>
              <w:t>17.</w:t>
            </w:r>
            <w:r>
              <w:rPr>
                <w:rFonts w:asciiTheme="majorEastAsia" w:hAnsiTheme="majorEastAsia" w:eastAsiaTheme="majorEastAsia"/>
                <w:color w:val="auto"/>
                <w:szCs w:val="21"/>
                <w:highlight w:val="none"/>
              </w:rPr>
              <w:t>2</w:t>
            </w:r>
          </w:p>
        </w:tc>
        <w:tc>
          <w:tcPr>
            <w:tcW w:w="8853" w:type="dxa"/>
            <w:tcBorders>
              <w:top w:val="single" w:color="auto" w:sz="4" w:space="0"/>
              <w:left w:val="single" w:color="auto" w:sz="4" w:space="0"/>
              <w:bottom w:val="single" w:color="auto" w:sz="4" w:space="0"/>
              <w:right w:val="single" w:color="auto" w:sz="4" w:space="0"/>
            </w:tcBorders>
            <w:vAlign w:val="center"/>
          </w:tcPr>
          <w:p w14:paraId="5EB9D53E">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投标有效期：自投标截止之日起</w:t>
            </w:r>
            <w:r>
              <w:rPr>
                <w:rFonts w:hint="eastAsia" w:asciiTheme="majorEastAsia" w:hAnsiTheme="majorEastAsia" w:eastAsiaTheme="majorEastAsia"/>
                <w:color w:val="auto"/>
                <w:szCs w:val="21"/>
                <w:highlight w:val="none"/>
                <w:u w:val="single"/>
              </w:rPr>
              <w:t>120</w:t>
            </w:r>
            <w:r>
              <w:rPr>
                <w:rFonts w:hint="eastAsia" w:asciiTheme="majorEastAsia" w:hAnsiTheme="majorEastAsia" w:eastAsiaTheme="majorEastAsia"/>
                <w:color w:val="auto"/>
                <w:szCs w:val="21"/>
                <w:highlight w:val="none"/>
              </w:rPr>
              <w:t>日。</w:t>
            </w:r>
          </w:p>
        </w:tc>
      </w:tr>
      <w:tr w14:paraId="0D993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469DE80">
            <w:pPr>
              <w:spacing w:line="360" w:lineRule="auto"/>
              <w:jc w:val="center"/>
              <w:rPr>
                <w:rFonts w:hint="eastAsia" w:asciiTheme="majorEastAsia" w:hAnsiTheme="majorEastAsia" w:eastAsiaTheme="majorEastAsia"/>
                <w:color w:val="auto"/>
                <w:szCs w:val="21"/>
                <w:highlight w:val="none"/>
              </w:rPr>
            </w:pPr>
            <w:bookmarkStart w:id="73" w:name="_18"/>
            <w:bookmarkEnd w:id="73"/>
            <w:r>
              <w:rPr>
                <w:rFonts w:hint="eastAsia" w:asciiTheme="majorEastAsia" w:hAnsiTheme="majorEastAsia" w:eastAsiaTheme="majorEastAsia"/>
                <w:color w:val="auto"/>
                <w:szCs w:val="21"/>
                <w:highlight w:val="none"/>
              </w:rPr>
              <w:t>18</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09467D7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□本项目不收取投标保证金。</w:t>
            </w:r>
          </w:p>
          <w:p w14:paraId="2DD93F85">
            <w:pPr>
              <w:snapToGrid w:val="0"/>
              <w:spacing w:line="360" w:lineRule="auto"/>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本项目收取投标保证金，具体规定如下：</w:t>
            </w:r>
          </w:p>
          <w:p w14:paraId="4881CE24">
            <w:pPr>
              <w:snapToGrid w:val="0"/>
              <w:spacing w:line="360" w:lineRule="auto"/>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投标保证金：人民币肆万</w:t>
            </w:r>
            <w:r>
              <w:rPr>
                <w:rFonts w:hint="eastAsia" w:cs="宋体" w:asciiTheme="majorEastAsia" w:hAnsiTheme="majorEastAsia" w:eastAsiaTheme="majorEastAsia"/>
                <w:color w:val="auto"/>
                <w:kern w:val="0"/>
                <w:szCs w:val="21"/>
                <w:highlight w:val="none"/>
                <w:lang w:eastAsia="zh-CN"/>
              </w:rPr>
              <w:t>伍仟</w:t>
            </w:r>
            <w:r>
              <w:rPr>
                <w:rFonts w:hint="eastAsia" w:cs="宋体" w:asciiTheme="majorEastAsia" w:hAnsiTheme="majorEastAsia" w:eastAsiaTheme="majorEastAsia"/>
                <w:color w:val="auto"/>
                <w:kern w:val="0"/>
                <w:szCs w:val="21"/>
                <w:highlight w:val="none"/>
              </w:rPr>
              <w:t>元整（</w:t>
            </w:r>
            <w:r>
              <w:rPr>
                <w:rFonts w:hint="eastAsia" w:ascii="宋体" w:hAnsi="宋体" w:cs="宋体"/>
                <w:color w:val="auto"/>
                <w:kern w:val="0"/>
                <w:szCs w:val="21"/>
                <w:highlight w:val="none"/>
              </w:rPr>
              <w:t>¥</w:t>
            </w:r>
            <w:r>
              <w:rPr>
                <w:rFonts w:hint="eastAsia" w:cs="宋体" w:asciiTheme="majorEastAsia" w:hAnsiTheme="majorEastAsia" w:eastAsiaTheme="majorEastAsia"/>
                <w:color w:val="auto"/>
                <w:kern w:val="0"/>
                <w:szCs w:val="21"/>
                <w:highlight w:val="none"/>
              </w:rPr>
              <w:t>4</w:t>
            </w:r>
            <w:r>
              <w:rPr>
                <w:rFonts w:hint="eastAsia" w:cs="宋体" w:asciiTheme="majorEastAsia" w:hAnsiTheme="majorEastAsia" w:eastAsiaTheme="majorEastAsia"/>
                <w:color w:val="auto"/>
                <w:kern w:val="0"/>
                <w:szCs w:val="21"/>
                <w:highlight w:val="none"/>
                <w:lang w:val="en-US" w:eastAsia="zh-CN"/>
              </w:rPr>
              <w:t>5</w:t>
            </w:r>
            <w:r>
              <w:rPr>
                <w:rFonts w:hint="eastAsia" w:cs="宋体" w:asciiTheme="majorEastAsia" w:hAnsiTheme="majorEastAsia" w:eastAsiaTheme="majorEastAsia"/>
                <w:color w:val="auto"/>
                <w:kern w:val="0"/>
                <w:szCs w:val="21"/>
                <w:highlight w:val="none"/>
              </w:rPr>
              <w:t>000.00元）。</w:t>
            </w:r>
          </w:p>
          <w:p w14:paraId="53C16E69">
            <w:pPr>
              <w:snapToGrid w:val="0"/>
              <w:spacing w:line="360" w:lineRule="auto"/>
              <w:rPr>
                <w:rFonts w:hint="eastAsia" w:asciiTheme="majorEastAsia" w:hAnsiTheme="majorEastAsia" w:eastAsiaTheme="majorEastAsia"/>
                <w:b/>
                <w:bCs/>
                <w:color w:val="auto"/>
                <w:szCs w:val="21"/>
                <w:highlight w:val="none"/>
              </w:rPr>
            </w:pPr>
            <w:r>
              <w:rPr>
                <w:rFonts w:hint="eastAsia" w:cs="宋体" w:asciiTheme="majorEastAsia" w:hAnsiTheme="majorEastAsia" w:eastAsiaTheme="majorEastAsia"/>
                <w:color w:val="auto"/>
                <w:kern w:val="0"/>
                <w:szCs w:val="21"/>
                <w:highlight w:val="none"/>
              </w:rPr>
              <w:t>投标保证金的交纳方式：</w:t>
            </w:r>
            <w:r>
              <w:rPr>
                <w:rFonts w:hint="eastAsia" w:cs="宋体" w:asciiTheme="majorEastAsia" w:hAnsiTheme="majorEastAsia" w:eastAsiaTheme="majorEastAsia"/>
                <w:color w:val="auto"/>
                <w:szCs w:val="21"/>
                <w:highlight w:val="none"/>
              </w:rPr>
              <w:t>支票、汇票、本票、银行转账或者金融机构、担保机构出具的保函（含电子保函）</w:t>
            </w:r>
            <w:r>
              <w:rPr>
                <w:rFonts w:hint="eastAsia" w:cs="宋体" w:asciiTheme="majorEastAsia" w:hAnsiTheme="majorEastAsia" w:eastAsiaTheme="majorEastAsia"/>
                <w:color w:val="auto"/>
                <w:kern w:val="0"/>
                <w:szCs w:val="21"/>
                <w:highlight w:val="none"/>
              </w:rPr>
              <w:t>，禁止采用现钞方式。采用银行转账方式的，在投标截止时间前交至指定账户并且到账</w:t>
            </w:r>
            <w:r>
              <w:rPr>
                <w:rFonts w:hint="eastAsia" w:cs="宋体" w:asciiTheme="majorEastAsia" w:hAnsiTheme="majorEastAsia" w:eastAsiaTheme="majorEastAsia"/>
                <w:b/>
                <w:bCs/>
                <w:color w:val="auto"/>
                <w:kern w:val="0"/>
                <w:szCs w:val="21"/>
                <w:highlight w:val="none"/>
              </w:rPr>
              <w:t>【开户名称：广西正海招标有限公司，开户银行：广西北部湾银行南宁市兴宁支行，银行账号：800105504300012，行号：313611014014】</w:t>
            </w:r>
            <w:r>
              <w:rPr>
                <w:rFonts w:hint="eastAsia" w:cs="宋体" w:asciiTheme="majorEastAsia" w:hAnsiTheme="majorEastAsia" w:eastAsiaTheme="majorEastAsia"/>
                <w:color w:val="auto"/>
                <w:kern w:val="0"/>
                <w:szCs w:val="21"/>
                <w:highlight w:val="none"/>
              </w:rPr>
              <w:t>；采用支票、汇票、本票</w:t>
            </w:r>
            <w:r>
              <w:rPr>
                <w:rFonts w:hint="eastAsia" w:cs="宋体" w:asciiTheme="majorEastAsia" w:hAnsiTheme="majorEastAsia" w:eastAsiaTheme="majorEastAsia"/>
                <w:color w:val="auto"/>
                <w:szCs w:val="21"/>
                <w:highlight w:val="none"/>
              </w:rPr>
              <w:t>或者金融机构、担保机构出具的保函（含电子保函）</w:t>
            </w:r>
            <w:r>
              <w:rPr>
                <w:rFonts w:hint="eastAsia" w:cs="宋体" w:asciiTheme="majorEastAsia" w:hAnsiTheme="majorEastAsia" w:eastAsiaTheme="majorEastAsia"/>
                <w:color w:val="auto"/>
                <w:kern w:val="0"/>
                <w:szCs w:val="21"/>
                <w:highlight w:val="none"/>
              </w:rPr>
              <w:t>，在投标截止时间前，投标人必须递交单独密封的支票、汇票、本票</w:t>
            </w:r>
            <w:r>
              <w:rPr>
                <w:rFonts w:hint="eastAsia" w:cs="宋体" w:asciiTheme="majorEastAsia" w:hAnsiTheme="majorEastAsia" w:eastAsiaTheme="majorEastAsia"/>
                <w:color w:val="auto"/>
                <w:szCs w:val="21"/>
                <w:highlight w:val="none"/>
              </w:rPr>
              <w:t>或者金融机构、担保机构出具的保函（含电子保函）</w:t>
            </w:r>
            <w:r>
              <w:rPr>
                <w:rFonts w:hint="eastAsia" w:cs="宋体" w:asciiTheme="majorEastAsia" w:hAnsiTheme="majorEastAsia" w:eastAsiaTheme="majorEastAsia"/>
                <w:color w:val="auto"/>
                <w:kern w:val="0"/>
                <w:szCs w:val="21"/>
                <w:highlight w:val="none"/>
              </w:rPr>
              <w:t>原件。否则视为无效投标保证金。</w:t>
            </w:r>
            <w:r>
              <w:rPr>
                <w:rFonts w:hint="eastAsia" w:cs="宋体" w:asciiTheme="majorEastAsia" w:hAnsiTheme="majorEastAsia" w:eastAsiaTheme="majorEastAsia"/>
                <w:b/>
                <w:bCs/>
                <w:color w:val="auto"/>
                <w:kern w:val="0"/>
                <w:szCs w:val="21"/>
                <w:highlight w:val="none"/>
              </w:rPr>
              <w:t>注：投标保证金转账时请备注“项目编号”等字样。</w:t>
            </w:r>
          </w:p>
          <w:p w14:paraId="59DFD654">
            <w:pPr>
              <w:snapToGrid w:val="0"/>
              <w:spacing w:line="360" w:lineRule="auto"/>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
                <w:bCs/>
                <w:color w:val="auto"/>
                <w:szCs w:val="21"/>
                <w:highlight w:val="none"/>
              </w:rPr>
              <w:t>相关要求：</w:t>
            </w:r>
          </w:p>
          <w:p w14:paraId="5B31DA05">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1.投标保证金采用银行转账交纳方式的，在投标截止时间前交至指定账户并且到账，投标人应将银行转账底单的复印件作为投标保证金提交凭证，</w:t>
            </w:r>
            <w:r>
              <w:rPr>
                <w:rFonts w:asciiTheme="majorEastAsia" w:hAnsiTheme="majorEastAsia" w:eastAsiaTheme="majorEastAsia"/>
                <w:color w:val="auto"/>
                <w:szCs w:val="21"/>
                <w:highlight w:val="none"/>
              </w:rPr>
              <w:t>放置于</w:t>
            </w:r>
            <w:r>
              <w:rPr>
                <w:rFonts w:hint="eastAsia" w:asciiTheme="majorEastAsia" w:hAnsiTheme="majorEastAsia" w:eastAsiaTheme="majorEastAsia"/>
                <w:color w:val="auto"/>
                <w:szCs w:val="21"/>
                <w:highlight w:val="none"/>
              </w:rPr>
              <w:t>商务文件</w:t>
            </w:r>
            <w:r>
              <w:rPr>
                <w:rFonts w:asciiTheme="majorEastAsia" w:hAnsiTheme="majorEastAsia" w:eastAsiaTheme="majorEastAsia"/>
                <w:color w:val="auto"/>
                <w:szCs w:val="21"/>
                <w:highlight w:val="none"/>
              </w:rPr>
              <w:t>中</w:t>
            </w:r>
            <w:r>
              <w:rPr>
                <w:rFonts w:hint="eastAsia" w:asciiTheme="majorEastAsia" w:hAnsiTheme="majorEastAsia" w:eastAsiaTheme="majorEastAsia"/>
                <w:color w:val="auto"/>
                <w:szCs w:val="21"/>
                <w:highlight w:val="none"/>
              </w:rPr>
              <w:t>，</w:t>
            </w:r>
            <w:r>
              <w:rPr>
                <w:rFonts w:hint="eastAsia" w:asciiTheme="majorEastAsia" w:hAnsiTheme="majorEastAsia" w:eastAsiaTheme="majorEastAsia"/>
                <w:b/>
                <w:color w:val="auto"/>
                <w:szCs w:val="21"/>
                <w:highlight w:val="none"/>
              </w:rPr>
              <w:t>否则投标无效</w:t>
            </w:r>
            <w:r>
              <w:rPr>
                <w:rFonts w:hint="eastAsia" w:asciiTheme="majorEastAsia" w:hAnsiTheme="majorEastAsia" w:eastAsiaTheme="majorEastAsia"/>
                <w:color w:val="auto"/>
                <w:szCs w:val="21"/>
                <w:highlight w:val="none"/>
              </w:rPr>
              <w:t>。</w:t>
            </w:r>
          </w:p>
          <w:p w14:paraId="701073AB">
            <w:pPr>
              <w:pStyle w:val="1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2.投标保证金采用支票、汇票、本票或者</w:t>
            </w:r>
            <w:r>
              <w:rPr>
                <w:rFonts w:hint="eastAsia" w:cs="宋体" w:asciiTheme="majorEastAsia" w:hAnsiTheme="majorEastAsia" w:eastAsiaTheme="majorEastAsia"/>
                <w:color w:val="auto"/>
                <w:szCs w:val="21"/>
                <w:highlight w:val="none"/>
              </w:rPr>
              <w:t>金融机构、担保机构出具</w:t>
            </w:r>
            <w:r>
              <w:rPr>
                <w:rFonts w:hint="eastAsia" w:asciiTheme="majorEastAsia" w:hAnsiTheme="majorEastAsia" w:eastAsiaTheme="majorEastAsia"/>
                <w:color w:val="auto"/>
                <w:szCs w:val="21"/>
                <w:highlight w:val="none"/>
              </w:rPr>
              <w:t>的保函（含电子保函）交纳方式的，投标人应在投标截止时间前采用现场或邮寄方式（现场提交地址：</w:t>
            </w:r>
            <w:r>
              <w:rPr>
                <w:rFonts w:hint="eastAsia" w:asciiTheme="majorEastAsia" w:hAnsiTheme="majorEastAsia" w:eastAsiaTheme="majorEastAsia"/>
                <w:color w:val="auto"/>
                <w:szCs w:val="21"/>
                <w:highlight w:val="none"/>
                <w:u w:val="single"/>
              </w:rPr>
              <w:t>广西正海招标有限公司（</w:t>
            </w:r>
            <w:r>
              <w:rPr>
                <w:rFonts w:hint="eastAsia" w:asciiTheme="majorEastAsia" w:hAnsiTheme="majorEastAsia" w:eastAsiaTheme="majorEastAsia"/>
                <w:color w:val="auto"/>
                <w:szCs w:val="21"/>
                <w:highlight w:val="none"/>
                <w:u w:val="single"/>
                <w:lang w:eastAsia="zh-CN"/>
              </w:rPr>
              <w:t>南宁市青秀区茅桥路2号</w:t>
            </w:r>
            <w:r>
              <w:rPr>
                <w:rFonts w:hint="eastAsia" w:asciiTheme="majorEastAsia" w:hAnsiTheme="majorEastAsia" w:eastAsiaTheme="majorEastAsia"/>
                <w:color w:val="auto"/>
                <w:szCs w:val="21"/>
                <w:highlight w:val="none"/>
                <w:u w:val="single"/>
              </w:rPr>
              <w:t>习艺基地A栋1号电梯3楼）</w:t>
            </w:r>
            <w:r>
              <w:rPr>
                <w:rFonts w:hint="eastAsia" w:asciiTheme="majorEastAsia" w:hAnsiTheme="majorEastAsia" w:eastAsiaTheme="majorEastAsia"/>
                <w:color w:val="auto"/>
                <w:szCs w:val="21"/>
                <w:highlight w:val="none"/>
              </w:rPr>
              <w:t>；邮寄地址：</w:t>
            </w:r>
            <w:r>
              <w:rPr>
                <w:rFonts w:hint="eastAsia" w:asciiTheme="majorEastAsia" w:hAnsiTheme="majorEastAsia" w:eastAsiaTheme="majorEastAsia"/>
                <w:color w:val="auto"/>
                <w:szCs w:val="21"/>
                <w:highlight w:val="none"/>
                <w:u w:val="single"/>
                <w:lang w:eastAsia="zh-CN"/>
              </w:rPr>
              <w:t>南宁市青秀区茅桥路2号</w:t>
            </w:r>
            <w:r>
              <w:rPr>
                <w:rFonts w:hint="eastAsia" w:asciiTheme="majorEastAsia" w:hAnsiTheme="majorEastAsia" w:eastAsiaTheme="majorEastAsia"/>
                <w:color w:val="auto"/>
                <w:szCs w:val="21"/>
                <w:highlight w:val="none"/>
                <w:u w:val="single"/>
              </w:rPr>
              <w:t>习艺基地A栋1号电梯3楼</w:t>
            </w:r>
            <w:r>
              <w:rPr>
                <w:rFonts w:hint="eastAsia" w:asciiTheme="majorEastAsia" w:hAnsiTheme="majorEastAsia" w:eastAsiaTheme="majorEastAsia"/>
                <w:color w:val="auto"/>
                <w:szCs w:val="21"/>
                <w:highlight w:val="none"/>
              </w:rPr>
              <w:t>，收件人：</w:t>
            </w:r>
            <w:r>
              <w:rPr>
                <w:rFonts w:hint="eastAsia" w:asciiTheme="majorEastAsia" w:hAnsiTheme="majorEastAsia" w:eastAsiaTheme="majorEastAsia"/>
                <w:color w:val="auto"/>
                <w:szCs w:val="21"/>
                <w:highlight w:val="none"/>
                <w:u w:val="single"/>
              </w:rPr>
              <w:t>覃相健</w:t>
            </w:r>
            <w:r>
              <w:rPr>
                <w:rFonts w:hint="eastAsia" w:asciiTheme="majorEastAsia" w:hAnsiTheme="majorEastAsia" w:eastAsiaTheme="majorEastAsia"/>
                <w:color w:val="auto"/>
                <w:szCs w:val="21"/>
                <w:highlight w:val="none"/>
              </w:rPr>
              <w:t>，联系方式：</w:t>
            </w:r>
            <w:r>
              <w:rPr>
                <w:rFonts w:hint="eastAsia" w:asciiTheme="majorEastAsia" w:hAnsiTheme="majorEastAsia" w:eastAsiaTheme="majorEastAsia"/>
                <w:color w:val="auto"/>
                <w:szCs w:val="21"/>
                <w:highlight w:val="none"/>
                <w:u w:val="single"/>
              </w:rPr>
              <w:t>0771-2865989</w:t>
            </w:r>
            <w:r>
              <w:rPr>
                <w:rFonts w:hint="eastAsia" w:asciiTheme="majorEastAsia" w:hAnsiTheme="majorEastAsia" w:eastAsiaTheme="majorEastAsia"/>
                <w:color w:val="auto"/>
                <w:szCs w:val="21"/>
                <w:highlight w:val="none"/>
              </w:rPr>
              <w:t>）将</w:t>
            </w:r>
            <w:r>
              <w:rPr>
                <w:rFonts w:hint="eastAsia" w:cs="宋体" w:asciiTheme="majorEastAsia" w:hAnsiTheme="majorEastAsia" w:eastAsiaTheme="majorEastAsia"/>
                <w:color w:val="auto"/>
                <w:kern w:val="0"/>
                <w:szCs w:val="21"/>
                <w:highlight w:val="none"/>
              </w:rPr>
              <w:t>单独密封的</w:t>
            </w:r>
            <w:r>
              <w:rPr>
                <w:rFonts w:hint="eastAsia" w:asciiTheme="majorEastAsia" w:hAnsiTheme="majorEastAsia" w:eastAsiaTheme="majorEastAsia"/>
                <w:color w:val="auto"/>
                <w:szCs w:val="21"/>
                <w:highlight w:val="none"/>
              </w:rPr>
              <w:t>支票、汇票、本票或者</w:t>
            </w:r>
            <w:r>
              <w:rPr>
                <w:rFonts w:hint="eastAsia" w:cs="宋体" w:asciiTheme="majorEastAsia" w:hAnsiTheme="majorEastAsia" w:eastAsiaTheme="majorEastAsia"/>
                <w:color w:val="auto"/>
                <w:szCs w:val="21"/>
                <w:highlight w:val="none"/>
              </w:rPr>
              <w:t>金融机构、担保机构出具</w:t>
            </w:r>
            <w:r>
              <w:rPr>
                <w:rFonts w:hint="eastAsia" w:asciiTheme="majorEastAsia" w:hAnsiTheme="majorEastAsia" w:eastAsiaTheme="majorEastAsia"/>
                <w:color w:val="auto"/>
                <w:szCs w:val="21"/>
                <w:highlight w:val="none"/>
              </w:rPr>
              <w:t>的保函（含电子保函）原件提交给采购人或者采购代理机构，由采购人或者采购代理机构向投标人出具回执（邮寄方式的除外），并妥善保管</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lang w:val="en-US" w:eastAsia="zh-CN"/>
              </w:rPr>
              <w:t>电子保函发送到32970806@qq.com邮箱</w:t>
            </w:r>
            <w:r>
              <w:rPr>
                <w:rFonts w:hint="eastAsia" w:asciiTheme="majorEastAsia" w:hAnsiTheme="majorEastAsia" w:eastAsiaTheme="majorEastAsia"/>
                <w:color w:val="auto"/>
                <w:szCs w:val="21"/>
                <w:highlight w:val="none"/>
              </w:rPr>
              <w:t>。</w:t>
            </w:r>
          </w:p>
          <w:p w14:paraId="06B70194">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 xml:space="preserve">备注： </w:t>
            </w:r>
          </w:p>
          <w:p w14:paraId="5FCA46F7">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1.投标保证金在投标截止时间后提交的，或者不按规定交纳方式交纳的，或者未足额交纳的（包含保函额度不足的），视为无效投标保证金。</w:t>
            </w:r>
          </w:p>
          <w:p w14:paraId="1C68E91B">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2.投标人采用现钞方式或者从个人账户（自然人投标除外）转出的投标保证金，视为无效投标保证金。</w:t>
            </w:r>
          </w:p>
          <w:p w14:paraId="0E724390">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3.支票、汇票或者本票出现无效或者背书情形的，视为无效投标保证金。</w:t>
            </w:r>
          </w:p>
          <w:p w14:paraId="435DDDB8">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4.保函（含电子包含）有效期低于投标有效期的，视为无效投标保证金。</w:t>
            </w:r>
          </w:p>
          <w:p w14:paraId="1FA13A2D">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b/>
                <w:color w:val="auto"/>
                <w:szCs w:val="21"/>
                <w:highlight w:val="none"/>
              </w:rPr>
              <w:t>5.采用银行、保险机构出具保函（含电子保函）的，必须为无条件保函，否则视为无效投标保证金。</w:t>
            </w:r>
          </w:p>
        </w:tc>
      </w:tr>
      <w:tr w14:paraId="624E7A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2D5D77DA">
            <w:pPr>
              <w:spacing w:line="360" w:lineRule="auto"/>
              <w:jc w:val="center"/>
              <w:rPr>
                <w:rFonts w:hint="eastAsia" w:asciiTheme="majorEastAsia" w:hAnsiTheme="majorEastAsia" w:eastAsiaTheme="majorEastAsia"/>
                <w:color w:val="auto"/>
                <w:szCs w:val="21"/>
                <w:highlight w:val="none"/>
              </w:rPr>
            </w:pPr>
            <w:bookmarkStart w:id="74" w:name="_19.2"/>
            <w:bookmarkEnd w:id="74"/>
            <w:r>
              <w:rPr>
                <w:rFonts w:hint="eastAsia" w:asciiTheme="majorEastAsia" w:hAnsiTheme="majorEastAsia" w:eastAsiaTheme="majorEastAsia"/>
                <w:color w:val="auto"/>
                <w:szCs w:val="21"/>
                <w:highlight w:val="none"/>
              </w:rPr>
              <w:t>20</w:t>
            </w:r>
          </w:p>
        </w:tc>
        <w:tc>
          <w:tcPr>
            <w:tcW w:w="8853" w:type="dxa"/>
            <w:tcBorders>
              <w:top w:val="single" w:color="auto" w:sz="4" w:space="0"/>
              <w:left w:val="single" w:color="auto" w:sz="4" w:space="0"/>
              <w:bottom w:val="single" w:color="auto" w:sz="4" w:space="0"/>
              <w:right w:val="single" w:color="auto" w:sz="4" w:space="0"/>
            </w:tcBorders>
            <w:vAlign w:val="center"/>
          </w:tcPr>
          <w:p w14:paraId="569386F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本项目不接受电子备份投标文件；</w:t>
            </w:r>
          </w:p>
          <w:p w14:paraId="770E3592">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sym w:font="Wingdings 2" w:char="00A3"/>
            </w:r>
            <w:r>
              <w:rPr>
                <w:rFonts w:hint="eastAsia" w:asciiTheme="majorEastAsia" w:hAnsiTheme="majorEastAsia" w:eastAsiaTheme="majorEastAsia"/>
                <w:color w:val="auto"/>
                <w:szCs w:val="21"/>
                <w:highlight w:val="none"/>
              </w:rPr>
              <w:t>本项目接受电子备份投标文件。</w:t>
            </w:r>
          </w:p>
        </w:tc>
      </w:tr>
      <w:tr w14:paraId="4D81E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3C1D5E50">
            <w:pPr>
              <w:spacing w:line="360" w:lineRule="auto"/>
              <w:jc w:val="center"/>
              <w:rPr>
                <w:rFonts w:hint="eastAsia" w:asciiTheme="majorEastAsia" w:hAnsiTheme="majorEastAsia" w:eastAsiaTheme="majorEastAsia"/>
                <w:color w:val="auto"/>
                <w:szCs w:val="21"/>
                <w:highlight w:val="none"/>
              </w:rPr>
            </w:pPr>
            <w:bookmarkStart w:id="75" w:name="_21.1"/>
            <w:bookmarkEnd w:id="75"/>
            <w:r>
              <w:rPr>
                <w:rFonts w:hint="eastAsia" w:asciiTheme="majorEastAsia" w:hAnsiTheme="majorEastAsia" w:eastAsiaTheme="majorEastAsia"/>
                <w:color w:val="auto"/>
                <w:szCs w:val="21"/>
                <w:highlight w:val="none"/>
              </w:rPr>
              <w:t>21.1</w:t>
            </w:r>
          </w:p>
        </w:tc>
        <w:tc>
          <w:tcPr>
            <w:tcW w:w="8853" w:type="dxa"/>
            <w:tcBorders>
              <w:top w:val="single" w:color="auto" w:sz="4" w:space="0"/>
              <w:left w:val="single" w:color="auto" w:sz="4" w:space="0"/>
              <w:bottom w:val="single" w:color="auto" w:sz="4" w:space="0"/>
              <w:right w:val="single" w:color="auto" w:sz="4" w:space="0"/>
            </w:tcBorders>
            <w:vAlign w:val="center"/>
          </w:tcPr>
          <w:p w14:paraId="7CEBF27B">
            <w:pPr>
              <w:snapToGrid w:val="0"/>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1.投标文件提交截止时间：详见招标公告。</w:t>
            </w:r>
          </w:p>
          <w:p w14:paraId="542D1E24">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2.投标地点：详见招标公告。</w:t>
            </w:r>
          </w:p>
        </w:tc>
      </w:tr>
      <w:tr w14:paraId="50D41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56215557">
            <w:pPr>
              <w:spacing w:line="360" w:lineRule="auto"/>
              <w:jc w:val="center"/>
              <w:rPr>
                <w:rFonts w:hint="eastAsia" w:asciiTheme="majorEastAsia" w:hAnsiTheme="majorEastAsia" w:eastAsiaTheme="majorEastAsia"/>
                <w:color w:val="auto"/>
                <w:szCs w:val="21"/>
                <w:highlight w:val="none"/>
              </w:rPr>
            </w:pPr>
            <w:bookmarkStart w:id="76" w:name="_23"/>
            <w:bookmarkEnd w:id="76"/>
            <w:r>
              <w:rPr>
                <w:rFonts w:hint="eastAsia" w:asciiTheme="majorEastAsia" w:hAnsiTheme="majorEastAsia" w:eastAsiaTheme="majorEastAsia"/>
                <w:color w:val="auto"/>
                <w:szCs w:val="21"/>
                <w:highlight w:val="none"/>
              </w:rPr>
              <w:t>23</w:t>
            </w:r>
          </w:p>
        </w:tc>
        <w:tc>
          <w:tcPr>
            <w:tcW w:w="8853" w:type="dxa"/>
            <w:tcBorders>
              <w:top w:val="single" w:color="auto" w:sz="4" w:space="0"/>
              <w:left w:val="single" w:color="auto" w:sz="4" w:space="0"/>
              <w:bottom w:val="single" w:color="auto" w:sz="4" w:space="0"/>
              <w:right w:val="single" w:color="auto" w:sz="4" w:space="0"/>
            </w:tcBorders>
            <w:vAlign w:val="center"/>
          </w:tcPr>
          <w:p w14:paraId="5C5C248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1.开标时间：详见招标公告。</w:t>
            </w:r>
          </w:p>
          <w:p w14:paraId="43575E01">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2.开标地点：详见招标公告。</w:t>
            </w:r>
          </w:p>
        </w:tc>
      </w:tr>
      <w:tr w14:paraId="0EA9C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604DCF2A">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24.3（1）</w:t>
            </w:r>
          </w:p>
        </w:tc>
        <w:tc>
          <w:tcPr>
            <w:tcW w:w="8853" w:type="dxa"/>
            <w:tcBorders>
              <w:top w:val="single" w:color="auto" w:sz="4" w:space="0"/>
              <w:left w:val="single" w:color="auto" w:sz="4" w:space="0"/>
              <w:bottom w:val="single" w:color="auto" w:sz="4" w:space="0"/>
              <w:right w:val="single" w:color="auto" w:sz="4" w:space="0"/>
            </w:tcBorders>
            <w:vAlign w:val="center"/>
          </w:tcPr>
          <w:p w14:paraId="20337FBF">
            <w:pPr>
              <w:snapToGrid w:val="0"/>
              <w:spacing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电子投标文件解密时间：</w:t>
            </w:r>
            <w:r>
              <w:rPr>
                <w:rFonts w:hint="eastAsia" w:asciiTheme="majorEastAsia" w:hAnsiTheme="majorEastAsia" w:eastAsiaTheme="majorEastAsia"/>
                <w:color w:val="auto"/>
                <w:szCs w:val="21"/>
                <w:highlight w:val="none"/>
                <w:u w:val="single"/>
              </w:rPr>
              <w:t>30</w:t>
            </w:r>
            <w:r>
              <w:rPr>
                <w:rFonts w:hint="eastAsia" w:asciiTheme="majorEastAsia" w:hAnsiTheme="majorEastAsia" w:eastAsiaTheme="majorEastAsia"/>
                <w:color w:val="auto"/>
                <w:szCs w:val="21"/>
                <w:highlight w:val="none"/>
              </w:rPr>
              <w:t>分钟</w:t>
            </w:r>
          </w:p>
        </w:tc>
      </w:tr>
      <w:tr w14:paraId="1FF77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59AC694A">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24</w:t>
            </w:r>
            <w:r>
              <w:rPr>
                <w:rFonts w:asciiTheme="majorEastAsia" w:hAnsiTheme="majorEastAsia" w:eastAsiaTheme="majorEastAsia"/>
                <w:color w:val="auto"/>
                <w:szCs w:val="21"/>
                <w:highlight w:val="none"/>
              </w:rPr>
              <w:t>.3</w:t>
            </w:r>
            <w:r>
              <w:rPr>
                <w:rFonts w:hint="eastAsia" w:asciiTheme="majorEastAsia" w:hAnsiTheme="majorEastAsia" w:eastAsiaTheme="majorEastAsia"/>
                <w:color w:val="auto"/>
                <w:szCs w:val="21"/>
                <w:highlight w:val="none"/>
              </w:rPr>
              <w:t>（</w:t>
            </w:r>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w:t>
            </w:r>
          </w:p>
        </w:tc>
        <w:tc>
          <w:tcPr>
            <w:tcW w:w="8853" w:type="dxa"/>
            <w:tcBorders>
              <w:top w:val="single" w:color="auto" w:sz="4" w:space="0"/>
              <w:left w:val="single" w:color="auto" w:sz="4" w:space="0"/>
              <w:bottom w:val="single" w:color="auto" w:sz="4" w:space="0"/>
              <w:right w:val="single" w:color="auto" w:sz="4" w:space="0"/>
            </w:tcBorders>
            <w:vAlign w:val="center"/>
          </w:tcPr>
          <w:p w14:paraId="4E102619">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宣布的内容：投标人名称、投标价格。</w:t>
            </w:r>
            <w:r>
              <w:rPr>
                <w:rFonts w:asciiTheme="majorEastAsia" w:hAnsiTheme="majorEastAsia" w:eastAsiaTheme="majorEastAsia"/>
                <w:color w:val="auto"/>
                <w:szCs w:val="21"/>
                <w:highlight w:val="none"/>
              </w:rPr>
              <w:t xml:space="preserve"> </w:t>
            </w:r>
          </w:p>
        </w:tc>
      </w:tr>
      <w:tr w14:paraId="18042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DA5D010">
            <w:pPr>
              <w:spacing w:line="360" w:lineRule="auto"/>
              <w:jc w:val="center"/>
              <w:rPr>
                <w:rFonts w:hint="eastAsia" w:asciiTheme="majorEastAsia" w:hAnsiTheme="majorEastAsia" w:eastAsiaTheme="majorEastAsia"/>
                <w:color w:val="auto"/>
                <w:szCs w:val="21"/>
                <w:highlight w:val="none"/>
              </w:rPr>
            </w:pPr>
            <w:bookmarkStart w:id="77" w:name="_25.3"/>
            <w:bookmarkEnd w:id="77"/>
            <w:r>
              <w:rPr>
                <w:rFonts w:hint="eastAsia" w:asciiTheme="majorEastAsia" w:hAnsiTheme="majorEastAsia" w:eastAsiaTheme="majorEastAsia"/>
                <w:color w:val="auto"/>
                <w:szCs w:val="21"/>
                <w:highlight w:val="none"/>
              </w:rPr>
              <w:t>25.3（</w:t>
            </w:r>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w:t>
            </w:r>
          </w:p>
        </w:tc>
        <w:tc>
          <w:tcPr>
            <w:tcW w:w="8853" w:type="dxa"/>
            <w:tcBorders>
              <w:top w:val="single" w:color="auto" w:sz="4" w:space="0"/>
              <w:left w:val="single" w:color="auto" w:sz="4" w:space="0"/>
              <w:bottom w:val="single" w:color="auto" w:sz="4" w:space="0"/>
              <w:right w:val="single" w:color="auto" w:sz="4" w:space="0"/>
            </w:tcBorders>
            <w:vAlign w:val="center"/>
          </w:tcPr>
          <w:p w14:paraId="7632E6A8">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采购人或者采购代理机构在资格审查结束前，对投标人进行信用查询。</w:t>
            </w:r>
          </w:p>
          <w:p w14:paraId="3B2A483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查询渠道：“信用中国”网站（www.creditchina.gov.cn） 、中国政府采购网（www.ccgp.gov.cn）。</w:t>
            </w:r>
          </w:p>
          <w:p w14:paraId="52D27356">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信用查询截止时点：资格审查结束前</w:t>
            </w:r>
          </w:p>
          <w:p w14:paraId="68B05CE9">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查询记录和证据留存方式：在查询网站中直接截图查询记录，截图作为在广西政府采购云平台作为附件上传保存。</w:t>
            </w:r>
          </w:p>
          <w:p w14:paraId="43AB8B63">
            <w:pPr>
              <w:snapToGrid w:val="0"/>
              <w:spacing w:line="360" w:lineRule="auto"/>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4CE836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045C6201">
            <w:pPr>
              <w:spacing w:line="360" w:lineRule="auto"/>
              <w:jc w:val="center"/>
              <w:rPr>
                <w:rFonts w:hint="eastAsia" w:asciiTheme="majorEastAsia" w:hAnsiTheme="majorEastAsia" w:eastAsiaTheme="majorEastAsia"/>
                <w:color w:val="auto"/>
                <w:szCs w:val="21"/>
                <w:highlight w:val="none"/>
              </w:rPr>
            </w:pPr>
            <w:bookmarkStart w:id="78" w:name="_26"/>
            <w:bookmarkEnd w:id="78"/>
            <w:r>
              <w:rPr>
                <w:rFonts w:hint="eastAsia" w:asciiTheme="majorEastAsia" w:hAnsiTheme="majorEastAsia" w:eastAsiaTheme="majorEastAsia"/>
                <w:color w:val="auto"/>
                <w:szCs w:val="21"/>
                <w:highlight w:val="none"/>
              </w:rPr>
              <w:t>26</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56AC56C2">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评标委员会的人数：</w:t>
            </w:r>
            <w:r>
              <w:rPr>
                <w:rFonts w:hint="eastAsia" w:asciiTheme="majorEastAsia" w:hAnsiTheme="majorEastAsia" w:eastAsiaTheme="majorEastAsia"/>
                <w:color w:val="auto"/>
                <w:szCs w:val="21"/>
                <w:highlight w:val="none"/>
                <w:u w:val="single"/>
              </w:rPr>
              <w:t>5</w:t>
            </w:r>
            <w:r>
              <w:rPr>
                <w:rFonts w:hint="eastAsia" w:asciiTheme="majorEastAsia" w:hAnsiTheme="majorEastAsia" w:eastAsiaTheme="majorEastAsia"/>
                <w:color w:val="auto"/>
                <w:szCs w:val="21"/>
                <w:highlight w:val="none"/>
              </w:rPr>
              <w:t>人及以上</w:t>
            </w:r>
            <w:r>
              <w:rPr>
                <w:rFonts w:hint="eastAsia" w:asciiTheme="majorEastAsia" w:hAnsiTheme="majorEastAsia" w:eastAsiaTheme="majorEastAsia"/>
                <w:color w:val="auto"/>
                <w:szCs w:val="21"/>
                <w:highlight w:val="none"/>
                <w:lang w:eastAsia="zh-CN"/>
              </w:rPr>
              <w:t>单数</w:t>
            </w:r>
            <w:r>
              <w:rPr>
                <w:rFonts w:hint="eastAsia" w:asciiTheme="majorEastAsia" w:hAnsiTheme="majorEastAsia" w:eastAsiaTheme="majorEastAsia"/>
                <w:color w:val="auto"/>
                <w:szCs w:val="21"/>
                <w:highlight w:val="none"/>
              </w:rPr>
              <w:t>。</w:t>
            </w:r>
          </w:p>
        </w:tc>
      </w:tr>
      <w:tr w14:paraId="5E3EE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71AC717">
            <w:pPr>
              <w:spacing w:line="360" w:lineRule="auto"/>
              <w:jc w:val="center"/>
              <w:rPr>
                <w:rFonts w:hint="eastAsia" w:asciiTheme="majorEastAsia" w:hAnsiTheme="majorEastAsia" w:eastAsiaTheme="majorEastAsia"/>
                <w:color w:val="auto"/>
                <w:szCs w:val="21"/>
                <w:highlight w:val="none"/>
              </w:rPr>
            </w:pPr>
            <w:bookmarkStart w:id="79" w:name="_28.3"/>
            <w:bookmarkEnd w:id="79"/>
            <w:r>
              <w:rPr>
                <w:rFonts w:asciiTheme="majorEastAsia" w:hAnsiTheme="majorEastAsia" w:eastAsiaTheme="majorEastAsia"/>
                <w:color w:val="auto"/>
                <w:szCs w:val="21"/>
                <w:highlight w:val="none"/>
              </w:rPr>
              <w:t>29.1</w:t>
            </w:r>
          </w:p>
        </w:tc>
        <w:tc>
          <w:tcPr>
            <w:tcW w:w="8853" w:type="dxa"/>
            <w:tcBorders>
              <w:top w:val="single" w:color="auto" w:sz="4" w:space="0"/>
              <w:left w:val="single" w:color="auto" w:sz="4" w:space="0"/>
              <w:bottom w:val="single" w:color="auto" w:sz="4" w:space="0"/>
              <w:right w:val="single" w:color="auto" w:sz="4" w:space="0"/>
            </w:tcBorders>
            <w:vAlign w:val="center"/>
          </w:tcPr>
          <w:p w14:paraId="184721C4">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评标方法：</w:t>
            </w:r>
          </w:p>
          <w:p w14:paraId="7F9AA97E">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综合评分法</w:t>
            </w:r>
          </w:p>
          <w:p w14:paraId="1A1284E5">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□最低评标价法</w:t>
            </w:r>
          </w:p>
        </w:tc>
      </w:tr>
      <w:tr w14:paraId="45D6A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31EE6F61">
            <w:pPr>
              <w:spacing w:line="360" w:lineRule="auto"/>
              <w:jc w:val="center"/>
              <w:rPr>
                <w:rFonts w:hint="eastAsia" w:asciiTheme="majorEastAsia" w:hAnsiTheme="majorEastAsia" w:eastAsiaTheme="majorEastAsia"/>
                <w:color w:val="auto"/>
                <w:szCs w:val="21"/>
                <w:highlight w:val="none"/>
              </w:rPr>
            </w:pPr>
            <w:bookmarkStart w:id="80" w:name="_29.2.2（2）"/>
            <w:bookmarkEnd w:id="80"/>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9.2</w:t>
            </w:r>
          </w:p>
        </w:tc>
        <w:tc>
          <w:tcPr>
            <w:tcW w:w="8853" w:type="dxa"/>
            <w:tcBorders>
              <w:top w:val="single" w:color="auto" w:sz="4" w:space="0"/>
              <w:left w:val="single" w:color="auto" w:sz="4" w:space="0"/>
              <w:right w:val="single" w:color="auto" w:sz="4" w:space="0"/>
            </w:tcBorders>
            <w:vAlign w:val="center"/>
          </w:tcPr>
          <w:p w14:paraId="118E3C92">
            <w:pPr>
              <w:snapToGrid w:val="0"/>
              <w:spacing w:line="360" w:lineRule="auto"/>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商务要求</w:t>
            </w:r>
            <w:r>
              <w:rPr>
                <w:rFonts w:hint="eastAsia" w:asciiTheme="majorEastAsia" w:hAnsiTheme="majorEastAsia" w:eastAsiaTheme="majorEastAsia"/>
                <w:color w:val="auto"/>
                <w:szCs w:val="21"/>
                <w:highlight w:val="none"/>
              </w:rPr>
              <w:t>评审中允许负偏离的条款数为</w:t>
            </w:r>
            <w:r>
              <w:rPr>
                <w:rFonts w:hint="eastAsia" w:asciiTheme="majorEastAsia" w:hAnsiTheme="majorEastAsia" w:eastAsiaTheme="majorEastAsia"/>
                <w:color w:val="auto"/>
                <w:szCs w:val="21"/>
                <w:highlight w:val="none"/>
                <w:u w:val="single"/>
              </w:rPr>
              <w:t>0</w:t>
            </w:r>
            <w:r>
              <w:rPr>
                <w:rFonts w:hint="eastAsia" w:asciiTheme="majorEastAsia" w:hAnsiTheme="majorEastAsia" w:eastAsiaTheme="majorEastAsia"/>
                <w:color w:val="auto"/>
                <w:szCs w:val="21"/>
                <w:highlight w:val="none"/>
              </w:rPr>
              <w:t>项</w:t>
            </w:r>
            <w:r>
              <w:rPr>
                <w:rFonts w:hint="eastAsia" w:cs="宋体" w:asciiTheme="majorEastAsia" w:hAnsiTheme="majorEastAsia" w:eastAsiaTheme="majorEastAsia"/>
                <w:color w:val="auto"/>
                <w:szCs w:val="21"/>
                <w:highlight w:val="none"/>
              </w:rPr>
              <w:t>（负偏离达到1项及以上则投标无效）</w:t>
            </w:r>
            <w:r>
              <w:rPr>
                <w:rFonts w:hint="eastAsia" w:asciiTheme="majorEastAsia" w:hAnsiTheme="majorEastAsia" w:eastAsiaTheme="majorEastAsia"/>
                <w:color w:val="auto"/>
                <w:szCs w:val="21"/>
                <w:highlight w:val="none"/>
              </w:rPr>
              <w:t>。</w:t>
            </w:r>
          </w:p>
          <w:p w14:paraId="1C96F037">
            <w:pPr>
              <w:snapToGrid w:val="0"/>
              <w:spacing w:line="360"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技术评审中允许负偏离的项目数为</w:t>
            </w:r>
            <w:r>
              <w:rPr>
                <w:rFonts w:hint="eastAsia" w:cs="宋体" w:asciiTheme="majorEastAsia" w:hAnsiTheme="majorEastAsia" w:eastAsiaTheme="majorEastAsia"/>
                <w:color w:val="auto"/>
                <w:szCs w:val="21"/>
                <w:highlight w:val="none"/>
                <w:u w:val="single"/>
                <w:lang w:val="en-US" w:eastAsia="zh-CN"/>
              </w:rPr>
              <w:t>10</w:t>
            </w:r>
            <w:r>
              <w:rPr>
                <w:rFonts w:hint="eastAsia" w:cs="宋体" w:asciiTheme="majorEastAsia" w:hAnsiTheme="majorEastAsia" w:eastAsiaTheme="majorEastAsia"/>
                <w:color w:val="auto"/>
                <w:szCs w:val="21"/>
                <w:highlight w:val="none"/>
              </w:rPr>
              <w:t>项。（负偏离达到</w:t>
            </w:r>
            <w:r>
              <w:rPr>
                <w:rFonts w:hint="eastAsia" w:cs="宋体" w:asciiTheme="majorEastAsia" w:hAnsiTheme="majorEastAsia" w:eastAsiaTheme="majorEastAsia"/>
                <w:color w:val="auto"/>
                <w:szCs w:val="21"/>
                <w:highlight w:val="none"/>
                <w:lang w:val="en-US" w:eastAsia="zh-CN"/>
              </w:rPr>
              <w:t>10</w:t>
            </w:r>
            <w:r>
              <w:rPr>
                <w:rFonts w:hint="eastAsia" w:cs="宋体" w:asciiTheme="majorEastAsia" w:hAnsiTheme="majorEastAsia" w:eastAsiaTheme="majorEastAsia"/>
                <w:color w:val="auto"/>
                <w:szCs w:val="21"/>
                <w:highlight w:val="none"/>
              </w:rPr>
              <w:t>项及以上则投标无效）。</w:t>
            </w:r>
          </w:p>
        </w:tc>
      </w:tr>
      <w:tr w14:paraId="21607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41B33E97">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asciiTheme="majorEastAsia" w:hAnsiTheme="majorEastAsia" w:eastAsiaTheme="majorEastAsia"/>
                <w:color w:val="auto"/>
                <w:szCs w:val="21"/>
                <w:highlight w:val="none"/>
              </w:rPr>
              <w:t>9.3</w:t>
            </w:r>
          </w:p>
        </w:tc>
        <w:tc>
          <w:tcPr>
            <w:tcW w:w="8853" w:type="dxa"/>
            <w:tcBorders>
              <w:top w:val="single" w:color="auto" w:sz="4" w:space="0"/>
              <w:left w:val="single" w:color="auto" w:sz="4" w:space="0"/>
              <w:right w:val="single" w:color="auto" w:sz="4" w:space="0"/>
            </w:tcBorders>
            <w:vAlign w:val="center"/>
          </w:tcPr>
          <w:p w14:paraId="4CD28D9F">
            <w:pPr>
              <w:snapToGrid w:val="0"/>
              <w:spacing w:line="360" w:lineRule="auto"/>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中标候选人推荐数量</w:t>
            </w:r>
            <w:r>
              <w:rPr>
                <w:rFonts w:hint="eastAsia" w:asciiTheme="majorEastAsia" w:hAnsiTheme="majorEastAsia" w:eastAsiaTheme="majorEastAsia"/>
                <w:color w:val="auto"/>
                <w:szCs w:val="21"/>
                <w:highlight w:val="none"/>
              </w:rPr>
              <w:t>：</w:t>
            </w:r>
          </w:p>
          <w:p w14:paraId="7FC1C81B">
            <w:pPr>
              <w:snapToGrid w:val="0"/>
              <w:spacing w:line="360" w:lineRule="auto"/>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Segoe UI Symbol" w:hAnsi="Segoe UI Symbol" w:cs="Segoe UI Symbol"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u w:val="single"/>
              </w:rPr>
              <w:t>3</w:t>
            </w:r>
            <w:r>
              <w:rPr>
                <w:rFonts w:asciiTheme="majorEastAsia" w:hAnsiTheme="majorEastAsia" w:eastAsiaTheme="majorEastAsia"/>
                <w:color w:val="auto"/>
                <w:szCs w:val="21"/>
                <w:highlight w:val="none"/>
              </w:rPr>
              <w:t>名</w:t>
            </w:r>
          </w:p>
          <w:p w14:paraId="6EEDE60F">
            <w:pPr>
              <w:snapToGrid w:val="0"/>
              <w:spacing w:line="360" w:lineRule="auto"/>
              <w:rPr>
                <w:rFonts w:hint="eastAsia" w:cs="宋体"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根据总得分由高到低排列次序并全部推荐为中标候选人</w:t>
            </w:r>
          </w:p>
        </w:tc>
      </w:tr>
      <w:tr w14:paraId="651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69AEB240">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30</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4DDD663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采用综合评分法的采购项目，采购人确定中标人时，出现中标候选人并列的情形，采购人按以下的方式确定中标人：</w:t>
            </w:r>
          </w:p>
          <w:p w14:paraId="6BB4810F">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依次按投标报价低的优先、政策分得分高的优先、技术评分高的优先、商务评分高的优先、保修期长优先、交货期短优先、故障响应时间短优先的顺序确定；</w:t>
            </w:r>
          </w:p>
          <w:p w14:paraId="7BE5FA3E">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□随机抽取；</w:t>
            </w:r>
          </w:p>
        </w:tc>
      </w:tr>
      <w:tr w14:paraId="66C377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72" w:type="dxa"/>
            <w:tcBorders>
              <w:top w:val="single" w:color="auto" w:sz="4" w:space="0"/>
              <w:left w:val="single" w:color="auto" w:sz="4" w:space="0"/>
              <w:bottom w:val="single" w:color="auto" w:sz="4" w:space="0"/>
              <w:right w:val="single" w:color="auto" w:sz="4" w:space="0"/>
            </w:tcBorders>
            <w:vAlign w:val="center"/>
          </w:tcPr>
          <w:p w14:paraId="741CA31F">
            <w:pPr>
              <w:spacing w:line="360" w:lineRule="auto"/>
              <w:jc w:val="center"/>
              <w:rPr>
                <w:rFonts w:hint="eastAsia" w:asciiTheme="majorEastAsia" w:hAnsiTheme="majorEastAsia" w:eastAsiaTheme="majorEastAsia"/>
                <w:color w:val="auto"/>
                <w:szCs w:val="21"/>
                <w:highlight w:val="none"/>
              </w:rPr>
            </w:pPr>
            <w:bookmarkStart w:id="81" w:name="_39.1"/>
            <w:bookmarkEnd w:id="81"/>
            <w:r>
              <w:rPr>
                <w:rFonts w:hint="eastAsia" w:asciiTheme="majorEastAsia" w:hAnsiTheme="majorEastAsia" w:eastAsiaTheme="majorEastAsia"/>
                <w:color w:val="auto"/>
                <w:szCs w:val="21"/>
                <w:highlight w:val="none"/>
              </w:rPr>
              <w:t>35</w:t>
            </w:r>
            <w:r>
              <w:rPr>
                <w:rFonts w:asciiTheme="majorEastAsia" w:hAnsiTheme="majorEastAsia" w:eastAsiaTheme="majorEastAsia"/>
                <w:color w:val="auto"/>
                <w:szCs w:val="21"/>
                <w:highlight w:val="none"/>
              </w:rPr>
              <w:t>.1</w:t>
            </w:r>
          </w:p>
        </w:tc>
        <w:tc>
          <w:tcPr>
            <w:tcW w:w="8853" w:type="dxa"/>
            <w:tcBorders>
              <w:top w:val="single" w:color="auto" w:sz="4" w:space="0"/>
              <w:left w:val="single" w:color="auto" w:sz="4" w:space="0"/>
              <w:bottom w:val="single" w:color="auto" w:sz="4" w:space="0"/>
              <w:right w:val="single" w:color="auto" w:sz="4" w:space="0"/>
            </w:tcBorders>
            <w:vAlign w:val="center"/>
          </w:tcPr>
          <w:p w14:paraId="5741C661">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本项目不收取履约保证金。</w:t>
            </w:r>
          </w:p>
          <w:p w14:paraId="76970526">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ascii="Segoe UI Symbol" w:hAnsi="Segoe UI Symbol" w:cs="Segoe UI Symbol" w:eastAsiaTheme="majorEastAsia"/>
                <w:color w:val="auto"/>
                <w:szCs w:val="21"/>
                <w:highlight w:val="none"/>
              </w:rPr>
              <w:t>☑</w:t>
            </w:r>
            <w:r>
              <w:rPr>
                <w:rFonts w:hint="eastAsia" w:asciiTheme="majorEastAsia" w:hAnsiTheme="majorEastAsia" w:eastAsiaTheme="majorEastAsia"/>
                <w:color w:val="auto"/>
                <w:szCs w:val="21"/>
                <w:highlight w:val="none"/>
              </w:rPr>
              <w:t>本项目收取履约保证金，具体规定如下：</w:t>
            </w:r>
          </w:p>
          <w:p w14:paraId="36E2A6B8">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1.履约保证金：中标金额的2%。</w:t>
            </w:r>
          </w:p>
          <w:p w14:paraId="452FBAD3">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2.履约保证金递交方式：支票、汇票、本票、银行转账或者金融机构、担保机构出具的保函（含电子保函）等非现金形式。</w:t>
            </w:r>
          </w:p>
          <w:p w14:paraId="657135F1">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3.履约保证金递交时间：签订合同前由中标人转入采购人指定账户。</w:t>
            </w:r>
          </w:p>
          <w:p w14:paraId="1FC25622">
            <w:pPr>
              <w:pStyle w:val="48"/>
              <w:spacing w:line="360" w:lineRule="auto"/>
              <w:ind w:firstLine="0" w:firstLineChars="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履约保证金退还：验收合格后一年无质量问题，中标人提供《政府采购项目履约保证金退付意见书》及《政府采购项目合同验收报告》，向采购人提出书面申请退还，采购人在收到申请后五个工作日内以银行转账方式无息退还。</w:t>
            </w:r>
          </w:p>
          <w:p w14:paraId="13A3C135">
            <w:pPr>
              <w:spacing w:line="360" w:lineRule="auto"/>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备注：</w:t>
            </w:r>
          </w:p>
          <w:p w14:paraId="357915F0">
            <w:pPr>
              <w:spacing w:line="360" w:lineRule="auto"/>
              <w:contextualSpacing/>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1.</w:t>
            </w:r>
            <w:bookmarkStart w:id="82" w:name="_Hlk54170335"/>
            <w:r>
              <w:rPr>
                <w:rFonts w:hint="eastAsia" w:cs="宋体" w:asciiTheme="majorEastAsia" w:hAnsiTheme="majorEastAsia" w:eastAsiaTheme="majorEastAsia"/>
                <w:b/>
                <w:color w:val="auto"/>
                <w:szCs w:val="21"/>
                <w:highlight w:val="none"/>
              </w:rPr>
              <w:t>根据《广西壮族自治区财政厅关于持续优化政府采购营商环境推动高质量发展的通知》（桂财采〔2024〕55号）规定，采购人在采购文件中要求提交履约保证金的，履约保证金数额不得超过政府采购合同金额的5%；政府采购要加大对中小企业发展的扶持力度，对中小企业收取的履约保证金数额不得超过政府采购合同金额的2%。</w:t>
            </w:r>
            <w:bookmarkEnd w:id="82"/>
          </w:p>
          <w:p w14:paraId="77E1FF65">
            <w:pPr>
              <w:spacing w:line="360" w:lineRule="auto"/>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w:t>
            </w:r>
            <w:r>
              <w:rPr>
                <w:rFonts w:asciiTheme="majorEastAsia" w:hAnsiTheme="majorEastAsia" w:eastAsiaTheme="majorEastAsia"/>
                <w:b/>
                <w:color w:val="auto"/>
                <w:szCs w:val="21"/>
                <w:highlight w:val="none"/>
              </w:rPr>
              <w:t>.</w:t>
            </w:r>
            <w:r>
              <w:rPr>
                <w:rFonts w:hint="eastAsia" w:asciiTheme="majorEastAsia" w:hAnsiTheme="majorEastAsia" w:eastAsiaTheme="majorEastAsia"/>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7D9BD883">
            <w:pPr>
              <w:spacing w:line="360" w:lineRule="auto"/>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3</w:t>
            </w:r>
            <w:r>
              <w:rPr>
                <w:rFonts w:asciiTheme="majorEastAsia" w:hAnsiTheme="majorEastAsia" w:eastAsiaTheme="majorEastAsia"/>
                <w:b/>
                <w:color w:val="auto"/>
                <w:szCs w:val="21"/>
                <w:highlight w:val="none"/>
              </w:rPr>
              <w:t>.采用银行、保险机构出具的保函的，必须为无条件保函，否则不予签订合同。</w:t>
            </w:r>
          </w:p>
          <w:p w14:paraId="32465DC6">
            <w:pPr>
              <w:spacing w:line="360" w:lineRule="auto"/>
              <w:jc w:val="left"/>
              <w:rPr>
                <w:rFonts w:hint="eastAsia" w:cs="宋体" w:asciiTheme="majorEastAsia" w:hAnsiTheme="majorEastAsia" w:eastAsiaTheme="majorEastAsia"/>
                <w:color w:val="auto"/>
                <w:kern w:val="0"/>
                <w:szCs w:val="21"/>
                <w:highlight w:val="none"/>
              </w:rPr>
            </w:pPr>
            <w:r>
              <w:rPr>
                <w:rFonts w:hint="eastAsia" w:asciiTheme="majorEastAsia" w:hAnsiTheme="majorEastAsia" w:eastAsiaTheme="majorEastAsia"/>
                <w:b/>
                <w:color w:val="auto"/>
                <w:szCs w:val="21"/>
                <w:highlight w:val="none"/>
              </w:rPr>
              <w:t>4</w:t>
            </w:r>
            <w:r>
              <w:rPr>
                <w:rFonts w:asciiTheme="majorEastAsia" w:hAnsiTheme="majorEastAsia" w:eastAsiaTheme="majorEastAsia"/>
                <w:b/>
                <w:color w:val="auto"/>
                <w:szCs w:val="21"/>
                <w:highlight w:val="none"/>
              </w:rPr>
              <w:t>.</w:t>
            </w:r>
            <w:r>
              <w:rPr>
                <w:rFonts w:hint="eastAsia" w:asciiTheme="majorEastAsia" w:hAnsiTheme="majorEastAsia" w:eastAsiaTheme="majorEastAsia"/>
                <w:b/>
                <w:color w:val="auto"/>
                <w:szCs w:val="21"/>
                <w:highlight w:val="none"/>
              </w:rPr>
              <w:t>投标人为联合体的，由联合体其中一方按规定提交的履约保证金，视为有效履约保证金。</w:t>
            </w:r>
          </w:p>
        </w:tc>
      </w:tr>
      <w:tr w14:paraId="23D85B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0E80CEE3">
            <w:pPr>
              <w:spacing w:line="360" w:lineRule="auto"/>
              <w:jc w:val="center"/>
              <w:rPr>
                <w:rFonts w:hint="eastAsia" w:asciiTheme="majorEastAsia" w:hAnsiTheme="majorEastAsia" w:eastAsiaTheme="majorEastAsia"/>
                <w:color w:val="auto"/>
                <w:szCs w:val="21"/>
                <w:highlight w:val="none"/>
              </w:rPr>
            </w:pPr>
            <w:bookmarkStart w:id="83" w:name="_40.1"/>
            <w:bookmarkEnd w:id="83"/>
            <w:r>
              <w:rPr>
                <w:rFonts w:hint="eastAsia" w:asciiTheme="majorEastAsia" w:hAnsiTheme="majorEastAsia" w:eastAsiaTheme="majorEastAsia"/>
                <w:color w:val="auto"/>
                <w:szCs w:val="21"/>
                <w:highlight w:val="none"/>
              </w:rPr>
              <w:t>36.1</w:t>
            </w:r>
          </w:p>
        </w:tc>
        <w:tc>
          <w:tcPr>
            <w:tcW w:w="8853" w:type="dxa"/>
            <w:tcBorders>
              <w:top w:val="single" w:color="auto" w:sz="4" w:space="0"/>
              <w:left w:val="single" w:color="auto" w:sz="4" w:space="0"/>
              <w:bottom w:val="single" w:color="auto" w:sz="4" w:space="0"/>
              <w:right w:val="single" w:color="auto" w:sz="4" w:space="0"/>
            </w:tcBorders>
            <w:vAlign w:val="center"/>
          </w:tcPr>
          <w:p w14:paraId="5FC78128">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签订合同携带的证明材料： </w:t>
            </w:r>
          </w:p>
          <w:p w14:paraId="00CC7C2A">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委托代理人负责签订合同的，须携带授权委托书及委托代理人身份证原件等其他资格证件。</w:t>
            </w:r>
          </w:p>
          <w:p w14:paraId="655D6DA7">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法定代表人（或负责人）负责签订合同的，须携带法定代表人（或负责人）</w:t>
            </w:r>
            <w:r>
              <w:rPr>
                <w:rFonts w:asciiTheme="majorEastAsia" w:hAnsiTheme="majorEastAsia" w:eastAsiaTheme="majorEastAsia"/>
                <w:color w:val="auto"/>
                <w:szCs w:val="21"/>
                <w:highlight w:val="none"/>
              </w:rPr>
              <w:t>身份证明原件</w:t>
            </w:r>
            <w:r>
              <w:rPr>
                <w:rFonts w:hint="eastAsia" w:asciiTheme="majorEastAsia" w:hAnsiTheme="majorEastAsia" w:eastAsiaTheme="majorEastAsia"/>
                <w:color w:val="auto"/>
                <w:szCs w:val="21"/>
                <w:highlight w:val="none"/>
              </w:rPr>
              <w:t>及</w:t>
            </w:r>
            <w:r>
              <w:rPr>
                <w:rFonts w:asciiTheme="majorEastAsia" w:hAnsiTheme="majorEastAsia" w:eastAsiaTheme="majorEastAsia"/>
                <w:color w:val="auto"/>
                <w:szCs w:val="21"/>
                <w:highlight w:val="none"/>
              </w:rPr>
              <w:t>身份证原件</w:t>
            </w:r>
            <w:r>
              <w:rPr>
                <w:rFonts w:hint="eastAsia" w:asciiTheme="majorEastAsia" w:hAnsiTheme="majorEastAsia" w:eastAsiaTheme="majorEastAsia"/>
                <w:color w:val="auto"/>
                <w:szCs w:val="21"/>
                <w:highlight w:val="none"/>
              </w:rPr>
              <w:t>等其他证明材料。</w:t>
            </w:r>
          </w:p>
        </w:tc>
      </w:tr>
      <w:tr w14:paraId="3FECFC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15BFEE04">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w:t>
            </w:r>
            <w:r>
              <w:rPr>
                <w:rFonts w:asciiTheme="majorEastAsia" w:hAnsiTheme="majorEastAsia" w:eastAsiaTheme="majorEastAsia"/>
                <w:color w:val="auto"/>
                <w:szCs w:val="21"/>
                <w:highlight w:val="none"/>
              </w:rPr>
              <w:t>8.2</w:t>
            </w:r>
          </w:p>
        </w:tc>
        <w:tc>
          <w:tcPr>
            <w:tcW w:w="8853" w:type="dxa"/>
            <w:tcBorders>
              <w:top w:val="single" w:color="auto" w:sz="4" w:space="0"/>
              <w:left w:val="single" w:color="auto" w:sz="4" w:space="0"/>
              <w:bottom w:val="single" w:color="auto" w:sz="4" w:space="0"/>
              <w:right w:val="single" w:color="auto" w:sz="4" w:space="0"/>
            </w:tcBorders>
            <w:vAlign w:val="center"/>
          </w:tcPr>
          <w:p w14:paraId="579F570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接收质疑函方式：以书面形式</w:t>
            </w:r>
          </w:p>
          <w:p w14:paraId="65E0C45C">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质疑联系部门及联系方式：广西正海招标有限公司，</w:t>
            </w:r>
            <w:r>
              <w:rPr>
                <w:rFonts w:asciiTheme="majorEastAsia" w:hAnsiTheme="majorEastAsia" w:eastAsiaTheme="majorEastAsia"/>
                <w:color w:val="auto"/>
                <w:szCs w:val="21"/>
                <w:highlight w:val="none"/>
              </w:rPr>
              <w:t>联系电话</w:t>
            </w:r>
            <w:r>
              <w:rPr>
                <w:rFonts w:hint="eastAsia" w:asciiTheme="majorEastAsia" w:hAnsiTheme="majorEastAsia" w:eastAsiaTheme="majorEastAsia"/>
                <w:color w:val="auto"/>
                <w:szCs w:val="21"/>
                <w:highlight w:val="none"/>
              </w:rPr>
              <w:t>：0771-2865989，</w:t>
            </w:r>
            <w:r>
              <w:rPr>
                <w:rFonts w:asciiTheme="majorEastAsia" w:hAnsiTheme="majorEastAsia" w:eastAsiaTheme="majorEastAsia"/>
                <w:color w:val="auto"/>
                <w:szCs w:val="21"/>
                <w:highlight w:val="none"/>
              </w:rPr>
              <w:t>通讯地址</w:t>
            </w:r>
            <w:r>
              <w:rPr>
                <w:rFonts w:hint="eastAsia" w:cs="Helvetica"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广西正海招标有限公司（</w:t>
            </w:r>
            <w:r>
              <w:rPr>
                <w:rFonts w:hint="eastAsia" w:asciiTheme="majorEastAsia" w:hAnsiTheme="majorEastAsia" w:eastAsiaTheme="majorEastAsia"/>
                <w:color w:val="auto"/>
                <w:szCs w:val="21"/>
                <w:highlight w:val="none"/>
                <w:lang w:eastAsia="zh-CN"/>
              </w:rPr>
              <w:t>南宁市青秀区茅桥路2号</w:t>
            </w:r>
            <w:r>
              <w:rPr>
                <w:rFonts w:hint="eastAsia" w:asciiTheme="majorEastAsia" w:hAnsiTheme="majorEastAsia" w:eastAsiaTheme="majorEastAsia"/>
                <w:color w:val="auto"/>
                <w:szCs w:val="21"/>
                <w:highlight w:val="none"/>
              </w:rPr>
              <w:t>习艺基地A栋1号电梯3楼）</w:t>
            </w:r>
          </w:p>
          <w:p w14:paraId="576D2C67">
            <w:pPr>
              <w:autoSpaceDE w:val="0"/>
              <w:autoSpaceDN w:val="0"/>
              <w:snapToGrid w:val="0"/>
              <w:spacing w:line="360" w:lineRule="auto"/>
              <w:textAlignment w:val="bottom"/>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现场提交质疑办理业务时间：每天8时00分到12时00分，15时00分到18时00分，业务时间以外、双休日和法定节假日不办理业务。</w:t>
            </w:r>
          </w:p>
        </w:tc>
      </w:tr>
      <w:tr w14:paraId="772B1A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432763A5">
            <w:pPr>
              <w:spacing w:line="360" w:lineRule="auto"/>
              <w:jc w:val="center"/>
              <w:rPr>
                <w:rFonts w:hint="eastAsia" w:asciiTheme="majorEastAsia" w:hAnsiTheme="majorEastAsia" w:eastAsiaTheme="majorEastAsia"/>
                <w:color w:val="auto"/>
                <w:szCs w:val="21"/>
                <w:highlight w:val="none"/>
              </w:rPr>
            </w:pPr>
            <w:bookmarkStart w:id="84" w:name="_42"/>
            <w:bookmarkEnd w:id="84"/>
            <w:bookmarkStart w:id="85" w:name="_41"/>
            <w:bookmarkEnd w:id="85"/>
            <w:bookmarkStart w:id="86" w:name="_Hlt17709148"/>
            <w:r>
              <w:rPr>
                <w:rFonts w:hint="eastAsia" w:asciiTheme="majorEastAsia" w:hAnsiTheme="majorEastAsia" w:eastAsiaTheme="majorEastAsia"/>
                <w:color w:val="auto"/>
                <w:szCs w:val="21"/>
                <w:highlight w:val="none"/>
              </w:rPr>
              <w:t>3</w:t>
            </w:r>
            <w:bookmarkEnd w:id="86"/>
            <w:r>
              <w:rPr>
                <w:rFonts w:asciiTheme="majorEastAsia" w:hAnsiTheme="majorEastAsia" w:eastAsiaTheme="majorEastAsia"/>
                <w:color w:val="auto"/>
                <w:szCs w:val="21"/>
                <w:highlight w:val="none"/>
              </w:rPr>
              <w:t>9.1</w:t>
            </w:r>
          </w:p>
        </w:tc>
        <w:tc>
          <w:tcPr>
            <w:tcW w:w="8853" w:type="dxa"/>
            <w:tcBorders>
              <w:top w:val="single" w:color="auto" w:sz="4" w:space="0"/>
              <w:left w:val="single" w:color="auto" w:sz="4" w:space="0"/>
              <w:bottom w:val="single" w:color="auto" w:sz="4" w:space="0"/>
              <w:right w:val="single" w:color="auto" w:sz="4" w:space="0"/>
            </w:tcBorders>
            <w:vAlign w:val="center"/>
          </w:tcPr>
          <w:p w14:paraId="40126BAD">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1.采购代理费支付方式：</w:t>
            </w:r>
          </w:p>
          <w:p w14:paraId="40D601A1">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本项目代理服务费由</w:t>
            </w:r>
            <w:r>
              <w:rPr>
                <w:rFonts w:hint="eastAsia" w:cs="宋体" w:asciiTheme="majorEastAsia" w:hAnsiTheme="majorEastAsia" w:eastAsiaTheme="majorEastAsia"/>
                <w:color w:val="auto"/>
                <w:sz w:val="21"/>
                <w:highlight w:val="none"/>
                <w:u w:val="single"/>
              </w:rPr>
              <w:t>中标人</w:t>
            </w:r>
            <w:r>
              <w:rPr>
                <w:rFonts w:hint="eastAsia" w:cs="宋体" w:asciiTheme="majorEastAsia" w:hAnsiTheme="majorEastAsia" w:eastAsiaTheme="majorEastAsia"/>
                <w:color w:val="auto"/>
                <w:sz w:val="21"/>
                <w:highlight w:val="none"/>
              </w:rPr>
              <w:t>在领取中标通知书前，一次性向采购代理机构支付。</w:t>
            </w:r>
          </w:p>
          <w:p w14:paraId="05E18C19">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□采购人支付。</w:t>
            </w:r>
          </w:p>
          <w:p w14:paraId="2708CFF2">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2.采购代理费收取标准：</w:t>
            </w:r>
          </w:p>
          <w:p w14:paraId="386C73E7">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以项目（</w:t>
            </w: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中标金额/□采购预算/□暂定中标金额/□其他</w:t>
            </w:r>
            <w:r>
              <w:rPr>
                <w:rFonts w:hint="eastAsia" w:cs="宋体" w:asciiTheme="majorEastAsia" w:hAnsiTheme="majorEastAsia" w:eastAsiaTheme="majorEastAsia"/>
                <w:color w:val="auto"/>
                <w:sz w:val="21"/>
                <w:highlight w:val="none"/>
                <w:u w:val="single"/>
              </w:rPr>
              <w:t xml:space="preserve"> </w:t>
            </w:r>
            <w:r>
              <w:rPr>
                <w:rFonts w:cs="宋体" w:asciiTheme="majorEastAsia" w:hAnsiTheme="majorEastAsia" w:eastAsiaTheme="majorEastAsia"/>
                <w:color w:val="auto"/>
                <w:sz w:val="21"/>
                <w:highlight w:val="none"/>
                <w:u w:val="single"/>
              </w:rPr>
              <w:t xml:space="preserve">  </w:t>
            </w:r>
            <w:r>
              <w:rPr>
                <w:rFonts w:hint="eastAsia" w:cs="宋体" w:asciiTheme="majorEastAsia" w:hAnsiTheme="majorEastAsia" w:eastAsiaTheme="majorEastAsia"/>
                <w:color w:val="auto"/>
                <w:sz w:val="21"/>
                <w:highlight w:val="none"/>
              </w:rPr>
              <w:t>）为计费额，按本须知正文第</w:t>
            </w:r>
            <w:r>
              <w:rPr>
                <w:rFonts w:cs="宋体" w:asciiTheme="majorEastAsia" w:hAnsiTheme="majorEastAsia" w:eastAsiaTheme="majorEastAsia"/>
                <w:color w:val="auto"/>
                <w:sz w:val="21"/>
                <w:highlight w:val="none"/>
              </w:rPr>
              <w:t>39</w:t>
            </w:r>
            <w:r>
              <w:rPr>
                <w:rFonts w:hint="eastAsia" w:cs="宋体" w:asciiTheme="majorEastAsia" w:hAnsiTheme="majorEastAsia" w:eastAsiaTheme="majorEastAsia"/>
                <w:color w:val="auto"/>
                <w:sz w:val="21"/>
                <w:highlight w:val="none"/>
              </w:rPr>
              <w:t>.</w:t>
            </w:r>
            <w:r>
              <w:rPr>
                <w:rFonts w:cs="宋体" w:asciiTheme="majorEastAsia" w:hAnsiTheme="majorEastAsia" w:eastAsiaTheme="majorEastAsia"/>
                <w:color w:val="auto"/>
                <w:sz w:val="21"/>
                <w:highlight w:val="none"/>
              </w:rPr>
              <w:t>2</w:t>
            </w:r>
            <w:r>
              <w:rPr>
                <w:rFonts w:hint="eastAsia" w:cs="宋体" w:asciiTheme="majorEastAsia" w:hAnsiTheme="majorEastAsia" w:eastAsiaTheme="majorEastAsia"/>
                <w:color w:val="auto"/>
                <w:sz w:val="21"/>
                <w:highlight w:val="none"/>
              </w:rPr>
              <w:t>条规定的收费计算标准（</w:t>
            </w: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货物招标/□服务招标/□工程招标）采用差额定率累进法计算出收费基准价格，采购代理收费以（</w:t>
            </w:r>
            <w:r>
              <w:rPr>
                <w:rFonts w:hint="eastAsia" w:cs="宋体" w:asciiTheme="majorEastAsia" w:hAnsiTheme="majorEastAsia" w:eastAsiaTheme="majorEastAsia"/>
                <w:color w:val="auto"/>
                <w:sz w:val="21"/>
                <w:highlight w:val="none"/>
              </w:rPr>
              <w:sym w:font="Wingdings 2" w:char="0052"/>
            </w:r>
            <w:r>
              <w:rPr>
                <w:rFonts w:hint="eastAsia" w:cs="宋体" w:asciiTheme="majorEastAsia" w:hAnsiTheme="majorEastAsia" w:eastAsiaTheme="majorEastAsia"/>
                <w:color w:val="auto"/>
                <w:sz w:val="21"/>
                <w:highlight w:val="none"/>
              </w:rPr>
              <w:t>收费基准价格/</w:t>
            </w:r>
            <w:r>
              <w:rPr>
                <w:rFonts w:hint="eastAsia" w:cs="宋体" w:asciiTheme="majorEastAsia" w:hAnsiTheme="majorEastAsia" w:eastAsiaTheme="majorEastAsia"/>
                <w:color w:val="auto"/>
                <w:sz w:val="21"/>
                <w:highlight w:val="none"/>
              </w:rPr>
              <w:sym w:font="Wingdings 2" w:char="00A3"/>
            </w:r>
            <w:r>
              <w:rPr>
                <w:rFonts w:hint="eastAsia" w:cs="宋体" w:asciiTheme="majorEastAsia" w:hAnsiTheme="majorEastAsia" w:eastAsiaTheme="majorEastAsia"/>
                <w:color w:val="auto"/>
                <w:sz w:val="21"/>
                <w:highlight w:val="none"/>
              </w:rPr>
              <w:t>收费基准价格下浮</w:t>
            </w:r>
            <w:r>
              <w:rPr>
                <w:rFonts w:hint="eastAsia" w:cs="宋体" w:asciiTheme="majorEastAsia" w:hAnsiTheme="majorEastAsia" w:eastAsiaTheme="majorEastAsia"/>
                <w:color w:val="auto"/>
                <w:sz w:val="21"/>
                <w:highlight w:val="none"/>
                <w:u w:val="single"/>
              </w:rPr>
              <w:t xml:space="preserve">  %</w:t>
            </w:r>
            <w:r>
              <w:rPr>
                <w:rFonts w:cs="宋体" w:asciiTheme="majorEastAsia" w:hAnsiTheme="majorEastAsia" w:eastAsiaTheme="majorEastAsia"/>
                <w:color w:val="auto"/>
                <w:sz w:val="21"/>
                <w:highlight w:val="none"/>
              </w:rPr>
              <w:t>/</w:t>
            </w:r>
            <w:r>
              <w:rPr>
                <w:rFonts w:hint="eastAsia" w:cs="宋体" w:asciiTheme="majorEastAsia" w:hAnsiTheme="majorEastAsia" w:eastAsiaTheme="majorEastAsia"/>
                <w:color w:val="auto"/>
                <w:sz w:val="21"/>
                <w:highlight w:val="none"/>
              </w:rPr>
              <w:sym w:font="Wingdings 2" w:char="00A3"/>
            </w:r>
            <w:r>
              <w:rPr>
                <w:rFonts w:hint="eastAsia" w:cs="宋体" w:asciiTheme="majorEastAsia" w:hAnsiTheme="majorEastAsia" w:eastAsiaTheme="majorEastAsia"/>
                <w:color w:val="auto"/>
                <w:sz w:val="21"/>
                <w:highlight w:val="none"/>
              </w:rPr>
              <w:t>收费基准价格上浮</w:t>
            </w:r>
            <w:r>
              <w:rPr>
                <w:rFonts w:hint="eastAsia" w:cs="宋体" w:asciiTheme="majorEastAsia" w:hAnsiTheme="majorEastAsia" w:eastAsiaTheme="majorEastAsia"/>
                <w:color w:val="auto"/>
                <w:sz w:val="21"/>
                <w:highlight w:val="none"/>
                <w:u w:val="single"/>
              </w:rPr>
              <w:t xml:space="preserve"> </w:t>
            </w:r>
            <w:r>
              <w:rPr>
                <w:rFonts w:cs="宋体" w:asciiTheme="majorEastAsia" w:hAnsiTheme="majorEastAsia" w:eastAsiaTheme="majorEastAsia"/>
                <w:color w:val="auto"/>
                <w:sz w:val="21"/>
                <w:highlight w:val="none"/>
                <w:u w:val="single"/>
              </w:rPr>
              <w:t xml:space="preserve">  </w:t>
            </w:r>
            <w:r>
              <w:rPr>
                <w:rFonts w:hint="eastAsia" w:cs="宋体" w:asciiTheme="majorEastAsia" w:hAnsiTheme="majorEastAsia" w:eastAsiaTheme="majorEastAsia"/>
                <w:color w:val="auto"/>
                <w:sz w:val="21"/>
                <w:highlight w:val="none"/>
                <w:u w:val="single"/>
              </w:rPr>
              <w:t>%</w:t>
            </w:r>
            <w:r>
              <w:rPr>
                <w:rFonts w:hint="eastAsia" w:cs="宋体" w:asciiTheme="majorEastAsia" w:hAnsiTheme="majorEastAsia" w:eastAsiaTheme="majorEastAsia"/>
                <w:color w:val="auto"/>
                <w:sz w:val="21"/>
                <w:highlight w:val="none"/>
              </w:rPr>
              <w:t>）收取。</w:t>
            </w:r>
          </w:p>
          <w:p w14:paraId="39B23578">
            <w:pPr>
              <w:pStyle w:val="27"/>
              <w:snapToGrid w:val="0"/>
              <w:spacing w:line="360" w:lineRule="auto"/>
              <w:rPr>
                <w:rFonts w:hint="eastAsia" w:cs="宋体" w:asciiTheme="majorEastAsia" w:hAnsiTheme="majorEastAsia" w:eastAsiaTheme="majorEastAsia"/>
                <w:color w:val="auto"/>
                <w:sz w:val="21"/>
                <w:highlight w:val="none"/>
                <w:u w:val="single"/>
              </w:rPr>
            </w:pPr>
            <w:r>
              <w:rPr>
                <w:rFonts w:hint="eastAsia" w:cs="宋体" w:asciiTheme="majorEastAsia" w:hAnsiTheme="majorEastAsia" w:eastAsiaTheme="majorEastAsia"/>
                <w:color w:val="auto"/>
                <w:sz w:val="21"/>
                <w:highlight w:val="none"/>
              </w:rPr>
              <w:t>□固定采购代理收费</w:t>
            </w:r>
            <w:r>
              <w:rPr>
                <w:rFonts w:hint="eastAsia" w:cs="宋体" w:asciiTheme="majorEastAsia" w:hAnsiTheme="majorEastAsia" w:eastAsiaTheme="majorEastAsia"/>
                <w:color w:val="auto"/>
                <w:sz w:val="21"/>
                <w:highlight w:val="none"/>
                <w:u w:val="single"/>
              </w:rPr>
              <w:t xml:space="preserve">              。</w:t>
            </w:r>
          </w:p>
          <w:p w14:paraId="31A267E5">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3.账户名称：广西正海招标有限公司</w:t>
            </w:r>
          </w:p>
          <w:p w14:paraId="27D6050C">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开户银行：中国光大银行南宁长湖支行</w:t>
            </w:r>
          </w:p>
          <w:p w14:paraId="216A353E">
            <w:pPr>
              <w:pStyle w:val="27"/>
              <w:snapToGrid w:val="0"/>
              <w:spacing w:line="360" w:lineRule="auto"/>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银行账号：79080188000035937</w:t>
            </w:r>
          </w:p>
        </w:tc>
      </w:tr>
      <w:tr w14:paraId="70A28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3BF20F68">
            <w:pPr>
              <w:snapToGrid w:val="0"/>
              <w:spacing w:line="360" w:lineRule="auto"/>
              <w:jc w:val="center"/>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40.1</w:t>
            </w:r>
          </w:p>
        </w:tc>
        <w:tc>
          <w:tcPr>
            <w:tcW w:w="8853" w:type="dxa"/>
            <w:tcBorders>
              <w:top w:val="single" w:color="auto" w:sz="4" w:space="0"/>
              <w:left w:val="single" w:color="auto" w:sz="4" w:space="0"/>
              <w:bottom w:val="single" w:color="auto" w:sz="4" w:space="0"/>
              <w:right w:val="single" w:color="auto" w:sz="4" w:space="0"/>
            </w:tcBorders>
            <w:vAlign w:val="center"/>
          </w:tcPr>
          <w:p w14:paraId="180897D1">
            <w:pPr>
              <w:snapToGrid w:val="0"/>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解释：</w:t>
            </w:r>
            <w:r>
              <w:rPr>
                <w:rFonts w:asciiTheme="majorEastAsia" w:hAnsiTheme="majorEastAsia" w:eastAsiaTheme="majorEastAsia"/>
                <w:color w:val="auto"/>
                <w:szCs w:val="21"/>
                <w:highlight w:val="none"/>
              </w:rPr>
              <w:t>构成本招标文件的各个组成文件应互为解释，互为说明；除招标文件中有特别规定外，仅适用于招标投标阶段的规定，按</w:t>
            </w:r>
            <w:r>
              <w:rPr>
                <w:rFonts w:hint="eastAsia" w:asciiTheme="majorEastAsia" w:hAnsiTheme="majorEastAsia" w:eastAsiaTheme="majorEastAsia"/>
                <w:color w:val="auto"/>
                <w:szCs w:val="21"/>
                <w:highlight w:val="none"/>
              </w:rPr>
              <w:t>更正公告（澄清公告）</w:t>
            </w:r>
            <w:r>
              <w:rPr>
                <w:rFonts w:asciiTheme="majorEastAsia" w:hAnsiTheme="majorEastAsia" w:eastAsiaTheme="majorEastAsia"/>
                <w:color w:val="auto"/>
                <w:szCs w:val="21"/>
                <w:highlight w:val="none"/>
              </w:rPr>
              <w:t>、招标公告、</w:t>
            </w:r>
            <w:r>
              <w:rPr>
                <w:rFonts w:hint="eastAsia" w:asciiTheme="majorEastAsia" w:hAnsiTheme="majorEastAsia" w:eastAsiaTheme="majorEastAsia"/>
                <w:color w:val="auto"/>
                <w:szCs w:val="21"/>
                <w:highlight w:val="none"/>
              </w:rPr>
              <w:t>采购需求、</w:t>
            </w:r>
            <w:r>
              <w:rPr>
                <w:rFonts w:asciiTheme="majorEastAsia" w:hAnsiTheme="majorEastAsia" w:eastAsiaTheme="majorEastAsia"/>
                <w:color w:val="auto"/>
                <w:szCs w:val="21"/>
                <w:highlight w:val="none"/>
              </w:rPr>
              <w:t>投标人须知、</w:t>
            </w:r>
            <w:r>
              <w:rPr>
                <w:rFonts w:hint="eastAsia" w:asciiTheme="majorEastAsia" w:hAnsiTheme="majorEastAsia" w:eastAsiaTheme="majorEastAsia"/>
                <w:color w:val="auto"/>
                <w:szCs w:val="21"/>
                <w:highlight w:val="none"/>
              </w:rPr>
              <w:t>评标方法及评标标准</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拟签订的合同文本、</w:t>
            </w:r>
            <w:r>
              <w:rPr>
                <w:rFonts w:asciiTheme="majorEastAsia" w:hAnsiTheme="majorEastAsia" w:eastAsiaTheme="majorEastAsia"/>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Theme="majorEastAsia" w:hAnsiTheme="majorEastAsia" w:eastAsiaTheme="majorEastAsia"/>
                <w:color w:val="auto"/>
                <w:szCs w:val="21"/>
                <w:highlight w:val="none"/>
              </w:rPr>
              <w:t>更正公告（澄清公告）</w:t>
            </w:r>
            <w:r>
              <w:rPr>
                <w:rFonts w:asciiTheme="majorEastAsia" w:hAnsiTheme="majorEastAsia" w:eastAsiaTheme="majorEastAsia"/>
                <w:color w:val="auto"/>
                <w:szCs w:val="21"/>
                <w:highlight w:val="none"/>
              </w:rPr>
              <w:t>与同步更新的招标文件不一致时以</w:t>
            </w:r>
            <w:r>
              <w:rPr>
                <w:rFonts w:hint="eastAsia" w:asciiTheme="majorEastAsia" w:hAnsiTheme="majorEastAsia" w:eastAsiaTheme="majorEastAsia"/>
                <w:color w:val="auto"/>
                <w:szCs w:val="21"/>
                <w:highlight w:val="none"/>
              </w:rPr>
              <w:t>更正公告（澄清公告）</w:t>
            </w:r>
            <w:r>
              <w:rPr>
                <w:rFonts w:asciiTheme="majorEastAsia" w:hAnsiTheme="majorEastAsia" w:eastAsiaTheme="majorEastAsia"/>
                <w:color w:val="auto"/>
                <w:szCs w:val="21"/>
                <w:highlight w:val="none"/>
              </w:rPr>
              <w:t>为准。按本款前述规定仍不能形成结论的，由</w:t>
            </w:r>
            <w:r>
              <w:rPr>
                <w:rFonts w:hint="eastAsia" w:asciiTheme="majorEastAsia" w:hAnsiTheme="majorEastAsia" w:eastAsiaTheme="majorEastAsia"/>
                <w:color w:val="auto"/>
                <w:szCs w:val="21"/>
                <w:highlight w:val="none"/>
              </w:rPr>
              <w:t>采购</w:t>
            </w:r>
            <w:r>
              <w:rPr>
                <w:rFonts w:asciiTheme="majorEastAsia" w:hAnsiTheme="majorEastAsia" w:eastAsiaTheme="majorEastAsia"/>
                <w:color w:val="auto"/>
                <w:szCs w:val="21"/>
                <w:highlight w:val="none"/>
              </w:rPr>
              <w:t>人</w:t>
            </w:r>
            <w:r>
              <w:rPr>
                <w:rFonts w:hint="eastAsia" w:asciiTheme="majorEastAsia" w:hAnsiTheme="majorEastAsia" w:eastAsiaTheme="majorEastAsia"/>
                <w:color w:val="auto"/>
                <w:szCs w:val="21"/>
                <w:highlight w:val="none"/>
              </w:rPr>
              <w:t>或者采购代理机构</w:t>
            </w:r>
            <w:r>
              <w:rPr>
                <w:rFonts w:asciiTheme="majorEastAsia" w:hAnsiTheme="majorEastAsia" w:eastAsiaTheme="majorEastAsia"/>
                <w:color w:val="auto"/>
                <w:szCs w:val="21"/>
                <w:highlight w:val="none"/>
              </w:rPr>
              <w:t>负责解释。</w:t>
            </w:r>
          </w:p>
        </w:tc>
      </w:tr>
      <w:tr w14:paraId="776521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3D484A01">
            <w:pPr>
              <w:snapToGrid w:val="0"/>
              <w:spacing w:line="360" w:lineRule="auto"/>
              <w:jc w:val="center"/>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40.2</w:t>
            </w:r>
          </w:p>
        </w:tc>
        <w:tc>
          <w:tcPr>
            <w:tcW w:w="8853" w:type="dxa"/>
            <w:tcBorders>
              <w:top w:val="single" w:color="auto" w:sz="4" w:space="0"/>
              <w:left w:val="single" w:color="auto" w:sz="4" w:space="0"/>
              <w:bottom w:val="single" w:color="auto" w:sz="4" w:space="0"/>
              <w:right w:val="single" w:color="auto" w:sz="4" w:space="0"/>
            </w:tcBorders>
            <w:vAlign w:val="center"/>
          </w:tcPr>
          <w:p w14:paraId="4A93C794">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704DA85">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2.本招标文件所称的“</w:t>
            </w:r>
            <w:r>
              <w:rPr>
                <w:rFonts w:hint="eastAsia" w:asciiTheme="majorEastAsia" w:hAnsiTheme="majorEastAsia" w:eastAsiaTheme="majorEastAsia"/>
                <w:color w:val="auto"/>
                <w:sz w:val="21"/>
                <w:highlight w:val="none"/>
              </w:rPr>
              <w:t>电子签章</w:t>
            </w:r>
            <w:r>
              <w:rPr>
                <w:rFonts w:hint="eastAsia" w:cs="宋体" w:asciiTheme="majorEastAsia" w:hAnsiTheme="majorEastAsia" w:eastAsiaTheme="majorEastAsia"/>
                <w:bCs/>
                <w:color w:val="auto"/>
                <w:sz w:val="21"/>
                <w:highlight w:val="none"/>
              </w:rPr>
              <w:t>”“电子签名”</w:t>
            </w:r>
            <w:r>
              <w:rPr>
                <w:rFonts w:hint="eastAsia" w:asciiTheme="majorEastAsia" w:hAnsiTheme="majorEastAsia" w:eastAsiaTheme="majorEastAsia"/>
                <w:color w:val="auto"/>
                <w:sz w:val="21"/>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039261D2">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3.投标人为其他组织或者自然人时，本招标文件规定的法定代表人（或负责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A2E69ED">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4.本招标文件中描述投标人的“签字”是指投标人的法定代表人（或负责人）或者委托代理人亲自在文件规定签字处亲笔写上个人的名字的行为，私章、签字章、印鉴、影印等其他形式均不能代替亲笔签字。</w:t>
            </w:r>
          </w:p>
          <w:p w14:paraId="63C42D0F">
            <w:pPr>
              <w:pStyle w:val="27"/>
              <w:snapToGrid w:val="0"/>
              <w:spacing w:line="360" w:lineRule="auto"/>
              <w:rPr>
                <w:rFonts w:hint="eastAsia" w:asciiTheme="majorEastAsia" w:hAnsiTheme="majorEastAsia" w:eastAsiaTheme="majorEastAsia"/>
                <w:color w:val="auto"/>
                <w:sz w:val="21"/>
                <w:highlight w:val="none"/>
              </w:rPr>
            </w:pPr>
            <w:r>
              <w:rPr>
                <w:rFonts w:hint="eastAsia" w:cs="宋体" w:asciiTheme="majorEastAsia" w:hAnsiTheme="majorEastAsia" w:eastAsiaTheme="majorEastAsia"/>
                <w:bCs/>
                <w:color w:val="auto"/>
                <w:sz w:val="21"/>
                <w:highlight w:val="none"/>
              </w:rPr>
              <w:t>5.本招标文件所称的“以上”“以下”“以内”“届满”，包括本数；所称的“不满”“超过”“以外”，不包括本数。</w:t>
            </w:r>
          </w:p>
        </w:tc>
      </w:tr>
      <w:tr w14:paraId="60D35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2" w:type="dxa"/>
            <w:tcBorders>
              <w:top w:val="single" w:color="auto" w:sz="4" w:space="0"/>
              <w:left w:val="single" w:color="auto" w:sz="4" w:space="0"/>
              <w:bottom w:val="single" w:color="auto" w:sz="4" w:space="0"/>
              <w:right w:val="single" w:color="auto" w:sz="4" w:space="0"/>
            </w:tcBorders>
            <w:vAlign w:val="center"/>
          </w:tcPr>
          <w:p w14:paraId="1F954448">
            <w:pPr>
              <w:snapToGrid w:val="0"/>
              <w:spacing w:line="360" w:lineRule="auto"/>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bCs/>
                <w:color w:val="auto"/>
                <w:sz w:val="21"/>
                <w:highlight w:val="none"/>
              </w:rPr>
              <w:t>其它</w:t>
            </w:r>
          </w:p>
        </w:tc>
        <w:tc>
          <w:tcPr>
            <w:tcW w:w="8853" w:type="dxa"/>
            <w:tcBorders>
              <w:top w:val="single" w:color="auto" w:sz="4" w:space="0"/>
              <w:left w:val="single" w:color="auto" w:sz="4" w:space="0"/>
              <w:bottom w:val="single" w:color="auto" w:sz="4" w:space="0"/>
              <w:right w:val="single" w:color="auto" w:sz="4" w:space="0"/>
            </w:tcBorders>
            <w:vAlign w:val="center"/>
          </w:tcPr>
          <w:p w14:paraId="4FD84F19">
            <w:pPr>
              <w:pStyle w:val="27"/>
              <w:snapToGrid w:val="0"/>
              <w:spacing w:line="360" w:lineRule="auto"/>
              <w:rPr>
                <w:rFonts w:hint="eastAsia" w:cs="宋体" w:asciiTheme="majorEastAsia" w:hAnsiTheme="majorEastAsia" w:eastAsiaTheme="majorEastAsia"/>
                <w:bCs/>
                <w:color w:val="auto"/>
                <w:sz w:val="21"/>
                <w:highlight w:val="none"/>
              </w:rPr>
            </w:pPr>
            <w:r>
              <w:rPr>
                <w:rFonts w:hint="eastAsia" w:cs="宋体" w:asciiTheme="majorEastAsia" w:hAnsiTheme="majorEastAsia" w:eastAsiaTheme="majorEastAsia"/>
                <w:bCs/>
                <w:color w:val="auto"/>
                <w:sz w:val="21"/>
                <w:highlight w:val="none"/>
              </w:rPr>
              <w:t>签订合同后</w:t>
            </w:r>
            <w:r>
              <w:rPr>
                <w:rFonts w:hint="eastAsia" w:cs="宋体" w:asciiTheme="majorEastAsia" w:hAnsiTheme="majorEastAsia" w:eastAsiaTheme="majorEastAsia"/>
                <w:bCs/>
                <w:color w:val="auto"/>
                <w:sz w:val="21"/>
                <w:highlight w:val="none"/>
                <w:lang w:val="en-US" w:eastAsia="zh-CN"/>
              </w:rPr>
              <w:t>10个工作日内</w:t>
            </w:r>
            <w:r>
              <w:rPr>
                <w:rFonts w:hint="eastAsia" w:cs="宋体" w:asciiTheme="majorEastAsia" w:hAnsiTheme="majorEastAsia" w:eastAsiaTheme="majorEastAsia"/>
                <w:bCs/>
                <w:color w:val="auto"/>
                <w:sz w:val="21"/>
                <w:highlight w:val="none"/>
              </w:rPr>
              <w:t>中标人</w:t>
            </w:r>
            <w:r>
              <w:rPr>
                <w:rFonts w:hint="eastAsia" w:cs="宋体" w:asciiTheme="majorEastAsia" w:hAnsiTheme="majorEastAsia" w:eastAsiaTheme="majorEastAsia"/>
                <w:bCs/>
                <w:color w:val="auto"/>
                <w:sz w:val="21"/>
                <w:highlight w:val="none"/>
                <w:lang w:eastAsia="zh-CN"/>
              </w:rPr>
              <w:t>须</w:t>
            </w:r>
            <w:r>
              <w:rPr>
                <w:rFonts w:hint="eastAsia" w:cs="宋体" w:asciiTheme="majorEastAsia" w:hAnsiTheme="majorEastAsia" w:eastAsiaTheme="majorEastAsia"/>
                <w:bCs/>
                <w:color w:val="auto"/>
                <w:sz w:val="21"/>
                <w:highlight w:val="none"/>
              </w:rPr>
              <w:t>提供与上传广西政府采购云平台一致的投标文件纸质版给采购人</w:t>
            </w:r>
            <w:r>
              <w:rPr>
                <w:rFonts w:hint="eastAsia" w:cs="宋体" w:asciiTheme="majorEastAsia" w:hAnsiTheme="majorEastAsia" w:eastAsiaTheme="majorEastAsia"/>
                <w:bCs/>
                <w:color w:val="auto"/>
                <w:sz w:val="21"/>
                <w:highlight w:val="none"/>
                <w:lang w:eastAsia="zh-CN"/>
              </w:rPr>
              <w:t>存档</w:t>
            </w:r>
            <w:r>
              <w:rPr>
                <w:rFonts w:hint="eastAsia" w:cs="宋体" w:asciiTheme="majorEastAsia" w:hAnsiTheme="majorEastAsia" w:eastAsiaTheme="majorEastAsia"/>
                <w:bCs/>
                <w:color w:val="auto"/>
                <w:sz w:val="21"/>
                <w:highlight w:val="none"/>
              </w:rPr>
              <w:t>。</w:t>
            </w:r>
          </w:p>
        </w:tc>
      </w:tr>
    </w:tbl>
    <w:p w14:paraId="6D138356">
      <w:pPr>
        <w:snapToGrid w:val="0"/>
        <w:rPr>
          <w:rFonts w:hint="eastAsia" w:asciiTheme="majorEastAsia" w:hAnsiTheme="majorEastAsia" w:eastAsiaTheme="majorEastAsia"/>
          <w:color w:val="auto"/>
          <w:sz w:val="24"/>
          <w:szCs w:val="20"/>
          <w:highlight w:val="none"/>
        </w:rPr>
      </w:pPr>
    </w:p>
    <w:p w14:paraId="6880E1E0">
      <w:pPr>
        <w:snapToGrid w:val="0"/>
        <w:rPr>
          <w:rFonts w:hint="eastAsia" w:asciiTheme="majorEastAsia" w:hAnsiTheme="majorEastAsia" w:eastAsiaTheme="majorEastAsia"/>
          <w:color w:val="auto"/>
          <w:sz w:val="24"/>
          <w:szCs w:val="20"/>
          <w:highlight w:val="none"/>
        </w:rPr>
      </w:pPr>
    </w:p>
    <w:p w14:paraId="1E9536D5">
      <w:pPr>
        <w:pStyle w:val="5"/>
        <w:keepNext w:val="0"/>
        <w:keepLines w:val="0"/>
        <w:spacing w:line="360" w:lineRule="auto"/>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br w:type="page"/>
      </w:r>
      <w:r>
        <w:rPr>
          <w:rFonts w:hint="eastAsia" w:asciiTheme="majorEastAsia" w:hAnsiTheme="majorEastAsia" w:eastAsiaTheme="majorEastAsia"/>
          <w:color w:val="auto"/>
          <w:highlight w:val="none"/>
        </w:rPr>
        <w:t>投标人须知正文</w:t>
      </w:r>
    </w:p>
    <w:p w14:paraId="5706E77E">
      <w:pPr>
        <w:pStyle w:val="5"/>
        <w:keepNext w:val="0"/>
        <w:keepLines w:val="0"/>
        <w:spacing w:line="360" w:lineRule="auto"/>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一、总  则</w:t>
      </w:r>
    </w:p>
    <w:p w14:paraId="4A276AB9">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87" w:name="_Toc254970527"/>
      <w:bookmarkStart w:id="88" w:name="_Toc254970668"/>
      <w:r>
        <w:rPr>
          <w:rFonts w:hint="eastAsia" w:asciiTheme="majorEastAsia" w:hAnsiTheme="majorEastAsia" w:eastAsiaTheme="majorEastAsia"/>
          <w:color w:val="auto"/>
          <w:sz w:val="24"/>
          <w:highlight w:val="none"/>
        </w:rPr>
        <w:t>1.适用范围</w:t>
      </w:r>
      <w:bookmarkEnd w:id="87"/>
      <w:bookmarkEnd w:id="88"/>
    </w:p>
    <w:p w14:paraId="0E15257E">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6D1C7C7">
      <w:pPr>
        <w:snapToGrid w:val="0"/>
        <w:spacing w:line="360" w:lineRule="auto"/>
        <w:ind w:firstLine="420" w:firstLineChars="200"/>
        <w:jc w:val="left"/>
        <w:rPr>
          <w:rFonts w:hint="eastAsia" w:cs="宋体" w:asciiTheme="majorEastAsia" w:hAnsiTheme="majorEastAsia" w:eastAsiaTheme="majorEastAsia"/>
          <w:color w:val="auto"/>
          <w:spacing w:val="-6"/>
          <w:szCs w:val="21"/>
          <w:highlight w:val="none"/>
        </w:rPr>
      </w:pPr>
      <w:r>
        <w:rPr>
          <w:rFonts w:hint="eastAsia" w:asciiTheme="majorEastAsia" w:hAnsiTheme="majorEastAsia" w:eastAsiaTheme="majorEastAsia"/>
          <w:color w:val="auto"/>
          <w:szCs w:val="21"/>
          <w:highlight w:val="none"/>
        </w:rPr>
        <w:t>1.2本招标文件</w:t>
      </w:r>
      <w:r>
        <w:rPr>
          <w:rFonts w:hint="eastAsia" w:cs="宋体" w:asciiTheme="majorEastAsia" w:hAnsiTheme="majorEastAsia" w:eastAsiaTheme="majorEastAsia"/>
          <w:color w:val="auto"/>
          <w:spacing w:val="-6"/>
          <w:szCs w:val="21"/>
          <w:highlight w:val="none"/>
        </w:rPr>
        <w:t>适用于本项目的所有采购程序和环节（法律、法规另有规定的，从其规定）。</w:t>
      </w:r>
    </w:p>
    <w:p w14:paraId="0E212642">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89" w:name="_Toc254970669"/>
      <w:bookmarkStart w:id="90" w:name="_Toc254970528"/>
      <w:r>
        <w:rPr>
          <w:rFonts w:hint="eastAsia" w:asciiTheme="majorEastAsia" w:hAnsiTheme="majorEastAsia" w:eastAsiaTheme="majorEastAsia"/>
          <w:color w:val="auto"/>
          <w:sz w:val="24"/>
          <w:highlight w:val="none"/>
        </w:rPr>
        <w:t>2.定义</w:t>
      </w:r>
      <w:bookmarkEnd w:id="89"/>
      <w:bookmarkEnd w:id="90"/>
    </w:p>
    <w:p w14:paraId="23145EC5">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2.1“采购人”是指依法进行政府采购的国家机关、事业单位、团体组织。</w:t>
      </w:r>
    </w:p>
    <w:p w14:paraId="17592F9A">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2.2“采购代理机构”是指政府采购集中采购机构和集中采购机构以外的采购代理机构。</w:t>
      </w:r>
    </w:p>
    <w:p w14:paraId="786B59F0">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2.3“供应商”是指向采购人提供货物、工程或者服务的法人、其他组织或者自然人。</w:t>
      </w:r>
    </w:p>
    <w:p w14:paraId="3015E749">
      <w:pPr>
        <w:pStyle w:val="8"/>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2.4“投标人”是指响应招标、参加投标竞争的法人、其他组织或者自然人。</w:t>
      </w:r>
    </w:p>
    <w:p w14:paraId="4472F6EB">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2.5“货物”是指各种形态和种类的物品，包括原材料、燃料、设备、产品等。</w:t>
      </w:r>
    </w:p>
    <w:p w14:paraId="0DF4AE12">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25C15926">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2.7“书面形式”是指合同书、信件和数据电文（包括电报、电传、传真、电子数据交换和电子邮件）等可以有形地表现所载内容的形式。</w:t>
      </w:r>
    </w:p>
    <w:p w14:paraId="030564D6">
      <w:pPr>
        <w:pStyle w:val="7"/>
        <w:keepNext w:val="0"/>
        <w:keepLines w:val="0"/>
        <w:spacing w:before="0" w:after="0" w:line="360" w:lineRule="auto"/>
        <w:ind w:firstLine="422" w:firstLineChars="200"/>
        <w:rPr>
          <w:rFonts w:hint="eastAsia" w:asciiTheme="majorEastAsia" w:hAnsiTheme="majorEastAsia" w:eastAsiaTheme="majorEastAsia"/>
          <w:bCs/>
          <w:color w:val="auto"/>
          <w:sz w:val="21"/>
          <w:szCs w:val="21"/>
          <w:highlight w:val="none"/>
        </w:rPr>
      </w:pPr>
      <w:r>
        <w:rPr>
          <w:rFonts w:hint="eastAsia" w:asciiTheme="majorEastAsia" w:hAnsiTheme="majorEastAsia" w:eastAsiaTheme="majorEastAsia"/>
          <w:bCs/>
          <w:color w:val="auto"/>
          <w:sz w:val="21"/>
          <w:szCs w:val="21"/>
          <w:highlight w:val="none"/>
        </w:rPr>
        <w:t>2.8“实质性要求”是指招标文件中已经指明不满足则投标无效的条款，或者不能负偏离的条款，或者采购需求中带“★”的条款。</w:t>
      </w:r>
    </w:p>
    <w:p w14:paraId="5A1DD9E2">
      <w:pPr>
        <w:snapToGrid w:val="0"/>
        <w:spacing w:line="360" w:lineRule="auto"/>
        <w:ind w:firstLine="420" w:firstLineChars="200"/>
        <w:jc w:val="left"/>
        <w:rPr>
          <w:rFonts w:hint="eastAsia" w:cs="宋体"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2.9 </w:t>
      </w:r>
      <w:r>
        <w:rPr>
          <w:rFonts w:hint="eastAsia" w:cs="宋体" w:asciiTheme="majorEastAsia" w:hAnsiTheme="majorEastAsia" w:eastAsiaTheme="majorEastAsia"/>
          <w:color w:val="auto"/>
          <w:szCs w:val="21"/>
          <w:highlight w:val="none"/>
        </w:rPr>
        <w:t>“正偏离”，是指投标文件对招标文件“采购需求”中有关条款作出的响应优于条款要求并有利于采购人的情形。</w:t>
      </w:r>
    </w:p>
    <w:p w14:paraId="75FA68B8">
      <w:pPr>
        <w:snapToGrid w:val="0"/>
        <w:spacing w:line="360" w:lineRule="auto"/>
        <w:ind w:firstLine="420" w:firstLineChars="200"/>
        <w:jc w:val="left"/>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2.10</w:t>
      </w:r>
      <w:r>
        <w:rPr>
          <w:rFonts w:hint="eastAsia" w:cs="宋体" w:asciiTheme="majorEastAsia" w:hAnsiTheme="majorEastAsia" w:eastAsiaTheme="majorEastAsia"/>
          <w:color w:val="auto"/>
          <w:szCs w:val="21"/>
          <w:highlight w:val="none"/>
        </w:rPr>
        <w:t>“负偏离”，是指投标文件对招标文件“采购需求”中有关条款作出的响应不满足条款要求，导致采购人要求不能得到满足的情形。</w:t>
      </w:r>
    </w:p>
    <w:p w14:paraId="5E74E18A">
      <w:pPr>
        <w:snapToGrid w:val="0"/>
        <w:spacing w:line="360" w:lineRule="auto"/>
        <w:ind w:firstLine="420" w:firstLineChars="200"/>
        <w:jc w:val="left"/>
        <w:rPr>
          <w:rFonts w:hint="eastAsia" w:cs="宋体"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2.1</w:t>
      </w:r>
      <w:r>
        <w:rPr>
          <w:rFonts w:asciiTheme="majorEastAsia" w:hAnsiTheme="majorEastAsia" w:eastAsiaTheme="majorEastAsia"/>
          <w:color w:val="auto"/>
          <w:szCs w:val="21"/>
          <w:highlight w:val="none"/>
        </w:rPr>
        <w:t>1</w:t>
      </w:r>
      <w:r>
        <w:rPr>
          <w:rFonts w:hint="eastAsia" w:cs="宋体" w:asciiTheme="majorEastAsia" w:hAnsiTheme="majorEastAsia" w:eastAsiaTheme="majorEastAsia"/>
          <w:color w:val="auto"/>
          <w:szCs w:val="21"/>
          <w:highlight w:val="none"/>
        </w:rPr>
        <w:t>“允许负偏离的条款”是指采购需求中的不属于“实质性要求”的条款。</w:t>
      </w:r>
      <w:bookmarkStart w:id="91" w:name="_Toc254970670"/>
      <w:bookmarkStart w:id="92" w:name="_Toc254970529"/>
    </w:p>
    <w:p w14:paraId="168D130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w:t>
      </w:r>
      <w:bookmarkEnd w:id="91"/>
      <w:bookmarkEnd w:id="92"/>
      <w:r>
        <w:rPr>
          <w:rFonts w:hint="eastAsia" w:asciiTheme="majorEastAsia" w:hAnsiTheme="majorEastAsia" w:eastAsiaTheme="majorEastAsia"/>
          <w:color w:val="auto"/>
          <w:sz w:val="24"/>
          <w:highlight w:val="none"/>
        </w:rPr>
        <w:t>投标人的资格要求</w:t>
      </w:r>
    </w:p>
    <w:p w14:paraId="2CB13C38">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投标人的资格要求详见“投标人须知前附表”。</w:t>
      </w:r>
    </w:p>
    <w:p w14:paraId="1350F03F">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93" w:name="_Toc254970530"/>
      <w:bookmarkStart w:id="94" w:name="_Toc254970671"/>
      <w:r>
        <w:rPr>
          <w:rFonts w:hint="eastAsia" w:asciiTheme="majorEastAsia" w:hAnsiTheme="majorEastAsia" w:eastAsiaTheme="majorEastAsia"/>
          <w:color w:val="auto"/>
          <w:sz w:val="24"/>
          <w:highlight w:val="none"/>
        </w:rPr>
        <w:t>4.投标委托</w:t>
      </w:r>
      <w:bookmarkEnd w:id="93"/>
      <w:bookmarkEnd w:id="94"/>
    </w:p>
    <w:p w14:paraId="31A23444">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投标人代表参加投标活动过程中必须携带个人有效身份证件。如投标人代表不是法定代表人（或负责人），须持有授权委托书（按第六章要求格式填写）。</w:t>
      </w:r>
    </w:p>
    <w:p w14:paraId="2F37284E">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95" w:name="_5.投标费用"/>
      <w:bookmarkEnd w:id="95"/>
      <w:bookmarkStart w:id="96" w:name="_Toc254970531"/>
      <w:bookmarkStart w:id="97" w:name="_Toc254970672"/>
      <w:r>
        <w:rPr>
          <w:rFonts w:hint="eastAsia" w:asciiTheme="majorEastAsia" w:hAnsiTheme="majorEastAsia" w:eastAsiaTheme="majorEastAsia"/>
          <w:color w:val="auto"/>
          <w:sz w:val="24"/>
          <w:highlight w:val="none"/>
        </w:rPr>
        <w:t>5.投标费用</w:t>
      </w:r>
      <w:bookmarkEnd w:id="96"/>
      <w:bookmarkEnd w:id="97"/>
    </w:p>
    <w:p w14:paraId="10842010">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3EAF098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6.联合体投标</w:t>
      </w:r>
    </w:p>
    <w:p w14:paraId="179AC681">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6.1本项目是否接受联合体投标，详见“投标人须知前附表”。</w:t>
      </w:r>
    </w:p>
    <w:p w14:paraId="2B446AEE">
      <w:pPr>
        <w:snapToGrid w:val="0"/>
        <w:spacing w:line="360" w:lineRule="auto"/>
        <w:ind w:firstLine="420" w:firstLineChars="200"/>
        <w:jc w:val="left"/>
        <w:rPr>
          <w:rFonts w:hint="eastAsia" w:asciiTheme="majorEastAsia" w:hAnsiTheme="majorEastAsia" w:eastAsiaTheme="majorEastAsia"/>
          <w:bCs/>
          <w:color w:val="auto"/>
          <w:szCs w:val="21"/>
          <w:highlight w:val="none"/>
        </w:rPr>
      </w:pPr>
      <w:r>
        <w:rPr>
          <w:rFonts w:hint="eastAsia" w:asciiTheme="majorEastAsia" w:hAnsiTheme="majorEastAsia" w:eastAsiaTheme="majorEastAsia"/>
          <w:bCs/>
          <w:color w:val="auto"/>
          <w:szCs w:val="21"/>
          <w:highlight w:val="none"/>
        </w:rPr>
        <w:t>6.2如接受联合体投标，联合体投标要求详见“投标人须知前附表”。</w:t>
      </w:r>
    </w:p>
    <w:p w14:paraId="735CDE39">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6.3 </w:t>
      </w:r>
      <w:bookmarkStart w:id="98" w:name="_Hlk65857072"/>
      <w:r>
        <w:rPr>
          <w:rFonts w:hint="eastAsia" w:cs="宋体" w:asciiTheme="majorEastAsia" w:hAnsiTheme="majorEastAsia" w:eastAsiaTheme="majorEastAsia"/>
          <w:color w:val="auto"/>
          <w:szCs w:val="21"/>
          <w:highlight w:val="none"/>
        </w:rPr>
        <w:t>根据《政府采购促进中小企业发展管理办法》（财库〔2020〕46号）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Theme="majorEastAsia" w:hAnsiTheme="majorEastAsia" w:eastAsiaTheme="majorEastAsia"/>
          <w:bCs/>
          <w:color w:val="auto"/>
          <w:szCs w:val="21"/>
          <w:highlight w:val="none"/>
        </w:rPr>
        <w:t>4%-6%</w:t>
      </w:r>
      <w:r>
        <w:rPr>
          <w:rFonts w:hint="eastAsia" w:cs="宋体" w:asciiTheme="majorEastAsia" w:hAnsiTheme="majorEastAsia" w:eastAsiaTheme="majorEastAsia"/>
          <w:color w:val="auto"/>
          <w:szCs w:val="21"/>
          <w:highlight w:val="none"/>
        </w:rPr>
        <w:t>的扣除，用扣除后的价格参加评审，具体详见《评标方法及评标标准》。</w:t>
      </w:r>
      <w:bookmarkEnd w:id="98"/>
    </w:p>
    <w:p w14:paraId="58919BFC">
      <w:pPr>
        <w:pStyle w:val="7"/>
        <w:keepNext w:val="0"/>
        <w:keepLines w:val="0"/>
        <w:numPr>
          <w:ilvl w:val="4"/>
          <w:numId w:val="0"/>
        </w:numPr>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7.转包与分包             </w:t>
      </w:r>
    </w:p>
    <w:p w14:paraId="327CDBE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7.1本项目不允许转包。</w:t>
      </w:r>
    </w:p>
    <w:p w14:paraId="4F108270">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58F84BC">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026833F1">
      <w:pPr>
        <w:pStyle w:val="7"/>
        <w:keepNext w:val="0"/>
        <w:keepLines w:val="0"/>
        <w:numPr>
          <w:ilvl w:val="4"/>
          <w:numId w:val="0"/>
        </w:numPr>
        <w:spacing w:before="0" w:after="0" w:line="360" w:lineRule="auto"/>
        <w:ind w:left="420" w:leftChars="200"/>
        <w:rPr>
          <w:rFonts w:hint="eastAsia" w:asciiTheme="majorEastAsia" w:hAnsiTheme="majorEastAsia" w:eastAsiaTheme="majorEastAsia"/>
          <w:color w:val="auto"/>
          <w:sz w:val="24"/>
          <w:highlight w:val="none"/>
        </w:rPr>
      </w:pPr>
      <w:bookmarkStart w:id="99" w:name="_Toc254970673"/>
      <w:bookmarkStart w:id="100" w:name="_Toc254970532"/>
      <w:r>
        <w:rPr>
          <w:rFonts w:hint="eastAsia" w:asciiTheme="majorEastAsia" w:hAnsiTheme="majorEastAsia" w:eastAsiaTheme="majorEastAsia"/>
          <w:color w:val="auto"/>
          <w:sz w:val="24"/>
          <w:highlight w:val="none"/>
        </w:rPr>
        <w:t>8.特别说明</w:t>
      </w:r>
      <w:bookmarkEnd w:id="99"/>
      <w:bookmarkEnd w:id="100"/>
    </w:p>
    <w:p w14:paraId="511FF784">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01" w:name="_8.1提供相同品牌产品且通过资格审查、符合性审查的不同投标人参加同一合"/>
      <w:bookmarkEnd w:id="101"/>
      <w:r>
        <w:rPr>
          <w:rFonts w:hint="eastAsia" w:asciiTheme="majorEastAsia" w:hAnsiTheme="majorEastAsia" w:eastAsiaTheme="majorEastAsia"/>
          <w:b w:val="0"/>
          <w:color w:val="auto"/>
          <w:sz w:val="21"/>
          <w:szCs w:val="21"/>
          <w:highlight w:val="none"/>
        </w:rPr>
        <w:fldChar w:fldCharType="begin"/>
      </w:r>
      <w:r>
        <w:rPr>
          <w:rFonts w:hint="eastAsia" w:asciiTheme="majorEastAsia" w:hAnsiTheme="majorEastAsia" w:eastAsiaTheme="majorEastAsia"/>
          <w:b w:val="0"/>
          <w:color w:val="auto"/>
          <w:sz w:val="21"/>
          <w:szCs w:val="21"/>
          <w:highlight w:val="none"/>
        </w:rPr>
        <w:instrText xml:space="preserve"> HYPERLINK \l "_8.1" </w:instrText>
      </w:r>
      <w:r>
        <w:rPr>
          <w:rFonts w:hint="eastAsia" w:asciiTheme="majorEastAsia" w:hAnsiTheme="majorEastAsia" w:eastAsiaTheme="majorEastAsia"/>
          <w:b w:val="0"/>
          <w:color w:val="auto"/>
          <w:sz w:val="21"/>
          <w:szCs w:val="21"/>
          <w:highlight w:val="none"/>
        </w:rPr>
        <w:fldChar w:fldCharType="separate"/>
      </w:r>
      <w:r>
        <w:rPr>
          <w:rFonts w:hint="eastAsia" w:asciiTheme="majorEastAsia" w:hAnsiTheme="majorEastAsia" w:eastAsiaTheme="majorEastAsia"/>
          <w:b w:val="0"/>
          <w:color w:val="auto"/>
          <w:sz w:val="21"/>
          <w:szCs w:val="21"/>
          <w:highlight w:val="none"/>
        </w:rPr>
        <w:t>8.1</w:t>
      </w:r>
      <w:r>
        <w:rPr>
          <w:rFonts w:hint="eastAsia" w:asciiTheme="majorEastAsia" w:hAnsiTheme="majorEastAsia" w:eastAsiaTheme="majorEastAsia"/>
          <w:b w:val="0"/>
          <w:color w:val="auto"/>
          <w:sz w:val="21"/>
          <w:szCs w:val="21"/>
          <w:highlight w:val="none"/>
        </w:rPr>
        <w:fldChar w:fldCharType="end"/>
      </w:r>
      <w:r>
        <w:rPr>
          <w:rFonts w:hint="eastAsia" w:asciiTheme="majorEastAsia" w:hAnsiTheme="majorEastAsia" w:eastAsiaTheme="majorEastAsia"/>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E3DA7EB">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640193BA">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8.3投标人应仔细阅读招标文件的所有内容，按照招标文件的要求提交投标文件，并对所提供的全部资料的真实性承担法律责任。</w:t>
      </w:r>
    </w:p>
    <w:p w14:paraId="4C00E756">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27C60B1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9.</w:t>
      </w:r>
      <w:r>
        <w:rPr>
          <w:rFonts w:hint="eastAsia" w:asciiTheme="majorEastAsia" w:hAnsiTheme="majorEastAsia" w:eastAsiaTheme="majorEastAsia"/>
          <w:color w:val="auto"/>
          <w:sz w:val="24"/>
          <w:highlight w:val="none"/>
        </w:rPr>
        <w:t>回避与串通投标</w:t>
      </w:r>
    </w:p>
    <w:p w14:paraId="7ACEA1A0">
      <w:pPr>
        <w:pStyle w:val="7"/>
        <w:keepNext w:val="0"/>
        <w:keepLines w:val="0"/>
        <w:spacing w:before="0" w:after="0" w:line="360" w:lineRule="auto"/>
        <w:ind w:firstLine="367" w:firstLineChars="175"/>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9</w:t>
      </w:r>
      <w:r>
        <w:rPr>
          <w:rFonts w:asciiTheme="majorEastAsia" w:hAnsiTheme="majorEastAsia" w:eastAsiaTheme="majorEastAsia"/>
          <w:b w:val="0"/>
          <w:color w:val="auto"/>
          <w:sz w:val="21"/>
          <w:szCs w:val="21"/>
          <w:highlight w:val="none"/>
        </w:rPr>
        <w:t>.1在政府采购活动中，采购人员及相关人员与</w:t>
      </w:r>
      <w:r>
        <w:rPr>
          <w:rFonts w:hint="eastAsia" w:asciiTheme="majorEastAsia" w:hAnsiTheme="majorEastAsia" w:eastAsiaTheme="majorEastAsia"/>
          <w:b w:val="0"/>
          <w:color w:val="auto"/>
          <w:sz w:val="21"/>
          <w:szCs w:val="21"/>
          <w:highlight w:val="none"/>
        </w:rPr>
        <w:t>供应商</w:t>
      </w:r>
      <w:r>
        <w:rPr>
          <w:rFonts w:asciiTheme="majorEastAsia" w:hAnsiTheme="majorEastAsia" w:eastAsiaTheme="majorEastAsia"/>
          <w:b w:val="0"/>
          <w:color w:val="auto"/>
          <w:sz w:val="21"/>
          <w:szCs w:val="21"/>
          <w:highlight w:val="none"/>
        </w:rPr>
        <w:t>有下列利害关系之一的，应当回避：</w:t>
      </w:r>
    </w:p>
    <w:p w14:paraId="3A3F660A">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1</w:t>
      </w:r>
      <w:r>
        <w:rPr>
          <w:rFonts w:asciiTheme="majorEastAsia" w:hAnsiTheme="majorEastAsia" w:eastAsiaTheme="majorEastAsia"/>
          <w:color w:val="auto"/>
          <w:kern w:val="2"/>
          <w:sz w:val="21"/>
          <w:highlight w:val="none"/>
        </w:rPr>
        <w:t>）参加采购活动前3年内与</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存在劳动关系；</w:t>
      </w:r>
    </w:p>
    <w:p w14:paraId="6AB09274">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2</w:t>
      </w:r>
      <w:r>
        <w:rPr>
          <w:rFonts w:asciiTheme="majorEastAsia" w:hAnsiTheme="majorEastAsia" w:eastAsiaTheme="majorEastAsia"/>
          <w:color w:val="auto"/>
          <w:kern w:val="2"/>
          <w:sz w:val="21"/>
          <w:highlight w:val="none"/>
        </w:rPr>
        <w:t>）参加采购活动前3年内担任</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的董事、监事；</w:t>
      </w:r>
    </w:p>
    <w:p w14:paraId="65309EDD">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3</w:t>
      </w:r>
      <w:r>
        <w:rPr>
          <w:rFonts w:asciiTheme="majorEastAsia" w:hAnsiTheme="majorEastAsia" w:eastAsiaTheme="majorEastAsia"/>
          <w:color w:val="auto"/>
          <w:kern w:val="2"/>
          <w:sz w:val="21"/>
          <w:highlight w:val="none"/>
        </w:rPr>
        <w:t>）参加采购活动前3年内是</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的控股股东或者实际控制人；</w:t>
      </w:r>
    </w:p>
    <w:p w14:paraId="56BEC3EB">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4</w:t>
      </w:r>
      <w:r>
        <w:rPr>
          <w:rFonts w:asciiTheme="majorEastAsia" w:hAnsiTheme="majorEastAsia" w:eastAsiaTheme="majorEastAsia"/>
          <w:color w:val="auto"/>
          <w:kern w:val="2"/>
          <w:sz w:val="21"/>
          <w:highlight w:val="none"/>
        </w:rPr>
        <w:t>）与</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的</w:t>
      </w:r>
      <w:r>
        <w:rPr>
          <w:rFonts w:hint="eastAsia" w:asciiTheme="majorEastAsia" w:hAnsiTheme="majorEastAsia" w:eastAsiaTheme="majorEastAsia"/>
          <w:color w:val="auto"/>
          <w:kern w:val="2"/>
          <w:sz w:val="21"/>
          <w:highlight w:val="none"/>
        </w:rPr>
        <w:t>法定代表人（或负责人）</w:t>
      </w:r>
      <w:r>
        <w:rPr>
          <w:rFonts w:asciiTheme="majorEastAsia" w:hAnsiTheme="majorEastAsia" w:eastAsiaTheme="majorEastAsia"/>
          <w:color w:val="auto"/>
          <w:kern w:val="2"/>
          <w:sz w:val="21"/>
          <w:highlight w:val="none"/>
        </w:rPr>
        <w:t>或者负责人有夫妻、直系血亲、三代以内旁系血亲或者近姻亲关系；</w:t>
      </w:r>
    </w:p>
    <w:p w14:paraId="54F96181">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asciiTheme="majorEastAsia" w:hAnsiTheme="majorEastAsia" w:eastAsiaTheme="majorEastAsia"/>
          <w:color w:val="auto"/>
          <w:kern w:val="2"/>
          <w:sz w:val="21"/>
          <w:highlight w:val="none"/>
        </w:rPr>
        <w:t>（</w:t>
      </w:r>
      <w:r>
        <w:rPr>
          <w:rFonts w:hint="eastAsia" w:asciiTheme="majorEastAsia" w:hAnsiTheme="majorEastAsia" w:eastAsiaTheme="majorEastAsia"/>
          <w:color w:val="auto"/>
          <w:kern w:val="2"/>
          <w:sz w:val="21"/>
          <w:highlight w:val="none"/>
        </w:rPr>
        <w:t>5</w:t>
      </w:r>
      <w:r>
        <w:rPr>
          <w:rFonts w:asciiTheme="majorEastAsia" w:hAnsiTheme="majorEastAsia" w:eastAsiaTheme="majorEastAsia"/>
          <w:color w:val="auto"/>
          <w:kern w:val="2"/>
          <w:sz w:val="21"/>
          <w:highlight w:val="none"/>
        </w:rPr>
        <w:t>）与</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有其他可能影响政府采购活动公平、公正进行的关系。</w:t>
      </w:r>
    </w:p>
    <w:p w14:paraId="1D2EB2A8">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认为采购人员及相关人员与其他</w:t>
      </w:r>
      <w:r>
        <w:rPr>
          <w:rFonts w:hint="eastAsia" w:asciiTheme="majorEastAsia" w:hAnsiTheme="majorEastAsia" w:eastAsiaTheme="majorEastAsia"/>
          <w:color w:val="auto"/>
          <w:kern w:val="2"/>
          <w:sz w:val="21"/>
          <w:highlight w:val="none"/>
        </w:rPr>
        <w:t>供应商</w:t>
      </w:r>
      <w:r>
        <w:rPr>
          <w:rFonts w:asciiTheme="majorEastAsia" w:hAnsiTheme="majorEastAsia" w:eastAsiaTheme="majorEastAsia"/>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71EC7F0E">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asciiTheme="majorEastAsia" w:hAnsiTheme="majorEastAsia" w:eastAsiaTheme="majorEastAsia"/>
          <w:color w:val="auto"/>
          <w:sz w:val="21"/>
          <w:szCs w:val="21"/>
          <w:highlight w:val="none"/>
        </w:rPr>
        <w:t>9.2</w:t>
      </w:r>
      <w:r>
        <w:rPr>
          <w:rFonts w:hint="eastAsia" w:asciiTheme="majorEastAsia" w:hAnsiTheme="majorEastAsia" w:eastAsiaTheme="majorEastAsia"/>
          <w:color w:val="auto"/>
          <w:sz w:val="21"/>
          <w:szCs w:val="21"/>
          <w:highlight w:val="none"/>
        </w:rPr>
        <w:t>有下列情形之一的视为投标人相互串通投标，投标文件将被视为无效：</w:t>
      </w:r>
    </w:p>
    <w:p w14:paraId="6C922079">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 xml:space="preserve">（1）不同投标人的投标文件由同一单位或者个人编制； </w:t>
      </w:r>
    </w:p>
    <w:p w14:paraId="53EA2F1A">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（2）不同投标人委托同一单位或者个人办理投标事宜；</w:t>
      </w:r>
    </w:p>
    <w:p w14:paraId="723C5C32">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（3）不同的投标人的投标文件载明的项目管理员为同一个人；</w:t>
      </w:r>
    </w:p>
    <w:p w14:paraId="2B27C767">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（4）不同投标人的投标文件异常一致或者投标报价呈规律性差异；</w:t>
      </w:r>
    </w:p>
    <w:p w14:paraId="6F8742AD">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（5）不同投标人的投标文件相互混装；</w:t>
      </w:r>
    </w:p>
    <w:p w14:paraId="78AFBB5C">
      <w:pPr>
        <w:pStyle w:val="27"/>
        <w:snapToGrid w:val="0"/>
        <w:spacing w:line="360" w:lineRule="auto"/>
        <w:ind w:left="2" w:leftChars="1" w:firstLine="422" w:firstLineChars="20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（6）不同投标人的投标保证金从同一单位或者个人账户转出。</w:t>
      </w:r>
    </w:p>
    <w:p w14:paraId="2E162B5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9.3</w:t>
      </w:r>
      <w:r>
        <w:rPr>
          <w:rFonts w:hint="eastAsia" w:asciiTheme="majorEastAsia" w:hAnsiTheme="majorEastAsia" w:eastAsiaTheme="majorEastAsia"/>
          <w:b w:val="0"/>
          <w:color w:val="auto"/>
          <w:sz w:val="21"/>
          <w:szCs w:val="21"/>
          <w:highlight w:val="none"/>
        </w:rPr>
        <w:t>供应商有下列情形之一的，属于恶意串通行为，将报同级监督管理部门：</w:t>
      </w:r>
    </w:p>
    <w:p w14:paraId="1F0257EF">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（1）供应商直接或者间接从采购人或者采购代理机构处获得其他供应商的相关信息并修改其投标文件或者响应文件；</w:t>
      </w:r>
    </w:p>
    <w:p w14:paraId="564D4E0E">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（2）供应商按照采购人或者采购代理机构的授意撤换、修改投标文件或者响应文件；</w:t>
      </w:r>
    </w:p>
    <w:p w14:paraId="126F0AE7">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（3）供应商之间协商报价、技术方案等投标文件或者响应文件的实质性内容；</w:t>
      </w:r>
    </w:p>
    <w:p w14:paraId="6AB27A76">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（4）属于同一集团、协会、商会等组织成员的供应商按照该组织要求协同参加政府采购活动；</w:t>
      </w:r>
    </w:p>
    <w:p w14:paraId="31A5246A">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6BED33D1">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（6）供应商之间商定部分供应商放弃参加政府采购活动或者放弃中标；</w:t>
      </w:r>
    </w:p>
    <w:p w14:paraId="007186B3">
      <w:pPr>
        <w:pStyle w:val="27"/>
        <w:snapToGrid w:val="0"/>
        <w:spacing w:line="360" w:lineRule="auto"/>
        <w:ind w:left="2" w:leftChars="1" w:firstLine="420" w:firstLineChars="200"/>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（7）供应商与采购人或者采购代理机构之间、供应商相互之间，为谋求特定供应商中标或者排斥其他供应商的其他串通行为。</w:t>
      </w:r>
    </w:p>
    <w:p w14:paraId="72A2233A">
      <w:pPr>
        <w:pStyle w:val="5"/>
        <w:keepNext w:val="0"/>
        <w:keepLines w:val="0"/>
        <w:jc w:val="center"/>
        <w:rPr>
          <w:rFonts w:hint="eastAsia" w:asciiTheme="majorEastAsia" w:hAnsiTheme="majorEastAsia" w:eastAsiaTheme="majorEastAsia"/>
          <w:color w:val="auto"/>
          <w:highlight w:val="none"/>
        </w:rPr>
      </w:pPr>
      <w:bookmarkStart w:id="102" w:name="_Toc254970534"/>
      <w:bookmarkStart w:id="103" w:name="_Toc254970675"/>
      <w:r>
        <w:rPr>
          <w:rFonts w:hint="eastAsia" w:asciiTheme="majorEastAsia" w:hAnsiTheme="majorEastAsia" w:eastAsiaTheme="majorEastAsia"/>
          <w:color w:val="auto"/>
          <w:highlight w:val="none"/>
        </w:rPr>
        <w:t>二、招标文件</w:t>
      </w:r>
      <w:bookmarkEnd w:id="102"/>
      <w:bookmarkEnd w:id="103"/>
    </w:p>
    <w:p w14:paraId="6B38E2AA">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10.招标文件的组成</w:t>
      </w:r>
    </w:p>
    <w:p w14:paraId="0D9380C4">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（1）招标公告；</w:t>
      </w:r>
    </w:p>
    <w:p w14:paraId="33753881">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（2）采购需求； </w:t>
      </w:r>
    </w:p>
    <w:p w14:paraId="72A3C463">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（3）投标人须知；</w:t>
      </w:r>
    </w:p>
    <w:p w14:paraId="6C82949C">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（4）评标方法及评标标准；</w:t>
      </w:r>
    </w:p>
    <w:p w14:paraId="21595EAB">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（5）拟签订的合同文本；</w:t>
      </w:r>
    </w:p>
    <w:p w14:paraId="670F8EE3">
      <w:pPr>
        <w:snapToGrid w:val="0"/>
        <w:spacing w:line="360" w:lineRule="auto"/>
        <w:ind w:firstLine="42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（6）投标文件格式。</w:t>
      </w:r>
    </w:p>
    <w:p w14:paraId="3A6DF15D">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11.招标文件的澄清、修改 、现场考察和答疑会</w:t>
      </w:r>
    </w:p>
    <w:p w14:paraId="783FEB08">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744C99C">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D9CB52E">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1</w:t>
      </w:r>
      <w:r>
        <w:rPr>
          <w:rFonts w:asciiTheme="majorEastAsia" w:hAnsiTheme="majorEastAsia" w:eastAsiaTheme="majorEastAsia"/>
          <w:color w:val="auto"/>
          <w:sz w:val="21"/>
          <w:highlight w:val="none"/>
        </w:rPr>
        <w:t>1.2</w:t>
      </w:r>
      <w:bookmarkStart w:id="104" w:name="_Hlk53134511"/>
      <w:r>
        <w:rPr>
          <w:rFonts w:hint="eastAsia" w:asciiTheme="majorEastAsia" w:hAnsiTheme="majorEastAsia" w:eastAsiaTheme="majorEastAsia"/>
          <w:color w:val="auto"/>
          <w:sz w:val="21"/>
          <w:highlight w:val="none"/>
        </w:rPr>
        <w:t>采购人或者采购代理机构可以在招标文件提供期限截止后，组织已获取招标文件的潜在投标人现场考察或者召开开标前答疑会，具体详见“投标人须知前附表”。</w:t>
      </w:r>
    </w:p>
    <w:bookmarkEnd w:id="104"/>
    <w:p w14:paraId="7322C98C">
      <w:pPr>
        <w:pStyle w:val="5"/>
        <w:keepNext w:val="0"/>
        <w:keepLines w:val="0"/>
        <w:jc w:val="center"/>
        <w:rPr>
          <w:rFonts w:hint="eastAsia" w:asciiTheme="majorEastAsia" w:hAnsiTheme="majorEastAsia" w:eastAsiaTheme="majorEastAsia"/>
          <w:color w:val="auto"/>
          <w:highlight w:val="none"/>
        </w:rPr>
      </w:pPr>
      <w:bookmarkStart w:id="105" w:name="_Toc254970535"/>
      <w:bookmarkStart w:id="106" w:name="_Toc254970676"/>
      <w:r>
        <w:rPr>
          <w:rFonts w:hint="eastAsia" w:asciiTheme="majorEastAsia" w:hAnsiTheme="majorEastAsia" w:eastAsiaTheme="majorEastAsia"/>
          <w:color w:val="auto"/>
          <w:highlight w:val="none"/>
        </w:rPr>
        <w:t>三、投标文件的编制</w:t>
      </w:r>
      <w:bookmarkEnd w:id="105"/>
      <w:bookmarkEnd w:id="106"/>
    </w:p>
    <w:p w14:paraId="0D318FE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07" w:name="_Toc254970536"/>
      <w:bookmarkStart w:id="108" w:name="_Toc254970677"/>
      <w:r>
        <w:rPr>
          <w:rFonts w:hint="eastAsia" w:asciiTheme="majorEastAsia" w:hAnsiTheme="majorEastAsia" w:eastAsiaTheme="majorEastAsia"/>
          <w:color w:val="auto"/>
          <w:sz w:val="24"/>
          <w:highlight w:val="none"/>
        </w:rPr>
        <w:t>12.投标文件的编制原则</w:t>
      </w:r>
    </w:p>
    <w:p w14:paraId="18079361">
      <w:pPr>
        <w:snapToGrid w:val="0"/>
        <w:spacing w:line="360" w:lineRule="auto"/>
        <w:ind w:firstLine="420"/>
        <w:jc w:val="left"/>
        <w:rPr>
          <w:rFonts w:hint="eastAsia" w:cs="Courier New"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投标人必须按照招标文件的要求编制投标文件。投标文件必须对招标文件提出的要求和条件作出明确响应。</w:t>
      </w:r>
    </w:p>
    <w:p w14:paraId="61E58BA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13.投标文件的组成</w:t>
      </w:r>
      <w:bookmarkEnd w:id="107"/>
      <w:bookmarkEnd w:id="108"/>
    </w:p>
    <w:p w14:paraId="1EE2D02D">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投标文件由报价文件、资格证明文件、商务文件、技术文件四部分组成。</w:t>
      </w:r>
    </w:p>
    <w:p w14:paraId="5523A73C">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09" w:name="_13.1报价文件:_具体材料见“投标人须知前附表”。"/>
      <w:bookmarkEnd w:id="109"/>
      <w:r>
        <w:rPr>
          <w:rFonts w:hint="eastAsia" w:asciiTheme="majorEastAsia" w:hAnsiTheme="majorEastAsia" w:eastAsiaTheme="majorEastAsia"/>
          <w:b w:val="0"/>
          <w:color w:val="auto"/>
          <w:sz w:val="21"/>
          <w:szCs w:val="21"/>
          <w:highlight w:val="none"/>
        </w:rPr>
        <w:t>（1）报价文件：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2ABA7074">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0" w:name="_13.2资格证明文件：具体材料见“投标人须知前附表”。"/>
      <w:bookmarkEnd w:id="110"/>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2</w:t>
      </w:r>
      <w:r>
        <w:rPr>
          <w:rFonts w:hint="eastAsia" w:asciiTheme="majorEastAsia" w:hAnsiTheme="majorEastAsia" w:eastAsiaTheme="majorEastAsia"/>
          <w:b w:val="0"/>
          <w:color w:val="auto"/>
          <w:sz w:val="21"/>
          <w:szCs w:val="21"/>
          <w:highlight w:val="none"/>
        </w:rPr>
        <w:t>）资格证明文件：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35257A02">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1" w:name="_13.3商务文件:_具体材料见“投标人须知前附表”。"/>
      <w:bookmarkEnd w:id="111"/>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3</w:t>
      </w:r>
      <w:r>
        <w:rPr>
          <w:rFonts w:hint="eastAsia" w:asciiTheme="majorEastAsia" w:hAnsiTheme="majorEastAsia" w:eastAsiaTheme="majorEastAsia"/>
          <w:b w:val="0"/>
          <w:color w:val="auto"/>
          <w:sz w:val="21"/>
          <w:szCs w:val="21"/>
          <w:highlight w:val="none"/>
        </w:rPr>
        <w:t>）商务文件：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15BE0221">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2" w:name="_13.4技术文件：具体材料见“投标人须知前附表”。"/>
      <w:bookmarkEnd w:id="112"/>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4</w:t>
      </w:r>
      <w:r>
        <w:rPr>
          <w:rFonts w:hint="eastAsia" w:asciiTheme="majorEastAsia" w:hAnsiTheme="majorEastAsia" w:eastAsiaTheme="majorEastAsia"/>
          <w:b w:val="0"/>
          <w:color w:val="auto"/>
          <w:sz w:val="21"/>
          <w:szCs w:val="21"/>
          <w:highlight w:val="none"/>
        </w:rPr>
        <w:t>）技术文件：</w:t>
      </w:r>
      <w:r>
        <w:rPr>
          <w:rFonts w:asciiTheme="majorEastAsia" w:hAnsiTheme="majorEastAsia" w:eastAsiaTheme="majorEastAsia"/>
          <w:b w:val="0"/>
          <w:color w:val="auto"/>
          <w:sz w:val="21"/>
          <w:szCs w:val="21"/>
          <w:highlight w:val="none"/>
        </w:rPr>
        <w:t>具体材料见“投标人须知前附表”</w:t>
      </w:r>
      <w:r>
        <w:rPr>
          <w:rFonts w:hint="eastAsia" w:asciiTheme="majorEastAsia" w:hAnsiTheme="majorEastAsia" w:eastAsiaTheme="majorEastAsia"/>
          <w:b w:val="0"/>
          <w:color w:val="auto"/>
          <w:sz w:val="21"/>
          <w:szCs w:val="21"/>
          <w:highlight w:val="none"/>
        </w:rPr>
        <w:t>。</w:t>
      </w:r>
    </w:p>
    <w:p w14:paraId="07C6A3F7">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13" w:name="_13.5投标文件电子版：具体材料见“投标人须知前附表”。"/>
      <w:bookmarkEnd w:id="113"/>
      <w:bookmarkStart w:id="114" w:name="_Toc254970537"/>
      <w:bookmarkStart w:id="115" w:name="_Toc254970678"/>
      <w:r>
        <w:rPr>
          <w:rFonts w:hint="eastAsia" w:asciiTheme="majorEastAsia" w:hAnsiTheme="majorEastAsia" w:eastAsiaTheme="majorEastAsia"/>
          <w:color w:val="auto"/>
          <w:sz w:val="24"/>
          <w:highlight w:val="none"/>
        </w:rPr>
        <w:t>14.投标文件的语言及计量</w:t>
      </w:r>
      <w:bookmarkEnd w:id="114"/>
      <w:bookmarkEnd w:id="115"/>
    </w:p>
    <w:p w14:paraId="378DC5C2">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14.1语言文字</w:t>
      </w:r>
    </w:p>
    <w:p w14:paraId="33CC9D8F">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B1C6437">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14.2投标计量单位</w:t>
      </w:r>
    </w:p>
    <w:p w14:paraId="32AB50ED">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Theme="majorEastAsia" w:hAnsiTheme="majorEastAsia" w:eastAsiaTheme="majorEastAsia"/>
          <w:color w:val="auto"/>
          <w:sz w:val="21"/>
          <w:szCs w:val="21"/>
          <w:highlight w:val="none"/>
        </w:rPr>
        <w:t>否则视同未响应。</w:t>
      </w:r>
    </w:p>
    <w:p w14:paraId="2A19D476">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15.投标的风险</w:t>
      </w:r>
    </w:p>
    <w:p w14:paraId="548BD066">
      <w:pPr>
        <w:pStyle w:val="27"/>
        <w:snapToGrid w:val="0"/>
        <w:spacing w:line="360" w:lineRule="auto"/>
        <w:ind w:firstLine="420" w:firstLineChars="200"/>
        <w:jc w:val="left"/>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投标人没有按照招标文件要求提供全部资料，或者投标人没有对招标文件作出实质性响应是投标人的风险，并可能导致其投标被拒绝。</w:t>
      </w:r>
    </w:p>
    <w:p w14:paraId="07401B59">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16" w:name="_Toc254970679"/>
      <w:bookmarkStart w:id="117" w:name="_Toc254970538"/>
      <w:r>
        <w:rPr>
          <w:rFonts w:hint="eastAsia" w:asciiTheme="majorEastAsia" w:hAnsiTheme="majorEastAsia" w:eastAsiaTheme="majorEastAsia"/>
          <w:color w:val="auto"/>
          <w:sz w:val="24"/>
          <w:highlight w:val="none"/>
        </w:rPr>
        <w:t>16.投标报价</w:t>
      </w:r>
      <w:bookmarkEnd w:id="116"/>
      <w:bookmarkEnd w:id="117"/>
    </w:p>
    <w:p w14:paraId="7952707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16.1投标报价应按“第六章　投标文件格式”中“开标一览表”格式填写。</w:t>
      </w:r>
    </w:p>
    <w:p w14:paraId="29C6F1FD">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bookmarkStart w:id="118" w:name="_16.2投标报价具体定义见投标人须知前附表。"/>
      <w:bookmarkEnd w:id="118"/>
      <w:r>
        <w:rPr>
          <w:rFonts w:hint="eastAsia" w:asciiTheme="majorEastAsia" w:hAnsiTheme="majorEastAsia" w:eastAsiaTheme="majorEastAsia"/>
          <w:b w:val="0"/>
          <w:color w:val="auto"/>
          <w:sz w:val="21"/>
          <w:szCs w:val="21"/>
          <w:highlight w:val="none"/>
        </w:rPr>
        <w:t>16.2投标报价具体包括内容详见“投标人须知前附表”。</w:t>
      </w:r>
    </w:p>
    <w:p w14:paraId="0FBA8B5B">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16.3投标人必须就所投的全部内容分别作完整唯一总价报价，不得存在漏项报价；投标人必须就所投的单项内容作唯一报价。</w:t>
      </w:r>
    </w:p>
    <w:p w14:paraId="654CD95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17.投标有效期</w:t>
      </w:r>
    </w:p>
    <w:p w14:paraId="005C4F65">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bookmarkStart w:id="119" w:name="_17.1投标有效期应按“投标人须知中的前附表”规定的期限。"/>
      <w:bookmarkEnd w:id="119"/>
      <w:r>
        <w:rPr>
          <w:rFonts w:hint="eastAsia" w:asciiTheme="majorEastAsia" w:hAnsiTheme="majorEastAsia" w:eastAsiaTheme="majorEastAsia"/>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647B503C">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17.2</w:t>
      </w:r>
      <w:bookmarkStart w:id="120" w:name="_Toc254970681"/>
      <w:bookmarkStart w:id="121" w:name="_Toc254970540"/>
      <w:r>
        <w:rPr>
          <w:rFonts w:hint="eastAsia" w:asciiTheme="majorEastAsia" w:hAnsiTheme="majorEastAsia" w:eastAsiaTheme="majorEastAsia"/>
          <w:b w:val="0"/>
          <w:color w:val="auto"/>
          <w:sz w:val="21"/>
          <w:szCs w:val="21"/>
          <w:highlight w:val="none"/>
        </w:rPr>
        <w:t xml:space="preserve"> 投标有效期应按规定的期限作出承诺，具体详见“投标人须知前附表”。</w:t>
      </w:r>
    </w:p>
    <w:p w14:paraId="01998B18">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17.3投标人的投标文件在投标有效期内均保持有效。</w:t>
      </w:r>
      <w:bookmarkEnd w:id="120"/>
      <w:bookmarkEnd w:id="121"/>
    </w:p>
    <w:p w14:paraId="67FE5F2D">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22" w:name="_18.投标保证金"/>
      <w:bookmarkEnd w:id="122"/>
      <w:bookmarkStart w:id="123" w:name="_Toc254970682"/>
      <w:bookmarkStart w:id="124" w:name="_Toc254970541"/>
      <w:r>
        <w:rPr>
          <w:rFonts w:hint="eastAsia" w:asciiTheme="majorEastAsia" w:hAnsiTheme="majorEastAsia" w:eastAsiaTheme="majorEastAsia"/>
          <w:color w:val="auto"/>
          <w:sz w:val="24"/>
          <w:highlight w:val="none"/>
        </w:rPr>
        <w:t>18.投标保证金</w:t>
      </w:r>
      <w:bookmarkEnd w:id="123"/>
      <w:bookmarkEnd w:id="124"/>
    </w:p>
    <w:p w14:paraId="0BB5026F">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18.1投标人须按“投标人须知前附表” 的规定提交投标保证金。</w:t>
      </w:r>
    </w:p>
    <w:p w14:paraId="397C7874">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18.2投标保证金的退还</w:t>
      </w:r>
    </w:p>
    <w:p w14:paraId="1E55F755">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054D927E">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18.3除逾期退还投标保证金和终止招标的情形以外，投标保证金不计息。</w:t>
      </w:r>
    </w:p>
    <w:p w14:paraId="6693C4BA">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18.4投标人有下列情形之一的，投标保证金将不予退还： </w:t>
      </w:r>
    </w:p>
    <w:p w14:paraId="5C23B35A">
      <w:pPr>
        <w:snapToGrid w:val="0"/>
        <w:spacing w:line="360" w:lineRule="auto"/>
        <w:ind w:firstLine="411" w:firstLineChars="196"/>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（1）投标人在投标有效期内撤销投标文件的；</w:t>
      </w:r>
    </w:p>
    <w:p w14:paraId="377ADC68">
      <w:pPr>
        <w:snapToGrid w:val="0"/>
        <w:spacing w:line="360" w:lineRule="auto"/>
        <w:ind w:firstLine="411" w:firstLineChars="196"/>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（2）未按规定提交履约保证金的；</w:t>
      </w:r>
    </w:p>
    <w:p w14:paraId="5B040278">
      <w:pPr>
        <w:snapToGrid w:val="0"/>
        <w:spacing w:line="360" w:lineRule="auto"/>
        <w:ind w:firstLine="411" w:firstLineChars="196"/>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（3）投标人在投标过程中弄虚作假，提供虚假材料的；</w:t>
      </w:r>
    </w:p>
    <w:p w14:paraId="1388F2B9">
      <w:pPr>
        <w:snapToGrid w:val="0"/>
        <w:spacing w:line="360" w:lineRule="auto"/>
        <w:ind w:firstLine="411" w:firstLineChars="196"/>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（4）中标人无正当理由不与采购人签订合同的；</w:t>
      </w:r>
    </w:p>
    <w:p w14:paraId="25274D4F">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（5）投标人出现本章第9.2、9.3情形的；</w:t>
      </w:r>
    </w:p>
    <w:p w14:paraId="0CA720E8">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w:t>
      </w:r>
      <w:r>
        <w:rPr>
          <w:rFonts w:hint="eastAsia" w:cs="宋体" w:asciiTheme="majorEastAsia" w:hAnsiTheme="majorEastAsia" w:eastAsiaTheme="majorEastAsia"/>
          <w:color w:val="auto"/>
          <w:szCs w:val="21"/>
          <w:highlight w:val="none"/>
        </w:rPr>
        <w:t>法律法规规定的其他情形</w:t>
      </w:r>
      <w:r>
        <w:rPr>
          <w:rFonts w:hint="eastAsia" w:asciiTheme="majorEastAsia" w:hAnsiTheme="majorEastAsia" w:eastAsiaTheme="majorEastAsia"/>
          <w:color w:val="auto"/>
          <w:szCs w:val="21"/>
          <w:highlight w:val="none"/>
        </w:rPr>
        <w:t>。</w:t>
      </w:r>
    </w:p>
    <w:p w14:paraId="1D66D5AF">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25" w:name="_Toc254970542"/>
      <w:bookmarkStart w:id="126" w:name="_Toc254970683"/>
      <w:r>
        <w:rPr>
          <w:rFonts w:hint="eastAsia" w:asciiTheme="majorEastAsia" w:hAnsiTheme="majorEastAsia" w:eastAsiaTheme="majorEastAsia"/>
          <w:color w:val="auto"/>
          <w:sz w:val="24"/>
          <w:highlight w:val="none"/>
        </w:rPr>
        <w:t>19.投标文件的</w:t>
      </w:r>
      <w:bookmarkEnd w:id="125"/>
      <w:bookmarkEnd w:id="126"/>
      <w:r>
        <w:rPr>
          <w:rFonts w:hint="eastAsia" w:asciiTheme="majorEastAsia" w:hAnsiTheme="majorEastAsia" w:eastAsiaTheme="majorEastAsia"/>
          <w:color w:val="auto"/>
          <w:sz w:val="24"/>
          <w:highlight w:val="none"/>
        </w:rPr>
        <w:t>编制</w:t>
      </w:r>
    </w:p>
    <w:p w14:paraId="04871823">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19.1投标人应先安装“广西政府采购客户端”（请自行前往“广西政府采购网”，依次进入“办事服务-下载专区”），并按照本项目招标文件规定的格式和顺序和广西政府采购云平台的要求编制并加密。投标文件内容不完整、编排混乱导致投标文件被误读、漏读或者查找不到相关内容的，由此引发的后果由投标人承担。</w:t>
      </w:r>
    </w:p>
    <w:p w14:paraId="4F4094A4">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27" w:name="_19.2投标文件应按报价文件、资格证明文件、商务文件、技术文件分别编制"/>
      <w:bookmarkEnd w:id="127"/>
      <w:r>
        <w:rPr>
          <w:rFonts w:hint="eastAsia" w:asciiTheme="majorEastAsia" w:hAnsiTheme="majorEastAsia" w:eastAsiaTheme="majorEastAsia"/>
          <w:b w:val="0"/>
          <w:color w:val="auto"/>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2F4062BB">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19.3投标文件须由投标人在规定位置签字（或者电子签名）、盖章（具体以投标人须知前附表或投标文件格式规定为准），</w:t>
      </w:r>
      <w:r>
        <w:rPr>
          <w:rFonts w:hint="eastAsia" w:asciiTheme="majorEastAsia" w:hAnsiTheme="majorEastAsia" w:eastAsiaTheme="majorEastAsia"/>
          <w:bCs/>
          <w:color w:val="auto"/>
          <w:sz w:val="21"/>
          <w:szCs w:val="21"/>
          <w:highlight w:val="none"/>
        </w:rPr>
        <w:t>否则按无效投标处理</w:t>
      </w:r>
      <w:r>
        <w:rPr>
          <w:rFonts w:hint="eastAsia" w:asciiTheme="majorEastAsia" w:hAnsiTheme="majorEastAsia" w:eastAsiaTheme="majorEastAsia"/>
          <w:b w:val="0"/>
          <w:color w:val="auto"/>
          <w:sz w:val="21"/>
          <w:szCs w:val="21"/>
          <w:highlight w:val="none"/>
        </w:rPr>
        <w:t>。</w:t>
      </w:r>
    </w:p>
    <w:p w14:paraId="3345DE02">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Theme="majorEastAsia" w:hAnsiTheme="majorEastAsia" w:eastAsiaTheme="majorEastAsia"/>
          <w:color w:val="auto"/>
          <w:sz w:val="21"/>
          <w:szCs w:val="21"/>
          <w:highlight w:val="none"/>
        </w:rPr>
        <w:t>否则按无效投标处理</w:t>
      </w:r>
      <w:r>
        <w:rPr>
          <w:rFonts w:hint="eastAsia" w:asciiTheme="majorEastAsia" w:hAnsiTheme="majorEastAsia" w:eastAsiaTheme="majorEastAsia"/>
          <w:b w:val="0"/>
          <w:color w:val="auto"/>
          <w:sz w:val="21"/>
          <w:szCs w:val="21"/>
          <w:highlight w:val="none"/>
        </w:rPr>
        <w:t>。</w:t>
      </w:r>
    </w:p>
    <w:p w14:paraId="18C452E4">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6F80FF31">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20.电子备份投标文件</w:t>
      </w:r>
    </w:p>
    <w:p w14:paraId="622DE573">
      <w:pPr>
        <w:spacing w:line="360" w:lineRule="auto"/>
        <w:ind w:firstLine="420" w:firstLine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highlight w:val="none"/>
        </w:rPr>
        <w:t>电子备份投标文件是指通过“</w:t>
      </w:r>
      <w:r>
        <w:rPr>
          <w:rFonts w:hint="eastAsia" w:asciiTheme="majorEastAsia" w:hAnsiTheme="majorEastAsia" w:eastAsiaTheme="majorEastAsia"/>
          <w:color w:val="auto"/>
          <w:szCs w:val="21"/>
          <w:highlight w:val="none"/>
        </w:rPr>
        <w:t>广西政府采购客户端</w:t>
      </w:r>
      <w:r>
        <w:rPr>
          <w:rFonts w:hint="eastAsia" w:asciiTheme="majorEastAsia" w:hAnsiTheme="majorEastAsia" w:eastAsiaTheme="majorEastAsia"/>
          <w:color w:val="auto"/>
          <w:highlight w:val="none"/>
        </w:rPr>
        <w:t>”在线编制生成且后缀名为“</w:t>
      </w:r>
      <w:r>
        <w:rPr>
          <w:rFonts w:asciiTheme="majorEastAsia" w:hAnsiTheme="majorEastAsia" w:eastAsiaTheme="majorEastAsia"/>
          <w:color w:val="auto"/>
          <w:highlight w:val="none"/>
        </w:rPr>
        <w:t>bfbs</w:t>
      </w:r>
      <w:r>
        <w:rPr>
          <w:rFonts w:hint="eastAsia" w:asciiTheme="majorEastAsia" w:hAnsiTheme="majorEastAsia" w:eastAsiaTheme="majorEastAsia"/>
          <w:color w:val="auto"/>
          <w:highlight w:val="none"/>
        </w:rPr>
        <w:t>”的文件，提交要求</w:t>
      </w:r>
      <w:r>
        <w:rPr>
          <w:rFonts w:hint="eastAsia" w:asciiTheme="majorEastAsia" w:hAnsiTheme="majorEastAsia" w:eastAsiaTheme="majorEastAsia"/>
          <w:bCs/>
          <w:color w:val="auto"/>
          <w:szCs w:val="21"/>
          <w:highlight w:val="none"/>
        </w:rPr>
        <w:t>详见在“投标人须知前附表”。</w:t>
      </w:r>
    </w:p>
    <w:p w14:paraId="65E53136">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21.投标文件的提交</w:t>
      </w:r>
    </w:p>
    <w:p w14:paraId="626BB0BC">
      <w:pPr>
        <w:spacing w:line="360" w:lineRule="auto"/>
        <w:ind w:firstLine="420" w:firstLineChars="200"/>
        <w:rPr>
          <w:rFonts w:hint="eastAsia" w:asciiTheme="majorEastAsia" w:hAnsiTheme="majorEastAsia" w:eastAsiaTheme="majorEastAsia"/>
          <w:b/>
          <w:color w:val="auto"/>
          <w:highlight w:val="none"/>
        </w:rPr>
      </w:pPr>
      <w:bookmarkStart w:id="128" w:name="_21.1投标人必须在“投标人须知中的前附表”规定的投标文件接收时间和投"/>
      <w:bookmarkEnd w:id="128"/>
      <w:r>
        <w:rPr>
          <w:rFonts w:hint="eastAsia" w:asciiTheme="majorEastAsia" w:hAnsiTheme="majorEastAsia" w:eastAsiaTheme="majorEastAsia"/>
          <w:bCs/>
          <w:color w:val="auto"/>
          <w:szCs w:val="21"/>
          <w:highlight w:val="none"/>
        </w:rPr>
        <w:t>21.1投标人必须在“投标人须知前附表”规定的</w:t>
      </w:r>
      <w:r>
        <w:rPr>
          <w:rFonts w:hint="eastAsia" w:asciiTheme="majorEastAsia" w:hAnsiTheme="majorEastAsia" w:eastAsiaTheme="majorEastAsia"/>
          <w:color w:val="auto"/>
          <w:szCs w:val="21"/>
          <w:highlight w:val="none"/>
        </w:rPr>
        <w:t>投标文件提交截止时间前将</w:t>
      </w:r>
      <w:r>
        <w:rPr>
          <w:rFonts w:hint="eastAsia" w:asciiTheme="majorEastAsia" w:hAnsiTheme="majorEastAsia" w:eastAsiaTheme="majorEastAsia"/>
          <w:bCs/>
          <w:color w:val="auto"/>
          <w:szCs w:val="21"/>
          <w:highlight w:val="none"/>
        </w:rPr>
        <w:t>电子投标文件提交至投标地点。电子投标文件应在制作完成后，</w:t>
      </w:r>
      <w:r>
        <w:rPr>
          <w:rFonts w:asciiTheme="majorEastAsia" w:hAnsiTheme="majorEastAsia" w:eastAsiaTheme="majorEastAsia"/>
          <w:bCs/>
          <w:color w:val="auto"/>
          <w:szCs w:val="21"/>
          <w:highlight w:val="none"/>
        </w:rPr>
        <w:t>在投标截止时间前</w:t>
      </w:r>
      <w:r>
        <w:rPr>
          <w:rFonts w:hint="eastAsia" w:asciiTheme="majorEastAsia" w:hAnsiTheme="majorEastAsia" w:eastAsiaTheme="majorEastAsia"/>
          <w:bCs/>
          <w:color w:val="auto"/>
          <w:szCs w:val="21"/>
          <w:highlight w:val="none"/>
        </w:rPr>
        <w:t xml:space="preserve">通过有效数字证书（CA认证锁）进行电子签章、加密，然后通过网络将加密的电子投标文件递交至广西政府采购云平台。 </w:t>
      </w:r>
      <w:r>
        <w:rPr>
          <w:rFonts w:hint="eastAsia" w:asciiTheme="majorEastAsia" w:hAnsiTheme="majorEastAsia" w:eastAsiaTheme="majorEastAsia"/>
          <w:b/>
          <w:color w:val="auto"/>
          <w:highlight w:val="none"/>
        </w:rPr>
        <w:t xml:space="preserve"> </w:t>
      </w:r>
    </w:p>
    <w:p w14:paraId="6F26A505">
      <w:pPr>
        <w:spacing w:line="360" w:lineRule="auto"/>
        <w:ind w:firstLine="422" w:firstLineChars="200"/>
        <w:rPr>
          <w:rFonts w:hint="eastAsia" w:asciiTheme="majorEastAsia" w:hAnsiTheme="majorEastAsia" w:eastAsiaTheme="majorEastAsia"/>
          <w:b/>
          <w:color w:val="auto"/>
          <w:szCs w:val="20"/>
          <w:highlight w:val="none"/>
        </w:rPr>
      </w:pPr>
      <w:r>
        <w:rPr>
          <w:rFonts w:hint="eastAsia" w:asciiTheme="majorEastAsia" w:hAnsiTheme="majorEastAsia" w:eastAsiaTheme="majorEastAsia"/>
          <w:b/>
          <w:color w:val="auto"/>
          <w:szCs w:val="21"/>
          <w:highlight w:val="none"/>
        </w:rPr>
        <w:t>21.</w:t>
      </w:r>
      <w:r>
        <w:rPr>
          <w:rFonts w:asciiTheme="majorEastAsia" w:hAnsiTheme="majorEastAsia" w:eastAsiaTheme="majorEastAsia"/>
          <w:b/>
          <w:color w:val="auto"/>
          <w:szCs w:val="21"/>
          <w:highlight w:val="none"/>
        </w:rPr>
        <w:t>2</w:t>
      </w:r>
      <w:r>
        <w:rPr>
          <w:rFonts w:hint="eastAsia" w:asciiTheme="majorEastAsia" w:hAnsiTheme="majorEastAsia" w:eastAsiaTheme="majorEastAsia"/>
          <w:b/>
          <w:color w:val="auto"/>
          <w:szCs w:val="21"/>
          <w:highlight w:val="none"/>
        </w:rPr>
        <w:t>未在规定时间内提交或者未按照招标文件要求加密的电子投标文件，广西政府采购云平台将拒收。</w:t>
      </w:r>
    </w:p>
    <w:p w14:paraId="055B0B2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22. 投标文件的补充、修改、撤回与退回</w:t>
      </w:r>
    </w:p>
    <w:p w14:paraId="5A659C2B">
      <w:pPr>
        <w:snapToGrid w:val="0"/>
        <w:spacing w:line="360" w:lineRule="auto"/>
        <w:ind w:firstLine="420"/>
        <w:jc w:val="left"/>
        <w:rPr>
          <w:rFonts w:hint="eastAsia" w:asciiTheme="majorEastAsia" w:hAnsiTheme="majorEastAsia" w:eastAsiaTheme="majorEastAsia"/>
          <w:color w:val="auto"/>
          <w:szCs w:val="21"/>
          <w:highlight w:val="none"/>
        </w:rPr>
      </w:pPr>
      <w:bookmarkStart w:id="129" w:name="_Toc254970543"/>
      <w:bookmarkStart w:id="130" w:name="_Toc254970684"/>
      <w:r>
        <w:rPr>
          <w:rFonts w:cs="宋体" w:asciiTheme="majorEastAsia" w:hAnsiTheme="majorEastAsia" w:eastAsiaTheme="majorEastAsia"/>
          <w:color w:val="auto"/>
          <w:szCs w:val="21"/>
          <w:highlight w:val="none"/>
        </w:rPr>
        <w:t>22</w:t>
      </w:r>
      <w:r>
        <w:rPr>
          <w:rFonts w:hint="eastAsia" w:cs="宋体" w:asciiTheme="majorEastAsia" w:hAnsiTheme="majorEastAsia" w:eastAsiaTheme="majorEastAsia"/>
          <w:color w:val="auto"/>
          <w:szCs w:val="21"/>
          <w:highlight w:val="none"/>
        </w:rPr>
        <w:t>.1</w:t>
      </w:r>
      <w:r>
        <w:rPr>
          <w:rFonts w:hint="eastAsia" w:asciiTheme="majorEastAsia" w:hAnsiTheme="majorEastAsia" w:eastAsiaTheme="majorEastAsia"/>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Theme="majorEastAsia" w:hAnsiTheme="majorEastAsia" w:eastAsiaTheme="majorEastAsia"/>
          <w:color w:val="auto"/>
          <w:szCs w:val="21"/>
          <w:highlight w:val="none"/>
        </w:rPr>
        <w:t>广西政府采购云平台</w:t>
      </w:r>
      <w:r>
        <w:rPr>
          <w:rFonts w:hint="eastAsia" w:asciiTheme="majorEastAsia" w:hAnsiTheme="majorEastAsia" w:eastAsiaTheme="majorEastAsia"/>
          <w:bCs/>
          <w:color w:val="auto"/>
          <w:szCs w:val="21"/>
          <w:highlight w:val="none"/>
        </w:rPr>
        <w:t>将予以拒收。</w:t>
      </w:r>
    </w:p>
    <w:bookmarkEnd w:id="129"/>
    <w:bookmarkEnd w:id="130"/>
    <w:p w14:paraId="46BF8ACB">
      <w:pPr>
        <w:pStyle w:val="97"/>
        <w:spacing w:before="0"/>
        <w:ind w:firstLine="420"/>
        <w:rPr>
          <w:rFonts w:hint="eastAsia" w:cs="宋体" w:asciiTheme="majorEastAsia" w:hAnsiTheme="majorEastAsia" w:eastAsiaTheme="majorEastAsia"/>
          <w:color w:val="auto"/>
          <w:sz w:val="21"/>
          <w:szCs w:val="21"/>
          <w:highlight w:val="none"/>
        </w:rPr>
      </w:pPr>
      <w:r>
        <w:rPr>
          <w:rFonts w:cs="宋体" w:asciiTheme="majorEastAsia" w:hAnsiTheme="majorEastAsia" w:eastAsiaTheme="majorEastAsia"/>
          <w:color w:val="auto"/>
          <w:sz w:val="21"/>
          <w:szCs w:val="21"/>
          <w:highlight w:val="none"/>
        </w:rPr>
        <w:t>22.</w:t>
      </w:r>
      <w:r>
        <w:rPr>
          <w:rFonts w:hint="eastAsia" w:cs="宋体" w:asciiTheme="majorEastAsia" w:hAnsiTheme="majorEastAsia" w:eastAsiaTheme="majorEastAsia"/>
          <w:color w:val="auto"/>
          <w:sz w:val="21"/>
          <w:szCs w:val="21"/>
          <w:highlight w:val="none"/>
        </w:rPr>
        <w:t>2广西政府采购云平台收到投标文件后向供应商发出确认回执通知。在投标截止时间前，除供应商补充、修改或者撤回投标文件外，任何单位和个人不得解密或提取投标文件。</w:t>
      </w:r>
    </w:p>
    <w:p w14:paraId="797A0CB3">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22.</w:t>
      </w:r>
      <w:r>
        <w:rPr>
          <w:rFonts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szCs w:val="21"/>
          <w:highlight w:val="none"/>
        </w:rPr>
        <w:t>在投标截止时间后，采购人和采购代理机构对已提交的投标文件概不退回。</w:t>
      </w:r>
    </w:p>
    <w:p w14:paraId="75C79A91">
      <w:pPr>
        <w:pStyle w:val="5"/>
        <w:keepNext w:val="0"/>
        <w:keepLines w:val="0"/>
        <w:jc w:val="center"/>
        <w:rPr>
          <w:rFonts w:hint="eastAsia" w:asciiTheme="majorEastAsia" w:hAnsiTheme="majorEastAsia" w:eastAsiaTheme="majorEastAsia"/>
          <w:color w:val="auto"/>
          <w:highlight w:val="none"/>
        </w:rPr>
      </w:pPr>
      <w:bookmarkStart w:id="131" w:name="_Toc254970685"/>
      <w:bookmarkStart w:id="132" w:name="_Toc254970544"/>
      <w:r>
        <w:rPr>
          <w:rFonts w:hint="eastAsia" w:asciiTheme="majorEastAsia" w:hAnsiTheme="majorEastAsia" w:eastAsiaTheme="majorEastAsia"/>
          <w:color w:val="auto"/>
          <w:highlight w:val="none"/>
        </w:rPr>
        <w:t>四、开标</w:t>
      </w:r>
      <w:bookmarkEnd w:id="131"/>
      <w:bookmarkEnd w:id="132"/>
    </w:p>
    <w:p w14:paraId="65826FCA">
      <w:pPr>
        <w:pStyle w:val="7"/>
        <w:keepNext w:val="0"/>
        <w:keepLines w:val="0"/>
        <w:spacing w:before="0" w:after="0" w:line="360" w:lineRule="auto"/>
        <w:ind w:left="420" w:leftChars="200"/>
        <w:rPr>
          <w:rFonts w:hint="eastAsia" w:cs="宋体" w:asciiTheme="majorEastAsia" w:hAnsiTheme="majorEastAsia" w:eastAsiaTheme="majorEastAsia"/>
          <w:color w:val="auto"/>
          <w:sz w:val="24"/>
          <w:highlight w:val="none"/>
        </w:rPr>
      </w:pPr>
      <w:bookmarkStart w:id="133" w:name="_23.开标时间和地点"/>
      <w:bookmarkEnd w:id="133"/>
      <w:r>
        <w:rPr>
          <w:rFonts w:hint="eastAsia" w:cs="宋体" w:asciiTheme="majorEastAsia" w:hAnsiTheme="majorEastAsia" w:eastAsiaTheme="majorEastAsia"/>
          <w:color w:val="auto"/>
          <w:sz w:val="24"/>
          <w:highlight w:val="none"/>
        </w:rPr>
        <w:t>23.开标时间和地点</w:t>
      </w:r>
    </w:p>
    <w:p w14:paraId="36DBD84B">
      <w:pPr>
        <w:spacing w:line="360" w:lineRule="auto"/>
        <w:ind w:firstLine="420" w:firstLineChars="200"/>
        <w:rPr>
          <w:rFonts w:hint="eastAsia" w:cs="宋体" w:asciiTheme="majorEastAsia" w:hAnsiTheme="majorEastAsia" w:eastAsiaTheme="majorEastAsia"/>
          <w:bCs/>
          <w:color w:val="auto"/>
          <w:highlight w:val="none"/>
        </w:rPr>
      </w:pPr>
      <w:r>
        <w:rPr>
          <w:rFonts w:hint="eastAsia" w:cs="宋体" w:asciiTheme="majorEastAsia" w:hAnsiTheme="majorEastAsia" w:eastAsiaTheme="majorEastAsia"/>
          <w:bCs/>
          <w:color w:val="auto"/>
          <w:highlight w:val="none"/>
        </w:rPr>
        <w:t>开标时间及地点详见“投标人须知前附表”</w:t>
      </w:r>
    </w:p>
    <w:p w14:paraId="5102213D">
      <w:pPr>
        <w:pStyle w:val="7"/>
        <w:keepNext w:val="0"/>
        <w:keepLines w:val="0"/>
        <w:spacing w:before="0" w:after="0" w:line="360" w:lineRule="auto"/>
        <w:ind w:left="420" w:leftChars="200"/>
        <w:rPr>
          <w:rFonts w:hint="eastAsia"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24.开标程序</w:t>
      </w:r>
    </w:p>
    <w:p w14:paraId="136C6184">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24.1提交投标文件截止时间止，投标人不足3家的，不得开标。</w:t>
      </w:r>
    </w:p>
    <w:p w14:paraId="74594D9F">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0E94985F">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24.3开标程序</w:t>
      </w:r>
    </w:p>
    <w:p w14:paraId="724D7CFB">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cs="宋体" w:asciiTheme="majorEastAsia" w:hAnsiTheme="majorEastAsia" w:eastAsiaTheme="majorEastAsia"/>
          <w:bCs/>
          <w:color w:val="auto"/>
          <w:szCs w:val="21"/>
          <w:highlight w:val="none"/>
        </w:rPr>
        <w:t>“投标人须知前附表”</w:t>
      </w:r>
      <w:r>
        <w:rPr>
          <w:rFonts w:hint="eastAsia" w:cs="宋体" w:asciiTheme="majorEastAsia" w:hAnsiTheme="majorEastAsia" w:eastAsiaTheme="majorEastAsia"/>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cs="宋体" w:asciiTheme="majorEastAsia" w:hAnsiTheme="majorEastAsia" w:eastAsiaTheme="majorEastAsia"/>
          <w:b/>
          <w:color w:val="auto"/>
          <w:highlight w:val="none"/>
        </w:rPr>
        <w:t>投标人未在规定的时间内解密投标文件或者解密失败的，</w:t>
      </w:r>
      <w:r>
        <w:rPr>
          <w:rFonts w:hint="eastAsia" w:cs="宋体" w:asciiTheme="majorEastAsia" w:hAnsiTheme="majorEastAsia" w:eastAsiaTheme="majorEastAsia"/>
          <w:b/>
          <w:color w:val="auto"/>
          <w:szCs w:val="21"/>
          <w:highlight w:val="none"/>
        </w:rPr>
        <w:t>投标人的投标文件作无效处理</w:t>
      </w:r>
      <w:r>
        <w:rPr>
          <w:rFonts w:hint="eastAsia" w:cs="宋体" w:asciiTheme="majorEastAsia" w:hAnsiTheme="majorEastAsia" w:eastAsiaTheme="majorEastAsia"/>
          <w:b/>
          <w:color w:val="auto"/>
          <w:highlight w:val="none"/>
        </w:rPr>
        <w:t>。</w:t>
      </w:r>
    </w:p>
    <w:p w14:paraId="06F90BA3">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（2）电子唱标。投标文件解密结束，宣布的内容均在广西政府采购云平台远程开标大厅展示，具体详见</w:t>
      </w:r>
      <w:r>
        <w:rPr>
          <w:rFonts w:hint="eastAsia" w:cs="宋体" w:asciiTheme="majorEastAsia" w:hAnsiTheme="majorEastAsia" w:eastAsiaTheme="majorEastAsia"/>
          <w:bCs/>
          <w:color w:val="auto"/>
          <w:highlight w:val="none"/>
        </w:rPr>
        <w:t>“投标人须知前附表”</w:t>
      </w:r>
      <w:r>
        <w:rPr>
          <w:rFonts w:hint="eastAsia" w:cs="宋体" w:asciiTheme="majorEastAsia" w:hAnsiTheme="majorEastAsia" w:eastAsiaTheme="majorEastAsia"/>
          <w:color w:val="auto"/>
          <w:highlight w:val="none"/>
        </w:rPr>
        <w:t>；</w:t>
      </w:r>
    </w:p>
    <w:p w14:paraId="2BC30D77">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6CCF05C5">
      <w:pPr>
        <w:pStyle w:val="8"/>
        <w:spacing w:line="360" w:lineRule="auto"/>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813B787">
      <w:pPr>
        <w:pStyle w:val="8"/>
        <w:spacing w:line="360"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（5）开标结束。</w:t>
      </w:r>
    </w:p>
    <w:p w14:paraId="42601FB3">
      <w:pPr>
        <w:pStyle w:val="27"/>
        <w:snapToGrid w:val="0"/>
        <w:spacing w:line="360" w:lineRule="auto"/>
        <w:ind w:firstLine="420" w:firstLineChars="200"/>
        <w:rPr>
          <w:rFonts w:hint="eastAsia"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特别说明：如遇广西政府采购云平台电子化开标或评审程序调整的，按调整后执行。</w:t>
      </w:r>
    </w:p>
    <w:p w14:paraId="2973CD83">
      <w:pPr>
        <w:pStyle w:val="5"/>
        <w:keepNext w:val="0"/>
        <w:keepLines w:val="0"/>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五、资格审查</w:t>
      </w:r>
    </w:p>
    <w:p w14:paraId="4CE76657">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25.资格审查</w:t>
      </w:r>
    </w:p>
    <w:p w14:paraId="5FD04838">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25.1</w:t>
      </w:r>
      <w:r>
        <w:rPr>
          <w:rFonts w:asciiTheme="majorEastAsia" w:hAnsiTheme="majorEastAsia" w:eastAsiaTheme="majorEastAsia"/>
          <w:b w:val="0"/>
          <w:color w:val="auto"/>
          <w:sz w:val="21"/>
          <w:szCs w:val="21"/>
          <w:highlight w:val="none"/>
        </w:rPr>
        <w:t>开标结束后，</w:t>
      </w:r>
      <w:r>
        <w:rPr>
          <w:rFonts w:hint="eastAsia" w:asciiTheme="majorEastAsia" w:hAnsiTheme="majorEastAsia" w:eastAsiaTheme="majorEastAsia"/>
          <w:b w:val="0"/>
          <w:color w:val="auto"/>
          <w:sz w:val="21"/>
          <w:szCs w:val="21"/>
          <w:highlight w:val="none"/>
        </w:rPr>
        <w:t>采购人或者采购代理机构通过电子开评标系统依据招标文件对电子投标文件进行线上资格审查</w:t>
      </w:r>
      <w:r>
        <w:rPr>
          <w:rFonts w:asciiTheme="majorEastAsia" w:hAnsiTheme="majorEastAsia" w:eastAsiaTheme="majorEastAsia"/>
          <w:b w:val="0"/>
          <w:color w:val="auto"/>
          <w:sz w:val="21"/>
          <w:szCs w:val="21"/>
          <w:highlight w:val="none"/>
        </w:rPr>
        <w:t>。</w:t>
      </w:r>
    </w:p>
    <w:p w14:paraId="15353999">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698B9484">
      <w:pPr>
        <w:pStyle w:val="7"/>
        <w:keepNext w:val="0"/>
        <w:keepLines w:val="0"/>
        <w:numPr>
          <w:ilvl w:val="4"/>
          <w:numId w:val="0"/>
        </w:numPr>
        <w:spacing w:before="0" w:after="0" w:line="360" w:lineRule="auto"/>
        <w:ind w:firstLine="422" w:firstLineChars="200"/>
        <w:rPr>
          <w:rFonts w:hint="eastAsia" w:asciiTheme="majorEastAsia" w:hAnsiTheme="majorEastAsia" w:eastAsiaTheme="majorEastAsia"/>
          <w:color w:val="auto"/>
          <w:sz w:val="21"/>
          <w:szCs w:val="21"/>
          <w:highlight w:val="none"/>
        </w:rPr>
      </w:pPr>
      <w:bookmarkStart w:id="134" w:name="_25.3_投标人有下列情形之一的，资格审查不通过而导致其投标无效："/>
      <w:bookmarkEnd w:id="134"/>
      <w:r>
        <w:rPr>
          <w:rFonts w:hint="eastAsia" w:asciiTheme="majorEastAsia" w:hAnsiTheme="majorEastAsia" w:eastAsiaTheme="majorEastAsia"/>
          <w:color w:val="auto"/>
          <w:sz w:val="21"/>
          <w:szCs w:val="21"/>
          <w:highlight w:val="none"/>
        </w:rPr>
        <w:t>25.3 投标人有下列情形之一的，资格审查不通过，作无效投标处理：</w:t>
      </w:r>
    </w:p>
    <w:p w14:paraId="55A19AAB">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（1）不具备招标文件中规定的资格要求的；</w:t>
      </w:r>
    </w:p>
    <w:p w14:paraId="7C3A7DA9">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14:paraId="365F75AF">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2CAB91CA">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（4）投标文件中的资格证明文件缺少任一项“投标人须知前附表”资格证明文件规定“必须提供”的文件资料的；</w:t>
      </w:r>
    </w:p>
    <w:p w14:paraId="2FE86559">
      <w:pPr>
        <w:pStyle w:val="27"/>
        <w:snapToGrid w:val="0"/>
        <w:spacing w:line="360" w:lineRule="auto"/>
        <w:ind w:firstLine="422" w:firstLineChars="200"/>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（5）投标文件中的资格证明文件出现任一项不符合“投标人须知前附表”资格证明文件规定“必须提供”的文件资料要求或者无效的。</w:t>
      </w:r>
    </w:p>
    <w:p w14:paraId="5545DEE4">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color w:val="auto"/>
          <w:sz w:val="21"/>
          <w:szCs w:val="21"/>
          <w:highlight w:val="none"/>
        </w:rPr>
        <w:t>25.4</w:t>
      </w:r>
      <w:r>
        <w:rPr>
          <w:rFonts w:asciiTheme="majorEastAsia" w:hAnsiTheme="majorEastAsia" w:eastAsiaTheme="majorEastAsia"/>
          <w:color w:val="auto"/>
          <w:sz w:val="21"/>
          <w:szCs w:val="21"/>
          <w:highlight w:val="none"/>
        </w:rPr>
        <w:t>合格投标人不足3家的，不得评标。</w:t>
      </w:r>
    </w:p>
    <w:p w14:paraId="2A69AC07">
      <w:pPr>
        <w:pStyle w:val="5"/>
        <w:keepNext w:val="0"/>
        <w:keepLines w:val="0"/>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六、评标</w:t>
      </w:r>
    </w:p>
    <w:p w14:paraId="4A31A371">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35" w:name="_26.组建评标委员会"/>
      <w:bookmarkEnd w:id="135"/>
      <w:r>
        <w:rPr>
          <w:rFonts w:hint="eastAsia" w:asciiTheme="majorEastAsia" w:hAnsiTheme="majorEastAsia" w:eastAsiaTheme="majorEastAsia"/>
          <w:color w:val="auto"/>
          <w:sz w:val="24"/>
          <w:highlight w:val="none"/>
        </w:rPr>
        <w:t>26.组建评标委员会</w:t>
      </w:r>
    </w:p>
    <w:p w14:paraId="460A0627">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26.1评标委员会由采购人代表和评审专家组成，具体人数详见“投标人须知前附表”，其中评审专家不得少于成员总数的三分之二。</w:t>
      </w:r>
    </w:p>
    <w:p w14:paraId="6D3B155D">
      <w:pPr>
        <w:pStyle w:val="27"/>
        <w:snapToGrid w:val="0"/>
        <w:spacing w:line="360" w:lineRule="auto"/>
        <w:ind w:left="2" w:leftChars="1"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26.2参加过采购项目前期咨询论证的专家，不得参加该采购项目的评审活动。</w:t>
      </w:r>
    </w:p>
    <w:p w14:paraId="36998CCF">
      <w:pPr>
        <w:pStyle w:val="27"/>
        <w:snapToGrid w:val="0"/>
        <w:spacing w:line="360" w:lineRule="auto"/>
        <w:ind w:left="2" w:leftChars="1"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26.3</w:t>
      </w:r>
      <w:r>
        <w:rPr>
          <w:rFonts w:hint="eastAsia" w:asciiTheme="majorEastAsia" w:hAnsiTheme="majorEastAsia" w:eastAsiaTheme="majorEastAsia"/>
          <w:bCs/>
          <w:color w:val="auto"/>
          <w:sz w:val="21"/>
          <w:highlight w:val="none"/>
        </w:rPr>
        <w:t>采购代理机构必须基于广西政府采购云平台选取评审专家，如采购代理机构未按规定选取专家的，视为本次开评标无效，应当重新采购。</w:t>
      </w:r>
    </w:p>
    <w:p w14:paraId="1E9632A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27.评标的依据</w:t>
      </w:r>
    </w:p>
    <w:p w14:paraId="76A32089">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评标委员会以</w:t>
      </w:r>
      <w:r>
        <w:rPr>
          <w:rFonts w:hint="eastAsia" w:cs="宋体" w:asciiTheme="majorEastAsia" w:hAnsiTheme="majorEastAsia" w:eastAsiaTheme="majorEastAsia"/>
          <w:color w:val="auto"/>
          <w:sz w:val="21"/>
          <w:highlight w:val="none"/>
        </w:rPr>
        <w:t>“第四章 评标方法和评标标准”</w:t>
      </w:r>
      <w:r>
        <w:rPr>
          <w:rFonts w:hint="eastAsia" w:asciiTheme="majorEastAsia" w:hAnsiTheme="majorEastAsia" w:eastAsiaTheme="majorEastAsia"/>
          <w:color w:val="auto"/>
          <w:sz w:val="21"/>
          <w:highlight w:val="none"/>
        </w:rPr>
        <w:t>为依据对投标文件进行评审，</w:t>
      </w:r>
      <w:r>
        <w:rPr>
          <w:rFonts w:asciiTheme="majorEastAsia" w:hAnsiTheme="majorEastAsia" w:eastAsiaTheme="majorEastAsia"/>
          <w:color w:val="auto"/>
          <w:sz w:val="21"/>
          <w:highlight w:val="none"/>
        </w:rPr>
        <w:t>没有规定的方法、评审因素和标准，不作为评标依据。</w:t>
      </w:r>
    </w:p>
    <w:p w14:paraId="6FB3234C">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28.评标原则</w:t>
      </w:r>
    </w:p>
    <w:p w14:paraId="36FDB1BA">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6569195">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28.2</w:t>
      </w:r>
      <w:bookmarkStart w:id="136" w:name="_28.3评标方法。本项目将按须知前附表规定的评标办法进行评标，具体评标"/>
      <w:bookmarkEnd w:id="136"/>
      <w:r>
        <w:rPr>
          <w:rFonts w:hint="eastAsia" w:asciiTheme="majorEastAsia" w:hAnsiTheme="majorEastAsia" w:eastAsiaTheme="majorEastAsia"/>
          <w:color w:val="auto"/>
          <w:sz w:val="21"/>
          <w:highlight w:val="none"/>
        </w:rPr>
        <w:t>评委表决。评标委员会成员对需要共同认定的事项存在争议的，应当按照少数服从多数的原则作出结论。</w:t>
      </w:r>
    </w:p>
    <w:p w14:paraId="4E833CC8">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28.</w:t>
      </w:r>
      <w:r>
        <w:rPr>
          <w:rFonts w:asciiTheme="majorEastAsia" w:hAnsiTheme="majorEastAsia" w:eastAsiaTheme="majorEastAsia"/>
          <w:color w:val="auto"/>
          <w:sz w:val="21"/>
          <w:highlight w:val="none"/>
        </w:rPr>
        <w:t>3</w:t>
      </w:r>
      <w:r>
        <w:rPr>
          <w:rFonts w:hint="eastAsia" w:asciiTheme="majorEastAsia" w:hAnsiTheme="majorEastAsia" w:eastAsiaTheme="majorEastAsia"/>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0E665D7">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8.4</w:t>
      </w:r>
      <w:r>
        <w:rPr>
          <w:rFonts w:hint="eastAsia" w:asciiTheme="majorEastAsia" w:hAnsiTheme="majorEastAsia" w:eastAsiaTheme="majorEastAsia"/>
          <w:color w:val="auto"/>
          <w:sz w:val="21"/>
          <w:highlight w:val="none"/>
        </w:rPr>
        <w:t>评标过程的监控。本项目电子评标过程实行网上留痕、全程录音、录像监控，</w:t>
      </w:r>
      <w:r>
        <w:rPr>
          <w:rFonts w:hint="eastAsia" w:asciiTheme="majorEastAsia" w:hAnsiTheme="majorEastAsia" w:eastAsiaTheme="majorEastAsia"/>
          <w:b/>
          <w:color w:val="auto"/>
          <w:sz w:val="21"/>
          <w:highlight w:val="none"/>
        </w:rPr>
        <w:t>投标人在评标过程中所进行的试图影响评标结果的不公正活动，可能导致其投标按无效处理。</w:t>
      </w:r>
    </w:p>
    <w:p w14:paraId="523CEA5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29.评标方法及中标候选人推荐</w:t>
      </w:r>
    </w:p>
    <w:p w14:paraId="1E70E7B0">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9.1</w:t>
      </w:r>
      <w:r>
        <w:rPr>
          <w:rFonts w:hint="eastAsia" w:asciiTheme="majorEastAsia" w:hAnsiTheme="majorEastAsia" w:eastAsiaTheme="majorEastAsia"/>
          <w:color w:val="auto"/>
          <w:sz w:val="21"/>
          <w:highlight w:val="none"/>
        </w:rPr>
        <w:t>本项目的评标方法详见“投标人须知前附表”。</w:t>
      </w:r>
    </w:p>
    <w:p w14:paraId="769584A3">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9.2</w:t>
      </w:r>
      <w:r>
        <w:rPr>
          <w:rFonts w:cs="宋体" w:asciiTheme="majorEastAsia" w:hAnsiTheme="majorEastAsia" w:eastAsiaTheme="majorEastAsia"/>
          <w:color w:val="auto"/>
          <w:sz w:val="21"/>
          <w:highlight w:val="none"/>
        </w:rPr>
        <w:t xml:space="preserve"> </w:t>
      </w:r>
      <w:r>
        <w:rPr>
          <w:rFonts w:hint="eastAsia" w:cs="宋体" w:asciiTheme="majorEastAsia" w:hAnsiTheme="majorEastAsia" w:eastAsiaTheme="majorEastAsia"/>
          <w:color w:val="auto"/>
          <w:highlight w:val="none"/>
        </w:rPr>
        <w:t>商务/技术要求</w:t>
      </w:r>
      <w:r>
        <w:rPr>
          <w:rFonts w:hint="eastAsia" w:asciiTheme="majorEastAsia" w:hAnsiTheme="majorEastAsia" w:eastAsiaTheme="majorEastAsia"/>
          <w:color w:val="auto"/>
          <w:highlight w:val="none"/>
        </w:rPr>
        <w:t>允许负偏离的条款数</w:t>
      </w:r>
      <w:r>
        <w:rPr>
          <w:rFonts w:asciiTheme="majorEastAsia" w:hAnsiTheme="majorEastAsia" w:eastAsiaTheme="majorEastAsia"/>
          <w:color w:val="auto"/>
          <w:sz w:val="21"/>
          <w:highlight w:val="none"/>
        </w:rPr>
        <w:t>详见</w:t>
      </w:r>
      <w:r>
        <w:rPr>
          <w:rFonts w:hint="eastAsia" w:asciiTheme="majorEastAsia" w:hAnsiTheme="majorEastAsia" w:eastAsiaTheme="majorEastAsia"/>
          <w:color w:val="auto"/>
          <w:sz w:val="21"/>
          <w:highlight w:val="none"/>
        </w:rPr>
        <w:t>“投标人须知前附表”。</w:t>
      </w:r>
    </w:p>
    <w:p w14:paraId="4AE35C73">
      <w:pPr>
        <w:pStyle w:val="27"/>
        <w:snapToGrid w:val="0"/>
        <w:spacing w:line="360" w:lineRule="auto"/>
        <w:ind w:firstLine="420" w:firstLineChars="200"/>
        <w:rPr>
          <w:rFonts w:hint="eastAsia" w:cs="宋体"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9.3</w:t>
      </w:r>
      <w:r>
        <w:rPr>
          <w:rFonts w:cs="宋体" w:asciiTheme="majorEastAsia" w:hAnsiTheme="majorEastAsia" w:eastAsiaTheme="majorEastAsia"/>
          <w:color w:val="auto"/>
          <w:sz w:val="21"/>
          <w:highlight w:val="none"/>
        </w:rPr>
        <w:t xml:space="preserve"> </w:t>
      </w:r>
      <w:r>
        <w:rPr>
          <w:rFonts w:asciiTheme="majorEastAsia" w:hAnsiTheme="majorEastAsia" w:eastAsiaTheme="majorEastAsia"/>
          <w:color w:val="auto"/>
          <w:sz w:val="21"/>
          <w:highlight w:val="none"/>
        </w:rPr>
        <w:t>中标候选人推荐数量详见</w:t>
      </w:r>
      <w:r>
        <w:rPr>
          <w:rFonts w:hint="eastAsia" w:asciiTheme="majorEastAsia" w:hAnsiTheme="majorEastAsia" w:eastAsiaTheme="majorEastAsia"/>
          <w:color w:val="auto"/>
          <w:sz w:val="21"/>
          <w:highlight w:val="none"/>
        </w:rPr>
        <w:t>“投标人须知前附表”。</w:t>
      </w:r>
    </w:p>
    <w:p w14:paraId="00027B0B">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29.</w:t>
      </w:r>
      <w:r>
        <w:rPr>
          <w:rFonts w:asciiTheme="majorEastAsia" w:hAnsiTheme="majorEastAsia" w:eastAsiaTheme="majorEastAsia"/>
          <w:color w:val="auto"/>
          <w:highlight w:val="none"/>
        </w:rPr>
        <w:t>4</w:t>
      </w:r>
      <w:r>
        <w:rPr>
          <w:rFonts w:hint="eastAsia" w:asciiTheme="majorEastAsia" w:hAnsiTheme="majorEastAsia" w:eastAsiaTheme="majorEastAsia"/>
          <w:color w:val="auto"/>
          <w:highlight w:val="none"/>
        </w:rPr>
        <w:t xml:space="preserve"> 电子交易活动的中止。采购过程中出现以下情形，导致电子交易平台无法正常运行，或者无法保证电子交易的公平、公正和安全时，采购代理机构可以中止电子交易活动：</w:t>
      </w:r>
    </w:p>
    <w:p w14:paraId="201ACE1E">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 xml:space="preserve">（1）电子交易平台发生故障而无法登录访问的； </w:t>
      </w:r>
    </w:p>
    <w:p w14:paraId="5EEC91C3">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（2）电子交易平台应用或数据库出现错误，不能进行正常操作的；</w:t>
      </w:r>
    </w:p>
    <w:p w14:paraId="00620B15">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（3）电子交易平台发现严重安全漏洞，有潜在泄密危险的；</w:t>
      </w:r>
    </w:p>
    <w:p w14:paraId="00382763">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 xml:space="preserve">（4）病毒发作导致不能进行正常操作的； </w:t>
      </w:r>
    </w:p>
    <w:p w14:paraId="22BBDAF1">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（5）其他无法保证电子交易的公平、公正和安全的情况。</w:t>
      </w:r>
    </w:p>
    <w:p w14:paraId="49BBAAE1">
      <w:pPr>
        <w:spacing w:line="360" w:lineRule="auto"/>
        <w:ind w:firstLine="420" w:firstLineChars="200"/>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2C9D3BC2">
      <w:pPr>
        <w:pStyle w:val="5"/>
        <w:keepNext w:val="0"/>
        <w:keepLines w:val="0"/>
        <w:jc w:val="center"/>
        <w:rPr>
          <w:rFonts w:hint="eastAsia" w:asciiTheme="majorEastAsia" w:hAnsiTheme="majorEastAsia" w:eastAsiaTheme="majorEastAsia"/>
          <w:color w:val="auto"/>
          <w:highlight w:val="none"/>
        </w:rPr>
      </w:pPr>
      <w:bookmarkStart w:id="137" w:name="_Toc254970546"/>
      <w:bookmarkStart w:id="138" w:name="_Toc254970687"/>
      <w:r>
        <w:rPr>
          <w:rFonts w:hint="eastAsia" w:asciiTheme="majorEastAsia" w:hAnsiTheme="majorEastAsia" w:eastAsiaTheme="majorEastAsia"/>
          <w:color w:val="auto"/>
          <w:highlight w:val="none"/>
        </w:rPr>
        <w:t>七、</w:t>
      </w:r>
      <w:bookmarkEnd w:id="137"/>
      <w:bookmarkEnd w:id="138"/>
      <w:r>
        <w:rPr>
          <w:rFonts w:hint="eastAsia" w:asciiTheme="majorEastAsia" w:hAnsiTheme="majorEastAsia" w:eastAsiaTheme="majorEastAsia"/>
          <w:color w:val="auto"/>
          <w:highlight w:val="none"/>
        </w:rPr>
        <w:t>中标和合同</w:t>
      </w:r>
    </w:p>
    <w:p w14:paraId="27A2712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30</w:t>
      </w:r>
      <w:r>
        <w:rPr>
          <w:rFonts w:asciiTheme="majorEastAsia" w:hAnsiTheme="majorEastAsia" w:eastAsiaTheme="majorEastAsia"/>
          <w:color w:val="auto"/>
          <w:sz w:val="24"/>
          <w:highlight w:val="none"/>
        </w:rPr>
        <w:t xml:space="preserve"> </w:t>
      </w:r>
      <w:r>
        <w:rPr>
          <w:rFonts w:hint="eastAsia" w:asciiTheme="majorEastAsia" w:hAnsiTheme="majorEastAsia" w:eastAsiaTheme="majorEastAsia"/>
          <w:color w:val="auto"/>
          <w:sz w:val="24"/>
          <w:highlight w:val="none"/>
        </w:rPr>
        <w:t>确定中标人</w:t>
      </w:r>
    </w:p>
    <w:p w14:paraId="7C34E32B">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30.1</w:t>
      </w:r>
      <w:r>
        <w:rPr>
          <w:rFonts w:hint="eastAsia" w:asciiTheme="majorEastAsia" w:hAnsiTheme="majorEastAsia" w:eastAsiaTheme="majorEastAsia"/>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1373DA2">
      <w:pPr>
        <w:snapToGrid w:val="0"/>
        <w:spacing w:line="360" w:lineRule="auto"/>
        <w:ind w:firstLine="420" w:firstLineChars="200"/>
        <w:rPr>
          <w:rFonts w:hint="eastAsia" w:cs="Courier New" w:asciiTheme="majorEastAsia" w:hAnsiTheme="majorEastAsia" w:eastAsiaTheme="majorEastAsia"/>
          <w:color w:val="auto"/>
          <w:szCs w:val="21"/>
          <w:highlight w:val="none"/>
        </w:rPr>
      </w:pPr>
      <w:r>
        <w:rPr>
          <w:rFonts w:cs="Courier New" w:asciiTheme="majorEastAsia" w:hAnsiTheme="majorEastAsia" w:eastAsiaTheme="majorEastAsia"/>
          <w:color w:val="auto"/>
          <w:szCs w:val="21"/>
          <w:highlight w:val="none"/>
        </w:rPr>
        <w:t>30.2</w:t>
      </w:r>
      <w:r>
        <w:rPr>
          <w:rFonts w:hint="eastAsia" w:cs="Courier New" w:asciiTheme="majorEastAsia" w:hAnsiTheme="majorEastAsia" w:eastAsiaTheme="majorEastAsia"/>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72EED030">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30.3出现下列情形之一的，应予废标：</w:t>
      </w:r>
    </w:p>
    <w:p w14:paraId="59DE24F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（1）符合专业条件的供应商或者对招标文件作实质响应的供应商不足三家的；</w:t>
      </w:r>
    </w:p>
    <w:p w14:paraId="3AD9F18C">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（2）出现影响采购公正的违法、违规行为的；</w:t>
      </w:r>
    </w:p>
    <w:p w14:paraId="1C7098E2">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（3）投标人的报价均超过了采购预算，采购人不能支付的；</w:t>
      </w:r>
    </w:p>
    <w:p w14:paraId="7204BDBC">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（4）因重大变故，采购任务取消的。</w:t>
      </w:r>
    </w:p>
    <w:p w14:paraId="4C78AAF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废标后，采购人应当将废标理由通知所有投标人。</w:t>
      </w:r>
    </w:p>
    <w:p w14:paraId="656D285B">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31. 结果公告</w:t>
      </w:r>
    </w:p>
    <w:p w14:paraId="384FF352">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1.1</w:t>
      </w:r>
      <w:r>
        <w:rPr>
          <w:rFonts w:hint="eastAsia" w:asciiTheme="majorEastAsia" w:hAnsiTheme="majorEastAsia" w:eastAsiaTheme="majorEastAsia"/>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1FBBC98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以上信息查询记录及相关证据与招标文件一并保存。</w:t>
      </w:r>
    </w:p>
    <w:p w14:paraId="333A10E1">
      <w:pPr>
        <w:pStyle w:val="7"/>
        <w:keepNext w:val="0"/>
        <w:keepLines w:val="0"/>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31.2中标人享受《政府采购促进中小企业发展管理办法》（财库〔2020〕46号）规定的中小企业扶持政策的，采购人、采购代理机构应当随中标结果公开中标人的《中小企业声明函》。</w:t>
      </w:r>
    </w:p>
    <w:p w14:paraId="108197C8">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32.发出中标通知书</w:t>
      </w:r>
    </w:p>
    <w:p w14:paraId="6CADAFFB">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w:t>
      </w:r>
      <w:r>
        <w:rPr>
          <w:rFonts w:asciiTheme="majorEastAsia" w:hAnsiTheme="majorEastAsia" w:eastAsiaTheme="majorEastAsia"/>
          <w:b w:val="0"/>
          <w:color w:val="auto"/>
          <w:sz w:val="21"/>
          <w:szCs w:val="21"/>
          <w:highlight w:val="none"/>
        </w:rPr>
        <w:t xml:space="preserve">   </w:t>
      </w:r>
      <w:r>
        <w:rPr>
          <w:rFonts w:hint="eastAsia" w:asciiTheme="majorEastAsia" w:hAnsiTheme="majorEastAsia" w:eastAsiaTheme="majorEastAsia"/>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05DE0717">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33.无义务解释未中标原因</w:t>
      </w:r>
    </w:p>
    <w:p w14:paraId="6AE0E878">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采购代理机构无义务向未中标的投标人解释未中标原因。</w:t>
      </w:r>
    </w:p>
    <w:p w14:paraId="03C84220">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34.合同授予标准</w:t>
      </w:r>
    </w:p>
    <w:p w14:paraId="7D13B8FE">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cs="Courier New" w:asciiTheme="majorEastAsia" w:hAnsiTheme="majorEastAsia" w:eastAsiaTheme="majorEastAsia"/>
          <w:color w:val="auto"/>
          <w:szCs w:val="21"/>
          <w:highlight w:val="none"/>
        </w:rPr>
        <w:t>合同将授予被确定实质上响应招标文件要求，具备履行合同能力的中标人。</w:t>
      </w:r>
    </w:p>
    <w:p w14:paraId="06C7EB0E">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35.履约保证金</w:t>
      </w:r>
    </w:p>
    <w:p w14:paraId="4F6E38F9">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39" w:name="_39.1中标人须于签订合同前按本须知前附表规定的金额转账或电汇到指定账"/>
      <w:bookmarkEnd w:id="139"/>
      <w:r>
        <w:rPr>
          <w:rFonts w:asciiTheme="majorEastAsia" w:hAnsiTheme="majorEastAsia" w:eastAsiaTheme="majorEastAsia"/>
          <w:b w:val="0"/>
          <w:color w:val="auto"/>
          <w:sz w:val="21"/>
          <w:szCs w:val="21"/>
          <w:highlight w:val="none"/>
        </w:rPr>
        <w:t xml:space="preserve"> </w:t>
      </w: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5</w:t>
      </w:r>
      <w:r>
        <w:rPr>
          <w:rFonts w:hint="eastAsia" w:asciiTheme="majorEastAsia" w:hAnsiTheme="majorEastAsia" w:eastAsiaTheme="majorEastAsia"/>
          <w:b w:val="0"/>
          <w:color w:val="auto"/>
          <w:sz w:val="21"/>
          <w:szCs w:val="21"/>
          <w:highlight w:val="none"/>
        </w:rPr>
        <w:t>.1 履约保证金的金额、提交方式、退付的时间和条件详见 “投标人须知前附表”。中标人未按规定提交履约保证金的，视为拒绝与采购人签订合同。</w:t>
      </w:r>
    </w:p>
    <w:p w14:paraId="7A5C6ADA">
      <w:pPr>
        <w:pStyle w:val="7"/>
        <w:keepNext w:val="0"/>
        <w:keepLines w:val="0"/>
        <w:spacing w:before="0" w:after="0" w:line="360" w:lineRule="auto"/>
        <w:ind w:firstLine="316" w:firstLineChars="15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 xml:space="preserve"> </w:t>
      </w:r>
      <w:r>
        <w:rPr>
          <w:rFonts w:hint="eastAsia" w:asciiTheme="majorEastAsia" w:hAnsiTheme="majorEastAsia" w:eastAsiaTheme="majorEastAsia"/>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4647F8D2">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36.签订合同</w:t>
      </w:r>
    </w:p>
    <w:p w14:paraId="390A2C3A">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bookmarkStart w:id="140" w:name="_40.1投标人接到中标通知书后，按须知前附表规定向采购人出示相关资格证"/>
      <w:bookmarkEnd w:id="140"/>
      <w:r>
        <w:rPr>
          <w:rFonts w:hint="eastAsia" w:asciiTheme="majorEastAsia" w:hAnsiTheme="majorEastAsia" w:eastAsiaTheme="majorEastAsia"/>
          <w:b w:val="0"/>
          <w:color w:val="auto"/>
          <w:sz w:val="21"/>
          <w:szCs w:val="21"/>
          <w:highlight w:val="none"/>
        </w:rPr>
        <w:t xml:space="preserve"> </w:t>
      </w:r>
      <w:r>
        <w:rPr>
          <w:rFonts w:hint="eastAsia" w:asciiTheme="majorEastAsia" w:hAnsiTheme="majorEastAsia" w:eastAsiaTheme="majorEastAsia"/>
          <w:color w:val="auto"/>
          <w:sz w:val="21"/>
          <w:szCs w:val="21"/>
          <w:highlight w:val="none"/>
        </w:rPr>
        <w:t>36.1签订电子采购合同：中标人领取电子中标通知书后，</w:t>
      </w:r>
      <w:r>
        <w:rPr>
          <w:rFonts w:hint="eastAsia" w:asciiTheme="majorEastAsia" w:hAnsiTheme="majorEastAsia" w:eastAsiaTheme="majorEastAsia"/>
          <w:color w:val="auto"/>
          <w:kern w:val="0"/>
          <w:sz w:val="21"/>
          <w:szCs w:val="21"/>
          <w:highlight w:val="none"/>
        </w:rPr>
        <w:t>在</w:t>
      </w:r>
      <w:r>
        <w:rPr>
          <w:rFonts w:hint="eastAsia" w:asciiTheme="majorEastAsia" w:hAnsiTheme="majorEastAsia" w:eastAsiaTheme="majorEastAsia"/>
          <w:color w:val="auto"/>
          <w:kern w:val="0"/>
          <w:sz w:val="21"/>
          <w:szCs w:val="21"/>
          <w:highlight w:val="none"/>
          <w:lang w:val="zh-CN"/>
        </w:rPr>
        <w:t>规定的日期、时间、地点，由法定代表人（或负责人）或其授权代表与采购人代表签订电子采购合同。如中标人为联合体的，由联合体成员各方法定代表人（或负责人）或其授权代表与采购人代表签订合同。</w:t>
      </w:r>
    </w:p>
    <w:p w14:paraId="3284143C">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3B7A5C4C">
      <w:pPr>
        <w:pStyle w:val="7"/>
        <w:keepNext w:val="0"/>
        <w:keepLines w:val="0"/>
        <w:numPr>
          <w:ilvl w:val="4"/>
          <w:numId w:val="0"/>
        </w:numPr>
        <w:spacing w:before="0" w:after="0" w:line="360" w:lineRule="auto"/>
        <w:ind w:firstLine="420" w:firstLine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36.2签订合同时间：按中标通知书规定的时间与采购人签订合同。</w:t>
      </w:r>
    </w:p>
    <w:p w14:paraId="25AC3350">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36.</w:t>
      </w:r>
      <w:r>
        <w:rPr>
          <w:rFonts w:asciiTheme="majorEastAsia" w:hAnsiTheme="majorEastAsia" w:eastAsiaTheme="majorEastAsia"/>
          <w:b w:val="0"/>
          <w:color w:val="auto"/>
          <w:sz w:val="21"/>
          <w:szCs w:val="21"/>
          <w:highlight w:val="none"/>
        </w:rPr>
        <w:t>3</w:t>
      </w:r>
      <w:r>
        <w:rPr>
          <w:rFonts w:hint="eastAsia" w:asciiTheme="majorEastAsia" w:hAnsiTheme="majorEastAsia" w:eastAsiaTheme="majorEastAsia"/>
          <w:b w:val="0"/>
          <w:color w:val="auto"/>
          <w:sz w:val="21"/>
          <w:szCs w:val="21"/>
          <w:highlight w:val="none"/>
        </w:rPr>
        <w:t>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7B8FBBEC">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1DF68E5">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36.5采购人或中标人不得单方面向合同另一方提出任何招标文件没有约定的条件或不合理的要求，作为签订合同的条件；也不得协商另行订立背离招标文件和合同实质性内容的协议。</w:t>
      </w:r>
    </w:p>
    <w:p w14:paraId="32921F48">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36.6</w:t>
      </w:r>
      <w:r>
        <w:rPr>
          <w:rFonts w:hint="eastAsia" w:cs="仿宋_GB2312" w:asciiTheme="majorEastAsia" w:hAnsiTheme="majorEastAsia" w:eastAsiaTheme="majorEastAsia"/>
          <w:color w:val="auto"/>
          <w:szCs w:val="21"/>
          <w:highlight w:val="none"/>
        </w:rPr>
        <w:t>如签订合同并生效后，供应商无故拒绝或延期，除按照合同条款处理外，将承担相应的法律责任。</w:t>
      </w:r>
    </w:p>
    <w:p w14:paraId="4A1F4E11">
      <w:pPr>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36.7</w:t>
      </w:r>
      <w:r>
        <w:rPr>
          <w:rFonts w:hint="eastAsia" w:cs="宋体" w:asciiTheme="majorEastAsia" w:hAnsiTheme="majorEastAsia" w:eastAsiaTheme="majorEastAsia"/>
          <w:color w:val="auto"/>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622EF1A">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41" w:name="_41.政府采购合同公告"/>
      <w:bookmarkEnd w:id="141"/>
      <w:r>
        <w:rPr>
          <w:rFonts w:hint="eastAsia" w:asciiTheme="majorEastAsia" w:hAnsiTheme="majorEastAsia" w:eastAsiaTheme="majorEastAsia"/>
          <w:color w:val="auto"/>
          <w:sz w:val="24"/>
          <w:highlight w:val="none"/>
        </w:rPr>
        <w:t>37.政府采购合同公告</w:t>
      </w:r>
    </w:p>
    <w:p w14:paraId="4480D4FE">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采购人或者受托采购代理机构应当自政府采购合同签订之日起2个工作日内，将政府采购合同在省级以上人民政府财政部门指定的媒体上公告，</w:t>
      </w:r>
      <w:r>
        <w:rPr>
          <w:rFonts w:asciiTheme="majorEastAsia" w:hAnsiTheme="majorEastAsia" w:eastAsiaTheme="majorEastAsia"/>
          <w:color w:val="auto"/>
          <w:sz w:val="21"/>
          <w:highlight w:val="none"/>
        </w:rPr>
        <w:t>但政府采购合同中涉及国家秘密、商业秘密的内容除外。</w:t>
      </w:r>
    </w:p>
    <w:p w14:paraId="2130770A">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w:t>
      </w:r>
      <w:r>
        <w:rPr>
          <w:rFonts w:asciiTheme="majorEastAsia" w:hAnsiTheme="majorEastAsia" w:eastAsiaTheme="majorEastAsia"/>
          <w:color w:val="auto"/>
          <w:sz w:val="24"/>
          <w:highlight w:val="none"/>
        </w:rPr>
        <w:t>8.</w:t>
      </w:r>
      <w:r>
        <w:rPr>
          <w:rFonts w:hint="eastAsia" w:asciiTheme="majorEastAsia" w:hAnsiTheme="majorEastAsia" w:eastAsiaTheme="majorEastAsia"/>
          <w:color w:val="auto"/>
          <w:sz w:val="24"/>
          <w:highlight w:val="none"/>
        </w:rPr>
        <w:t xml:space="preserve"> 询问、质疑和投诉</w:t>
      </w:r>
    </w:p>
    <w:p w14:paraId="601DFB1E">
      <w:pPr>
        <w:pStyle w:val="8"/>
        <w:spacing w:line="360" w:lineRule="auto"/>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38.1</w:t>
      </w:r>
      <w:r>
        <w:rPr>
          <w:rFonts w:hint="eastAsia" w:asciiTheme="majorEastAsia" w:hAnsiTheme="majorEastAsia" w:eastAsiaTheme="majorEastAsia"/>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3EBC4290">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 xml:space="preserve"> </w:t>
      </w:r>
      <w:r>
        <w:rPr>
          <w:rFonts w:asciiTheme="majorEastAsia" w:hAnsiTheme="majorEastAsia" w:eastAsiaTheme="majorEastAsia"/>
          <w:b w:val="0"/>
          <w:color w:val="auto"/>
          <w:sz w:val="21"/>
          <w:szCs w:val="21"/>
          <w:highlight w:val="none"/>
        </w:rPr>
        <w:t>38</w:t>
      </w:r>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2</w:t>
      </w:r>
      <w:r>
        <w:rPr>
          <w:rFonts w:hint="eastAsia" w:asciiTheme="majorEastAsia" w:hAnsiTheme="majorEastAsia" w:eastAsiaTheme="majorEastAsia"/>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70624253">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1</w:t>
      </w:r>
      <w:r>
        <w:rPr>
          <w:rFonts w:asciiTheme="majorEastAsia" w:hAnsiTheme="majorEastAsia" w:eastAsiaTheme="majorEastAsia"/>
          <w:color w:val="auto"/>
          <w:sz w:val="21"/>
          <w:highlight w:val="none"/>
        </w:rPr>
        <w:t>）对可以质疑的</w:t>
      </w:r>
      <w:r>
        <w:rPr>
          <w:rFonts w:hint="eastAsia" w:asciiTheme="majorEastAsia" w:hAnsiTheme="majorEastAsia" w:eastAsiaTheme="majorEastAsia"/>
          <w:color w:val="auto"/>
          <w:sz w:val="21"/>
          <w:highlight w:val="none"/>
        </w:rPr>
        <w:t>招标</w:t>
      </w:r>
      <w:r>
        <w:rPr>
          <w:rFonts w:asciiTheme="majorEastAsia" w:hAnsiTheme="majorEastAsia" w:eastAsiaTheme="majorEastAsia"/>
          <w:color w:val="auto"/>
          <w:sz w:val="21"/>
          <w:highlight w:val="none"/>
        </w:rPr>
        <w:t>文件提出质疑的，为</w:t>
      </w:r>
      <w:r>
        <w:rPr>
          <w:rFonts w:hint="eastAsia" w:asciiTheme="majorEastAsia" w:hAnsiTheme="majorEastAsia" w:eastAsiaTheme="majorEastAsia"/>
          <w:color w:val="auto"/>
          <w:sz w:val="21"/>
          <w:highlight w:val="none"/>
        </w:rPr>
        <w:t>获取招标</w:t>
      </w:r>
      <w:r>
        <w:rPr>
          <w:rFonts w:asciiTheme="majorEastAsia" w:hAnsiTheme="majorEastAsia" w:eastAsiaTheme="majorEastAsia"/>
          <w:color w:val="auto"/>
          <w:sz w:val="21"/>
          <w:highlight w:val="none"/>
        </w:rPr>
        <w:t>文件之日</w:t>
      </w:r>
      <w:r>
        <w:rPr>
          <w:rFonts w:hint="eastAsia" w:asciiTheme="majorEastAsia" w:hAnsiTheme="majorEastAsia" w:eastAsiaTheme="majorEastAsia"/>
          <w:color w:val="auto"/>
          <w:sz w:val="21"/>
          <w:highlight w:val="none"/>
        </w:rPr>
        <w:t>或者招标文件公告期限届满之日</w:t>
      </w:r>
      <w:r>
        <w:rPr>
          <w:rFonts w:asciiTheme="majorEastAsia" w:hAnsiTheme="majorEastAsia" w:eastAsiaTheme="majorEastAsia"/>
          <w:color w:val="auto"/>
          <w:sz w:val="21"/>
          <w:highlight w:val="none"/>
        </w:rPr>
        <w:t>；</w:t>
      </w:r>
    </w:p>
    <w:p w14:paraId="24EF38D1">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）对</w:t>
      </w:r>
      <w:r>
        <w:rPr>
          <w:rFonts w:hint="eastAsia" w:asciiTheme="majorEastAsia" w:hAnsiTheme="majorEastAsia" w:eastAsiaTheme="majorEastAsia"/>
          <w:color w:val="auto"/>
          <w:sz w:val="21"/>
          <w:highlight w:val="none"/>
        </w:rPr>
        <w:t>采购</w:t>
      </w:r>
      <w:r>
        <w:rPr>
          <w:rFonts w:asciiTheme="majorEastAsia" w:hAnsiTheme="majorEastAsia" w:eastAsiaTheme="majorEastAsia"/>
          <w:color w:val="auto"/>
          <w:sz w:val="21"/>
          <w:highlight w:val="none"/>
        </w:rPr>
        <w:t>过程提出质疑的，为各采购程序环节结束之日；</w:t>
      </w:r>
    </w:p>
    <w:p w14:paraId="7FF18540">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3</w:t>
      </w:r>
      <w:r>
        <w:rPr>
          <w:rFonts w:asciiTheme="majorEastAsia" w:hAnsiTheme="majorEastAsia" w:eastAsiaTheme="majorEastAsia"/>
          <w:color w:val="auto"/>
          <w:sz w:val="21"/>
          <w:highlight w:val="none"/>
        </w:rPr>
        <w:t>）对中标结果提出质疑的，为中标结果公告期限届满之日。</w:t>
      </w:r>
    </w:p>
    <w:p w14:paraId="7296881C">
      <w:pPr>
        <w:pStyle w:val="7"/>
        <w:keepNext w:val="0"/>
        <w:keepLines w:val="0"/>
        <w:spacing w:before="0" w:after="0" w:line="360" w:lineRule="auto"/>
        <w:ind w:firstLine="315" w:firstLineChars="15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38</w:t>
      </w:r>
      <w:r>
        <w:rPr>
          <w:rFonts w:hint="eastAsia" w:asciiTheme="majorEastAsia" w:hAnsiTheme="majorEastAsia" w:eastAsiaTheme="majorEastAsia"/>
          <w:b w:val="0"/>
          <w:color w:val="auto"/>
          <w:sz w:val="21"/>
          <w:szCs w:val="21"/>
          <w:highlight w:val="none"/>
        </w:rPr>
        <w:t>.</w:t>
      </w:r>
      <w:r>
        <w:rPr>
          <w:rFonts w:asciiTheme="majorEastAsia" w:hAnsiTheme="majorEastAsia" w:eastAsiaTheme="majorEastAsia"/>
          <w:b w:val="0"/>
          <w:color w:val="auto"/>
          <w:sz w:val="21"/>
          <w:szCs w:val="21"/>
          <w:highlight w:val="none"/>
        </w:rPr>
        <w:t>3</w:t>
      </w:r>
      <w:r>
        <w:rPr>
          <w:rFonts w:hint="eastAsia" w:asciiTheme="majorEastAsia" w:hAnsiTheme="majorEastAsia" w:eastAsiaTheme="majorEastAsia"/>
          <w:b w:val="0"/>
          <w:color w:val="auto"/>
          <w:sz w:val="21"/>
          <w:szCs w:val="21"/>
          <w:highlight w:val="none"/>
        </w:rPr>
        <w:t xml:space="preserve"> </w:t>
      </w:r>
      <w:r>
        <w:rPr>
          <w:rFonts w:asciiTheme="majorEastAsia" w:hAnsiTheme="majorEastAsia" w:eastAsiaTheme="majorEastAsia"/>
          <w:b w:val="0"/>
          <w:bCs/>
          <w:color w:val="auto"/>
          <w:sz w:val="21"/>
          <w:highlight w:val="none"/>
        </w:rPr>
        <w:t>供应商提出质疑应当提交质疑函和必要的证明材料</w:t>
      </w:r>
      <w:r>
        <w:rPr>
          <w:rFonts w:hint="eastAsia" w:asciiTheme="majorEastAsia" w:hAnsiTheme="majorEastAsia" w:eastAsiaTheme="majorEastAsia"/>
          <w:b w:val="0"/>
          <w:bCs/>
          <w:color w:val="auto"/>
          <w:sz w:val="21"/>
          <w:highlight w:val="none"/>
        </w:rPr>
        <w:t>，</w:t>
      </w:r>
      <w:r>
        <w:rPr>
          <w:rFonts w:asciiTheme="majorEastAsia" w:hAnsiTheme="majorEastAsia" w:eastAsiaTheme="majorEastAsia"/>
          <w:b w:val="0"/>
          <w:bCs/>
          <w:color w:val="auto"/>
          <w:sz w:val="21"/>
          <w:highlight w:val="none"/>
        </w:rPr>
        <w:t>针对同一采购程序环节的质疑</w:t>
      </w:r>
      <w:r>
        <w:rPr>
          <w:rFonts w:hint="eastAsia" w:asciiTheme="majorEastAsia" w:hAnsiTheme="majorEastAsia" w:eastAsiaTheme="majorEastAsia"/>
          <w:b w:val="0"/>
          <w:bCs/>
          <w:color w:val="auto"/>
          <w:sz w:val="21"/>
          <w:highlight w:val="none"/>
        </w:rPr>
        <w:t>必须</w:t>
      </w:r>
      <w:r>
        <w:rPr>
          <w:rFonts w:asciiTheme="majorEastAsia" w:hAnsiTheme="majorEastAsia" w:eastAsiaTheme="majorEastAsia"/>
          <w:b w:val="0"/>
          <w:bCs/>
          <w:color w:val="auto"/>
          <w:sz w:val="21"/>
          <w:highlight w:val="none"/>
        </w:rPr>
        <w:t>在法定质疑期内一次性提出。质疑函应当包括下列内容</w:t>
      </w:r>
      <w:r>
        <w:rPr>
          <w:rFonts w:hint="eastAsia" w:asciiTheme="majorEastAsia" w:hAnsiTheme="majorEastAsia" w:eastAsiaTheme="majorEastAsia"/>
          <w:b w:val="0"/>
          <w:bCs/>
          <w:color w:val="auto"/>
          <w:sz w:val="21"/>
          <w:highlight w:val="none"/>
        </w:rPr>
        <w:t>（质疑函格式后附）</w:t>
      </w:r>
      <w:r>
        <w:rPr>
          <w:rFonts w:asciiTheme="majorEastAsia" w:hAnsiTheme="majorEastAsia" w:eastAsiaTheme="majorEastAsia"/>
          <w:b w:val="0"/>
          <w:bCs/>
          <w:color w:val="auto"/>
          <w:sz w:val="21"/>
          <w:highlight w:val="none"/>
        </w:rPr>
        <w:t>：</w:t>
      </w:r>
    </w:p>
    <w:p w14:paraId="78468C0A">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1</w:t>
      </w:r>
      <w:r>
        <w:rPr>
          <w:rFonts w:asciiTheme="majorEastAsia" w:hAnsiTheme="majorEastAsia" w:eastAsiaTheme="majorEastAsia"/>
          <w:bCs/>
          <w:color w:val="auto"/>
          <w:sz w:val="21"/>
          <w:highlight w:val="none"/>
        </w:rPr>
        <w:t>）供应商的姓名或者名称、地址、邮编、联系人及联系电话；</w:t>
      </w:r>
    </w:p>
    <w:p w14:paraId="5B7E6BA5">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2</w:t>
      </w:r>
      <w:r>
        <w:rPr>
          <w:rFonts w:asciiTheme="majorEastAsia" w:hAnsiTheme="majorEastAsia" w:eastAsiaTheme="majorEastAsia"/>
          <w:bCs/>
          <w:color w:val="auto"/>
          <w:sz w:val="21"/>
          <w:highlight w:val="none"/>
        </w:rPr>
        <w:t>）质疑项目的名称、编号；</w:t>
      </w:r>
    </w:p>
    <w:p w14:paraId="06810F6B">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3</w:t>
      </w:r>
      <w:r>
        <w:rPr>
          <w:rFonts w:asciiTheme="majorEastAsia" w:hAnsiTheme="majorEastAsia" w:eastAsiaTheme="majorEastAsia"/>
          <w:bCs/>
          <w:color w:val="auto"/>
          <w:sz w:val="21"/>
          <w:highlight w:val="none"/>
        </w:rPr>
        <w:t>）具体、明确的质疑事项和与质疑事项相关的请求；</w:t>
      </w:r>
    </w:p>
    <w:p w14:paraId="5A311618">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4</w:t>
      </w:r>
      <w:r>
        <w:rPr>
          <w:rFonts w:asciiTheme="majorEastAsia" w:hAnsiTheme="majorEastAsia" w:eastAsiaTheme="majorEastAsia"/>
          <w:bCs/>
          <w:color w:val="auto"/>
          <w:sz w:val="21"/>
          <w:highlight w:val="none"/>
        </w:rPr>
        <w:t>）事实依据；</w:t>
      </w:r>
    </w:p>
    <w:p w14:paraId="0917A85C">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5</w:t>
      </w:r>
      <w:r>
        <w:rPr>
          <w:rFonts w:asciiTheme="majorEastAsia" w:hAnsiTheme="majorEastAsia" w:eastAsiaTheme="majorEastAsia"/>
          <w:bCs/>
          <w:color w:val="auto"/>
          <w:sz w:val="21"/>
          <w:highlight w:val="none"/>
        </w:rPr>
        <w:t>）必要的法律依据；</w:t>
      </w:r>
    </w:p>
    <w:p w14:paraId="1E584504">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rPr>
        <w:t>6</w:t>
      </w:r>
      <w:r>
        <w:rPr>
          <w:rFonts w:asciiTheme="majorEastAsia" w:hAnsiTheme="majorEastAsia" w:eastAsiaTheme="majorEastAsia"/>
          <w:bCs/>
          <w:color w:val="auto"/>
          <w:sz w:val="21"/>
          <w:highlight w:val="none"/>
        </w:rPr>
        <w:t>）提出质疑的日期。</w:t>
      </w:r>
    </w:p>
    <w:p w14:paraId="028B1E0B">
      <w:pPr>
        <w:pStyle w:val="27"/>
        <w:snapToGrid w:val="0"/>
        <w:spacing w:line="360" w:lineRule="auto"/>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供应商为自然人的，应当由本人签字；供应商为法人或者其他组织的，应当由</w:t>
      </w:r>
      <w:r>
        <w:rPr>
          <w:rFonts w:hint="eastAsia" w:asciiTheme="majorEastAsia" w:hAnsiTheme="majorEastAsia" w:eastAsiaTheme="majorEastAsia"/>
          <w:bCs/>
          <w:color w:val="auto"/>
          <w:sz w:val="21"/>
          <w:highlight w:val="none"/>
        </w:rPr>
        <w:t>法定代表人（或负责人）</w:t>
      </w:r>
      <w:r>
        <w:rPr>
          <w:rFonts w:asciiTheme="majorEastAsia" w:hAnsiTheme="majorEastAsia" w:eastAsiaTheme="majorEastAsia"/>
          <w:bCs/>
          <w:color w:val="auto"/>
          <w:sz w:val="21"/>
          <w:highlight w:val="none"/>
        </w:rPr>
        <w:t>、主要负责人，或者其委托代理人签字或者盖章，并加盖公章</w:t>
      </w:r>
      <w:r>
        <w:rPr>
          <w:rFonts w:hint="eastAsia" w:asciiTheme="majorEastAsia" w:hAnsiTheme="majorEastAsia" w:eastAsiaTheme="majorEastAsia"/>
          <w:bCs/>
          <w:color w:val="auto"/>
          <w:sz w:val="21"/>
          <w:highlight w:val="none"/>
        </w:rPr>
        <w:t>。</w:t>
      </w:r>
    </w:p>
    <w:p w14:paraId="2106281C">
      <w:pPr>
        <w:pStyle w:val="7"/>
        <w:keepNext w:val="0"/>
        <w:keepLines w:val="0"/>
        <w:snapToGrid w:val="0"/>
        <w:spacing w:before="0" w:after="0" w:line="360" w:lineRule="auto"/>
        <w:ind w:firstLine="420" w:firstLineChars="200"/>
        <w:rPr>
          <w:rFonts w:hint="eastAsia" w:asciiTheme="majorEastAsia" w:hAnsiTheme="majorEastAsia" w:eastAsiaTheme="majorEastAsia"/>
          <w:b w:val="0"/>
          <w:bCs/>
          <w:color w:val="auto"/>
          <w:sz w:val="21"/>
          <w:szCs w:val="21"/>
          <w:highlight w:val="none"/>
        </w:rPr>
      </w:pPr>
      <w:r>
        <w:rPr>
          <w:rFonts w:asciiTheme="majorEastAsia" w:hAnsiTheme="majorEastAsia" w:eastAsiaTheme="majorEastAsia"/>
          <w:b w:val="0"/>
          <w:color w:val="auto"/>
          <w:sz w:val="21"/>
          <w:szCs w:val="21"/>
          <w:highlight w:val="none"/>
        </w:rPr>
        <w:t>3</w:t>
      </w:r>
      <w:r>
        <w:rPr>
          <w:rFonts w:asciiTheme="majorEastAsia" w:hAnsiTheme="majorEastAsia" w:eastAsiaTheme="majorEastAsia"/>
          <w:b w:val="0"/>
          <w:bCs/>
          <w:color w:val="auto"/>
          <w:sz w:val="21"/>
          <w:szCs w:val="21"/>
          <w:highlight w:val="none"/>
        </w:rPr>
        <w:t>8.4</w:t>
      </w:r>
      <w:r>
        <w:rPr>
          <w:rFonts w:hint="eastAsia" w:asciiTheme="majorEastAsia" w:hAnsiTheme="majorEastAsia" w:eastAsiaTheme="majorEastAsia"/>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00C5FE3D">
      <w:pPr>
        <w:pStyle w:val="27"/>
        <w:snapToGrid w:val="0"/>
        <w:spacing w:line="360" w:lineRule="auto"/>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1C53156E">
      <w:pPr>
        <w:pStyle w:val="27"/>
        <w:snapToGrid w:val="0"/>
        <w:spacing w:line="360" w:lineRule="auto"/>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7DDBA0E2">
      <w:pPr>
        <w:pStyle w:val="27"/>
        <w:snapToGrid w:val="0"/>
        <w:spacing w:line="360" w:lineRule="auto"/>
        <w:ind w:firstLine="420"/>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质疑答复导致中标结果改变的，采购人或者采购代理机构应当将有关情况书面报告本级财政部门。</w:t>
      </w:r>
    </w:p>
    <w:p w14:paraId="0B40BC2E">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38</w:t>
      </w:r>
      <w:r>
        <w:rPr>
          <w:rFonts w:hint="eastAsia" w:asciiTheme="majorEastAsia" w:hAnsiTheme="majorEastAsia" w:eastAsiaTheme="majorEastAsia"/>
          <w:color w:val="auto"/>
          <w:sz w:val="21"/>
          <w:highlight w:val="none"/>
        </w:rPr>
        <w:t>.</w:t>
      </w:r>
      <w:r>
        <w:rPr>
          <w:rFonts w:asciiTheme="majorEastAsia" w:hAnsiTheme="majorEastAsia" w:eastAsiaTheme="majorEastAsia"/>
          <w:color w:val="auto"/>
          <w:sz w:val="21"/>
          <w:highlight w:val="none"/>
        </w:rPr>
        <w:t>5</w:t>
      </w:r>
      <w:r>
        <w:rPr>
          <w:rFonts w:hint="eastAsia" w:asciiTheme="majorEastAsia" w:hAnsiTheme="majorEastAsia" w:eastAsiaTheme="majorEastAsia"/>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9204399">
      <w:pPr>
        <w:pStyle w:val="5"/>
        <w:keepNext w:val="0"/>
        <w:keepLines w:val="0"/>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八、其他事项</w:t>
      </w:r>
    </w:p>
    <w:p w14:paraId="002507A4">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bookmarkStart w:id="142" w:name="_42.代理服务费"/>
      <w:bookmarkEnd w:id="142"/>
      <w:r>
        <w:rPr>
          <w:rFonts w:hint="eastAsia" w:asciiTheme="majorEastAsia" w:hAnsiTheme="majorEastAsia" w:eastAsiaTheme="majorEastAsia"/>
          <w:color w:val="auto"/>
          <w:sz w:val="24"/>
          <w:highlight w:val="none"/>
        </w:rPr>
        <w:t>3</w:t>
      </w:r>
      <w:r>
        <w:rPr>
          <w:rFonts w:asciiTheme="majorEastAsia" w:hAnsiTheme="majorEastAsia" w:eastAsiaTheme="majorEastAsia"/>
          <w:color w:val="auto"/>
          <w:sz w:val="24"/>
          <w:highlight w:val="none"/>
        </w:rPr>
        <w:t>9</w:t>
      </w:r>
      <w:r>
        <w:rPr>
          <w:rFonts w:hint="eastAsia" w:asciiTheme="majorEastAsia" w:hAnsiTheme="majorEastAsia" w:eastAsiaTheme="majorEastAsia"/>
          <w:color w:val="auto"/>
          <w:sz w:val="24"/>
          <w:highlight w:val="none"/>
        </w:rPr>
        <w:t>.代理服务费</w:t>
      </w:r>
    </w:p>
    <w:p w14:paraId="2E81632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9</w:t>
      </w:r>
      <w:r>
        <w:rPr>
          <w:rFonts w:hint="eastAsia" w:asciiTheme="majorEastAsia" w:hAnsiTheme="majorEastAsia" w:eastAsiaTheme="majorEastAsia"/>
          <w:b w:val="0"/>
          <w:color w:val="auto"/>
          <w:sz w:val="21"/>
          <w:szCs w:val="21"/>
          <w:highlight w:val="none"/>
        </w:rPr>
        <w:t>.1代理服务收取标准及缴费账户详见“投标人须知前附表”，投标人为联合体的，可以由联合体中的一方或者多方共同交纳代理服务费。</w:t>
      </w:r>
    </w:p>
    <w:p w14:paraId="58FF4B47">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hint="eastAsia" w:asciiTheme="majorEastAsia" w:hAnsiTheme="majorEastAsia" w:eastAsiaTheme="majorEastAsia"/>
          <w:b w:val="0"/>
          <w:color w:val="auto"/>
          <w:sz w:val="21"/>
          <w:szCs w:val="21"/>
          <w:highlight w:val="none"/>
        </w:rPr>
        <w:t>3</w:t>
      </w:r>
      <w:r>
        <w:rPr>
          <w:rFonts w:asciiTheme="majorEastAsia" w:hAnsiTheme="majorEastAsia" w:eastAsiaTheme="majorEastAsia"/>
          <w:b w:val="0"/>
          <w:color w:val="auto"/>
          <w:sz w:val="21"/>
          <w:szCs w:val="21"/>
          <w:highlight w:val="none"/>
        </w:rPr>
        <w:t>9</w:t>
      </w:r>
      <w:r>
        <w:rPr>
          <w:rFonts w:hint="eastAsia" w:asciiTheme="majorEastAsia" w:hAnsiTheme="majorEastAsia" w:eastAsiaTheme="majorEastAsia"/>
          <w:b w:val="0"/>
          <w:color w:val="auto"/>
          <w:sz w:val="21"/>
          <w:szCs w:val="21"/>
          <w:highlight w:val="none"/>
        </w:rPr>
        <w:t>.2代理服务收费标准：</w:t>
      </w:r>
    </w:p>
    <w:tbl>
      <w:tblPr>
        <w:tblStyle w:val="50"/>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1753"/>
        <w:gridCol w:w="1783"/>
        <w:gridCol w:w="1753"/>
      </w:tblGrid>
      <w:tr w14:paraId="0F65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131" w:type="dxa"/>
            <w:tcBorders>
              <w:tl2br w:val="single" w:color="auto" w:sz="4" w:space="0"/>
            </w:tcBorders>
          </w:tcPr>
          <w:p w14:paraId="5A2BC45A">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费率</w:t>
            </w:r>
          </w:p>
          <w:p w14:paraId="1468902A">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中标金额</w:t>
            </w:r>
          </w:p>
        </w:tc>
        <w:tc>
          <w:tcPr>
            <w:tcW w:w="1753" w:type="dxa"/>
            <w:vAlign w:val="center"/>
          </w:tcPr>
          <w:p w14:paraId="26CFED0B">
            <w:pPr>
              <w:spacing w:line="360" w:lineRule="auto"/>
              <w:ind w:firstLine="105" w:firstLineChar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货物招标</w:t>
            </w:r>
          </w:p>
        </w:tc>
        <w:tc>
          <w:tcPr>
            <w:tcW w:w="1783" w:type="dxa"/>
            <w:vAlign w:val="center"/>
          </w:tcPr>
          <w:p w14:paraId="07E2D5F7">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服务招标</w:t>
            </w:r>
          </w:p>
        </w:tc>
        <w:tc>
          <w:tcPr>
            <w:tcW w:w="1753" w:type="dxa"/>
            <w:vAlign w:val="center"/>
          </w:tcPr>
          <w:p w14:paraId="564F089B">
            <w:pPr>
              <w:spacing w:line="360" w:lineRule="auto"/>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工程招标</w:t>
            </w:r>
          </w:p>
        </w:tc>
      </w:tr>
      <w:tr w14:paraId="1899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2F0F000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100万元以下</w:t>
            </w:r>
          </w:p>
        </w:tc>
        <w:tc>
          <w:tcPr>
            <w:tcW w:w="1753" w:type="dxa"/>
          </w:tcPr>
          <w:p w14:paraId="56BC001C">
            <w:pPr>
              <w:spacing w:line="360" w:lineRule="auto"/>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1.5% </w:t>
            </w: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 </w:t>
            </w:r>
            <w:r>
              <w:rPr>
                <w:rFonts w:hint="eastAsia" w:cs="宋体" w:asciiTheme="majorEastAsia" w:hAnsiTheme="majorEastAsia" w:eastAsiaTheme="majorEastAsia"/>
                <w:color w:val="auto"/>
                <w:kern w:val="0"/>
                <w:szCs w:val="21"/>
                <w:highlight w:val="none"/>
              </w:rPr>
              <w:t xml:space="preserve">    </w:t>
            </w:r>
          </w:p>
        </w:tc>
        <w:tc>
          <w:tcPr>
            <w:tcW w:w="1783" w:type="dxa"/>
          </w:tcPr>
          <w:p w14:paraId="6E3EC215">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1.5%</w:t>
            </w:r>
          </w:p>
        </w:tc>
        <w:tc>
          <w:tcPr>
            <w:tcW w:w="1753" w:type="dxa"/>
          </w:tcPr>
          <w:p w14:paraId="12D070C2">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1.0% </w:t>
            </w:r>
          </w:p>
        </w:tc>
      </w:tr>
      <w:tr w14:paraId="3E1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6396173A">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100～500万元</w:t>
            </w:r>
          </w:p>
        </w:tc>
        <w:tc>
          <w:tcPr>
            <w:tcW w:w="1753" w:type="dxa"/>
          </w:tcPr>
          <w:p w14:paraId="2E2037A8">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1.1% </w:t>
            </w:r>
            <w:r>
              <w:rPr>
                <w:rFonts w:hint="eastAsia" w:cs="宋体" w:asciiTheme="majorEastAsia" w:hAnsiTheme="majorEastAsia" w:eastAsiaTheme="majorEastAsia"/>
                <w:color w:val="auto"/>
                <w:kern w:val="0"/>
                <w:szCs w:val="21"/>
                <w:highlight w:val="none"/>
              </w:rPr>
              <w:t xml:space="preserve">                </w:t>
            </w:r>
          </w:p>
        </w:tc>
        <w:tc>
          <w:tcPr>
            <w:tcW w:w="1783" w:type="dxa"/>
          </w:tcPr>
          <w:p w14:paraId="57AB0E39">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0.8%</w:t>
            </w:r>
          </w:p>
        </w:tc>
        <w:tc>
          <w:tcPr>
            <w:tcW w:w="1753" w:type="dxa"/>
          </w:tcPr>
          <w:p w14:paraId="245E73F6">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0.7% </w:t>
            </w:r>
          </w:p>
        </w:tc>
      </w:tr>
      <w:tr w14:paraId="5B23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7551A998">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500～1000万元</w:t>
            </w:r>
          </w:p>
        </w:tc>
        <w:tc>
          <w:tcPr>
            <w:tcW w:w="1753" w:type="dxa"/>
          </w:tcPr>
          <w:p w14:paraId="45B323F8">
            <w:pPr>
              <w:spacing w:line="360" w:lineRule="auto"/>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0.8% </w:t>
            </w:r>
            <w:r>
              <w:rPr>
                <w:rFonts w:hint="eastAsia" w:cs="宋体" w:asciiTheme="majorEastAsia" w:hAnsiTheme="majorEastAsia" w:eastAsiaTheme="majorEastAsia"/>
                <w:color w:val="auto"/>
                <w:kern w:val="0"/>
                <w:szCs w:val="21"/>
                <w:highlight w:val="none"/>
              </w:rPr>
              <w:t xml:space="preserve">               </w:t>
            </w:r>
          </w:p>
        </w:tc>
        <w:tc>
          <w:tcPr>
            <w:tcW w:w="1783" w:type="dxa"/>
          </w:tcPr>
          <w:p w14:paraId="48CAD0EA">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0.45%</w:t>
            </w:r>
          </w:p>
        </w:tc>
        <w:tc>
          <w:tcPr>
            <w:tcW w:w="1753" w:type="dxa"/>
          </w:tcPr>
          <w:p w14:paraId="03C03315">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0.55%</w:t>
            </w:r>
          </w:p>
        </w:tc>
      </w:tr>
      <w:tr w14:paraId="431B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21932CD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1000～5000万元</w:t>
            </w:r>
          </w:p>
        </w:tc>
        <w:tc>
          <w:tcPr>
            <w:tcW w:w="1753" w:type="dxa"/>
          </w:tcPr>
          <w:p w14:paraId="4060CCF4">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0.5% </w:t>
            </w:r>
            <w:r>
              <w:rPr>
                <w:rFonts w:hint="eastAsia" w:cs="宋体" w:asciiTheme="majorEastAsia" w:hAnsiTheme="majorEastAsia" w:eastAsiaTheme="majorEastAsia"/>
                <w:color w:val="auto"/>
                <w:kern w:val="0"/>
                <w:szCs w:val="21"/>
                <w:highlight w:val="none"/>
              </w:rPr>
              <w:t xml:space="preserve">               </w:t>
            </w:r>
          </w:p>
        </w:tc>
        <w:tc>
          <w:tcPr>
            <w:tcW w:w="1783" w:type="dxa"/>
          </w:tcPr>
          <w:p w14:paraId="744F0491">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0.25%</w:t>
            </w:r>
          </w:p>
        </w:tc>
        <w:tc>
          <w:tcPr>
            <w:tcW w:w="1753" w:type="dxa"/>
          </w:tcPr>
          <w:p w14:paraId="5F621470">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0.35% </w:t>
            </w:r>
          </w:p>
        </w:tc>
      </w:tr>
      <w:tr w14:paraId="2DF6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7C6C984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5000万元～1亿元</w:t>
            </w:r>
          </w:p>
        </w:tc>
        <w:tc>
          <w:tcPr>
            <w:tcW w:w="1753" w:type="dxa"/>
          </w:tcPr>
          <w:p w14:paraId="7AC3DCA1">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 xml:space="preserve">0.25% </w:t>
            </w:r>
            <w:r>
              <w:rPr>
                <w:rFonts w:hint="eastAsia" w:cs="宋体" w:asciiTheme="majorEastAsia" w:hAnsiTheme="majorEastAsia" w:eastAsiaTheme="majorEastAsia"/>
                <w:color w:val="auto"/>
                <w:kern w:val="0"/>
                <w:szCs w:val="21"/>
                <w:highlight w:val="none"/>
              </w:rPr>
              <w:t xml:space="preserve">      </w:t>
            </w:r>
            <w:r>
              <w:rPr>
                <w:rFonts w:cs="宋体" w:asciiTheme="majorEastAsia" w:hAnsiTheme="majorEastAsia" w:eastAsiaTheme="majorEastAsia"/>
                <w:color w:val="auto"/>
                <w:kern w:val="0"/>
                <w:szCs w:val="21"/>
                <w:highlight w:val="none"/>
              </w:rPr>
              <w:t xml:space="preserve"> </w:t>
            </w:r>
            <w:r>
              <w:rPr>
                <w:rFonts w:hint="eastAsia" w:cs="宋体" w:asciiTheme="majorEastAsia" w:hAnsiTheme="majorEastAsia" w:eastAsiaTheme="majorEastAsia"/>
                <w:color w:val="auto"/>
                <w:kern w:val="0"/>
                <w:szCs w:val="21"/>
                <w:highlight w:val="none"/>
              </w:rPr>
              <w:t xml:space="preserve">         </w:t>
            </w:r>
          </w:p>
        </w:tc>
        <w:tc>
          <w:tcPr>
            <w:tcW w:w="1783" w:type="dxa"/>
          </w:tcPr>
          <w:p w14:paraId="00057647">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0.1%</w:t>
            </w:r>
          </w:p>
        </w:tc>
        <w:tc>
          <w:tcPr>
            <w:tcW w:w="1753" w:type="dxa"/>
          </w:tcPr>
          <w:p w14:paraId="3A416A50">
            <w:pPr>
              <w:spacing w:line="360" w:lineRule="auto"/>
              <w:ind w:firstLine="210" w:firstLineChars="100"/>
              <w:rPr>
                <w:rFonts w:hint="eastAsia" w:asciiTheme="majorEastAsia" w:hAnsiTheme="majorEastAsia" w:eastAsiaTheme="majorEastAsia"/>
                <w:color w:val="auto"/>
                <w:szCs w:val="21"/>
                <w:highlight w:val="none"/>
              </w:rPr>
            </w:pPr>
            <w:r>
              <w:rPr>
                <w:rFonts w:cs="宋体" w:asciiTheme="majorEastAsia" w:hAnsiTheme="majorEastAsia" w:eastAsiaTheme="majorEastAsia"/>
                <w:color w:val="auto"/>
                <w:kern w:val="0"/>
                <w:szCs w:val="21"/>
                <w:highlight w:val="none"/>
              </w:rPr>
              <w:t>0.2%</w:t>
            </w:r>
          </w:p>
        </w:tc>
      </w:tr>
      <w:tr w14:paraId="4317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1E521801">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1～5亿元</w:t>
            </w:r>
          </w:p>
        </w:tc>
        <w:tc>
          <w:tcPr>
            <w:tcW w:w="1753" w:type="dxa"/>
          </w:tcPr>
          <w:p w14:paraId="3711ABCA">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0.05%</w:t>
            </w:r>
          </w:p>
        </w:tc>
        <w:tc>
          <w:tcPr>
            <w:tcW w:w="1783" w:type="dxa"/>
          </w:tcPr>
          <w:p w14:paraId="67351E9E">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0.05%</w:t>
            </w:r>
          </w:p>
        </w:tc>
        <w:tc>
          <w:tcPr>
            <w:tcW w:w="1753" w:type="dxa"/>
          </w:tcPr>
          <w:p w14:paraId="57FE23E5">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0.05%</w:t>
            </w:r>
          </w:p>
        </w:tc>
      </w:tr>
      <w:tr w14:paraId="656F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1D3ECD23">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5～10亿元</w:t>
            </w:r>
          </w:p>
        </w:tc>
        <w:tc>
          <w:tcPr>
            <w:tcW w:w="1753" w:type="dxa"/>
          </w:tcPr>
          <w:p w14:paraId="4ABCF075">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0.035%</w:t>
            </w:r>
          </w:p>
        </w:tc>
        <w:tc>
          <w:tcPr>
            <w:tcW w:w="1783" w:type="dxa"/>
          </w:tcPr>
          <w:p w14:paraId="71F6BA29">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0.035%</w:t>
            </w:r>
          </w:p>
        </w:tc>
        <w:tc>
          <w:tcPr>
            <w:tcW w:w="1753" w:type="dxa"/>
          </w:tcPr>
          <w:p w14:paraId="43C8F956">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0.035%</w:t>
            </w:r>
          </w:p>
        </w:tc>
      </w:tr>
      <w:tr w14:paraId="0800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2727B38D">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10～50亿元</w:t>
            </w:r>
          </w:p>
        </w:tc>
        <w:tc>
          <w:tcPr>
            <w:tcW w:w="1753" w:type="dxa"/>
          </w:tcPr>
          <w:p w14:paraId="3C0B7CE9">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0.008%</w:t>
            </w:r>
          </w:p>
        </w:tc>
        <w:tc>
          <w:tcPr>
            <w:tcW w:w="1783" w:type="dxa"/>
          </w:tcPr>
          <w:p w14:paraId="2365E7D3">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0.008%</w:t>
            </w:r>
          </w:p>
        </w:tc>
        <w:tc>
          <w:tcPr>
            <w:tcW w:w="1753" w:type="dxa"/>
          </w:tcPr>
          <w:p w14:paraId="594E036B">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0.008%</w:t>
            </w:r>
          </w:p>
        </w:tc>
      </w:tr>
      <w:tr w14:paraId="0CCB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Pr>
          <w:p w14:paraId="1B47BE17">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50～100亿元</w:t>
            </w:r>
          </w:p>
        </w:tc>
        <w:tc>
          <w:tcPr>
            <w:tcW w:w="1753" w:type="dxa"/>
          </w:tcPr>
          <w:p w14:paraId="7AA93C8D">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0.006%</w:t>
            </w:r>
          </w:p>
        </w:tc>
        <w:tc>
          <w:tcPr>
            <w:tcW w:w="1783" w:type="dxa"/>
          </w:tcPr>
          <w:p w14:paraId="4DA3072A">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0.006%</w:t>
            </w:r>
          </w:p>
        </w:tc>
        <w:tc>
          <w:tcPr>
            <w:tcW w:w="1753" w:type="dxa"/>
          </w:tcPr>
          <w:p w14:paraId="347E5510">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0.006%</w:t>
            </w:r>
          </w:p>
        </w:tc>
      </w:tr>
      <w:tr w14:paraId="1BD1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31" w:type="dxa"/>
          </w:tcPr>
          <w:p w14:paraId="709646B1">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100亿以上</w:t>
            </w:r>
          </w:p>
        </w:tc>
        <w:tc>
          <w:tcPr>
            <w:tcW w:w="1753" w:type="dxa"/>
          </w:tcPr>
          <w:p w14:paraId="6781F4B0">
            <w:pPr>
              <w:spacing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0.004%</w:t>
            </w:r>
          </w:p>
        </w:tc>
        <w:tc>
          <w:tcPr>
            <w:tcW w:w="1783" w:type="dxa"/>
          </w:tcPr>
          <w:p w14:paraId="3229BD36">
            <w:pPr>
              <w:spacing w:line="360" w:lineRule="auto"/>
              <w:ind w:firstLine="210" w:firstLineChars="1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0.004%</w:t>
            </w:r>
          </w:p>
        </w:tc>
        <w:tc>
          <w:tcPr>
            <w:tcW w:w="1753" w:type="dxa"/>
          </w:tcPr>
          <w:p w14:paraId="2098FEC3">
            <w:pPr>
              <w:spacing w:line="360" w:lineRule="auto"/>
              <w:ind w:firstLine="105" w:firstLineChar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0.004%</w:t>
            </w:r>
          </w:p>
        </w:tc>
      </w:tr>
    </w:tbl>
    <w:p w14:paraId="149A37F0">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r>
        <w:rPr>
          <w:rFonts w:hint="eastAsia" w:asciiTheme="majorEastAsia" w:hAnsiTheme="majorEastAsia" w:eastAsiaTheme="majorEastAsia"/>
          <w:color w:val="auto"/>
          <w:szCs w:val="21"/>
          <w:highlight w:val="none"/>
          <w:lang w:eastAsia="zh-CN"/>
        </w:rPr>
        <w:t>：</w:t>
      </w:r>
      <w:r>
        <w:rPr>
          <w:rFonts w:cs="宋体" w:asciiTheme="majorEastAsia" w:hAnsiTheme="majorEastAsia" w:eastAsiaTheme="majorEastAsia"/>
          <w:color w:val="auto"/>
          <w:szCs w:val="21"/>
          <w:highlight w:val="none"/>
        </w:rPr>
        <w:t xml:space="preserve"> </w:t>
      </w:r>
    </w:p>
    <w:p w14:paraId="6D6C2B43">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cs="宋体" w:asciiTheme="majorEastAsia" w:hAnsiTheme="majorEastAsia" w:eastAsiaTheme="majorEastAsia"/>
          <w:color w:val="auto"/>
          <w:szCs w:val="21"/>
          <w:highlight w:val="none"/>
        </w:rPr>
        <w:t>按本表费率计算的收费为</w:t>
      </w:r>
      <w:r>
        <w:rPr>
          <w:rFonts w:hint="eastAsia" w:cs="宋体" w:asciiTheme="majorEastAsia" w:hAnsiTheme="majorEastAsia" w:eastAsiaTheme="majorEastAsia"/>
          <w:color w:val="auto"/>
          <w:szCs w:val="21"/>
          <w:highlight w:val="none"/>
        </w:rPr>
        <w:t>采购</w:t>
      </w:r>
      <w:r>
        <w:rPr>
          <w:rFonts w:cs="宋体" w:asciiTheme="majorEastAsia" w:hAnsiTheme="majorEastAsia" w:eastAsiaTheme="majorEastAsia"/>
          <w:color w:val="auto"/>
          <w:szCs w:val="21"/>
          <w:highlight w:val="none"/>
        </w:rPr>
        <w:t>代理的收费基准价格</w:t>
      </w:r>
      <w:r>
        <w:rPr>
          <w:rFonts w:hint="eastAsia" w:cs="宋体" w:asciiTheme="majorEastAsia" w:hAnsiTheme="majorEastAsia" w:eastAsiaTheme="majorEastAsia"/>
          <w:color w:val="auto"/>
          <w:szCs w:val="21"/>
          <w:highlight w:val="none"/>
        </w:rPr>
        <w:t>；</w:t>
      </w:r>
    </w:p>
    <w:p w14:paraId="529A2BCF">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（2）采购</w:t>
      </w:r>
      <w:r>
        <w:rPr>
          <w:rFonts w:cs="宋体" w:asciiTheme="majorEastAsia" w:hAnsiTheme="majorEastAsia" w:eastAsiaTheme="majorEastAsia"/>
          <w:color w:val="auto"/>
          <w:szCs w:val="21"/>
          <w:highlight w:val="none"/>
        </w:rPr>
        <w:t>代理收费按差额定率累进法计算。</w:t>
      </w:r>
    </w:p>
    <w:p w14:paraId="54C057F8">
      <w:pPr>
        <w:spacing w:line="360" w:lineRule="auto"/>
        <w:ind w:firstLine="420" w:firstLineChars="2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例如：某</w:t>
      </w:r>
      <w:r>
        <w:rPr>
          <w:rFonts w:hint="eastAsia" w:cs="宋体" w:asciiTheme="majorEastAsia" w:hAnsiTheme="majorEastAsia" w:eastAsiaTheme="majorEastAsia"/>
          <w:color w:val="auto"/>
          <w:szCs w:val="21"/>
          <w:highlight w:val="none"/>
        </w:rPr>
        <w:t>货物采购</w:t>
      </w:r>
      <w:r>
        <w:rPr>
          <w:rFonts w:cs="宋体" w:asciiTheme="majorEastAsia" w:hAnsiTheme="majorEastAsia" w:eastAsiaTheme="majorEastAsia"/>
          <w:color w:val="auto"/>
          <w:szCs w:val="21"/>
          <w:highlight w:val="none"/>
        </w:rPr>
        <w:t>代理业务</w:t>
      </w:r>
      <w:r>
        <w:rPr>
          <w:rFonts w:hint="eastAsia" w:cs="宋体" w:asciiTheme="majorEastAsia" w:hAnsiTheme="majorEastAsia" w:eastAsiaTheme="majorEastAsia"/>
          <w:color w:val="auto"/>
          <w:szCs w:val="21"/>
          <w:highlight w:val="none"/>
        </w:rPr>
        <w:t>中标</w:t>
      </w:r>
      <w:r>
        <w:rPr>
          <w:rFonts w:cs="宋体" w:asciiTheme="majorEastAsia" w:hAnsiTheme="majorEastAsia" w:eastAsiaTheme="majorEastAsia"/>
          <w:color w:val="auto"/>
          <w:szCs w:val="21"/>
          <w:highlight w:val="none"/>
        </w:rPr>
        <w:t>金额</w:t>
      </w:r>
      <w:r>
        <w:rPr>
          <w:rFonts w:hint="eastAsia" w:cs="宋体" w:asciiTheme="majorEastAsia" w:hAnsiTheme="majorEastAsia" w:eastAsiaTheme="majorEastAsia"/>
          <w:color w:val="auto"/>
          <w:szCs w:val="21"/>
          <w:highlight w:val="none"/>
        </w:rPr>
        <w:t>或者暂定价</w:t>
      </w:r>
      <w:r>
        <w:rPr>
          <w:rFonts w:cs="宋体" w:asciiTheme="majorEastAsia" w:hAnsiTheme="majorEastAsia" w:eastAsiaTheme="majorEastAsia"/>
          <w:color w:val="auto"/>
          <w:szCs w:val="21"/>
          <w:highlight w:val="none"/>
        </w:rPr>
        <w:t>为200万元，计算</w:t>
      </w:r>
      <w:r>
        <w:rPr>
          <w:rFonts w:hint="eastAsia" w:cs="宋体" w:asciiTheme="majorEastAsia" w:hAnsiTheme="majorEastAsia" w:eastAsiaTheme="majorEastAsia"/>
          <w:color w:val="auto"/>
          <w:szCs w:val="21"/>
          <w:highlight w:val="none"/>
        </w:rPr>
        <w:t>采购</w:t>
      </w:r>
      <w:r>
        <w:rPr>
          <w:rFonts w:cs="宋体" w:asciiTheme="majorEastAsia" w:hAnsiTheme="majorEastAsia" w:eastAsiaTheme="majorEastAsia"/>
          <w:color w:val="auto"/>
          <w:szCs w:val="21"/>
          <w:highlight w:val="none"/>
        </w:rPr>
        <w:t>代理收费额如下：</w:t>
      </w:r>
    </w:p>
    <w:p w14:paraId="3C25BFFA">
      <w:pPr>
        <w:spacing w:line="360" w:lineRule="auto"/>
        <w:ind w:firstLine="630" w:firstLineChars="3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100万元×l.5 ％＝1.5万元</w:t>
      </w:r>
    </w:p>
    <w:p w14:paraId="268EC24B">
      <w:pPr>
        <w:spacing w:line="360" w:lineRule="auto"/>
        <w:ind w:firstLine="420" w:firstLineChars="2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（200</w:t>
      </w:r>
      <w:r>
        <w:rPr>
          <w:rFonts w:hint="eastAsia" w:cs="宋体" w:asciiTheme="majorEastAsia" w:hAnsiTheme="majorEastAsia" w:eastAsiaTheme="majorEastAsia"/>
          <w:color w:val="auto"/>
          <w:szCs w:val="21"/>
          <w:highlight w:val="none"/>
        </w:rPr>
        <w:t>-</w:t>
      </w:r>
      <w:r>
        <w:rPr>
          <w:rFonts w:cs="宋体" w:asciiTheme="majorEastAsia" w:hAnsiTheme="majorEastAsia" w:eastAsiaTheme="majorEastAsia"/>
          <w:color w:val="auto"/>
          <w:szCs w:val="21"/>
          <w:highlight w:val="none"/>
        </w:rPr>
        <w:t>100）万元×1.1％＝1.1万元</w:t>
      </w:r>
    </w:p>
    <w:p w14:paraId="1D7B0568">
      <w:pPr>
        <w:spacing w:line="360" w:lineRule="auto"/>
        <w:ind w:firstLine="420" w:firstLineChars="200"/>
        <w:rPr>
          <w:rFonts w:hint="eastAsia" w:cs="宋体" w:asciiTheme="majorEastAsia" w:hAnsiTheme="majorEastAsia" w:eastAsiaTheme="majorEastAsia"/>
          <w:color w:val="auto"/>
          <w:szCs w:val="21"/>
          <w:highlight w:val="none"/>
        </w:rPr>
      </w:pPr>
      <w:r>
        <w:rPr>
          <w:rFonts w:cs="宋体" w:asciiTheme="majorEastAsia" w:hAnsiTheme="majorEastAsia" w:eastAsiaTheme="majorEastAsia"/>
          <w:color w:val="auto"/>
          <w:szCs w:val="21"/>
          <w:highlight w:val="none"/>
        </w:rPr>
        <w:t>合计收费＝1.5</w:t>
      </w:r>
      <w:r>
        <w:rPr>
          <w:rFonts w:hint="eastAsia" w:cs="宋体" w:asciiTheme="majorEastAsia" w:hAnsiTheme="majorEastAsia" w:eastAsiaTheme="majorEastAsia"/>
          <w:color w:val="auto"/>
          <w:szCs w:val="21"/>
          <w:highlight w:val="none"/>
        </w:rPr>
        <w:t>+</w:t>
      </w:r>
      <w:r>
        <w:rPr>
          <w:rFonts w:cs="宋体" w:asciiTheme="majorEastAsia" w:hAnsiTheme="majorEastAsia" w:eastAsiaTheme="majorEastAsia"/>
          <w:color w:val="auto"/>
          <w:szCs w:val="21"/>
          <w:highlight w:val="none"/>
        </w:rPr>
        <w:t>1.1＝ 2.6（万元）</w:t>
      </w:r>
    </w:p>
    <w:p w14:paraId="428BEA88">
      <w:pPr>
        <w:pStyle w:val="7"/>
        <w:keepNext w:val="0"/>
        <w:keepLines w:val="0"/>
        <w:spacing w:before="0" w:after="0" w:line="360" w:lineRule="auto"/>
        <w:ind w:left="420" w:left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40. 需要补充的其他内容</w:t>
      </w:r>
    </w:p>
    <w:p w14:paraId="48DD80E2">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40.1本招标文件解释规则详见“投标人须知前附表”。</w:t>
      </w:r>
    </w:p>
    <w:p w14:paraId="3216F428">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40.2 其他事项详见“投标人须知前附表”。</w:t>
      </w:r>
    </w:p>
    <w:p w14:paraId="67CDEB8F">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40.3</w:t>
      </w:r>
      <w:bookmarkStart w:id="143" w:name="_Hlk65857140"/>
      <w:r>
        <w:rPr>
          <w:rFonts w:hint="eastAsia" w:cs="宋体" w:asciiTheme="majorEastAsia" w:hAnsiTheme="majorEastAsia" w:eastAsiaTheme="majorEastAsia"/>
          <w:color w:val="auto"/>
          <w:szCs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7850417">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（1）在货物采购项目中，货物由中小企业制造，即货物由中小企业生产且使用该中小企业商号或者注册商标，不对其中涉及的工程承建商和服务的承接商作出要求；</w:t>
      </w:r>
    </w:p>
    <w:p w14:paraId="36E1D801">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（2）在工程采购项目中，工程由中小企业承建，即工程施工单位为中小企业，不对其中涉及的货物的制造商和服务的承接商作出要求；</w:t>
      </w:r>
    </w:p>
    <w:p w14:paraId="00A8AC72">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3C2A9D7">
      <w:pPr>
        <w:spacing w:line="360"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C26EFB4">
      <w:pPr>
        <w:spacing w:line="360" w:lineRule="auto"/>
        <w:ind w:firstLine="420" w:firstLineChars="200"/>
        <w:rPr>
          <w:rFonts w:hint="eastAsia" w:cs="宋体" w:asciiTheme="majorEastAsia" w:hAnsiTheme="majorEastAsia" w:eastAsiaTheme="majorEastAsia"/>
          <w:color w:val="auto"/>
          <w:szCs w:val="21"/>
          <w:highlight w:val="none"/>
        </w:rPr>
        <w:sectPr>
          <w:pgSz w:w="11906" w:h="16838"/>
          <w:pgMar w:top="1134" w:right="1332" w:bottom="1134" w:left="1332" w:header="851" w:footer="992" w:gutter="0"/>
          <w:cols w:space="0" w:num="1"/>
          <w:titlePg/>
          <w:docGrid w:linePitch="312" w:charSpace="0"/>
        </w:sectPr>
      </w:pPr>
      <w:r>
        <w:rPr>
          <w:rFonts w:hint="eastAsia" w:cs="宋体" w:asciiTheme="majorEastAsia" w:hAnsiTheme="majorEastAsia" w:eastAsiaTheme="majorEastAsia"/>
          <w:color w:val="auto"/>
          <w:szCs w:val="21"/>
          <w:highlight w:val="none"/>
        </w:rPr>
        <w:t>依据本招标文件规定享受扶持政策获得政府采购合同的，小微企业不得将合同分包给大中型企业，中型企业不得将合同分包给大型企业。</w:t>
      </w:r>
      <w:bookmarkEnd w:id="143"/>
    </w:p>
    <w:p w14:paraId="6C59EAA5">
      <w:pPr>
        <w:snapToGrid w:val="0"/>
        <w:spacing w:line="440" w:lineRule="exact"/>
        <w:ind w:firstLine="602" w:firstLineChars="200"/>
        <w:rPr>
          <w:rFonts w:hint="eastAsia" w:cs="宋体"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rPr>
        <w:t>附件3：</w:t>
      </w:r>
    </w:p>
    <w:p w14:paraId="11AD63FB">
      <w:pPr>
        <w:widowControl/>
        <w:spacing w:line="480" w:lineRule="atLeast"/>
        <w:jc w:val="center"/>
        <w:rPr>
          <w:rFonts w:hint="eastAsia" w:cs="宋体" w:asciiTheme="majorEastAsia" w:hAnsiTheme="majorEastAsia" w:eastAsiaTheme="majorEastAsia"/>
          <w:b/>
          <w:bCs/>
          <w:color w:val="auto"/>
          <w:kern w:val="0"/>
          <w:sz w:val="28"/>
          <w:szCs w:val="28"/>
          <w:highlight w:val="none"/>
        </w:rPr>
      </w:pPr>
      <w:r>
        <w:rPr>
          <w:rFonts w:hint="eastAsia" w:cs="宋体" w:asciiTheme="majorEastAsia" w:hAnsiTheme="majorEastAsia" w:eastAsiaTheme="majorEastAsia"/>
          <w:b/>
          <w:bCs/>
          <w:color w:val="auto"/>
          <w:kern w:val="0"/>
          <w:sz w:val="28"/>
          <w:szCs w:val="28"/>
          <w:highlight w:val="none"/>
        </w:rPr>
        <w:t>采购项目合同验收书（格式）</w:t>
      </w:r>
    </w:p>
    <w:p w14:paraId="36B9A7F4">
      <w:pPr>
        <w:widowControl/>
        <w:snapToGrid w:val="0"/>
        <w:spacing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根据采购项目（</w:t>
      </w:r>
      <w:r>
        <w:rPr>
          <w:rFonts w:hint="eastAsia" w:cs="宋体" w:asciiTheme="majorEastAsia" w:hAnsiTheme="majorEastAsia" w:eastAsiaTheme="majorEastAsia"/>
          <w:color w:val="auto"/>
          <w:kern w:val="0"/>
          <w:szCs w:val="21"/>
          <w:highlight w:val="none"/>
          <w:u w:val="single"/>
        </w:rPr>
        <w:t>采购合同编号：</w:t>
      </w:r>
      <w:r>
        <w:rPr>
          <w:rFonts w:hint="eastAsia" w:cs="宋体" w:asciiTheme="majorEastAsia" w:hAnsiTheme="majorEastAsia" w:eastAsiaTheme="majorEastAsia"/>
          <w:color w:val="auto"/>
          <w:kern w:val="0"/>
          <w:szCs w:val="21"/>
          <w:highlight w:val="none"/>
          <w:u w:val="single"/>
        </w:rPr>
        <w:softHyphen/>
      </w:r>
      <w:r>
        <w:rPr>
          <w:rFonts w:hint="eastAsia" w:cs="宋体" w:asciiTheme="majorEastAsia" w:hAnsiTheme="majorEastAsia" w:eastAsiaTheme="majorEastAsia"/>
          <w:color w:val="auto"/>
          <w:kern w:val="0"/>
          <w:szCs w:val="21"/>
          <w:highlight w:val="none"/>
          <w:u w:val="single"/>
        </w:rPr>
        <w:t>   </w:t>
      </w:r>
      <w:r>
        <w:rPr>
          <w:rFonts w:hint="eastAsia" w:cs="宋体" w:asciiTheme="majorEastAsia" w:hAnsiTheme="majorEastAsia" w:eastAsiaTheme="majorEastAsia"/>
          <w:color w:val="auto"/>
          <w:kern w:val="0"/>
          <w:szCs w:val="21"/>
          <w:highlight w:val="none"/>
        </w:rPr>
        <w:t>）的约定，我单位对（</w:t>
      </w:r>
      <w:r>
        <w:rPr>
          <w:rFonts w:hint="eastAsia" w:cs="宋体" w:asciiTheme="majorEastAsia" w:hAnsiTheme="majorEastAsia" w:eastAsiaTheme="majorEastAsia"/>
          <w:color w:val="auto"/>
          <w:kern w:val="0"/>
          <w:szCs w:val="21"/>
          <w:highlight w:val="none"/>
          <w:u w:val="single"/>
        </w:rPr>
        <w:t xml:space="preserve"> 项目名称   </w:t>
      </w:r>
      <w:r>
        <w:rPr>
          <w:rFonts w:hint="eastAsia" w:cs="宋体" w:asciiTheme="majorEastAsia" w:hAnsiTheme="majorEastAsia" w:eastAsiaTheme="majorEastAsia"/>
          <w:color w:val="auto"/>
          <w:kern w:val="0"/>
          <w:szCs w:val="21"/>
          <w:highlight w:val="none"/>
        </w:rPr>
        <w:t>）采购项目中标（或成交）供应商（</w:t>
      </w:r>
      <w:r>
        <w:rPr>
          <w:rFonts w:hint="eastAsia" w:cs="宋体" w:asciiTheme="majorEastAsia" w:hAnsiTheme="majorEastAsia" w:eastAsiaTheme="majorEastAsia"/>
          <w:color w:val="auto"/>
          <w:kern w:val="0"/>
          <w:szCs w:val="21"/>
          <w:highlight w:val="none"/>
          <w:u w:val="single"/>
        </w:rPr>
        <w:t xml:space="preserve">            公司名称              </w:t>
      </w:r>
      <w:r>
        <w:rPr>
          <w:rFonts w:hint="eastAsia" w:cs="宋体" w:asciiTheme="majorEastAsia" w:hAnsiTheme="majorEastAsia" w:eastAsiaTheme="majorEastAsia"/>
          <w:color w:val="auto"/>
          <w:kern w:val="0"/>
          <w:szCs w:val="21"/>
          <w:highlight w:val="none"/>
        </w:rPr>
        <w:t>）提供的货物（或工程、服务）进行了验收，验收情况如下：</w:t>
      </w:r>
    </w:p>
    <w:tbl>
      <w:tblPr>
        <w:tblStyle w:val="50"/>
        <w:tblW w:w="0" w:type="auto"/>
        <w:jc w:val="center"/>
        <w:tblLayout w:type="fixed"/>
        <w:tblCellMar>
          <w:top w:w="0" w:type="dxa"/>
          <w:left w:w="0" w:type="dxa"/>
          <w:bottom w:w="0" w:type="dxa"/>
          <w:right w:w="0" w:type="dxa"/>
        </w:tblCellMar>
      </w:tblPr>
      <w:tblGrid>
        <w:gridCol w:w="1578"/>
        <w:gridCol w:w="1681"/>
        <w:gridCol w:w="664"/>
        <w:gridCol w:w="2017"/>
        <w:gridCol w:w="186"/>
        <w:gridCol w:w="720"/>
        <w:gridCol w:w="1796"/>
      </w:tblGrid>
      <w:tr w14:paraId="6A07471B">
        <w:tblPrEx>
          <w:tblCellMar>
            <w:top w:w="0" w:type="dxa"/>
            <w:left w:w="0" w:type="dxa"/>
            <w:bottom w:w="0" w:type="dxa"/>
            <w:right w:w="0" w:type="dxa"/>
          </w:tblCellMar>
        </w:tblPrEx>
        <w:trPr>
          <w:trHeight w:val="497" w:hRule="atLeast"/>
          <w:jc w:val="center"/>
        </w:trPr>
        <w:tc>
          <w:tcPr>
            <w:tcW w:w="3259" w:type="dxa"/>
            <w:gridSpan w:val="2"/>
            <w:tcBorders>
              <w:top w:val="single" w:color="auto" w:sz="8" w:space="0"/>
              <w:left w:val="single" w:color="auto" w:sz="8" w:space="0"/>
              <w:bottom w:val="single" w:color="auto" w:sz="8" w:space="0"/>
              <w:right w:val="single" w:color="auto" w:sz="8" w:space="0"/>
            </w:tcBorders>
            <w:vAlign w:val="center"/>
          </w:tcPr>
          <w:p w14:paraId="4DC2C4FC">
            <w:pPr>
              <w:widowControl/>
              <w:snapToGrid w:val="0"/>
              <w:spacing w:before="100" w:beforeAutospacing="1" w:after="100" w:afterAutospacing="1" w:line="320" w:lineRule="atLeast"/>
              <w:ind w:firstLine="5"/>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验收方式：</w:t>
            </w:r>
          </w:p>
        </w:tc>
        <w:tc>
          <w:tcPr>
            <w:tcW w:w="5383" w:type="dxa"/>
            <w:gridSpan w:val="5"/>
            <w:tcBorders>
              <w:top w:val="single" w:color="auto" w:sz="8" w:space="0"/>
              <w:left w:val="nil"/>
              <w:bottom w:val="single" w:color="auto" w:sz="8" w:space="0"/>
              <w:right w:val="single" w:color="auto" w:sz="8" w:space="0"/>
            </w:tcBorders>
            <w:vAlign w:val="center"/>
          </w:tcPr>
          <w:p w14:paraId="573FAB97">
            <w:pPr>
              <w:widowControl/>
              <w:snapToGrid w:val="0"/>
              <w:spacing w:before="100" w:beforeAutospacing="1" w:after="100" w:afterAutospacing="1" w:line="320" w:lineRule="atLeast"/>
              <w:ind w:firstLine="480"/>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□自行验收        □委托验收</w:t>
            </w:r>
          </w:p>
        </w:tc>
      </w:tr>
      <w:tr w14:paraId="1C633EE5">
        <w:tblPrEx>
          <w:tblCellMar>
            <w:top w:w="0" w:type="dxa"/>
            <w:left w:w="0" w:type="dxa"/>
            <w:bottom w:w="0" w:type="dxa"/>
            <w:right w:w="0" w:type="dxa"/>
          </w:tblCellMar>
        </w:tblPrEx>
        <w:trPr>
          <w:trHeight w:val="622" w:hRule="atLeast"/>
          <w:jc w:val="center"/>
        </w:trPr>
        <w:tc>
          <w:tcPr>
            <w:tcW w:w="1578" w:type="dxa"/>
            <w:tcBorders>
              <w:top w:val="nil"/>
              <w:left w:val="single" w:color="auto" w:sz="8" w:space="0"/>
              <w:bottom w:val="single" w:color="auto" w:sz="8" w:space="0"/>
              <w:right w:val="single" w:color="auto" w:sz="8" w:space="0"/>
            </w:tcBorders>
            <w:vAlign w:val="center"/>
          </w:tcPr>
          <w:p w14:paraId="765650C8">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序号</w:t>
            </w:r>
          </w:p>
        </w:tc>
        <w:tc>
          <w:tcPr>
            <w:tcW w:w="1681" w:type="dxa"/>
            <w:tcBorders>
              <w:top w:val="nil"/>
              <w:left w:val="nil"/>
              <w:bottom w:val="single" w:color="auto" w:sz="8" w:space="0"/>
              <w:right w:val="single" w:color="auto" w:sz="8" w:space="0"/>
            </w:tcBorders>
            <w:vAlign w:val="center"/>
          </w:tcPr>
          <w:p w14:paraId="22CC5932">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名 称</w:t>
            </w:r>
          </w:p>
        </w:tc>
        <w:tc>
          <w:tcPr>
            <w:tcW w:w="2681" w:type="dxa"/>
            <w:gridSpan w:val="2"/>
            <w:tcBorders>
              <w:top w:val="nil"/>
              <w:left w:val="nil"/>
              <w:bottom w:val="single" w:color="auto" w:sz="8" w:space="0"/>
              <w:right w:val="single" w:color="auto" w:sz="8" w:space="0"/>
            </w:tcBorders>
            <w:vAlign w:val="center"/>
          </w:tcPr>
          <w:p w14:paraId="6E4B521B">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货物型号规格、标准及配置等（或服务内容、标准）</w:t>
            </w:r>
          </w:p>
        </w:tc>
        <w:tc>
          <w:tcPr>
            <w:tcW w:w="906" w:type="dxa"/>
            <w:gridSpan w:val="2"/>
            <w:tcBorders>
              <w:top w:val="nil"/>
              <w:left w:val="nil"/>
              <w:bottom w:val="single" w:color="auto" w:sz="8" w:space="0"/>
              <w:right w:val="single" w:color="auto" w:sz="8" w:space="0"/>
            </w:tcBorders>
            <w:vAlign w:val="center"/>
          </w:tcPr>
          <w:p w14:paraId="19518428">
            <w:pPr>
              <w:widowControl/>
              <w:snapToGrid w:val="0"/>
              <w:spacing w:before="100" w:beforeAutospacing="1" w:after="100" w:afterAutospacing="1" w:line="320" w:lineRule="atLeast"/>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数量</w:t>
            </w:r>
          </w:p>
        </w:tc>
        <w:tc>
          <w:tcPr>
            <w:tcW w:w="1796" w:type="dxa"/>
            <w:tcBorders>
              <w:top w:val="nil"/>
              <w:left w:val="nil"/>
              <w:bottom w:val="single" w:color="auto" w:sz="8" w:space="0"/>
              <w:right w:val="single" w:color="auto" w:sz="8" w:space="0"/>
            </w:tcBorders>
            <w:vAlign w:val="center"/>
          </w:tcPr>
          <w:p w14:paraId="0E88CBE2">
            <w:pPr>
              <w:widowControl/>
              <w:snapToGrid w:val="0"/>
              <w:spacing w:before="100" w:beforeAutospacing="1" w:after="100" w:afterAutospacing="1" w:line="320" w:lineRule="atLeast"/>
              <w:ind w:firstLine="2"/>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金 额</w:t>
            </w:r>
          </w:p>
        </w:tc>
      </w:tr>
      <w:tr w14:paraId="702CC1CD">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22E1C3FD">
            <w:pPr>
              <w:widowControl/>
              <w:snapToGrid w:val="0"/>
              <w:spacing w:before="100" w:beforeAutospacing="1" w:after="100" w:afterAutospacing="1" w:line="320" w:lineRule="atLeast"/>
              <w:ind w:firstLine="5"/>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681" w:type="dxa"/>
            <w:tcBorders>
              <w:top w:val="nil"/>
              <w:left w:val="nil"/>
              <w:bottom w:val="single" w:color="auto" w:sz="8" w:space="0"/>
              <w:right w:val="single" w:color="auto" w:sz="8" w:space="0"/>
            </w:tcBorders>
            <w:vAlign w:val="center"/>
          </w:tcPr>
          <w:p w14:paraId="3103160C">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681" w:type="dxa"/>
            <w:gridSpan w:val="2"/>
            <w:tcBorders>
              <w:top w:val="nil"/>
              <w:left w:val="nil"/>
              <w:bottom w:val="single" w:color="auto" w:sz="8" w:space="0"/>
              <w:right w:val="single" w:color="auto" w:sz="8" w:space="0"/>
            </w:tcBorders>
            <w:vAlign w:val="center"/>
          </w:tcPr>
          <w:p w14:paraId="3B8E5DFB">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906" w:type="dxa"/>
            <w:gridSpan w:val="2"/>
            <w:tcBorders>
              <w:top w:val="nil"/>
              <w:left w:val="nil"/>
              <w:bottom w:val="single" w:color="auto" w:sz="8" w:space="0"/>
              <w:right w:val="single" w:color="auto" w:sz="8" w:space="0"/>
            </w:tcBorders>
            <w:vAlign w:val="center"/>
          </w:tcPr>
          <w:p w14:paraId="1C608297">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2EE7F17F">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56C8974C">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6A68B293">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681" w:type="dxa"/>
            <w:tcBorders>
              <w:top w:val="nil"/>
              <w:left w:val="nil"/>
              <w:bottom w:val="single" w:color="auto" w:sz="8" w:space="0"/>
              <w:right w:val="single" w:color="auto" w:sz="8" w:space="0"/>
            </w:tcBorders>
            <w:vAlign w:val="center"/>
          </w:tcPr>
          <w:p w14:paraId="20143E53">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681" w:type="dxa"/>
            <w:gridSpan w:val="2"/>
            <w:tcBorders>
              <w:top w:val="nil"/>
              <w:left w:val="nil"/>
              <w:bottom w:val="single" w:color="auto" w:sz="8" w:space="0"/>
              <w:right w:val="single" w:color="auto" w:sz="8" w:space="0"/>
            </w:tcBorders>
            <w:vAlign w:val="center"/>
          </w:tcPr>
          <w:p w14:paraId="505F058D">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906" w:type="dxa"/>
            <w:gridSpan w:val="2"/>
            <w:tcBorders>
              <w:top w:val="nil"/>
              <w:left w:val="nil"/>
              <w:bottom w:val="single" w:color="auto" w:sz="8" w:space="0"/>
              <w:right w:val="single" w:color="auto" w:sz="8" w:space="0"/>
            </w:tcBorders>
            <w:vAlign w:val="center"/>
          </w:tcPr>
          <w:p w14:paraId="25630DBA">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65955854">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5B4F01B1">
        <w:tblPrEx>
          <w:tblCellMar>
            <w:top w:w="0" w:type="dxa"/>
            <w:left w:w="0" w:type="dxa"/>
            <w:bottom w:w="0" w:type="dxa"/>
            <w:right w:w="0" w:type="dxa"/>
          </w:tblCellMar>
        </w:tblPrEx>
        <w:trPr>
          <w:trHeight w:val="487" w:hRule="atLeast"/>
          <w:jc w:val="center"/>
        </w:trPr>
        <w:tc>
          <w:tcPr>
            <w:tcW w:w="1578" w:type="dxa"/>
            <w:tcBorders>
              <w:top w:val="nil"/>
              <w:left w:val="single" w:color="auto" w:sz="8" w:space="0"/>
              <w:bottom w:val="single" w:color="auto" w:sz="8" w:space="0"/>
              <w:right w:val="single" w:color="auto" w:sz="8" w:space="0"/>
            </w:tcBorders>
            <w:vAlign w:val="center"/>
          </w:tcPr>
          <w:p w14:paraId="2BB1B6D6">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681" w:type="dxa"/>
            <w:tcBorders>
              <w:top w:val="nil"/>
              <w:left w:val="nil"/>
              <w:bottom w:val="single" w:color="auto" w:sz="8" w:space="0"/>
              <w:right w:val="single" w:color="auto" w:sz="8" w:space="0"/>
            </w:tcBorders>
            <w:vAlign w:val="center"/>
          </w:tcPr>
          <w:p w14:paraId="226FA928">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681" w:type="dxa"/>
            <w:gridSpan w:val="2"/>
            <w:tcBorders>
              <w:top w:val="nil"/>
              <w:left w:val="nil"/>
              <w:bottom w:val="single" w:color="auto" w:sz="8" w:space="0"/>
              <w:right w:val="single" w:color="auto" w:sz="8" w:space="0"/>
            </w:tcBorders>
            <w:vAlign w:val="center"/>
          </w:tcPr>
          <w:p w14:paraId="2CC2088D">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906" w:type="dxa"/>
            <w:gridSpan w:val="2"/>
            <w:tcBorders>
              <w:top w:val="nil"/>
              <w:left w:val="nil"/>
              <w:bottom w:val="single" w:color="auto" w:sz="8" w:space="0"/>
              <w:right w:val="single" w:color="auto" w:sz="8" w:space="0"/>
            </w:tcBorders>
            <w:vAlign w:val="center"/>
          </w:tcPr>
          <w:p w14:paraId="4691F10C">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2EAF8A1A">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75DE8327">
        <w:tblPrEx>
          <w:tblCellMar>
            <w:top w:w="0" w:type="dxa"/>
            <w:left w:w="0" w:type="dxa"/>
            <w:bottom w:w="0" w:type="dxa"/>
            <w:right w:w="0" w:type="dxa"/>
          </w:tblCellMar>
        </w:tblPrEx>
        <w:trPr>
          <w:trHeight w:val="487" w:hRule="atLeast"/>
          <w:jc w:val="center"/>
        </w:trPr>
        <w:tc>
          <w:tcPr>
            <w:tcW w:w="5940" w:type="dxa"/>
            <w:gridSpan w:val="4"/>
            <w:tcBorders>
              <w:top w:val="nil"/>
              <w:left w:val="single" w:color="auto" w:sz="8" w:space="0"/>
              <w:bottom w:val="single" w:color="auto" w:sz="8" w:space="0"/>
              <w:right w:val="single" w:color="auto" w:sz="8" w:space="0"/>
            </w:tcBorders>
            <w:vAlign w:val="center"/>
          </w:tcPr>
          <w:p w14:paraId="5D0E73DA">
            <w:pPr>
              <w:widowControl/>
              <w:snapToGrid w:val="0"/>
              <w:spacing w:before="100" w:beforeAutospacing="1" w:after="100" w:afterAutospacing="1" w:line="320" w:lineRule="atLeast"/>
              <w:ind w:firstLine="5"/>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合       计</w:t>
            </w:r>
          </w:p>
        </w:tc>
        <w:tc>
          <w:tcPr>
            <w:tcW w:w="906" w:type="dxa"/>
            <w:gridSpan w:val="2"/>
            <w:tcBorders>
              <w:top w:val="nil"/>
              <w:left w:val="nil"/>
              <w:bottom w:val="single" w:color="auto" w:sz="8" w:space="0"/>
              <w:right w:val="single" w:color="auto" w:sz="8" w:space="0"/>
            </w:tcBorders>
            <w:vAlign w:val="center"/>
          </w:tcPr>
          <w:p w14:paraId="1114C543">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1796" w:type="dxa"/>
            <w:tcBorders>
              <w:top w:val="nil"/>
              <w:left w:val="nil"/>
              <w:bottom w:val="single" w:color="auto" w:sz="8" w:space="0"/>
              <w:right w:val="single" w:color="auto" w:sz="8" w:space="0"/>
            </w:tcBorders>
            <w:vAlign w:val="center"/>
          </w:tcPr>
          <w:p w14:paraId="286A4DCB">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2F682F2F">
        <w:tblPrEx>
          <w:tblCellMar>
            <w:top w:w="0" w:type="dxa"/>
            <w:left w:w="0" w:type="dxa"/>
            <w:bottom w:w="0" w:type="dxa"/>
            <w:right w:w="0" w:type="dxa"/>
          </w:tblCellMar>
        </w:tblPrEx>
        <w:trPr>
          <w:trHeight w:val="641" w:hRule="atLeast"/>
          <w:jc w:val="center"/>
        </w:trPr>
        <w:tc>
          <w:tcPr>
            <w:tcW w:w="8642" w:type="dxa"/>
            <w:gridSpan w:val="7"/>
            <w:tcBorders>
              <w:top w:val="nil"/>
              <w:left w:val="single" w:color="auto" w:sz="8" w:space="0"/>
              <w:bottom w:val="single" w:color="auto" w:sz="8" w:space="0"/>
              <w:right w:val="single" w:color="auto" w:sz="8" w:space="0"/>
            </w:tcBorders>
            <w:vAlign w:val="center"/>
          </w:tcPr>
          <w:p w14:paraId="580D7F7F">
            <w:pPr>
              <w:widowControl/>
              <w:snapToGrid w:val="0"/>
              <w:spacing w:before="100" w:beforeAutospacing="1" w:after="100" w:afterAutospacing="1" w:line="320" w:lineRule="atLeast"/>
              <w:ind w:firstLine="2"/>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合计大写金额：  仟   佰   拾   万   仟   佰   拾   元</w:t>
            </w:r>
          </w:p>
        </w:tc>
      </w:tr>
      <w:tr w14:paraId="09CB0565">
        <w:tblPrEx>
          <w:tblCellMar>
            <w:top w:w="0" w:type="dxa"/>
            <w:left w:w="0" w:type="dxa"/>
            <w:bottom w:w="0" w:type="dxa"/>
            <w:right w:w="0" w:type="dxa"/>
          </w:tblCellMar>
        </w:tblPrEx>
        <w:trPr>
          <w:trHeight w:val="641" w:hRule="atLeast"/>
          <w:jc w:val="center"/>
        </w:trPr>
        <w:tc>
          <w:tcPr>
            <w:tcW w:w="1578" w:type="dxa"/>
            <w:tcBorders>
              <w:top w:val="nil"/>
              <w:left w:val="single" w:color="auto" w:sz="8" w:space="0"/>
              <w:bottom w:val="single" w:color="auto" w:sz="8" w:space="0"/>
              <w:right w:val="single" w:color="auto" w:sz="8" w:space="0"/>
            </w:tcBorders>
            <w:vAlign w:val="center"/>
          </w:tcPr>
          <w:p w14:paraId="4DD7FE98">
            <w:pPr>
              <w:widowControl/>
              <w:snapToGrid w:val="0"/>
              <w:spacing w:before="100" w:beforeAutospacing="1" w:after="100" w:afterAutospacing="1" w:line="320" w:lineRule="atLeast"/>
              <w:ind w:firstLine="2"/>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实际供货日期</w:t>
            </w:r>
          </w:p>
        </w:tc>
        <w:tc>
          <w:tcPr>
            <w:tcW w:w="2345" w:type="dxa"/>
            <w:gridSpan w:val="2"/>
            <w:tcBorders>
              <w:top w:val="nil"/>
              <w:left w:val="nil"/>
              <w:bottom w:val="single" w:color="auto" w:sz="8" w:space="0"/>
              <w:right w:val="single" w:color="auto" w:sz="8" w:space="0"/>
            </w:tcBorders>
            <w:vAlign w:val="center"/>
          </w:tcPr>
          <w:p w14:paraId="5A40A938">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203" w:type="dxa"/>
            <w:gridSpan w:val="2"/>
            <w:tcBorders>
              <w:top w:val="nil"/>
              <w:left w:val="nil"/>
              <w:bottom w:val="single" w:color="auto" w:sz="8" w:space="0"/>
              <w:right w:val="single" w:color="auto" w:sz="8" w:space="0"/>
            </w:tcBorders>
            <w:vAlign w:val="center"/>
          </w:tcPr>
          <w:p w14:paraId="3F68E21F">
            <w:pPr>
              <w:widowControl/>
              <w:snapToGrid w:val="0"/>
              <w:spacing w:before="100" w:beforeAutospacing="1" w:after="100" w:afterAutospacing="1" w:line="320" w:lineRule="atLeast"/>
              <w:ind w:firstLine="46"/>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合同交货验收日期</w:t>
            </w:r>
          </w:p>
        </w:tc>
        <w:tc>
          <w:tcPr>
            <w:tcW w:w="2516" w:type="dxa"/>
            <w:gridSpan w:val="2"/>
            <w:tcBorders>
              <w:top w:val="nil"/>
              <w:left w:val="nil"/>
              <w:bottom w:val="single" w:color="auto" w:sz="8" w:space="0"/>
              <w:right w:val="single" w:color="auto" w:sz="8" w:space="0"/>
            </w:tcBorders>
            <w:vAlign w:val="center"/>
          </w:tcPr>
          <w:p w14:paraId="7EF94EFB">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335C1CFB">
        <w:tblPrEx>
          <w:tblCellMar>
            <w:top w:w="0" w:type="dxa"/>
            <w:left w:w="0" w:type="dxa"/>
            <w:bottom w:w="0" w:type="dxa"/>
            <w:right w:w="0" w:type="dxa"/>
          </w:tblCellMar>
        </w:tblPrEx>
        <w:trPr>
          <w:trHeight w:val="394" w:hRule="atLeast"/>
          <w:jc w:val="center"/>
        </w:trPr>
        <w:tc>
          <w:tcPr>
            <w:tcW w:w="1578" w:type="dxa"/>
            <w:tcBorders>
              <w:top w:val="nil"/>
              <w:left w:val="single" w:color="auto" w:sz="8" w:space="0"/>
              <w:bottom w:val="single" w:color="auto" w:sz="8" w:space="0"/>
              <w:right w:val="single" w:color="auto" w:sz="8" w:space="0"/>
            </w:tcBorders>
            <w:vAlign w:val="center"/>
          </w:tcPr>
          <w:p w14:paraId="58C8CB27">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345" w:type="dxa"/>
            <w:gridSpan w:val="2"/>
            <w:tcBorders>
              <w:top w:val="nil"/>
              <w:left w:val="nil"/>
              <w:bottom w:val="single" w:color="auto" w:sz="8" w:space="0"/>
              <w:right w:val="single" w:color="auto" w:sz="8" w:space="0"/>
            </w:tcBorders>
            <w:vAlign w:val="center"/>
          </w:tcPr>
          <w:p w14:paraId="1E8B539E">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203" w:type="dxa"/>
            <w:gridSpan w:val="2"/>
            <w:tcBorders>
              <w:top w:val="nil"/>
              <w:left w:val="nil"/>
              <w:bottom w:val="single" w:color="auto" w:sz="8" w:space="0"/>
              <w:right w:val="single" w:color="auto" w:sz="8" w:space="0"/>
            </w:tcBorders>
            <w:vAlign w:val="center"/>
          </w:tcPr>
          <w:p w14:paraId="40FD049F">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c>
          <w:tcPr>
            <w:tcW w:w="2516" w:type="dxa"/>
            <w:gridSpan w:val="2"/>
            <w:tcBorders>
              <w:top w:val="nil"/>
              <w:left w:val="nil"/>
              <w:bottom w:val="single" w:color="auto" w:sz="8" w:space="0"/>
              <w:right w:val="single" w:color="auto" w:sz="8" w:space="0"/>
            </w:tcBorders>
            <w:vAlign w:val="center"/>
          </w:tcPr>
          <w:p w14:paraId="535C7F71">
            <w:pPr>
              <w:widowControl/>
              <w:snapToGrid w:val="0"/>
              <w:spacing w:before="100" w:beforeAutospacing="1" w:after="100" w:afterAutospacing="1" w:line="320" w:lineRule="atLeast"/>
              <w:ind w:firstLine="48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073D95D2">
        <w:tblPrEx>
          <w:tblCellMar>
            <w:top w:w="0" w:type="dxa"/>
            <w:left w:w="0" w:type="dxa"/>
            <w:bottom w:w="0" w:type="dxa"/>
            <w:right w:w="0" w:type="dxa"/>
          </w:tblCellMar>
        </w:tblPrEx>
        <w:trPr>
          <w:trHeight w:val="693" w:hRule="atLeast"/>
          <w:jc w:val="center"/>
        </w:trPr>
        <w:tc>
          <w:tcPr>
            <w:tcW w:w="157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147F4B">
            <w:pPr>
              <w:widowControl/>
              <w:snapToGrid w:val="0"/>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验收具体内容</w:t>
            </w:r>
          </w:p>
        </w:tc>
        <w:tc>
          <w:tcPr>
            <w:tcW w:w="7064"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14:paraId="4727C932">
            <w:pPr>
              <w:widowControl/>
              <w:snapToGrid w:val="0"/>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应按采购合同、采购文件、投标文件及验收方案等进行验收；并核对中标或者成交供应商在安装调试等方面是否违反合同约定或服务规范要求、提供的质量保证证明材料是否齐全、应有的配件及附件是否达到合同约定等。可附件)</w:t>
            </w:r>
          </w:p>
        </w:tc>
      </w:tr>
      <w:tr w14:paraId="310F9B28">
        <w:tblPrEx>
          <w:tblCellMar>
            <w:top w:w="0" w:type="dxa"/>
            <w:left w:w="0" w:type="dxa"/>
            <w:bottom w:w="0" w:type="dxa"/>
            <w:right w:w="0" w:type="dxa"/>
          </w:tblCellMar>
        </w:tblPrEx>
        <w:trPr>
          <w:trHeight w:val="1281" w:hRule="atLeast"/>
          <w:jc w:val="center"/>
        </w:trPr>
        <w:tc>
          <w:tcPr>
            <w:tcW w:w="1578"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3E7117">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验收小组意见</w:t>
            </w:r>
          </w:p>
        </w:tc>
        <w:tc>
          <w:tcPr>
            <w:tcW w:w="7064" w:type="dxa"/>
            <w:gridSpan w:val="6"/>
            <w:tcBorders>
              <w:top w:val="nil"/>
              <w:left w:val="nil"/>
              <w:bottom w:val="single" w:color="auto" w:sz="8" w:space="0"/>
              <w:right w:val="single" w:color="auto" w:sz="8" w:space="0"/>
            </w:tcBorders>
            <w:vAlign w:val="center"/>
          </w:tcPr>
          <w:p w14:paraId="2675A761">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验收结论性意见：</w:t>
            </w:r>
          </w:p>
          <w:p w14:paraId="4C7FD77F">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p>
        </w:tc>
      </w:tr>
      <w:tr w14:paraId="55307EEE">
        <w:tblPrEx>
          <w:tblCellMar>
            <w:top w:w="0" w:type="dxa"/>
            <w:left w:w="0" w:type="dxa"/>
            <w:bottom w:w="0" w:type="dxa"/>
            <w:right w:w="0" w:type="dxa"/>
          </w:tblCellMar>
        </w:tblPrEx>
        <w:trPr>
          <w:trHeight w:val="607" w:hRule="atLeast"/>
          <w:jc w:val="center"/>
        </w:trPr>
        <w:tc>
          <w:tcPr>
            <w:tcW w:w="1578" w:type="dxa"/>
            <w:vMerge w:val="continue"/>
            <w:tcBorders>
              <w:top w:val="nil"/>
              <w:left w:val="single" w:color="auto" w:sz="8" w:space="0"/>
              <w:bottom w:val="single" w:color="auto" w:sz="8" w:space="0"/>
              <w:right w:val="single" w:color="auto" w:sz="8" w:space="0"/>
            </w:tcBorders>
            <w:vAlign w:val="center"/>
          </w:tcPr>
          <w:p w14:paraId="2E945213">
            <w:pPr>
              <w:widowControl/>
              <w:jc w:val="left"/>
              <w:rPr>
                <w:rFonts w:hint="eastAsia" w:cs="宋体" w:asciiTheme="majorEastAsia" w:hAnsiTheme="majorEastAsia" w:eastAsiaTheme="majorEastAsia"/>
                <w:color w:val="auto"/>
                <w:kern w:val="0"/>
                <w:szCs w:val="21"/>
                <w:highlight w:val="none"/>
              </w:rPr>
            </w:pPr>
          </w:p>
        </w:tc>
        <w:tc>
          <w:tcPr>
            <w:tcW w:w="7064" w:type="dxa"/>
            <w:gridSpan w:val="6"/>
            <w:tcBorders>
              <w:top w:val="nil"/>
              <w:left w:val="nil"/>
              <w:bottom w:val="single" w:color="auto" w:sz="8" w:space="0"/>
              <w:right w:val="single" w:color="auto" w:sz="8" w:space="0"/>
            </w:tcBorders>
            <w:vAlign w:val="center"/>
          </w:tcPr>
          <w:p w14:paraId="2EFFC853">
            <w:pPr>
              <w:widowControl/>
              <w:spacing w:before="100" w:beforeAutospacing="1" w:after="100" w:afterAutospacing="1" w:line="320" w:lineRule="atLeast"/>
              <w:ind w:firstLine="96"/>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有异议的意见和说明理由：</w:t>
            </w:r>
          </w:p>
          <w:p w14:paraId="0AA68391">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签字：</w:t>
            </w:r>
          </w:p>
        </w:tc>
      </w:tr>
      <w:tr w14:paraId="5421211F">
        <w:tblPrEx>
          <w:tblCellMar>
            <w:top w:w="0" w:type="dxa"/>
            <w:left w:w="0" w:type="dxa"/>
            <w:bottom w:w="0" w:type="dxa"/>
            <w:right w:w="0" w:type="dxa"/>
          </w:tblCellMar>
        </w:tblPrEx>
        <w:trPr>
          <w:trHeight w:val="507" w:hRule="atLeast"/>
          <w:jc w:val="center"/>
        </w:trPr>
        <w:tc>
          <w:tcPr>
            <w:tcW w:w="8642"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1BD6F1">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验收小组成员签字：</w:t>
            </w:r>
          </w:p>
        </w:tc>
      </w:tr>
      <w:tr w14:paraId="472DACE8">
        <w:tblPrEx>
          <w:tblCellMar>
            <w:top w:w="0" w:type="dxa"/>
            <w:left w:w="0" w:type="dxa"/>
            <w:bottom w:w="0" w:type="dxa"/>
            <w:right w:w="0" w:type="dxa"/>
          </w:tblCellMar>
        </w:tblPrEx>
        <w:trPr>
          <w:trHeight w:val="736" w:hRule="atLeast"/>
          <w:jc w:val="center"/>
        </w:trPr>
        <w:tc>
          <w:tcPr>
            <w:tcW w:w="8642"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42DB64">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监督人员或其他相关人员签字：</w:t>
            </w:r>
          </w:p>
          <w:p w14:paraId="76154F53">
            <w:pPr>
              <w:widowControl/>
              <w:spacing w:before="100" w:beforeAutospacing="1" w:after="100" w:afterAutospacing="1" w:line="320" w:lineRule="atLeast"/>
              <w:ind w:firstLine="74"/>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或受邀机构的意见（盖章）：</w:t>
            </w:r>
          </w:p>
        </w:tc>
      </w:tr>
      <w:tr w14:paraId="4D083DA1">
        <w:tblPrEx>
          <w:tblCellMar>
            <w:top w:w="0" w:type="dxa"/>
            <w:left w:w="0" w:type="dxa"/>
            <w:bottom w:w="0" w:type="dxa"/>
            <w:right w:w="0" w:type="dxa"/>
          </w:tblCellMar>
        </w:tblPrEx>
        <w:trPr>
          <w:trHeight w:val="758" w:hRule="atLeast"/>
          <w:jc w:val="center"/>
        </w:trPr>
        <w:tc>
          <w:tcPr>
            <w:tcW w:w="3923" w:type="dxa"/>
            <w:gridSpan w:val="3"/>
            <w:tcBorders>
              <w:top w:val="nil"/>
              <w:left w:val="single" w:color="auto" w:sz="8" w:space="0"/>
              <w:bottom w:val="single" w:color="auto" w:sz="8" w:space="0"/>
              <w:right w:val="nil"/>
            </w:tcBorders>
            <w:tcMar>
              <w:top w:w="0" w:type="dxa"/>
              <w:left w:w="108" w:type="dxa"/>
              <w:bottom w:w="0" w:type="dxa"/>
              <w:right w:w="108" w:type="dxa"/>
            </w:tcMar>
            <w:vAlign w:val="center"/>
          </w:tcPr>
          <w:p w14:paraId="2BFB503C">
            <w:pPr>
              <w:widowControl/>
              <w:spacing w:before="100" w:beforeAutospacing="1" w:after="100" w:afterAutospacing="1" w:line="320" w:lineRule="atLeast"/>
              <w:ind w:right="-222" w:rightChars="-106" w:firstLine="74"/>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中标或者成交供应商负责人签字或盖章：</w:t>
            </w:r>
          </w:p>
          <w:p w14:paraId="779471F6">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联系电话：        年 月 日</w:t>
            </w:r>
          </w:p>
        </w:tc>
        <w:tc>
          <w:tcPr>
            <w:tcW w:w="4719" w:type="dxa"/>
            <w:gridSpan w:val="4"/>
            <w:tcBorders>
              <w:top w:val="nil"/>
              <w:left w:val="nil"/>
              <w:bottom w:val="single" w:color="auto" w:sz="8" w:space="0"/>
              <w:right w:val="single" w:color="auto" w:sz="8" w:space="0"/>
            </w:tcBorders>
            <w:vAlign w:val="center"/>
          </w:tcPr>
          <w:p w14:paraId="57D8B91D">
            <w:pPr>
              <w:widowControl/>
              <w:spacing w:before="100" w:beforeAutospacing="1" w:after="100" w:afterAutospacing="1" w:line="320" w:lineRule="atLeast"/>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采购人或受托机构的意见（盖章）：</w:t>
            </w:r>
          </w:p>
          <w:p w14:paraId="21796BBB">
            <w:pPr>
              <w:widowControl/>
              <w:spacing w:before="100" w:beforeAutospacing="1" w:after="100" w:afterAutospacing="1" w:line="320" w:lineRule="atLeast"/>
              <w:ind w:left="399" w:leftChars="190"/>
              <w:jc w:val="lef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联系电话：        年  月  日</w:t>
            </w:r>
          </w:p>
        </w:tc>
      </w:tr>
    </w:tbl>
    <w:p w14:paraId="4A7346B0">
      <w:pPr>
        <w:snapToGrid w:val="0"/>
        <w:rPr>
          <w:rFonts w:hint="eastAsia" w:cs="宋体" w:asciiTheme="majorEastAsia" w:hAnsiTheme="majorEastAsia" w:eastAsiaTheme="majorEastAsia"/>
          <w:b/>
          <w:color w:val="auto"/>
          <w:szCs w:val="20"/>
          <w:highlight w:val="none"/>
        </w:rPr>
        <w:sectPr>
          <w:pgSz w:w="11906" w:h="16838"/>
          <w:pgMar w:top="1134" w:right="1332" w:bottom="1134" w:left="1332" w:header="851" w:footer="992" w:gutter="0"/>
          <w:cols w:space="0" w:num="1"/>
          <w:titlePg/>
          <w:docGrid w:linePitch="312" w:charSpace="0"/>
        </w:sectPr>
      </w:pPr>
    </w:p>
    <w:p w14:paraId="349EDD92">
      <w:pPr>
        <w:snapToGrid w:val="0"/>
        <w:rPr>
          <w:rFonts w:hint="eastAsia" w:cs="宋体" w:asciiTheme="majorEastAsia" w:hAnsiTheme="majorEastAsia" w:eastAsiaTheme="majorEastAsia"/>
          <w:color w:val="auto"/>
          <w:sz w:val="30"/>
          <w:szCs w:val="30"/>
          <w:highlight w:val="none"/>
        </w:rPr>
      </w:pPr>
      <w:r>
        <w:rPr>
          <w:rFonts w:hint="eastAsia" w:cs="宋体" w:asciiTheme="majorEastAsia" w:hAnsiTheme="majorEastAsia" w:eastAsiaTheme="majorEastAsia"/>
          <w:b/>
          <w:color w:val="auto"/>
          <w:sz w:val="30"/>
          <w:szCs w:val="30"/>
          <w:highlight w:val="none"/>
        </w:rPr>
        <w:t>附件4：</w:t>
      </w:r>
    </w:p>
    <w:p w14:paraId="4BF4E4E3">
      <w:pPr>
        <w:jc w:val="center"/>
        <w:rPr>
          <w:rFonts w:hint="eastAsia" w:cs="宋体" w:asciiTheme="majorEastAsia" w:hAnsiTheme="majorEastAsia" w:eastAsiaTheme="majorEastAsia"/>
          <w:b/>
          <w:bCs/>
          <w:color w:val="auto"/>
          <w:sz w:val="28"/>
          <w:szCs w:val="28"/>
          <w:highlight w:val="none"/>
        </w:rPr>
      </w:pPr>
      <w:r>
        <w:rPr>
          <w:rFonts w:hint="eastAsia" w:cs="宋体" w:asciiTheme="majorEastAsia" w:hAnsiTheme="majorEastAsia" w:eastAsiaTheme="majorEastAsia"/>
          <w:b/>
          <w:bCs/>
          <w:color w:val="auto"/>
          <w:sz w:val="28"/>
          <w:szCs w:val="28"/>
          <w:highlight w:val="none"/>
        </w:rPr>
        <w:t>政府采购项目履约保证金退付意见书</w:t>
      </w:r>
    </w:p>
    <w:tbl>
      <w:tblPr>
        <w:tblStyle w:val="50"/>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5980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08440CD6">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供</w:t>
            </w:r>
          </w:p>
          <w:p w14:paraId="4D485AB5">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应</w:t>
            </w:r>
          </w:p>
          <w:p w14:paraId="2BCB5640">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商</w:t>
            </w:r>
          </w:p>
          <w:p w14:paraId="79695191">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申</w:t>
            </w:r>
          </w:p>
          <w:p w14:paraId="2F9BA4B3">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请</w:t>
            </w:r>
          </w:p>
        </w:tc>
        <w:tc>
          <w:tcPr>
            <w:tcW w:w="8009" w:type="dxa"/>
            <w:vAlign w:val="center"/>
          </w:tcPr>
          <w:p w14:paraId="7C66E13B">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项目编号：</w:t>
            </w:r>
          </w:p>
        </w:tc>
      </w:tr>
      <w:tr w14:paraId="34FE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210FDE19">
            <w:pPr>
              <w:rPr>
                <w:rFonts w:hint="eastAsia" w:asciiTheme="majorEastAsia" w:hAnsiTheme="majorEastAsia" w:eastAsiaTheme="majorEastAsia"/>
                <w:color w:val="auto"/>
                <w:sz w:val="24"/>
                <w:highlight w:val="none"/>
              </w:rPr>
            </w:pPr>
          </w:p>
        </w:tc>
        <w:tc>
          <w:tcPr>
            <w:tcW w:w="8009" w:type="dxa"/>
            <w:vAlign w:val="center"/>
          </w:tcPr>
          <w:p w14:paraId="7A7F848A">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项目名称：</w:t>
            </w:r>
          </w:p>
        </w:tc>
      </w:tr>
      <w:tr w14:paraId="7457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68137714">
            <w:pPr>
              <w:rPr>
                <w:rFonts w:hint="eastAsia" w:asciiTheme="majorEastAsia" w:hAnsiTheme="majorEastAsia" w:eastAsiaTheme="majorEastAsia"/>
                <w:color w:val="auto"/>
                <w:sz w:val="24"/>
                <w:highlight w:val="none"/>
              </w:rPr>
            </w:pPr>
          </w:p>
        </w:tc>
        <w:tc>
          <w:tcPr>
            <w:tcW w:w="8009" w:type="dxa"/>
            <w:vAlign w:val="center"/>
          </w:tcPr>
          <w:p w14:paraId="15957955">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合同编号：</w:t>
            </w:r>
          </w:p>
        </w:tc>
      </w:tr>
      <w:tr w14:paraId="0C30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61D11234">
            <w:pPr>
              <w:rPr>
                <w:rFonts w:hint="eastAsia" w:asciiTheme="majorEastAsia" w:hAnsiTheme="majorEastAsia" w:eastAsiaTheme="majorEastAsia"/>
                <w:color w:val="auto"/>
                <w:sz w:val="24"/>
                <w:highlight w:val="none"/>
              </w:rPr>
            </w:pPr>
          </w:p>
        </w:tc>
        <w:tc>
          <w:tcPr>
            <w:tcW w:w="8009" w:type="dxa"/>
          </w:tcPr>
          <w:p w14:paraId="24F0E61F">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w:t>
            </w:r>
          </w:p>
          <w:p w14:paraId="0C4D8E34">
            <w:pPr>
              <w:ind w:firstLine="480" w:firstLineChars="2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该项目已于</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年</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月</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日验收并交付使用。根据合同规定，该项目的履约保证金期限于</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年</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月</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日已满，请将履约保证金（大写金额）</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，（小写金额）¥</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退付到达以下帐户。</w:t>
            </w:r>
          </w:p>
          <w:p w14:paraId="31CEFE09">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单位名称：</w:t>
            </w:r>
          </w:p>
          <w:p w14:paraId="32C33FD6">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开户银行：</w:t>
            </w:r>
          </w:p>
          <w:p w14:paraId="43092F3A">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帐    号：</w:t>
            </w:r>
          </w:p>
          <w:p w14:paraId="3D33DCCA">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联系人及电话：</w:t>
            </w:r>
          </w:p>
          <w:p w14:paraId="16E5C0FF">
            <w:pPr>
              <w:rPr>
                <w:rFonts w:hint="eastAsia" w:asciiTheme="majorEastAsia" w:hAnsiTheme="majorEastAsia" w:eastAsiaTheme="majorEastAsia"/>
                <w:color w:val="auto"/>
                <w:sz w:val="24"/>
                <w:highlight w:val="none"/>
              </w:rPr>
            </w:pPr>
          </w:p>
          <w:p w14:paraId="72B2CAE8">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供应商公章：</w:t>
            </w:r>
          </w:p>
          <w:p w14:paraId="3B94337A">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tc>
      </w:tr>
      <w:tr w14:paraId="41E2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43A04116">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w:t>
            </w:r>
          </w:p>
          <w:p w14:paraId="12E2B49C">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购</w:t>
            </w:r>
          </w:p>
          <w:p w14:paraId="7A016570">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单</w:t>
            </w:r>
          </w:p>
          <w:p w14:paraId="3AEA8D3A">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位</w:t>
            </w:r>
          </w:p>
          <w:p w14:paraId="1FA26894">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意</w:t>
            </w:r>
          </w:p>
          <w:p w14:paraId="3DF11AE2">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见</w:t>
            </w:r>
          </w:p>
        </w:tc>
        <w:tc>
          <w:tcPr>
            <w:tcW w:w="8009" w:type="dxa"/>
          </w:tcPr>
          <w:p w14:paraId="3FB60202">
            <w:pPr>
              <w:rPr>
                <w:rFonts w:hint="eastAsia" w:asciiTheme="majorEastAsia" w:hAnsiTheme="majorEastAsia" w:eastAsiaTheme="majorEastAsia"/>
                <w:color w:val="auto"/>
                <w:sz w:val="24"/>
                <w:highlight w:val="none"/>
              </w:rPr>
            </w:pPr>
          </w:p>
          <w:p w14:paraId="730FB03F">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退付意见：是否同意退付履约保证金及退付金额：</w:t>
            </w:r>
          </w:p>
          <w:p w14:paraId="222D2868">
            <w:pPr>
              <w:rPr>
                <w:rFonts w:hint="eastAsia" w:asciiTheme="majorEastAsia" w:hAnsiTheme="majorEastAsia" w:eastAsiaTheme="majorEastAsia"/>
                <w:color w:val="auto"/>
                <w:sz w:val="24"/>
                <w:highlight w:val="none"/>
              </w:rPr>
            </w:pPr>
          </w:p>
          <w:p w14:paraId="084EF3BA">
            <w:pPr>
              <w:rPr>
                <w:rFonts w:hint="eastAsia" w:asciiTheme="majorEastAsia" w:hAnsiTheme="majorEastAsia" w:eastAsiaTheme="majorEastAsia"/>
                <w:color w:val="auto"/>
                <w:sz w:val="24"/>
                <w:highlight w:val="none"/>
              </w:rPr>
            </w:pPr>
          </w:p>
          <w:p w14:paraId="79DC6DB8">
            <w:pPr>
              <w:rPr>
                <w:rFonts w:hint="eastAsia" w:asciiTheme="majorEastAsia" w:hAnsiTheme="majorEastAsia" w:eastAsiaTheme="majorEastAsia"/>
                <w:color w:val="auto"/>
                <w:sz w:val="24"/>
                <w:highlight w:val="none"/>
              </w:rPr>
            </w:pPr>
          </w:p>
          <w:p w14:paraId="3894BB2B">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联系人及电话： </w:t>
            </w:r>
          </w:p>
          <w:p w14:paraId="3904C105">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w:t>
            </w:r>
          </w:p>
          <w:p w14:paraId="4E026C27">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分管校领导签字：</w:t>
            </w:r>
          </w:p>
          <w:p w14:paraId="5280183A">
            <w:pPr>
              <w:rPr>
                <w:rFonts w:hint="eastAsia" w:asciiTheme="majorEastAsia" w:hAnsiTheme="majorEastAsia" w:eastAsiaTheme="majorEastAsia"/>
                <w:color w:val="auto"/>
                <w:sz w:val="24"/>
                <w:highlight w:val="none"/>
              </w:rPr>
            </w:pPr>
          </w:p>
          <w:p w14:paraId="6D17AC4D">
            <w:pPr>
              <w:ind w:firstLine="4560" w:firstLineChars="1900"/>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采购人公章：</w:t>
            </w:r>
          </w:p>
          <w:p w14:paraId="1A482CC6">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tc>
      </w:tr>
      <w:tr w14:paraId="71AA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22728B31">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财</w:t>
            </w:r>
          </w:p>
          <w:p w14:paraId="7171012D">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务</w:t>
            </w:r>
          </w:p>
          <w:p w14:paraId="4DAB5F47">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部</w:t>
            </w:r>
          </w:p>
          <w:p w14:paraId="618E7DE2">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门</w:t>
            </w:r>
          </w:p>
          <w:p w14:paraId="260F2529">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意</w:t>
            </w:r>
          </w:p>
          <w:p w14:paraId="62CDFEAA">
            <w:pPr>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见</w:t>
            </w:r>
          </w:p>
        </w:tc>
        <w:tc>
          <w:tcPr>
            <w:tcW w:w="8009" w:type="dxa"/>
          </w:tcPr>
          <w:p w14:paraId="454F396F">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此表于</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年</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月</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日收到。</w:t>
            </w:r>
          </w:p>
          <w:p w14:paraId="538C375C">
            <w:pPr>
              <w:rPr>
                <w:rFonts w:hint="eastAsia" w:asciiTheme="majorEastAsia" w:hAnsiTheme="majorEastAsia" w:eastAsiaTheme="majorEastAsia"/>
                <w:color w:val="auto"/>
                <w:sz w:val="24"/>
                <w:highlight w:val="none"/>
              </w:rPr>
            </w:pPr>
          </w:p>
          <w:p w14:paraId="7CC52EBD">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会计审核：</w:t>
            </w:r>
          </w:p>
          <w:p w14:paraId="7815F63F">
            <w:pPr>
              <w:rPr>
                <w:rFonts w:hint="eastAsia" w:asciiTheme="majorEastAsia" w:hAnsiTheme="majorEastAsia" w:eastAsiaTheme="majorEastAsia"/>
                <w:color w:val="auto"/>
                <w:sz w:val="24"/>
                <w:highlight w:val="none"/>
              </w:rPr>
            </w:pPr>
          </w:p>
          <w:p w14:paraId="7BF148CD">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财务负责人审核：</w:t>
            </w:r>
          </w:p>
          <w:p w14:paraId="492CB641">
            <w:pPr>
              <w:rPr>
                <w:rFonts w:hint="eastAsia" w:asciiTheme="majorEastAsia" w:hAnsiTheme="majorEastAsia" w:eastAsiaTheme="majorEastAsia"/>
                <w:color w:val="auto"/>
                <w:sz w:val="24"/>
                <w:highlight w:val="none"/>
              </w:rPr>
            </w:pPr>
          </w:p>
          <w:p w14:paraId="1C4872B4">
            <w:pP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出纳办理转账日期：</w:t>
            </w:r>
          </w:p>
        </w:tc>
      </w:tr>
    </w:tbl>
    <w:p w14:paraId="397C12AE">
      <w:pPr>
        <w:pStyle w:val="27"/>
        <w:spacing w:before="120" w:after="120" w:line="360" w:lineRule="auto"/>
        <w:ind w:firstLine="420" w:firstLineChars="200"/>
        <w:contextualSpacing/>
        <w:rPr>
          <w:rFonts w:hint="eastAsia" w:cs="宋体" w:asciiTheme="majorEastAsia" w:hAnsiTheme="majorEastAsia" w:eastAsiaTheme="majorEastAsia"/>
          <w:color w:val="auto"/>
          <w:sz w:val="21"/>
          <w:highlight w:val="none"/>
        </w:rPr>
        <w:sectPr>
          <w:pgSz w:w="11906" w:h="16838"/>
          <w:pgMar w:top="1134" w:right="1332" w:bottom="1134" w:left="1332" w:header="851" w:footer="992" w:gutter="0"/>
          <w:cols w:space="0" w:num="1"/>
          <w:titlePg/>
          <w:docGrid w:linePitch="312" w:charSpace="0"/>
        </w:sectPr>
      </w:pPr>
    </w:p>
    <w:p w14:paraId="7D786148">
      <w:pPr>
        <w:pStyle w:val="3"/>
        <w:spacing w:before="100" w:after="100" w:line="360" w:lineRule="auto"/>
        <w:jc w:val="center"/>
        <w:rPr>
          <w:rFonts w:hint="eastAsia" w:asciiTheme="majorEastAsia" w:hAnsiTheme="majorEastAsia" w:eastAsiaTheme="majorEastAsia"/>
          <w:color w:val="auto"/>
          <w:highlight w:val="none"/>
        </w:rPr>
      </w:pPr>
      <w:bookmarkStart w:id="144" w:name="_Toc254970689"/>
      <w:bookmarkStart w:id="145" w:name="_Toc254970548"/>
      <w:bookmarkStart w:id="146" w:name="_Toc330456896"/>
      <w:bookmarkStart w:id="147" w:name="_Toc74320803"/>
      <w:r>
        <w:rPr>
          <w:rFonts w:hint="eastAsia" w:asciiTheme="majorEastAsia" w:hAnsiTheme="majorEastAsia" w:eastAsiaTheme="majorEastAsia"/>
          <w:color w:val="auto"/>
          <w:highlight w:val="none"/>
        </w:rPr>
        <w:t>第四章  评标方法及评标标准</w:t>
      </w:r>
      <w:bookmarkEnd w:id="144"/>
      <w:bookmarkEnd w:id="145"/>
      <w:bookmarkEnd w:id="146"/>
      <w:bookmarkEnd w:id="147"/>
    </w:p>
    <w:p w14:paraId="360DA20F">
      <w:pPr>
        <w:pStyle w:val="5"/>
        <w:keepNext w:val="0"/>
        <w:keepLines w:val="0"/>
        <w:jc w:val="center"/>
        <w:rPr>
          <w:rFonts w:hint="eastAsia" w:asciiTheme="majorEastAsia" w:hAnsiTheme="majorEastAsia" w:eastAsiaTheme="majorEastAsia"/>
          <w:color w:val="auto"/>
          <w:sz w:val="30"/>
          <w:szCs w:val="30"/>
          <w:highlight w:val="none"/>
        </w:rPr>
      </w:pPr>
      <w:r>
        <w:rPr>
          <w:rFonts w:hint="eastAsia" w:asciiTheme="majorEastAsia" w:hAnsiTheme="majorEastAsia" w:eastAsiaTheme="majorEastAsia"/>
          <w:color w:val="auto"/>
          <w:sz w:val="30"/>
          <w:szCs w:val="30"/>
          <w:highlight w:val="none"/>
        </w:rPr>
        <w:t>一、评标方法</w:t>
      </w:r>
    </w:p>
    <w:p w14:paraId="0F74528F">
      <w:pPr>
        <w:pStyle w:val="27"/>
        <w:spacing w:line="360" w:lineRule="auto"/>
        <w:ind w:firstLine="42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综合评分法，是指投标文件满足招标文件全部实质性要求，且按照评审因素的量化指标评审得分最高的投标人为中标候选人的评标方法。</w:t>
      </w:r>
    </w:p>
    <w:p w14:paraId="5FBC91DF">
      <w:pPr>
        <w:pStyle w:val="27"/>
        <w:spacing w:line="360" w:lineRule="auto"/>
        <w:ind w:firstLine="42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最低评标价法，是指投标文件满足招标文件全部实质性要求，且投标报价最低的投标人为中标候选人的评标方法。</w:t>
      </w:r>
    </w:p>
    <w:p w14:paraId="11D42290">
      <w:pPr>
        <w:pStyle w:val="5"/>
        <w:keepNext w:val="0"/>
        <w:keepLines w:val="0"/>
        <w:jc w:val="center"/>
        <w:rPr>
          <w:rFonts w:hint="eastAsia" w:asciiTheme="majorEastAsia" w:hAnsiTheme="majorEastAsia" w:eastAsiaTheme="majorEastAsia"/>
          <w:color w:val="auto"/>
          <w:sz w:val="30"/>
          <w:szCs w:val="30"/>
          <w:highlight w:val="none"/>
        </w:rPr>
      </w:pPr>
      <w:r>
        <w:rPr>
          <w:rFonts w:hint="eastAsia" w:asciiTheme="majorEastAsia" w:hAnsiTheme="majorEastAsia" w:eastAsiaTheme="majorEastAsia"/>
          <w:color w:val="auto"/>
          <w:sz w:val="30"/>
          <w:szCs w:val="30"/>
          <w:highlight w:val="none"/>
        </w:rPr>
        <w:t>二、评标程序</w:t>
      </w:r>
    </w:p>
    <w:p w14:paraId="50DDA41A">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1.符合性审查</w:t>
      </w:r>
    </w:p>
    <w:p w14:paraId="01CF4B4D">
      <w:pPr>
        <w:pStyle w:val="27"/>
        <w:snapToGrid w:val="0"/>
        <w:spacing w:line="360" w:lineRule="auto"/>
        <w:ind w:left="1" w:firstLine="420"/>
        <w:rPr>
          <w:rFonts w:hint="eastAsia" w:asciiTheme="majorEastAsia" w:hAnsiTheme="majorEastAsia" w:eastAsiaTheme="majorEastAsia"/>
          <w:b/>
          <w:color w:val="auto"/>
          <w:kern w:val="2"/>
          <w:sz w:val="21"/>
          <w:highlight w:val="none"/>
        </w:rPr>
      </w:pPr>
      <w:r>
        <w:rPr>
          <w:rFonts w:hint="eastAsia" w:asciiTheme="majorEastAsia" w:hAnsiTheme="majorEastAsia" w:eastAsiaTheme="majorEastAsia"/>
          <w:b/>
          <w:color w:val="auto"/>
          <w:kern w:val="2"/>
          <w:sz w:val="21"/>
          <w:highlight w:val="none"/>
        </w:rPr>
        <w:t>评标委员会应当对符合资格的投标人的投标文件进行投标报价、商务、技术等实质性内容符合性审查，以确定其是否满足招标文件的实质性要求。</w:t>
      </w:r>
    </w:p>
    <w:p w14:paraId="32ECD287">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w:t>
      </w:r>
      <w:r>
        <w:rPr>
          <w:rFonts w:asciiTheme="majorEastAsia" w:hAnsiTheme="majorEastAsia" w:eastAsiaTheme="majorEastAsia"/>
          <w:color w:val="auto"/>
          <w:sz w:val="21"/>
          <w:szCs w:val="21"/>
          <w:highlight w:val="none"/>
        </w:rPr>
        <w:t>.</w:t>
      </w:r>
      <w:r>
        <w:rPr>
          <w:rFonts w:hint="eastAsia" w:asciiTheme="majorEastAsia" w:hAnsiTheme="majorEastAsia" w:eastAsiaTheme="majorEastAsia"/>
          <w:color w:val="auto"/>
          <w:sz w:val="21"/>
          <w:szCs w:val="21"/>
          <w:highlight w:val="none"/>
        </w:rPr>
        <w:t>符合性审查不通过而导致投标无效的情形</w:t>
      </w:r>
    </w:p>
    <w:p w14:paraId="56328323">
      <w:p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投标人的投标文件中存在对招标文件的任何实质性要求和条件的负偏离，将被视为投标无效。</w:t>
      </w:r>
    </w:p>
    <w:p w14:paraId="5F32AA95">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2.1在报价评审时，如发现下列情形之一的，将被视为投标无效：</w:t>
      </w:r>
    </w:p>
    <w:p w14:paraId="1A071EB8">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pacing w:val="-6"/>
          <w:szCs w:val="21"/>
          <w:highlight w:val="none"/>
        </w:rPr>
        <w:t>报价文件</w:t>
      </w:r>
      <w:r>
        <w:rPr>
          <w:rFonts w:hint="eastAsia" w:asciiTheme="majorEastAsia" w:hAnsiTheme="majorEastAsia" w:eastAsiaTheme="majorEastAsia"/>
          <w:b/>
          <w:color w:val="auto"/>
          <w:szCs w:val="21"/>
          <w:highlight w:val="none"/>
        </w:rPr>
        <w:t>未提供“投标人须知前附表”第13.1条规定中“必须提供”的文件资料的；</w:t>
      </w:r>
    </w:p>
    <w:p w14:paraId="403F0668">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未采用人民币报价或者未按照招标文件标明的币种报价的；</w:t>
      </w:r>
    </w:p>
    <w:p w14:paraId="7BA9CA4A">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各分标报价超出招标文件相应分标规定最高限价，或者超出相应分标采购预算金额的；</w:t>
      </w:r>
    </w:p>
    <w:p w14:paraId="4E106763">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FDF4B4E">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修正后的报价，投标人不确认的；</w:t>
      </w:r>
    </w:p>
    <w:p w14:paraId="1222518A">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投标人属于本章第</w:t>
      </w:r>
      <w:r>
        <w:rPr>
          <w:rFonts w:asciiTheme="majorEastAsia" w:hAnsiTheme="majorEastAsia" w:eastAsiaTheme="majorEastAsia"/>
          <w:b/>
          <w:color w:val="auto"/>
          <w:szCs w:val="21"/>
          <w:highlight w:val="none"/>
        </w:rPr>
        <w:t>5.1</w:t>
      </w:r>
      <w:r>
        <w:rPr>
          <w:rFonts w:hint="eastAsia" w:asciiTheme="majorEastAsia" w:hAnsiTheme="majorEastAsia" w:eastAsiaTheme="majorEastAsia"/>
          <w:b/>
          <w:color w:val="auto"/>
          <w:szCs w:val="21"/>
          <w:highlight w:val="none"/>
        </w:rPr>
        <w:t>条（2）或者第5</w:t>
      </w:r>
      <w:r>
        <w:rPr>
          <w:rFonts w:asciiTheme="majorEastAsia" w:hAnsiTheme="majorEastAsia" w:eastAsiaTheme="majorEastAsia"/>
          <w:b/>
          <w:color w:val="auto"/>
          <w:szCs w:val="21"/>
          <w:highlight w:val="none"/>
        </w:rPr>
        <w:t>.2条</w:t>
      </w:r>
      <w:r>
        <w:rPr>
          <w:rFonts w:hint="eastAsia" w:asciiTheme="majorEastAsia" w:hAnsiTheme="majorEastAsia" w:eastAsiaTheme="majorEastAsia"/>
          <w:b/>
          <w:color w:val="auto"/>
          <w:szCs w:val="21"/>
          <w:highlight w:val="none"/>
        </w:rPr>
        <w:t>（2）项情形的；</w:t>
      </w:r>
    </w:p>
    <w:p w14:paraId="5849AA9F">
      <w:pPr>
        <w:pStyle w:val="8"/>
        <w:numPr>
          <w:ilvl w:val="0"/>
          <w:numId w:val="11"/>
        </w:numPr>
        <w:spacing w:line="360" w:lineRule="auto"/>
        <w:ind w:firstLine="422"/>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pacing w:val="-6"/>
          <w:szCs w:val="21"/>
          <w:highlight w:val="none"/>
        </w:rPr>
        <w:t>报价文件</w:t>
      </w:r>
      <w:r>
        <w:rPr>
          <w:rFonts w:hint="eastAsia" w:asciiTheme="majorEastAsia" w:hAnsiTheme="majorEastAsia" w:eastAsiaTheme="majorEastAsia"/>
          <w:b/>
          <w:color w:val="auto"/>
          <w:szCs w:val="21"/>
          <w:highlight w:val="none"/>
        </w:rPr>
        <w:t>响应的标的数量及单位与招标文件要求实质性不一致的。</w:t>
      </w:r>
    </w:p>
    <w:p w14:paraId="78EB103B">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2.2在商务评审时，如发现下列情形之一的，将被视为投标无效：</w:t>
      </w:r>
    </w:p>
    <w:p w14:paraId="4D225C50">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投标文件未按招标文件要求签署、盖章的；</w:t>
      </w:r>
    </w:p>
    <w:p w14:paraId="3B270C17">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委托代理人未能出具有效身份证或者出具的身份证与授权委托书中的信息不符的；</w:t>
      </w:r>
    </w:p>
    <w:p w14:paraId="3281E46B">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为无效投标保证金的或者未按照招标文件的规定提交投标保证金的；</w:t>
      </w:r>
    </w:p>
    <w:p w14:paraId="231AD350">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投标文件未提供“投标人须知前附表”第13.</w:t>
      </w:r>
      <w:r>
        <w:rPr>
          <w:rFonts w:asciiTheme="majorEastAsia" w:hAnsiTheme="majorEastAsia" w:eastAsiaTheme="majorEastAsia"/>
          <w:b/>
          <w:color w:val="auto"/>
          <w:szCs w:val="21"/>
          <w:highlight w:val="none"/>
        </w:rPr>
        <w:t>1</w:t>
      </w:r>
      <w:r>
        <w:rPr>
          <w:rFonts w:hint="eastAsia" w:asciiTheme="majorEastAsia" w:hAnsiTheme="majorEastAsia" w:eastAsiaTheme="majorEastAsia"/>
          <w:b/>
          <w:color w:val="auto"/>
          <w:szCs w:val="21"/>
          <w:highlight w:val="none"/>
        </w:rPr>
        <w:t>条规定中“必须提供”或者“委托时必须提供”的文件资料的；</w:t>
      </w:r>
    </w:p>
    <w:p w14:paraId="6F7854A1">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商务要求评审允许负偏离的条款数超过“投标人须知前附表”规定项数的；</w:t>
      </w:r>
    </w:p>
    <w:p w14:paraId="05412EAD">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投标文件的实质性内容未使用中文表述、使用计量单位不符合招标文件要求的；</w:t>
      </w:r>
    </w:p>
    <w:p w14:paraId="1F603340">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投标文件中的文件资料因填写不齐全或者内容虚假或者出现其他情形而导致被评标委员会认定无效的；</w:t>
      </w:r>
    </w:p>
    <w:p w14:paraId="4D7DE211">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投标文件含有采购人不能接受的附加条件的；</w:t>
      </w:r>
    </w:p>
    <w:p w14:paraId="05ADBE43">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属于投标人须知正文第</w:t>
      </w:r>
      <w:r>
        <w:rPr>
          <w:rFonts w:asciiTheme="majorEastAsia" w:hAnsiTheme="majorEastAsia" w:eastAsiaTheme="majorEastAsia"/>
          <w:b/>
          <w:color w:val="auto"/>
          <w:szCs w:val="21"/>
          <w:highlight w:val="none"/>
        </w:rPr>
        <w:t>9.2</w:t>
      </w:r>
      <w:r>
        <w:rPr>
          <w:rFonts w:hint="eastAsia" w:asciiTheme="majorEastAsia" w:hAnsiTheme="majorEastAsia" w:eastAsiaTheme="majorEastAsia"/>
          <w:b/>
          <w:color w:val="auto"/>
          <w:szCs w:val="21"/>
          <w:highlight w:val="none"/>
        </w:rPr>
        <w:t>条情形的；</w:t>
      </w:r>
    </w:p>
    <w:p w14:paraId="3575CB64">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投标文件标注的项目名称或者项目编号与招标文件标注的项目名称或者项目编号不一致的；</w:t>
      </w:r>
    </w:p>
    <w:p w14:paraId="253A9E5C">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招标文件明确不允许分包，投标文件拟分包的；</w:t>
      </w:r>
    </w:p>
    <w:p w14:paraId="22EC7787">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未响应招标文件实质性要求的；</w:t>
      </w:r>
    </w:p>
    <w:p w14:paraId="534F8F14">
      <w:pPr>
        <w:numPr>
          <w:ilvl w:val="0"/>
          <w:numId w:val="12"/>
        </w:numPr>
        <w:snapToGrid w:val="0"/>
        <w:spacing w:line="360" w:lineRule="auto"/>
        <w:ind w:firstLine="422"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法律、法规和招标文件规定的其他无效情形。</w:t>
      </w:r>
    </w:p>
    <w:p w14:paraId="18ACA0B2">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2.3在技术评审时，如发现下列情形之一的，将被视为投标无效：</w:t>
      </w:r>
    </w:p>
    <w:p w14:paraId="29427169">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（1）技术要求评审允许负偏离的条款数超过“投标人须知前附表”规定项数的；</w:t>
      </w:r>
    </w:p>
    <w:p w14:paraId="3E10A16A">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（2）投标文件未提供“投标人须知前附表”第13.</w:t>
      </w:r>
      <w:r>
        <w:rPr>
          <w:rFonts w:asciiTheme="majorEastAsia" w:hAnsiTheme="majorEastAsia" w:eastAsiaTheme="majorEastAsia"/>
          <w:b/>
          <w:color w:val="auto"/>
          <w:kern w:val="2"/>
          <w:sz w:val="21"/>
          <w:szCs w:val="21"/>
          <w:highlight w:val="none"/>
        </w:rPr>
        <w:t>1</w:t>
      </w:r>
      <w:r>
        <w:rPr>
          <w:rFonts w:hint="eastAsia" w:asciiTheme="majorEastAsia" w:hAnsiTheme="majorEastAsia" w:eastAsiaTheme="majorEastAsia"/>
          <w:b/>
          <w:color w:val="auto"/>
          <w:kern w:val="2"/>
          <w:sz w:val="21"/>
          <w:szCs w:val="21"/>
          <w:highlight w:val="none"/>
        </w:rPr>
        <w:t>条规定中“必须提供”的文件资料的；</w:t>
      </w:r>
    </w:p>
    <w:p w14:paraId="6DDB237E">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（3）虚假投标，或者出现其他情形而导致被评标委员会认定无效的；</w:t>
      </w:r>
    </w:p>
    <w:p w14:paraId="6B5CA3A0">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（4）</w:t>
      </w:r>
      <w:bookmarkStart w:id="148" w:name="_Hlk71706244"/>
      <w:r>
        <w:rPr>
          <w:rFonts w:hint="eastAsia" w:asciiTheme="majorEastAsia" w:hAnsiTheme="majorEastAsia" w:eastAsiaTheme="majorEastAsia"/>
          <w:b/>
          <w:color w:val="auto"/>
          <w:kern w:val="2"/>
          <w:sz w:val="21"/>
          <w:szCs w:val="21"/>
          <w:highlight w:val="none"/>
        </w:rPr>
        <w:t>招标文件未载明允许提供备选（替代）投标方案或明确不允许提供备选（替代）投标方案时，投标人提供了备选（替代）投标方案的；</w:t>
      </w:r>
      <w:bookmarkEnd w:id="148"/>
    </w:p>
    <w:p w14:paraId="270B71E6">
      <w:pPr>
        <w:pStyle w:val="21"/>
        <w:snapToGrid w:val="0"/>
        <w:spacing w:line="360" w:lineRule="auto"/>
        <w:ind w:firstLine="413" w:firstLineChars="196"/>
        <w:rPr>
          <w:rFonts w:hint="eastAsia" w:asciiTheme="majorEastAsia" w:hAnsiTheme="majorEastAsia" w:eastAsiaTheme="majorEastAsia"/>
          <w:b/>
          <w:color w:val="auto"/>
          <w:kern w:val="2"/>
          <w:sz w:val="21"/>
          <w:szCs w:val="21"/>
          <w:highlight w:val="none"/>
        </w:rPr>
      </w:pPr>
      <w:r>
        <w:rPr>
          <w:rFonts w:hint="eastAsia" w:asciiTheme="majorEastAsia" w:hAnsiTheme="majorEastAsia" w:eastAsiaTheme="majorEastAsia"/>
          <w:b/>
          <w:color w:val="auto"/>
          <w:kern w:val="2"/>
          <w:sz w:val="21"/>
          <w:szCs w:val="21"/>
          <w:highlight w:val="none"/>
        </w:rPr>
        <w:t>（5）未响应招标文件实质性要求的。</w:t>
      </w:r>
    </w:p>
    <w:p w14:paraId="42D27E52">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3</w:t>
      </w:r>
      <w:r>
        <w:rPr>
          <w:rFonts w:asciiTheme="majorEastAsia" w:hAnsiTheme="majorEastAsia" w:eastAsiaTheme="majorEastAsia"/>
          <w:color w:val="auto"/>
          <w:sz w:val="21"/>
          <w:szCs w:val="21"/>
          <w:highlight w:val="none"/>
        </w:rPr>
        <w:t>.</w:t>
      </w:r>
      <w:r>
        <w:rPr>
          <w:rFonts w:hint="eastAsia" w:asciiTheme="majorEastAsia" w:hAnsiTheme="majorEastAsia" w:eastAsiaTheme="majorEastAsia"/>
          <w:color w:val="auto"/>
          <w:sz w:val="21"/>
          <w:szCs w:val="21"/>
          <w:highlight w:val="none"/>
        </w:rPr>
        <w:t>澄清补正</w:t>
      </w:r>
    </w:p>
    <w:p w14:paraId="750262C7">
      <w:pPr>
        <w:spacing w:line="360" w:lineRule="auto"/>
        <w:ind w:firstLine="420" w:firstLineChars="200"/>
        <w:rPr>
          <w:rFonts w:hint="eastAsia" w:cs="Courier New" w:asciiTheme="majorEastAsia" w:hAnsiTheme="majorEastAsia" w:eastAsiaTheme="majorEastAsia"/>
          <w:b/>
          <w:color w:val="auto"/>
          <w:szCs w:val="21"/>
          <w:highlight w:val="none"/>
        </w:rPr>
      </w:pPr>
      <w:r>
        <w:rPr>
          <w:rFonts w:hint="eastAsia" w:cs="Courier New" w:asciiTheme="majorEastAsia" w:hAnsiTheme="majorEastAsia" w:eastAsiaTheme="majorEastAsia"/>
          <w:color w:val="auto"/>
          <w:szCs w:val="21"/>
          <w:highlight w:val="none"/>
        </w:rPr>
        <w:t>对投标文件中含义不明确、同类问题表述不一致或者有明显文字和计算错误的内容，评标委员会应在</w:t>
      </w:r>
      <w:r>
        <w:rPr>
          <w:rFonts w:hint="eastAsia" w:asciiTheme="majorEastAsia" w:hAnsiTheme="majorEastAsia" w:eastAsiaTheme="majorEastAsia"/>
          <w:color w:val="auto"/>
          <w:szCs w:val="21"/>
          <w:highlight w:val="none"/>
        </w:rPr>
        <w:t>广西政府采购云平台</w:t>
      </w:r>
      <w:r>
        <w:rPr>
          <w:rFonts w:hint="eastAsia" w:cs="Courier New" w:asciiTheme="majorEastAsia" w:hAnsiTheme="majorEastAsia" w:eastAsiaTheme="majorEastAsia"/>
          <w:color w:val="auto"/>
          <w:szCs w:val="21"/>
          <w:highlight w:val="none"/>
        </w:rPr>
        <w:t>发布电子询标函，要求投标人在规定时间内作出必要的澄清、说明或者补正。投标人在</w:t>
      </w:r>
      <w:r>
        <w:rPr>
          <w:rFonts w:hint="eastAsia" w:asciiTheme="majorEastAsia" w:hAnsiTheme="majorEastAsia" w:eastAsiaTheme="majorEastAsia"/>
          <w:color w:val="auto"/>
          <w:szCs w:val="21"/>
          <w:highlight w:val="none"/>
        </w:rPr>
        <w:t>广西政府采购云平台</w:t>
      </w:r>
      <w:r>
        <w:rPr>
          <w:rFonts w:hint="eastAsia" w:cs="Courier New" w:asciiTheme="majorEastAsia" w:hAnsiTheme="majorEastAsia" w:eastAsiaTheme="majorEastAsia"/>
          <w:color w:val="auto"/>
          <w:szCs w:val="21"/>
          <w:highlight w:val="none"/>
        </w:rPr>
        <w:t>接收到电子询标函后根据澄清函内容上传PDF格式回函，电子澄清答复函使用CA证书加盖单位公章后在线上传至评标委员会。投标人的澄清、说明或者补正不得超出投标文件的范围或者改变投标文件的实质性内容。</w:t>
      </w:r>
    </w:p>
    <w:p w14:paraId="6AA869C7">
      <w:pPr>
        <w:spacing w:line="360" w:lineRule="auto"/>
        <w:ind w:firstLine="420" w:firstLineChars="200"/>
        <w:rPr>
          <w:rFonts w:hint="eastAsia" w:cs="Courier New" w:asciiTheme="majorEastAsia" w:hAnsiTheme="majorEastAsia" w:eastAsiaTheme="majorEastAsia"/>
          <w:color w:val="auto"/>
          <w:szCs w:val="21"/>
          <w:highlight w:val="none"/>
        </w:rPr>
      </w:pPr>
      <w:r>
        <w:rPr>
          <w:rFonts w:hint="eastAsia" w:cs="Courier New" w:asciiTheme="majorEastAsia" w:hAnsiTheme="majorEastAsia" w:eastAsiaTheme="majorEastAsia"/>
          <w:color w:val="auto"/>
          <w:szCs w:val="21"/>
          <w:highlight w:val="none"/>
        </w:rPr>
        <w:t>异常情况处理：如遇无法正常使用线上发送询标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负责人）或者其授权的代表签字。</w:t>
      </w:r>
    </w:p>
    <w:p w14:paraId="386BDD4E">
      <w:pPr>
        <w:spacing w:line="360" w:lineRule="auto"/>
        <w:ind w:firstLine="420" w:firstLineChars="200"/>
        <w:rPr>
          <w:rFonts w:hint="eastAsia" w:cs="Courier New" w:asciiTheme="majorEastAsia" w:hAnsiTheme="majorEastAsia" w:eastAsiaTheme="majorEastAsia"/>
          <w:color w:val="auto"/>
          <w:szCs w:val="21"/>
          <w:highlight w:val="none"/>
        </w:rPr>
      </w:pPr>
      <w:r>
        <w:rPr>
          <w:rFonts w:hint="eastAsia" w:cs="Courier New" w:asciiTheme="majorEastAsia" w:hAnsiTheme="majorEastAsia" w:eastAsiaTheme="majorEastAsia"/>
          <w:color w:val="auto"/>
          <w:szCs w:val="21"/>
          <w:highlight w:val="none"/>
        </w:rPr>
        <w:t>未按评标委员会的要求作出明确澄清、说明或者更正的投标人的投标文件将按照有利于采购人的原则由评标委员会进行判定。</w:t>
      </w:r>
    </w:p>
    <w:p w14:paraId="226178AF">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asciiTheme="majorEastAsia" w:hAnsiTheme="majorEastAsia" w:eastAsiaTheme="majorEastAsia"/>
          <w:color w:val="auto"/>
          <w:sz w:val="21"/>
          <w:szCs w:val="21"/>
          <w:highlight w:val="none"/>
        </w:rPr>
        <w:t>4.</w:t>
      </w:r>
      <w:r>
        <w:rPr>
          <w:rFonts w:hint="eastAsia" w:asciiTheme="majorEastAsia" w:hAnsiTheme="majorEastAsia" w:eastAsiaTheme="majorEastAsia"/>
          <w:color w:val="auto"/>
          <w:sz w:val="21"/>
          <w:szCs w:val="21"/>
          <w:highlight w:val="none"/>
        </w:rPr>
        <w:t>投标文件修正</w:t>
      </w:r>
    </w:p>
    <w:p w14:paraId="54499B0B">
      <w:pPr>
        <w:pStyle w:val="7"/>
        <w:keepNext w:val="0"/>
        <w:keepLines w:val="0"/>
        <w:spacing w:before="0" w:after="0" w:line="360" w:lineRule="auto"/>
        <w:ind w:left="420" w:leftChars="200"/>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4</w:t>
      </w:r>
      <w:r>
        <w:rPr>
          <w:rFonts w:hint="eastAsia" w:asciiTheme="majorEastAsia" w:hAnsiTheme="majorEastAsia" w:eastAsiaTheme="majorEastAsia"/>
          <w:b w:val="0"/>
          <w:color w:val="auto"/>
          <w:sz w:val="21"/>
          <w:szCs w:val="21"/>
          <w:highlight w:val="none"/>
        </w:rPr>
        <w:t xml:space="preserve">.1投标文件报价出现前后不一致的，按照下列规定修正： </w:t>
      </w:r>
    </w:p>
    <w:p w14:paraId="7185E6FD">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（1）投标文件中开标一览表（报价表）内容与投标文件中相应内容不一致的，以开标一览表（报价表）为准；</w:t>
      </w:r>
    </w:p>
    <w:p w14:paraId="57E5912C">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（2）大写金额和小写金额不一致的，以大写金额为准；</w:t>
      </w:r>
    </w:p>
    <w:p w14:paraId="1FE59FC2">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（3）单价金额小数点或者百分比有明显错位的，以开标一览表的总价为准，并修改单价；</w:t>
      </w:r>
    </w:p>
    <w:p w14:paraId="32EE6716">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（4）总价金额与按单价汇总金额不一致的，以单价金额计算结果为准。</w:t>
      </w:r>
    </w:p>
    <w:p w14:paraId="1AD6F834">
      <w:pPr>
        <w:pStyle w:val="27"/>
        <w:snapToGrid w:val="0"/>
        <w:spacing w:line="360" w:lineRule="auto"/>
        <w:ind w:firstLine="420" w:firstLineChars="200"/>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同时出现两种以上不一致的，按照以上（1）-（4）规定的顺序修正。修正后的报价经投标人确认后产生约束力，投标人不确认的，</w:t>
      </w:r>
      <w:r>
        <w:rPr>
          <w:rFonts w:hint="eastAsia" w:asciiTheme="majorEastAsia" w:hAnsiTheme="majorEastAsia" w:eastAsiaTheme="majorEastAsia"/>
          <w:b/>
          <w:color w:val="auto"/>
          <w:kern w:val="2"/>
          <w:sz w:val="21"/>
          <w:highlight w:val="none"/>
        </w:rPr>
        <w:t>其投标无效</w:t>
      </w:r>
      <w:r>
        <w:rPr>
          <w:rFonts w:hint="eastAsia" w:asciiTheme="majorEastAsia" w:hAnsiTheme="majorEastAsia" w:eastAsiaTheme="majorEastAsia"/>
          <w:color w:val="auto"/>
          <w:sz w:val="21"/>
          <w:highlight w:val="none"/>
        </w:rPr>
        <w:t>。</w:t>
      </w:r>
    </w:p>
    <w:p w14:paraId="44EFE610">
      <w:pPr>
        <w:pStyle w:val="7"/>
        <w:keepNext w:val="0"/>
        <w:keepLines w:val="0"/>
        <w:spacing w:before="0" w:after="0" w:line="360" w:lineRule="auto"/>
        <w:rPr>
          <w:rFonts w:hint="eastAsia" w:asciiTheme="majorEastAsia" w:hAnsiTheme="majorEastAsia" w:eastAsiaTheme="majorEastAsia"/>
          <w:b w:val="0"/>
          <w:color w:val="auto"/>
          <w:sz w:val="21"/>
          <w:szCs w:val="21"/>
          <w:highlight w:val="none"/>
        </w:rPr>
      </w:pPr>
      <w:r>
        <w:rPr>
          <w:rFonts w:asciiTheme="majorEastAsia" w:hAnsiTheme="majorEastAsia" w:eastAsiaTheme="majorEastAsia"/>
          <w:b w:val="0"/>
          <w:color w:val="auto"/>
          <w:sz w:val="21"/>
          <w:szCs w:val="21"/>
          <w:highlight w:val="none"/>
        </w:rPr>
        <w:t xml:space="preserve">    4</w:t>
      </w:r>
      <w:r>
        <w:rPr>
          <w:rFonts w:hint="eastAsia" w:asciiTheme="majorEastAsia" w:hAnsiTheme="majorEastAsia" w:eastAsiaTheme="majorEastAsia"/>
          <w:b w:val="0"/>
          <w:color w:val="auto"/>
          <w:sz w:val="21"/>
          <w:szCs w:val="21"/>
          <w:highlight w:val="none"/>
        </w:rPr>
        <w:t>.2经投标人确认修正后的报价若超过采购预算金额或者最高限价，</w:t>
      </w:r>
      <w:r>
        <w:rPr>
          <w:rFonts w:hint="eastAsia" w:asciiTheme="majorEastAsia" w:hAnsiTheme="majorEastAsia" w:eastAsiaTheme="majorEastAsia"/>
          <w:color w:val="auto"/>
          <w:sz w:val="21"/>
          <w:szCs w:val="21"/>
          <w:highlight w:val="none"/>
        </w:rPr>
        <w:t>投标人的投标文件作无效投标处理</w:t>
      </w:r>
      <w:r>
        <w:rPr>
          <w:rFonts w:hint="eastAsia" w:asciiTheme="majorEastAsia" w:hAnsiTheme="majorEastAsia" w:eastAsiaTheme="majorEastAsia"/>
          <w:b w:val="0"/>
          <w:color w:val="auto"/>
          <w:sz w:val="21"/>
          <w:szCs w:val="21"/>
          <w:highlight w:val="none"/>
        </w:rPr>
        <w:t>。</w:t>
      </w:r>
    </w:p>
    <w:p w14:paraId="232B1609">
      <w:pPr>
        <w:snapToGrid w:val="0"/>
        <w:spacing w:line="360" w:lineRule="auto"/>
        <w:ind w:firstLine="420" w:firstLineChars="200"/>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4</w:t>
      </w:r>
      <w:r>
        <w:rPr>
          <w:rFonts w:hint="eastAsia" w:asciiTheme="majorEastAsia" w:hAnsiTheme="majorEastAsia" w:eastAsiaTheme="majorEastAsia"/>
          <w:color w:val="auto"/>
          <w:szCs w:val="21"/>
          <w:highlight w:val="none"/>
        </w:rPr>
        <w:t>.3经投标人确认修正后的报价作为签订合同的依据，并以此报价计算价格分。</w:t>
      </w:r>
    </w:p>
    <w:p w14:paraId="44000D21">
      <w:pPr>
        <w:pStyle w:val="7"/>
        <w:keepNext w:val="0"/>
        <w:keepLines w:val="0"/>
        <w:spacing w:before="0" w:after="0" w:line="360" w:lineRule="auto"/>
        <w:ind w:left="420" w:leftChars="200"/>
        <w:rPr>
          <w:rFonts w:hint="eastAsia" w:asciiTheme="majorEastAsia" w:hAnsiTheme="majorEastAsia" w:eastAsiaTheme="majorEastAsia"/>
          <w:color w:val="auto"/>
          <w:sz w:val="21"/>
          <w:szCs w:val="21"/>
          <w:highlight w:val="none"/>
        </w:rPr>
      </w:pPr>
      <w:r>
        <w:rPr>
          <w:rFonts w:asciiTheme="majorEastAsia" w:hAnsiTheme="majorEastAsia" w:eastAsiaTheme="majorEastAsia"/>
          <w:color w:val="auto"/>
          <w:sz w:val="21"/>
          <w:szCs w:val="21"/>
          <w:highlight w:val="none"/>
        </w:rPr>
        <w:t>5.</w:t>
      </w:r>
      <w:r>
        <w:rPr>
          <w:rFonts w:hint="eastAsia" w:asciiTheme="majorEastAsia" w:hAnsiTheme="majorEastAsia" w:eastAsiaTheme="majorEastAsia"/>
          <w:color w:val="auto"/>
          <w:sz w:val="21"/>
          <w:szCs w:val="21"/>
          <w:highlight w:val="none"/>
        </w:rPr>
        <w:t>比较与评价</w:t>
      </w:r>
    </w:p>
    <w:p w14:paraId="08866C1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5.1采用综合评分法的</w:t>
      </w:r>
    </w:p>
    <w:p w14:paraId="6500A40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（1）评标委员会按照招标文件中规定的评标方法及评标标准，对符合性审查合格的投标文件进行商务和技术评估，综合比较与评价。</w:t>
      </w:r>
    </w:p>
    <w:p w14:paraId="3BE3607D">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（2）评标委员会独立对每个投标人的投标文件进行评价，并汇总每个投标人的得分。</w:t>
      </w:r>
    </w:p>
    <w:p w14:paraId="0993E18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ajorEastAsia" w:hAnsiTheme="majorEastAsia" w:eastAsiaTheme="majorEastAsia"/>
          <w:b/>
          <w:color w:val="auto"/>
          <w:szCs w:val="21"/>
          <w:highlight w:val="none"/>
        </w:rPr>
        <w:t>投标人不能证明其报价合理性的，评标委员会将其作为无效投标处理</w:t>
      </w:r>
      <w:r>
        <w:rPr>
          <w:rFonts w:hint="eastAsia" w:asciiTheme="majorEastAsia" w:hAnsiTheme="majorEastAsia" w:eastAsiaTheme="majorEastAsia"/>
          <w:color w:val="auto"/>
          <w:szCs w:val="21"/>
          <w:highlight w:val="none"/>
        </w:rPr>
        <w:t>。</w:t>
      </w:r>
    </w:p>
    <w:p w14:paraId="58BCA7F1">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（3）评标委员会按照招标文件中规定的评标方法和标准计算各投标人的报价得分。在计算过程中，不得去掉最高报价或者最低报价。</w:t>
      </w:r>
    </w:p>
    <w:p w14:paraId="34A8234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（4）各投标人的得分为所有评委的有效评分的算术平均数。</w:t>
      </w:r>
    </w:p>
    <w:p w14:paraId="30033CC5">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（5）评标委员会按照招标文件中的规定推荐中标候选人。</w:t>
      </w:r>
    </w:p>
    <w:p w14:paraId="79405A79">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A24FF73">
      <w:pPr>
        <w:snapToGrid w:val="0"/>
        <w:spacing w:line="360" w:lineRule="auto"/>
        <w:ind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5.2采用</w:t>
      </w:r>
      <w:r>
        <w:rPr>
          <w:rFonts w:hint="eastAsia" w:asciiTheme="majorEastAsia" w:hAnsiTheme="majorEastAsia" w:eastAsiaTheme="majorEastAsia"/>
          <w:color w:val="auto"/>
          <w:highlight w:val="none"/>
        </w:rPr>
        <w:t>最低评标价法</w:t>
      </w:r>
      <w:r>
        <w:rPr>
          <w:rFonts w:hint="eastAsia" w:asciiTheme="majorEastAsia" w:hAnsiTheme="majorEastAsia" w:eastAsiaTheme="majorEastAsia"/>
          <w:color w:val="auto"/>
          <w:szCs w:val="21"/>
          <w:highlight w:val="none"/>
        </w:rPr>
        <w:t>的</w:t>
      </w:r>
    </w:p>
    <w:p w14:paraId="439127E0">
      <w:pPr>
        <w:snapToGrid w:val="0"/>
        <w:spacing w:line="360" w:lineRule="auto"/>
        <w:ind w:firstLine="424" w:firstLineChars="202"/>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（1）评标委员会按照招标文件中规定的评标方法及评标标准，对符合性审查合格的投标文件报价进行比较。</w:t>
      </w:r>
    </w:p>
    <w:p w14:paraId="27689905">
      <w:pPr>
        <w:snapToGrid w:val="0"/>
        <w:spacing w:line="360" w:lineRule="auto"/>
        <w:ind w:firstLine="399" w:firstLineChars="202"/>
        <w:jc w:val="left"/>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ajorEastAsia" w:hAnsiTheme="majorEastAsia" w:eastAsiaTheme="majorEastAsia"/>
          <w:b/>
          <w:color w:val="auto"/>
          <w:spacing w:val="-6"/>
          <w:szCs w:val="21"/>
          <w:highlight w:val="none"/>
        </w:rPr>
        <w:t>投标人不能证明其报价合理性的，评标委员会将其作为无效投标处理</w:t>
      </w:r>
      <w:r>
        <w:rPr>
          <w:rFonts w:hint="eastAsia" w:asciiTheme="majorEastAsia" w:hAnsiTheme="majorEastAsia" w:eastAsiaTheme="majorEastAsia"/>
          <w:color w:val="auto"/>
          <w:spacing w:val="-6"/>
          <w:szCs w:val="21"/>
          <w:highlight w:val="none"/>
        </w:rPr>
        <w:t>。</w:t>
      </w:r>
    </w:p>
    <w:p w14:paraId="67444B1A">
      <w:pPr>
        <w:snapToGrid w:val="0"/>
        <w:spacing w:line="360" w:lineRule="auto"/>
        <w:ind w:firstLine="424" w:firstLineChars="202"/>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（3）评标委员会按照招标文件中的规定推荐中标候选人。</w:t>
      </w:r>
    </w:p>
    <w:p w14:paraId="0E55EEA2">
      <w:pPr>
        <w:snapToGrid w:val="0"/>
        <w:spacing w:line="360" w:lineRule="auto"/>
        <w:ind w:firstLine="424" w:firstLineChars="202"/>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01D6815">
      <w:pPr>
        <w:snapToGrid w:val="0"/>
        <w:spacing w:line="360" w:lineRule="auto"/>
        <w:ind w:firstLine="424" w:firstLineChars="202"/>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br w:type="page"/>
      </w:r>
      <w:r>
        <w:rPr>
          <w:rFonts w:cs="宋体" w:asciiTheme="majorEastAsia" w:hAnsiTheme="majorEastAsia" w:eastAsiaTheme="majorEastAsia"/>
          <w:b/>
          <w:bCs/>
          <w:color w:val="auto"/>
          <w:sz w:val="32"/>
          <w:szCs w:val="32"/>
          <w:highlight w:val="none"/>
        </w:rPr>
        <w:t>三</w:t>
      </w:r>
      <w:r>
        <w:rPr>
          <w:rFonts w:hint="eastAsia" w:cs="宋体" w:asciiTheme="majorEastAsia" w:hAnsiTheme="majorEastAsia" w:eastAsiaTheme="majorEastAsia"/>
          <w:b/>
          <w:bCs/>
          <w:color w:val="auto"/>
          <w:sz w:val="32"/>
          <w:szCs w:val="32"/>
          <w:highlight w:val="none"/>
        </w:rPr>
        <w:t>、评标标准</w:t>
      </w:r>
    </w:p>
    <w:p w14:paraId="4555A3E0">
      <w:pPr>
        <w:pStyle w:val="5"/>
        <w:keepNext w:val="0"/>
        <w:keepLines w:val="0"/>
        <w:spacing w:before="0" w:after="0" w:line="360" w:lineRule="auto"/>
        <w:jc w:val="center"/>
        <w:rPr>
          <w:rFonts w:hint="eastAsia"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 xml:space="preserve">  综合评分法</w:t>
      </w:r>
    </w:p>
    <w:tbl>
      <w:tblPr>
        <w:tblStyle w:val="134"/>
        <w:tblW w:w="10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657"/>
        <w:gridCol w:w="1250"/>
        <w:gridCol w:w="1163"/>
        <w:gridCol w:w="6322"/>
      </w:tblGrid>
      <w:tr w14:paraId="07F04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76" w:type="dxa"/>
            <w:gridSpan w:val="2"/>
            <w:vAlign w:val="center"/>
          </w:tcPr>
          <w:p w14:paraId="671C92C4">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序号</w:t>
            </w:r>
          </w:p>
        </w:tc>
        <w:tc>
          <w:tcPr>
            <w:tcW w:w="1250" w:type="dxa"/>
            <w:vAlign w:val="center"/>
          </w:tcPr>
          <w:p w14:paraId="6925C950">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6"/>
                <w:sz w:val="21"/>
                <w:szCs w:val="21"/>
                <w:highlight w:val="none"/>
              </w:rPr>
              <w:t>评分因素</w:t>
            </w:r>
          </w:p>
        </w:tc>
        <w:tc>
          <w:tcPr>
            <w:tcW w:w="7485" w:type="dxa"/>
            <w:gridSpan w:val="2"/>
            <w:vAlign w:val="center"/>
          </w:tcPr>
          <w:p w14:paraId="6E21FF08">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6"/>
                <w:sz w:val="21"/>
                <w:szCs w:val="21"/>
                <w:highlight w:val="none"/>
              </w:rPr>
              <w:t>评分标准</w:t>
            </w:r>
          </w:p>
        </w:tc>
      </w:tr>
      <w:tr w14:paraId="5CA5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Align w:val="center"/>
          </w:tcPr>
          <w:p w14:paraId="3BCFA924">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3"/>
                <w:sz w:val="21"/>
                <w:szCs w:val="21"/>
                <w:highlight w:val="none"/>
              </w:rPr>
              <w:t>1</w:t>
            </w:r>
          </w:p>
        </w:tc>
        <w:tc>
          <w:tcPr>
            <w:tcW w:w="657" w:type="dxa"/>
            <w:vAlign w:val="center"/>
          </w:tcPr>
          <w:p w14:paraId="2187FE1A">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5"/>
                <w:sz w:val="21"/>
                <w:szCs w:val="21"/>
                <w:highlight w:val="none"/>
              </w:rPr>
              <w:t>价格分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4"/>
                <w:sz w:val="21"/>
                <w:szCs w:val="21"/>
                <w:highlight w:val="none"/>
              </w:rPr>
              <w:t>（满分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30</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分）</w:t>
            </w:r>
          </w:p>
        </w:tc>
        <w:tc>
          <w:tcPr>
            <w:tcW w:w="1250" w:type="dxa"/>
            <w:vAlign w:val="center"/>
          </w:tcPr>
          <w:p w14:paraId="3AE6532A">
            <w:pPr>
              <w:pStyle w:val="140"/>
              <w:spacing w:before="156" w:beforeLines="50" w:after="156" w:afterLines="50" w:line="360" w:lineRule="auto"/>
              <w:jc w:val="center"/>
              <w:rPr>
                <w:rFonts w:hint="eastAsia" w:asciiTheme="minorEastAsia" w:hAnsiTheme="minorEastAsia" w:eastAsiaTheme="minorEastAsia" w:cstheme="minorEastAsia"/>
                <w:color w:val="auto"/>
                <w:spacing w:val="10"/>
                <w:sz w:val="21"/>
                <w:szCs w:val="21"/>
                <w:highlight w:val="none"/>
              </w:rPr>
            </w:pPr>
            <w:r>
              <w:rPr>
                <w:rFonts w:hint="eastAsia" w:asciiTheme="minorEastAsia" w:hAnsiTheme="minorEastAsia" w:eastAsiaTheme="minorEastAsia" w:cstheme="minorEastAsia"/>
                <w:color w:val="auto"/>
                <w:spacing w:val="10"/>
                <w:sz w:val="21"/>
                <w:szCs w:val="21"/>
                <w:highlight w:val="none"/>
              </w:rPr>
              <w:t>投标报价</w:t>
            </w:r>
          </w:p>
          <w:p w14:paraId="7C557F78">
            <w:pPr>
              <w:pStyle w:val="140"/>
              <w:spacing w:before="156" w:beforeLines="50" w:after="156" w:afterLines="50"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0"/>
                <w:sz w:val="21"/>
                <w:szCs w:val="21"/>
                <w:highlight w:val="none"/>
              </w:rPr>
              <w:t>（满分30分）</w:t>
            </w:r>
          </w:p>
        </w:tc>
        <w:tc>
          <w:tcPr>
            <w:tcW w:w="7485" w:type="dxa"/>
            <w:gridSpan w:val="2"/>
            <w:vAlign w:val="center"/>
          </w:tcPr>
          <w:p w14:paraId="48B7CEC4">
            <w:pPr>
              <w:bidi w:val="0"/>
              <w:spacing w:line="360" w:lineRule="auto"/>
              <w:rPr>
                <w:rFonts w:hint="eastAsia"/>
                <w:color w:val="auto"/>
                <w:highlight w:val="none"/>
              </w:rPr>
            </w:pPr>
            <w:r>
              <w:rPr>
                <w:rFonts w:hint="eastAsia"/>
                <w:color w:val="auto"/>
                <w:highlight w:val="none"/>
              </w:rPr>
              <w:t>（1）评标报价为投标人的投标报价进行政策性扣除后的价格，评标报价只是作为评标时使用。最终中标人的中标金额等于投标报价。</w:t>
            </w:r>
          </w:p>
          <w:p w14:paraId="0D08B132">
            <w:pPr>
              <w:bidi w:val="0"/>
              <w:spacing w:line="360" w:lineRule="auto"/>
              <w:rPr>
                <w:rFonts w:hint="eastAsia"/>
                <w:color w:val="auto"/>
                <w:highlight w:val="none"/>
              </w:rPr>
            </w:pPr>
            <w:r>
              <w:rPr>
                <w:rFonts w:hint="eastAsia"/>
                <w:color w:val="auto"/>
                <w:highlight w:val="none"/>
              </w:rPr>
              <w:t>（2）政策性扣除计算方法。</w:t>
            </w:r>
          </w:p>
          <w:p w14:paraId="60E8B5AB">
            <w:pPr>
              <w:bidi w:val="0"/>
              <w:spacing w:line="360" w:lineRule="auto"/>
              <w:rPr>
                <w:rFonts w:hint="eastAsia"/>
                <w:color w:val="auto"/>
                <w:highlight w:val="none"/>
              </w:rPr>
            </w:pPr>
            <w:r>
              <w:rPr>
                <w:rFonts w:hint="eastAsia"/>
                <w:color w:val="auto"/>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14:paraId="34C758F7">
            <w:pPr>
              <w:bidi w:val="0"/>
              <w:spacing w:line="360" w:lineRule="auto"/>
              <w:rPr>
                <w:rFonts w:hint="eastAsia"/>
                <w:color w:val="auto"/>
                <w:highlight w:val="none"/>
              </w:rPr>
            </w:pPr>
            <w:r>
              <w:rPr>
                <w:rFonts w:hint="eastAsia"/>
                <w:color w:val="auto"/>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DAAA097">
            <w:pPr>
              <w:bidi w:val="0"/>
              <w:spacing w:line="360" w:lineRule="auto"/>
              <w:rPr>
                <w:rFonts w:hint="eastAsia"/>
                <w:color w:val="auto"/>
                <w:highlight w:val="none"/>
              </w:rPr>
            </w:pPr>
            <w:r>
              <w:rPr>
                <w:rFonts w:hint="eastAsia"/>
                <w:color w:val="auto"/>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BDBF120">
            <w:pPr>
              <w:bidi w:val="0"/>
              <w:spacing w:line="360" w:lineRule="auto"/>
              <w:rPr>
                <w:rFonts w:hint="eastAsia"/>
                <w:color w:val="auto"/>
                <w:highlight w:val="none"/>
              </w:rPr>
            </w:pPr>
            <w:r>
              <w:rPr>
                <w:rFonts w:hint="eastAsia"/>
                <w:color w:val="auto"/>
                <w:highlight w:val="none"/>
              </w:rPr>
              <w:t>（5）满足招标文件要求且评标报价最低的评标报价为评标基准价，其价格分为满分。</w:t>
            </w:r>
          </w:p>
          <w:p w14:paraId="0C8E72BD">
            <w:pPr>
              <w:bidi w:val="0"/>
              <w:spacing w:line="360" w:lineRule="auto"/>
              <w:rPr>
                <w:rFonts w:hint="eastAsia"/>
                <w:color w:val="auto"/>
                <w:highlight w:val="none"/>
              </w:rPr>
            </w:pPr>
            <w:r>
              <w:rPr>
                <w:rFonts w:hint="eastAsia"/>
                <w:color w:val="auto"/>
                <w:highlight w:val="none"/>
              </w:rPr>
              <w:t>（6）价格分计算公式：价格分=(评标基准价/评标报价)×30分</w:t>
            </w:r>
          </w:p>
          <w:p w14:paraId="68422939">
            <w:pPr>
              <w:bidi w:val="0"/>
              <w:spacing w:line="360" w:lineRule="auto"/>
              <w:rPr>
                <w:rFonts w:hint="eastAsia" w:asciiTheme="minorEastAsia" w:hAnsiTheme="minorEastAsia" w:eastAsiaTheme="minorEastAsia" w:cstheme="minorEastAsia"/>
                <w:b/>
                <w:bCs/>
                <w:color w:val="auto"/>
                <w:spacing w:val="13"/>
                <w:szCs w:val="21"/>
                <w:highlight w:val="none"/>
                <w:u w:val="single"/>
              </w:rPr>
            </w:pPr>
            <w:r>
              <w:rPr>
                <w:rFonts w:hint="eastAsia"/>
                <w:b/>
                <w:bCs/>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14:paraId="35D99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jc w:val="center"/>
        </w:trPr>
        <w:tc>
          <w:tcPr>
            <w:tcW w:w="619" w:type="dxa"/>
            <w:vMerge w:val="restart"/>
            <w:tcBorders>
              <w:top w:val="single" w:color="auto" w:sz="4" w:space="0"/>
              <w:left w:val="single" w:color="auto" w:sz="4" w:space="0"/>
              <w:bottom w:val="single" w:color="auto" w:sz="4" w:space="0"/>
              <w:right w:val="single" w:color="auto" w:sz="4" w:space="0"/>
            </w:tcBorders>
            <w:vAlign w:val="center"/>
          </w:tcPr>
          <w:p w14:paraId="1E0F2F03">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3"/>
                <w:sz w:val="21"/>
                <w:szCs w:val="21"/>
                <w:highlight w:val="none"/>
              </w:rPr>
              <w:t>2</w:t>
            </w:r>
          </w:p>
        </w:tc>
        <w:tc>
          <w:tcPr>
            <w:tcW w:w="657" w:type="dxa"/>
            <w:vMerge w:val="restart"/>
            <w:tcBorders>
              <w:top w:val="single" w:color="auto" w:sz="4" w:space="0"/>
              <w:left w:val="single" w:color="auto" w:sz="4" w:space="0"/>
              <w:right w:val="single" w:color="auto" w:sz="4" w:space="0"/>
            </w:tcBorders>
            <w:vAlign w:val="center"/>
          </w:tcPr>
          <w:p w14:paraId="0CE79947">
            <w:pPr>
              <w:pStyle w:val="14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pacing w:val="5"/>
                <w:sz w:val="21"/>
                <w:szCs w:val="21"/>
                <w:highlight w:val="none"/>
              </w:rPr>
              <w:t>技术分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5"/>
                <w:sz w:val="21"/>
                <w:szCs w:val="21"/>
                <w:highlight w:val="none"/>
              </w:rPr>
              <w:t>（满分</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pacing w:val="-4"/>
                <w:sz w:val="21"/>
                <w:szCs w:val="21"/>
                <w:highlight w:val="none"/>
              </w:rPr>
              <w:t>6</w:t>
            </w:r>
            <w:r>
              <w:rPr>
                <w:rFonts w:hint="eastAsia" w:asciiTheme="minorEastAsia" w:hAnsiTheme="minorEastAsia" w:eastAsiaTheme="minorEastAsia" w:cstheme="minorEastAsia"/>
                <w:b/>
                <w:bCs/>
                <w:color w:val="auto"/>
                <w:spacing w:val="-4"/>
                <w:sz w:val="21"/>
                <w:szCs w:val="21"/>
                <w:highlight w:val="none"/>
                <w:lang w:val="en-US" w:eastAsia="zh-CN"/>
              </w:rPr>
              <w:t>3</w:t>
            </w:r>
            <w:r>
              <w:rPr>
                <w:rFonts w:hint="eastAsia" w:asciiTheme="minorEastAsia" w:hAnsiTheme="minorEastAsia" w:eastAsiaTheme="minorEastAsia" w:cstheme="minorEastAsia"/>
                <w:color w:val="auto"/>
                <w:spacing w:val="-38"/>
                <w:sz w:val="21"/>
                <w:szCs w:val="21"/>
                <w:highlight w:val="none"/>
              </w:rPr>
              <w:t xml:space="preserve"> </w:t>
            </w:r>
            <w:r>
              <w:rPr>
                <w:rFonts w:hint="eastAsia" w:asciiTheme="minorEastAsia" w:hAnsiTheme="minorEastAsia" w:eastAsiaTheme="minorEastAsia" w:cstheme="minorEastAsia"/>
                <w:b/>
                <w:bCs/>
                <w:color w:val="auto"/>
                <w:spacing w:val="-4"/>
                <w:sz w:val="21"/>
                <w:szCs w:val="21"/>
                <w:highlight w:val="none"/>
              </w:rPr>
              <w:t>分）</w:t>
            </w:r>
          </w:p>
        </w:tc>
        <w:tc>
          <w:tcPr>
            <w:tcW w:w="1250" w:type="dxa"/>
            <w:tcBorders>
              <w:top w:val="single" w:color="auto" w:sz="4" w:space="0"/>
              <w:left w:val="single" w:color="auto" w:sz="4" w:space="0"/>
              <w:bottom w:val="single" w:color="auto" w:sz="4" w:space="0"/>
              <w:right w:val="single" w:color="auto" w:sz="4" w:space="0"/>
            </w:tcBorders>
            <w:vAlign w:val="center"/>
          </w:tcPr>
          <w:p w14:paraId="4EB64A07">
            <w:pPr>
              <w:pStyle w:val="14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lang w:eastAsia="zh-CN"/>
              </w:rPr>
              <w:t>普通</w:t>
            </w:r>
            <w:r>
              <w:rPr>
                <w:rFonts w:hint="eastAsia" w:asciiTheme="minorEastAsia" w:hAnsiTheme="minorEastAsia" w:eastAsiaTheme="minorEastAsia" w:cstheme="minorEastAsia"/>
                <w:color w:val="auto"/>
                <w:spacing w:val="7"/>
                <w:sz w:val="21"/>
                <w:szCs w:val="21"/>
                <w:highlight w:val="none"/>
              </w:rPr>
              <w:t>技术</w:t>
            </w:r>
            <w:r>
              <w:rPr>
                <w:rFonts w:hint="eastAsia" w:asciiTheme="minorEastAsia" w:hAnsiTheme="minorEastAsia" w:eastAsiaTheme="minorEastAsia" w:cstheme="minorEastAsia"/>
                <w:color w:val="auto"/>
                <w:spacing w:val="7"/>
                <w:sz w:val="21"/>
                <w:szCs w:val="21"/>
                <w:highlight w:val="none"/>
                <w:lang w:eastAsia="zh-CN"/>
              </w:rPr>
              <w:t>指标</w:t>
            </w:r>
            <w:r>
              <w:rPr>
                <w:rFonts w:hint="eastAsia" w:asciiTheme="minorEastAsia" w:hAnsiTheme="minorEastAsia" w:eastAsiaTheme="minorEastAsia" w:cstheme="minorEastAsia"/>
                <w:color w:val="auto"/>
                <w:spacing w:val="7"/>
                <w:sz w:val="21"/>
                <w:szCs w:val="21"/>
                <w:highlight w:val="none"/>
              </w:rPr>
              <w:t>响应</w:t>
            </w:r>
            <w:r>
              <w:rPr>
                <w:rFonts w:hint="eastAsia" w:asciiTheme="minorEastAsia" w:hAnsiTheme="minorEastAsia" w:eastAsiaTheme="minorEastAsia" w:cstheme="minorEastAsia"/>
                <w:color w:val="auto"/>
                <w:spacing w:val="-2"/>
                <w:sz w:val="21"/>
                <w:szCs w:val="21"/>
                <w:highlight w:val="none"/>
              </w:rPr>
              <w:t>程度（满分</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分）</w:t>
            </w:r>
          </w:p>
        </w:tc>
        <w:tc>
          <w:tcPr>
            <w:tcW w:w="7485" w:type="dxa"/>
            <w:gridSpan w:val="2"/>
            <w:tcBorders>
              <w:top w:val="single" w:color="auto" w:sz="4" w:space="0"/>
              <w:left w:val="single" w:color="auto" w:sz="4" w:space="0"/>
              <w:bottom w:val="single" w:color="auto" w:sz="4" w:space="0"/>
              <w:right w:val="single" w:color="auto" w:sz="4" w:space="0"/>
            </w:tcBorders>
          </w:tcPr>
          <w:p w14:paraId="0B2F1203">
            <w:pPr>
              <w:bidi w:val="0"/>
              <w:spacing w:line="360" w:lineRule="auto"/>
              <w:rPr>
                <w:rFonts w:hint="eastAsia"/>
                <w:color w:val="auto"/>
                <w:highlight w:val="none"/>
              </w:rPr>
            </w:pPr>
            <w:r>
              <w:rPr>
                <w:rFonts w:hint="eastAsia"/>
                <w:color w:val="auto"/>
                <w:highlight w:val="none"/>
              </w:rPr>
              <w:t>针对所投产品的技术要求及参数对招标文件的响应程度进行评审：</w:t>
            </w:r>
          </w:p>
          <w:p w14:paraId="75A0E7FA">
            <w:pPr>
              <w:bidi w:val="0"/>
              <w:spacing w:line="360" w:lineRule="auto"/>
              <w:rPr>
                <w:rFonts w:hint="eastAsia" w:asciiTheme="minorEastAsia" w:hAnsiTheme="minorEastAsia" w:eastAsiaTheme="minorEastAsia" w:cstheme="minorEastAsia"/>
                <w:b/>
                <w:bCs/>
                <w:color w:val="auto"/>
                <w:spacing w:val="4"/>
                <w:sz w:val="21"/>
                <w:szCs w:val="21"/>
                <w:highlight w:val="none"/>
              </w:rPr>
            </w:pPr>
            <w:r>
              <w:rPr>
                <w:rFonts w:hint="eastAsia"/>
                <w:color w:val="auto"/>
                <w:highlight w:val="none"/>
              </w:rPr>
              <w:t>无标识项为普通</w:t>
            </w:r>
            <w:r>
              <w:rPr>
                <w:rFonts w:hint="eastAsia"/>
                <w:color w:val="auto"/>
                <w:highlight w:val="none"/>
                <w:lang w:eastAsia="zh-CN"/>
              </w:rPr>
              <w:t>技术</w:t>
            </w:r>
            <w:r>
              <w:rPr>
                <w:rFonts w:hint="eastAsia"/>
                <w:color w:val="auto"/>
                <w:highlight w:val="none"/>
              </w:rPr>
              <w:t>指标项，响应为无偏离或正偏离的得</w:t>
            </w:r>
            <w:r>
              <w:rPr>
                <w:rFonts w:hint="eastAsia"/>
                <w:color w:val="auto"/>
                <w:highlight w:val="none"/>
                <w:lang w:val="en-US" w:eastAsia="zh-CN"/>
              </w:rPr>
              <w:t>7</w:t>
            </w:r>
            <w:r>
              <w:rPr>
                <w:rFonts w:hint="eastAsia"/>
                <w:color w:val="auto"/>
                <w:highlight w:val="none"/>
              </w:rPr>
              <w:t>分，每有一项负偏离的扣</w:t>
            </w:r>
            <w:r>
              <w:rPr>
                <w:rFonts w:hint="eastAsia"/>
                <w:color w:val="auto"/>
                <w:highlight w:val="none"/>
                <w:lang w:val="en-US" w:eastAsia="zh-CN"/>
              </w:rPr>
              <w:t>1</w:t>
            </w:r>
            <w:r>
              <w:rPr>
                <w:rFonts w:hint="eastAsia"/>
                <w:color w:val="auto"/>
                <w:highlight w:val="none"/>
              </w:rPr>
              <w:t>分，扣完为止。</w:t>
            </w:r>
          </w:p>
        </w:tc>
      </w:tr>
      <w:tr w14:paraId="5EEB0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1F2E2265">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2482A61B">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restart"/>
            <w:tcBorders>
              <w:top w:val="single" w:color="auto" w:sz="4" w:space="0"/>
              <w:left w:val="single" w:color="auto" w:sz="4" w:space="0"/>
              <w:right w:val="single" w:color="auto" w:sz="4" w:space="0"/>
            </w:tcBorders>
            <w:vAlign w:val="center"/>
          </w:tcPr>
          <w:p w14:paraId="3C8178E1">
            <w:pPr>
              <w:pStyle w:val="140"/>
              <w:spacing w:before="0" w:beforeLines="0" w:after="0" w:afterLines="0" w:line="360" w:lineRule="auto"/>
              <w:jc w:val="center"/>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“▲”重要</w:t>
            </w:r>
            <w:r>
              <w:rPr>
                <w:rFonts w:hint="eastAsia" w:asciiTheme="minorEastAsia" w:hAnsiTheme="minorEastAsia" w:eastAsiaTheme="minorEastAsia" w:cstheme="minorEastAsia"/>
                <w:color w:val="auto"/>
                <w:spacing w:val="-2"/>
                <w:sz w:val="21"/>
                <w:szCs w:val="21"/>
                <w:highlight w:val="none"/>
                <w:lang w:eastAsia="zh-CN"/>
              </w:rPr>
              <w:t>技术</w:t>
            </w:r>
            <w:r>
              <w:rPr>
                <w:rFonts w:hint="eastAsia" w:asciiTheme="minorEastAsia" w:hAnsiTheme="minorEastAsia" w:eastAsiaTheme="minorEastAsia" w:cstheme="minorEastAsia"/>
                <w:color w:val="auto"/>
                <w:spacing w:val="-2"/>
                <w:sz w:val="21"/>
                <w:szCs w:val="21"/>
                <w:highlight w:val="none"/>
              </w:rPr>
              <w:t>指标项</w:t>
            </w:r>
          </w:p>
          <w:p w14:paraId="5A0FBF2C">
            <w:pPr>
              <w:pStyle w:val="140"/>
              <w:spacing w:before="0" w:beforeLines="0" w:after="0" w:afterLines="0" w:line="360" w:lineRule="auto"/>
              <w:jc w:val="center"/>
              <w:rPr>
                <w:rFonts w:hint="eastAsia" w:asciiTheme="minorEastAsia" w:hAnsiTheme="minorEastAsia" w:eastAsiaTheme="minorEastAsia" w:cstheme="minorEastAsia"/>
                <w:color w:val="auto"/>
                <w:spacing w:val="-2"/>
                <w:sz w:val="21"/>
                <w:szCs w:val="21"/>
                <w:highlight w:val="none"/>
                <w:lang w:eastAsia="zh-CN"/>
              </w:rPr>
            </w:pPr>
            <w:r>
              <w:rPr>
                <w:rFonts w:hint="eastAsia" w:asciiTheme="minorEastAsia" w:hAnsiTheme="minorEastAsia" w:eastAsiaTheme="minorEastAsia" w:cstheme="minorEastAsia"/>
                <w:color w:val="auto"/>
                <w:spacing w:val="-2"/>
                <w:sz w:val="21"/>
                <w:szCs w:val="21"/>
                <w:highlight w:val="none"/>
                <w:lang w:eastAsia="zh-CN"/>
              </w:rPr>
              <w:t>（满分</w:t>
            </w:r>
            <w:r>
              <w:rPr>
                <w:rFonts w:hint="eastAsia" w:asciiTheme="minorEastAsia" w:hAnsiTheme="minorEastAsia" w:eastAsiaTheme="minorEastAsia" w:cstheme="minorEastAsia"/>
                <w:color w:val="auto"/>
                <w:spacing w:val="-2"/>
                <w:sz w:val="21"/>
                <w:szCs w:val="21"/>
                <w:highlight w:val="none"/>
                <w:lang w:val="en-US" w:eastAsia="zh-CN"/>
              </w:rPr>
              <w:t>26分</w:t>
            </w:r>
            <w:r>
              <w:rPr>
                <w:rFonts w:hint="eastAsia" w:asciiTheme="minorEastAsia" w:hAnsiTheme="minorEastAsia" w:eastAsiaTheme="minorEastAsia" w:cstheme="minorEastAsia"/>
                <w:color w:val="auto"/>
                <w:spacing w:val="-2"/>
                <w:sz w:val="21"/>
                <w:szCs w:val="21"/>
                <w:highlight w:val="none"/>
                <w:lang w:eastAsia="zh-CN"/>
              </w:rPr>
              <w:t>）</w:t>
            </w:r>
          </w:p>
          <w:p w14:paraId="596CDEEC">
            <w:pPr>
              <w:pStyle w:val="140"/>
              <w:spacing w:before="0" w:beforeLines="0" w:after="0" w:afterLines="0" w:line="360" w:lineRule="auto"/>
              <w:jc w:val="center"/>
              <w:rPr>
                <w:rFonts w:hint="eastAsia" w:asciiTheme="minorEastAsia" w:hAnsiTheme="minorEastAsia" w:eastAsiaTheme="minorEastAsia" w:cstheme="minorEastAsia"/>
                <w:color w:val="auto"/>
                <w:spacing w:val="-2"/>
                <w:sz w:val="21"/>
                <w:szCs w:val="21"/>
                <w:highlight w:val="none"/>
                <w:lang w:eastAsia="zh-CN"/>
              </w:rPr>
            </w:pPr>
            <w:r>
              <w:rPr>
                <w:rFonts w:hint="eastAsia" w:asciiTheme="minorEastAsia" w:hAnsiTheme="minorEastAsia" w:eastAsiaTheme="minorEastAsia" w:cstheme="minorEastAsia"/>
                <w:color w:val="auto"/>
                <w:spacing w:val="-2"/>
                <w:sz w:val="21"/>
                <w:szCs w:val="21"/>
                <w:highlight w:val="none"/>
                <w:lang w:eastAsia="zh-CN"/>
              </w:rPr>
              <w:t>“▲”项为重要技术指标项，根据投标人提供的相关证明材料，由</w:t>
            </w:r>
            <w:r>
              <w:rPr>
                <w:rFonts w:hint="eastAsia" w:asciiTheme="minorEastAsia" w:hAnsiTheme="minorEastAsia" w:eastAsiaTheme="minorEastAsia" w:cstheme="minorEastAsia"/>
                <w:color w:val="auto"/>
                <w:spacing w:val="-2"/>
                <w:sz w:val="21"/>
                <w:szCs w:val="21"/>
                <w:highlight w:val="none"/>
                <w:lang w:val="en-US" w:eastAsia="zh-CN"/>
              </w:rPr>
              <w:t>评标委员会</w:t>
            </w:r>
            <w:r>
              <w:rPr>
                <w:rFonts w:hint="eastAsia" w:asciiTheme="minorEastAsia" w:hAnsiTheme="minorEastAsia" w:eastAsiaTheme="minorEastAsia" w:cstheme="minorEastAsia"/>
                <w:color w:val="auto"/>
                <w:spacing w:val="-2"/>
                <w:sz w:val="21"/>
                <w:szCs w:val="21"/>
                <w:highlight w:val="none"/>
                <w:lang w:eastAsia="zh-CN"/>
              </w:rPr>
              <w:t>进行评分；结果事实依据为无偏离或正偏离的得相应分值，不符合要求或未提供的不得分。</w:t>
            </w:r>
          </w:p>
        </w:tc>
        <w:tc>
          <w:tcPr>
            <w:tcW w:w="1163" w:type="dxa"/>
            <w:tcBorders>
              <w:top w:val="single" w:color="auto" w:sz="4" w:space="0"/>
              <w:left w:val="single" w:color="auto" w:sz="4" w:space="0"/>
              <w:bottom w:val="single" w:color="auto" w:sz="4" w:space="0"/>
              <w:right w:val="single" w:color="auto" w:sz="4" w:space="0"/>
            </w:tcBorders>
            <w:vAlign w:val="center"/>
          </w:tcPr>
          <w:p w14:paraId="548803FA">
            <w:pPr>
              <w:bidi w:val="0"/>
              <w:spacing w:line="360" w:lineRule="auto"/>
              <w:jc w:val="center"/>
              <w:rPr>
                <w:rFonts w:hint="eastAsia"/>
                <w:color w:val="auto"/>
                <w:highlight w:val="none"/>
                <w:lang w:val="en-US" w:eastAsia="zh-CN"/>
              </w:rPr>
            </w:pPr>
            <w:r>
              <w:rPr>
                <w:rFonts w:hint="eastAsia"/>
                <w:color w:val="auto"/>
                <w:highlight w:val="none"/>
                <w:lang w:val="en-US" w:eastAsia="zh-CN"/>
              </w:rPr>
              <w:t>射击指挥控制模块</w:t>
            </w:r>
          </w:p>
          <w:p w14:paraId="0E97C1C4">
            <w:pPr>
              <w:bidi w:val="0"/>
              <w:spacing w:line="360" w:lineRule="auto"/>
              <w:jc w:val="center"/>
              <w:rPr>
                <w:rFonts w:hint="eastAsia"/>
                <w:color w:val="auto"/>
                <w:highlight w:val="none"/>
                <w:lang w:val="en-US" w:eastAsia="zh-CN"/>
              </w:rPr>
            </w:pPr>
            <w:r>
              <w:rPr>
                <w:rFonts w:hint="eastAsia"/>
                <w:color w:val="auto"/>
                <w:highlight w:val="none"/>
                <w:lang w:val="en-US" w:eastAsia="zh-CN"/>
              </w:rPr>
              <w:t>（1分）</w:t>
            </w:r>
          </w:p>
        </w:tc>
        <w:tc>
          <w:tcPr>
            <w:tcW w:w="6322" w:type="dxa"/>
            <w:tcBorders>
              <w:top w:val="single" w:color="auto" w:sz="4" w:space="0"/>
              <w:left w:val="single" w:color="auto" w:sz="4" w:space="0"/>
              <w:bottom w:val="single" w:color="auto" w:sz="4" w:space="0"/>
              <w:right w:val="single" w:color="auto" w:sz="4" w:space="0"/>
            </w:tcBorders>
            <w:vAlign w:val="center"/>
          </w:tcPr>
          <w:p w14:paraId="078DCFC5">
            <w:pPr>
              <w:bidi w:val="0"/>
              <w:spacing w:line="360" w:lineRule="auto"/>
              <w:rPr>
                <w:rFonts w:hint="eastAsia"/>
                <w:color w:val="auto"/>
                <w:highlight w:val="none"/>
                <w:lang w:val="en-US" w:eastAsia="zh-CN"/>
              </w:rPr>
            </w:pPr>
            <w:r>
              <w:rPr>
                <w:rFonts w:hint="eastAsia"/>
                <w:color w:val="auto"/>
                <w:highlight w:val="none"/>
                <w:lang w:val="en-US" w:eastAsia="zh-CN"/>
              </w:rPr>
              <w:t>系统能够在同一界面，同时显示不少于10套设备的实景靶面画面，画面显示信息包括：弹点位置、弹点序号、靶道号、姓名、弹药命中数、当前成绩等；提供实弹射击时不少于10靶道同时显示技术要求内容的</w:t>
            </w:r>
            <w:r>
              <w:rPr>
                <w:rFonts w:hint="eastAsia"/>
                <w:color w:val="auto"/>
                <w:highlight w:val="none"/>
                <w:lang w:eastAsia="zh-CN"/>
              </w:rPr>
              <w:t>图片</w:t>
            </w:r>
            <w:r>
              <w:rPr>
                <w:rFonts w:hint="eastAsia"/>
                <w:color w:val="auto"/>
                <w:highlight w:val="none"/>
                <w:lang w:val="en-US" w:eastAsia="zh-CN"/>
              </w:rPr>
              <w:t>作为佐证依据，可以看到弹点位置，经评标委员会判定证明材料能够满足要求的得1分，提供不符合要求或未提供的不得分。</w:t>
            </w:r>
          </w:p>
        </w:tc>
      </w:tr>
      <w:tr w14:paraId="55787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15F1B430">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5E15B064">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7CB9AE80">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3E8AF9B9">
            <w:pPr>
              <w:bidi w:val="0"/>
              <w:spacing w:line="360" w:lineRule="auto"/>
              <w:jc w:val="center"/>
              <w:rPr>
                <w:rFonts w:hint="eastAsia"/>
                <w:color w:val="auto"/>
                <w:highlight w:val="none"/>
                <w:lang w:val="en-US" w:eastAsia="zh-CN"/>
              </w:rPr>
            </w:pPr>
            <w:r>
              <w:rPr>
                <w:rFonts w:hint="eastAsia"/>
                <w:color w:val="auto"/>
                <w:highlight w:val="none"/>
                <w:lang w:val="en-US" w:eastAsia="zh-CN"/>
              </w:rPr>
              <w:t>实弹模拟可视化弹点采集系统</w:t>
            </w:r>
          </w:p>
          <w:p w14:paraId="2789D19E">
            <w:pPr>
              <w:bidi w:val="0"/>
              <w:spacing w:line="360" w:lineRule="auto"/>
              <w:jc w:val="center"/>
              <w:rPr>
                <w:rFonts w:hint="eastAsia"/>
                <w:color w:val="auto"/>
                <w:highlight w:val="none"/>
                <w:lang w:val="en-US" w:eastAsia="zh-CN"/>
              </w:rPr>
            </w:pPr>
            <w:r>
              <w:rPr>
                <w:rFonts w:hint="eastAsia"/>
                <w:color w:val="auto"/>
                <w:highlight w:val="none"/>
                <w:lang w:val="en-US" w:eastAsia="zh-CN"/>
              </w:rPr>
              <w:t>（2分）</w:t>
            </w:r>
          </w:p>
        </w:tc>
        <w:tc>
          <w:tcPr>
            <w:tcW w:w="6322" w:type="dxa"/>
            <w:tcBorders>
              <w:top w:val="single" w:color="auto" w:sz="4" w:space="0"/>
              <w:left w:val="single" w:color="auto" w:sz="4" w:space="0"/>
              <w:bottom w:val="single" w:color="auto" w:sz="4" w:space="0"/>
              <w:right w:val="single" w:color="auto" w:sz="4" w:space="0"/>
            </w:tcBorders>
            <w:vAlign w:val="center"/>
          </w:tcPr>
          <w:p w14:paraId="37EB4AA9">
            <w:pPr>
              <w:bidi w:val="0"/>
              <w:spacing w:line="360" w:lineRule="auto"/>
              <w:rPr>
                <w:rFonts w:hint="eastAsia"/>
                <w:color w:val="auto"/>
                <w:highlight w:val="none"/>
                <w:lang w:val="en-US" w:eastAsia="zh-CN"/>
              </w:rPr>
            </w:pPr>
            <w:r>
              <w:rPr>
                <w:rFonts w:hint="eastAsia"/>
                <w:color w:val="auto"/>
                <w:highlight w:val="none"/>
                <w:lang w:val="en-US" w:eastAsia="zh-CN"/>
              </w:rPr>
              <w:t>适用靶型：胸环靶、半身环靶、头靶、实景半身胸环靶、人质劫持靶、人体部位小环形精度靶等，其他靶型可根据需要定制；提供照片作为佐证依据，经评标委员会判定证明材料能够满足要求的得1分，提供不符合要求或未提供的不得分。</w:t>
            </w:r>
          </w:p>
          <w:p w14:paraId="280CB69C">
            <w:pPr>
              <w:bidi w:val="0"/>
              <w:spacing w:line="360" w:lineRule="auto"/>
              <w:rPr>
                <w:rFonts w:hint="eastAsia"/>
                <w:color w:val="auto"/>
                <w:highlight w:val="none"/>
                <w:lang w:val="en-US" w:eastAsia="zh-CN"/>
              </w:rPr>
            </w:pPr>
            <w:r>
              <w:rPr>
                <w:rFonts w:hint="eastAsia"/>
                <w:color w:val="auto"/>
                <w:highlight w:val="none"/>
                <w:lang w:val="en-US" w:eastAsia="zh-CN"/>
              </w:rPr>
              <w:t>隐显目标实弹采集：设备能够支持靶标隐显科目实弹射击弹点采集，无漏报和误报；提供实弹射击</w:t>
            </w:r>
            <w:r>
              <w:rPr>
                <w:rFonts w:hint="eastAsia"/>
                <w:color w:val="auto"/>
                <w:highlight w:val="none"/>
                <w:lang w:eastAsia="zh-CN"/>
              </w:rPr>
              <w:t>图片</w:t>
            </w:r>
            <w:r>
              <w:rPr>
                <w:rFonts w:hint="eastAsia"/>
                <w:color w:val="auto"/>
                <w:highlight w:val="none"/>
                <w:lang w:val="en-US" w:eastAsia="zh-CN"/>
              </w:rPr>
              <w:t>作为依据，射击覆盖靶面隐显不少于3次，射击弹药不少于6发，全过程无漏报和误报，由评标委员会判定证明材料符合技术要求的得1分，提供不符合要求或未提供的不得分。</w:t>
            </w:r>
          </w:p>
        </w:tc>
      </w:tr>
      <w:tr w14:paraId="0EA69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26581C5E">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23EFBF9A">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5BDB82EA">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3EF3C9AB">
            <w:pPr>
              <w:bidi w:val="0"/>
              <w:spacing w:line="360" w:lineRule="auto"/>
              <w:jc w:val="center"/>
              <w:rPr>
                <w:rFonts w:hint="eastAsia"/>
                <w:color w:val="auto"/>
                <w:highlight w:val="none"/>
                <w:lang w:val="en-US" w:eastAsia="zh-CN"/>
              </w:rPr>
            </w:pPr>
            <w:r>
              <w:rPr>
                <w:rFonts w:hint="eastAsia"/>
                <w:color w:val="auto"/>
                <w:highlight w:val="none"/>
                <w:lang w:val="en-US" w:eastAsia="zh-CN"/>
              </w:rPr>
              <w:t>射手显示终端（2分）</w:t>
            </w:r>
          </w:p>
        </w:tc>
        <w:tc>
          <w:tcPr>
            <w:tcW w:w="6322" w:type="dxa"/>
            <w:tcBorders>
              <w:top w:val="single" w:color="auto" w:sz="4" w:space="0"/>
              <w:left w:val="single" w:color="auto" w:sz="4" w:space="0"/>
              <w:bottom w:val="single" w:color="auto" w:sz="4" w:space="0"/>
              <w:right w:val="single" w:color="auto" w:sz="4" w:space="0"/>
            </w:tcBorders>
            <w:vAlign w:val="center"/>
          </w:tcPr>
          <w:p w14:paraId="2FF923C9">
            <w:pPr>
              <w:bidi w:val="0"/>
              <w:spacing w:line="360" w:lineRule="auto"/>
              <w:rPr>
                <w:rFonts w:hint="eastAsia"/>
                <w:color w:val="auto"/>
                <w:highlight w:val="none"/>
                <w:lang w:val="en-US" w:eastAsia="zh-CN"/>
              </w:rPr>
            </w:pPr>
            <w:r>
              <w:rPr>
                <w:rFonts w:hint="eastAsia"/>
                <w:color w:val="auto"/>
                <w:highlight w:val="none"/>
                <w:lang w:val="en-US" w:eastAsia="zh-CN"/>
              </w:rPr>
              <w:t>1.单台终端具备独立操作控制使用功能，能够100%平整显示靶面实景图像，图像无变形完全平整，同时显示实景靶面图像和虚拟靶面图像；提供实弹射击</w:t>
            </w:r>
            <w:r>
              <w:rPr>
                <w:rFonts w:hint="eastAsia"/>
                <w:color w:val="auto"/>
                <w:highlight w:val="none"/>
                <w:lang w:eastAsia="zh-CN"/>
              </w:rPr>
              <w:t>图片</w:t>
            </w:r>
            <w:r>
              <w:rPr>
                <w:rFonts w:hint="eastAsia"/>
                <w:color w:val="auto"/>
                <w:highlight w:val="none"/>
                <w:lang w:val="en-US" w:eastAsia="zh-CN"/>
              </w:rPr>
              <w:t>作为佐证依据，经评标委员会判定证明材料能够满足要求的得1分，提供不符合要求或未提供的不得分。</w:t>
            </w:r>
          </w:p>
          <w:p w14:paraId="594ECC02">
            <w:pPr>
              <w:bidi w:val="0"/>
              <w:spacing w:line="360" w:lineRule="auto"/>
              <w:rPr>
                <w:rFonts w:hint="eastAsia"/>
                <w:color w:val="auto"/>
                <w:highlight w:val="none"/>
                <w:lang w:val="en-US" w:eastAsia="zh-CN"/>
              </w:rPr>
            </w:pPr>
            <w:r>
              <w:rPr>
                <w:rFonts w:hint="eastAsia"/>
                <w:color w:val="auto"/>
                <w:highlight w:val="none"/>
                <w:lang w:val="en-US" w:eastAsia="zh-CN"/>
              </w:rPr>
              <w:t>2.激光分析终端：①激光发射器外接92G武器上，能够切换常亮和点射模式；②语音提示激光强度挡位调整≥5档；③射击距离：50-100米；④具备模拟枪声；⑤可显示电量档位，显示指示灯不少于3个。①③⑤功能提供照片作为佐证依据，经评标委员会判定证明材料能够满足要求的得1分，提供不符合要求或未提供的不得分。</w:t>
            </w:r>
          </w:p>
        </w:tc>
      </w:tr>
      <w:tr w14:paraId="11789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0E1C41E4">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37257002">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30DAAC7C">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5034DB3">
            <w:pPr>
              <w:bidi w:val="0"/>
              <w:spacing w:line="360" w:lineRule="auto"/>
              <w:jc w:val="center"/>
              <w:rPr>
                <w:rFonts w:hint="eastAsia"/>
                <w:color w:val="auto"/>
                <w:highlight w:val="none"/>
                <w:lang w:val="en-US" w:eastAsia="zh-CN"/>
              </w:rPr>
            </w:pPr>
            <w:r>
              <w:rPr>
                <w:rFonts w:hint="eastAsia"/>
                <w:color w:val="auto"/>
                <w:highlight w:val="none"/>
                <w:lang w:val="en-US" w:eastAsia="zh-CN"/>
              </w:rPr>
              <w:t>投影设备  （1分）</w:t>
            </w:r>
          </w:p>
        </w:tc>
        <w:tc>
          <w:tcPr>
            <w:tcW w:w="6322" w:type="dxa"/>
            <w:tcBorders>
              <w:top w:val="single" w:color="auto" w:sz="4" w:space="0"/>
              <w:left w:val="single" w:color="auto" w:sz="4" w:space="0"/>
              <w:bottom w:val="single" w:color="auto" w:sz="4" w:space="0"/>
              <w:right w:val="single" w:color="auto" w:sz="4" w:space="0"/>
            </w:tcBorders>
            <w:vAlign w:val="center"/>
          </w:tcPr>
          <w:p w14:paraId="4FEFD9B9">
            <w:pPr>
              <w:bidi w:val="0"/>
              <w:spacing w:line="360" w:lineRule="auto"/>
              <w:rPr>
                <w:rFonts w:hint="eastAsia"/>
                <w:color w:val="auto"/>
                <w:highlight w:val="none"/>
                <w:lang w:val="en-US" w:eastAsia="zh-CN"/>
              </w:rPr>
            </w:pPr>
            <w:r>
              <w:rPr>
                <w:rFonts w:hint="eastAsia"/>
                <w:color w:val="auto"/>
                <w:highlight w:val="none"/>
                <w:lang w:val="en-US" w:eastAsia="zh-CN"/>
              </w:rPr>
              <w:t>产品符合GB17625.1-2022；GB 4943.1-2022；GB/T 9254.1- 2021产品标准和技术要求；投标人提供国家认可的第三方具有相应资质检测机构出具的检验检测报告符合要求的得1分，提供不符合要求或未提供的不得分。</w:t>
            </w:r>
          </w:p>
        </w:tc>
      </w:tr>
      <w:tr w14:paraId="15D4F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5A91CFFB">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1898DB95">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676CBAB0">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29EF1BA">
            <w:pPr>
              <w:bidi w:val="0"/>
              <w:spacing w:line="360" w:lineRule="auto"/>
              <w:jc w:val="center"/>
              <w:rPr>
                <w:rFonts w:hint="eastAsia"/>
                <w:color w:val="auto"/>
                <w:highlight w:val="none"/>
                <w:lang w:val="en-US" w:eastAsia="zh-CN"/>
              </w:rPr>
            </w:pPr>
            <w:r>
              <w:rPr>
                <w:rFonts w:hint="eastAsia"/>
                <w:color w:val="auto"/>
                <w:highlight w:val="none"/>
                <w:lang w:val="en-US" w:eastAsia="zh-CN"/>
              </w:rPr>
              <w:t>中央控制软件系统</w:t>
            </w:r>
          </w:p>
          <w:p w14:paraId="2D35F0F6">
            <w:pPr>
              <w:bidi w:val="0"/>
              <w:spacing w:line="360" w:lineRule="auto"/>
              <w:jc w:val="center"/>
              <w:rPr>
                <w:rFonts w:hint="eastAsia"/>
                <w:color w:val="auto"/>
                <w:highlight w:val="none"/>
                <w:lang w:val="en-US" w:eastAsia="zh-CN"/>
              </w:rPr>
            </w:pPr>
            <w:r>
              <w:rPr>
                <w:rFonts w:hint="eastAsia"/>
                <w:color w:val="auto"/>
                <w:highlight w:val="none"/>
                <w:lang w:val="en-US" w:eastAsia="zh-CN"/>
              </w:rPr>
              <w:t>（1分）</w:t>
            </w:r>
          </w:p>
        </w:tc>
        <w:tc>
          <w:tcPr>
            <w:tcW w:w="6322" w:type="dxa"/>
            <w:tcBorders>
              <w:top w:val="single" w:color="auto" w:sz="4" w:space="0"/>
              <w:left w:val="single" w:color="auto" w:sz="4" w:space="0"/>
              <w:bottom w:val="single" w:color="auto" w:sz="4" w:space="0"/>
              <w:right w:val="single" w:color="auto" w:sz="4" w:space="0"/>
            </w:tcBorders>
            <w:vAlign w:val="center"/>
          </w:tcPr>
          <w:p w14:paraId="6877C49D">
            <w:pPr>
              <w:bidi w:val="0"/>
              <w:spacing w:line="360" w:lineRule="auto"/>
              <w:rPr>
                <w:rFonts w:hint="eastAsia"/>
                <w:color w:val="auto"/>
                <w:highlight w:val="none"/>
                <w:lang w:val="en-US" w:eastAsia="zh-CN"/>
              </w:rPr>
            </w:pPr>
            <w:r>
              <w:rPr>
                <w:rFonts w:hint="eastAsia"/>
                <w:color w:val="auto"/>
                <w:highlight w:val="none"/>
                <w:lang w:val="en-US" w:eastAsia="zh-CN"/>
              </w:rPr>
              <w:t>中央控制单元调整配置基础科目的弹着点样式（可配置每个靶道显示弹点的中心颜色及边缘颜色），选择报靶形式（射手终端报靶或主控系统报靶）等；</w:t>
            </w:r>
            <w:r>
              <w:rPr>
                <w:rFonts w:hint="eastAsia"/>
                <w:color w:val="auto"/>
                <w:highlight w:val="none"/>
                <w:lang w:val="en-US" w:eastAsia="zh-CN"/>
              </w:rPr>
              <w:t>投标人提供有效的系统操作图片材料作为佐证依据</w:t>
            </w:r>
            <w:r>
              <w:rPr>
                <w:rFonts w:hint="eastAsia"/>
                <w:color w:val="auto"/>
                <w:highlight w:val="none"/>
                <w:lang w:val="en-US" w:eastAsia="zh-CN"/>
              </w:rPr>
              <w:t>，经评标委员会判定证明材料能够满足要求的得1分，提供不符合要求或未提供的不得分。</w:t>
            </w:r>
          </w:p>
        </w:tc>
      </w:tr>
      <w:tr w14:paraId="1BE90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jc w:val="center"/>
        </w:trPr>
        <w:tc>
          <w:tcPr>
            <w:tcW w:w="619" w:type="dxa"/>
            <w:vMerge w:val="continue"/>
            <w:tcBorders>
              <w:left w:val="single" w:color="auto" w:sz="4" w:space="0"/>
              <w:right w:val="single" w:color="auto" w:sz="4" w:space="0"/>
            </w:tcBorders>
          </w:tcPr>
          <w:p w14:paraId="124929B7">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5229E054">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2897082F">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right w:val="single" w:color="auto" w:sz="4" w:space="0"/>
            </w:tcBorders>
            <w:vAlign w:val="center"/>
          </w:tcPr>
          <w:p w14:paraId="588B5251">
            <w:pPr>
              <w:bidi w:val="0"/>
              <w:spacing w:line="360" w:lineRule="auto"/>
              <w:jc w:val="center"/>
              <w:rPr>
                <w:rFonts w:hint="eastAsia"/>
                <w:color w:val="auto"/>
                <w:highlight w:val="none"/>
                <w:lang w:val="en-US" w:eastAsia="zh-CN"/>
              </w:rPr>
            </w:pPr>
            <w:r>
              <w:rPr>
                <w:rFonts w:hint="eastAsia"/>
                <w:color w:val="auto"/>
                <w:highlight w:val="none"/>
                <w:lang w:val="en-US" w:eastAsia="zh-CN"/>
              </w:rPr>
              <w:t>旋转、起倒、摇摆一体化靶机（1分）</w:t>
            </w:r>
          </w:p>
        </w:tc>
        <w:tc>
          <w:tcPr>
            <w:tcW w:w="6322" w:type="dxa"/>
            <w:tcBorders>
              <w:top w:val="single" w:color="auto" w:sz="4" w:space="0"/>
              <w:left w:val="single" w:color="auto" w:sz="4" w:space="0"/>
              <w:bottom w:val="single" w:color="auto" w:sz="4" w:space="0"/>
              <w:right w:val="single" w:color="auto" w:sz="4" w:space="0"/>
            </w:tcBorders>
            <w:vAlign w:val="center"/>
          </w:tcPr>
          <w:p w14:paraId="7CF272AF">
            <w:pPr>
              <w:bidi w:val="0"/>
              <w:spacing w:line="360" w:lineRule="auto"/>
              <w:rPr>
                <w:rFonts w:hint="eastAsia"/>
                <w:color w:val="auto"/>
                <w:highlight w:val="none"/>
                <w:lang w:val="en-US" w:eastAsia="zh-CN"/>
              </w:rPr>
            </w:pPr>
            <w:r>
              <w:rPr>
                <w:rFonts w:hint="eastAsia"/>
                <w:color w:val="auto"/>
                <w:highlight w:val="none"/>
                <w:lang w:val="en-US" w:eastAsia="zh-CN"/>
              </w:rPr>
              <w:t>靶机隐显为三种模式：90度起倒、90度左右旋转、30度左右摇摆（三种模式不需要人为变更靶机状态和靶板方向即可分别实现）；</w:t>
            </w:r>
          </w:p>
          <w:p w14:paraId="38CED690">
            <w:pPr>
              <w:bidi w:val="0"/>
              <w:spacing w:line="360" w:lineRule="auto"/>
              <w:rPr>
                <w:rFonts w:hint="eastAsia"/>
                <w:color w:val="auto"/>
                <w:highlight w:val="none"/>
                <w:lang w:val="en-US" w:eastAsia="zh-CN"/>
              </w:rPr>
            </w:pPr>
            <w:r>
              <w:rPr>
                <w:rFonts w:hint="eastAsia"/>
                <w:color w:val="auto"/>
                <w:highlight w:val="none"/>
                <w:lang w:val="en-US" w:eastAsia="zh-CN"/>
              </w:rPr>
              <w:t>弹药识别：实弹弹药、激光弹药，可直接接收和识别本项目配置的激光步枪所发射激光。</w:t>
            </w:r>
          </w:p>
          <w:p w14:paraId="70605047">
            <w:pPr>
              <w:bidi w:val="0"/>
              <w:spacing w:line="360" w:lineRule="auto"/>
              <w:rPr>
                <w:rFonts w:hint="eastAsia"/>
                <w:color w:val="auto"/>
                <w:highlight w:val="none"/>
                <w:lang w:val="en-US" w:eastAsia="zh-CN"/>
              </w:rPr>
            </w:pPr>
            <w:r>
              <w:rPr>
                <w:rFonts w:hint="eastAsia"/>
                <w:color w:val="auto"/>
                <w:highlight w:val="none"/>
                <w:lang w:val="en-US" w:eastAsia="zh-CN"/>
              </w:rPr>
              <w:t>投标人提供</w:t>
            </w:r>
            <w:r>
              <w:rPr>
                <w:rFonts w:hint="eastAsia"/>
                <w:color w:val="auto"/>
                <w:highlight w:val="none"/>
                <w:lang w:eastAsia="zh-CN"/>
              </w:rPr>
              <w:t>图片</w:t>
            </w:r>
            <w:r>
              <w:rPr>
                <w:rFonts w:hint="eastAsia"/>
                <w:color w:val="auto"/>
                <w:highlight w:val="none"/>
                <w:lang w:val="en-US" w:eastAsia="zh-CN"/>
              </w:rPr>
              <w:t>证明材料作为依据，经评标委员会判定证明材料能够满足要求的，满足一项得0.5分，全部满足得1分，提供不符合要求或未提供的不得分。</w:t>
            </w:r>
          </w:p>
        </w:tc>
      </w:tr>
      <w:tr w14:paraId="3026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5DD012DE">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128F9599">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109DB892">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CFB1EAB">
            <w:pPr>
              <w:bidi w:val="0"/>
              <w:spacing w:line="360" w:lineRule="auto"/>
              <w:jc w:val="center"/>
              <w:rPr>
                <w:rFonts w:hint="eastAsia"/>
                <w:color w:val="auto"/>
                <w:highlight w:val="none"/>
                <w:lang w:val="en-US" w:eastAsia="zh-CN"/>
              </w:rPr>
            </w:pPr>
            <w:r>
              <w:rPr>
                <w:rFonts w:hint="eastAsia"/>
                <w:color w:val="auto"/>
                <w:highlight w:val="none"/>
                <w:lang w:val="en-US" w:eastAsia="zh-CN"/>
              </w:rPr>
              <w:t>视觉捕捉模拟射击终端   （3分）</w:t>
            </w:r>
          </w:p>
        </w:tc>
        <w:tc>
          <w:tcPr>
            <w:tcW w:w="6322" w:type="dxa"/>
            <w:tcBorders>
              <w:top w:val="single" w:color="auto" w:sz="4" w:space="0"/>
              <w:left w:val="single" w:color="auto" w:sz="4" w:space="0"/>
              <w:bottom w:val="single" w:color="auto" w:sz="4" w:space="0"/>
              <w:right w:val="single" w:color="auto" w:sz="4" w:space="0"/>
            </w:tcBorders>
            <w:vAlign w:val="center"/>
          </w:tcPr>
          <w:p w14:paraId="50879135">
            <w:pPr>
              <w:bidi w:val="0"/>
              <w:spacing w:line="360" w:lineRule="auto"/>
              <w:rPr>
                <w:rFonts w:hint="eastAsia"/>
                <w:color w:val="auto"/>
                <w:highlight w:val="none"/>
                <w:lang w:val="en-US" w:eastAsia="zh-CN"/>
              </w:rPr>
            </w:pPr>
            <w:r>
              <w:rPr>
                <w:rFonts w:hint="eastAsia"/>
                <w:color w:val="auto"/>
                <w:highlight w:val="none"/>
                <w:lang w:val="en-US" w:eastAsia="zh-CN"/>
              </w:rPr>
              <w:t>1.系统软件</w:t>
            </w:r>
          </w:p>
          <w:p w14:paraId="37CA6E15">
            <w:pPr>
              <w:bidi w:val="0"/>
              <w:spacing w:line="360" w:lineRule="auto"/>
              <w:rPr>
                <w:rFonts w:hint="eastAsia"/>
                <w:color w:val="auto"/>
                <w:highlight w:val="none"/>
                <w:lang w:val="en-US" w:eastAsia="zh-CN"/>
              </w:rPr>
            </w:pPr>
            <w:r>
              <w:rPr>
                <w:rFonts w:hint="eastAsia"/>
                <w:color w:val="auto"/>
                <w:highlight w:val="none"/>
                <w:lang w:val="en-US" w:eastAsia="zh-CN"/>
              </w:rPr>
              <w:t>（1）支持射击过程举枪瞄准轨迹采集功能，为便于区分路径移动范围和走向，轨迹线需具备不同环数显示不同颜色功能，同时具备射击过程轨迹回放功能，便于教练员和射击作事后分析；提供国家认可的具有相关资质的第三方检测机构出具的带有CMA或CNAS标志的（检测）报告或软件截图；完全满足得0.5分，提供不满足要求或未提供的不得分。</w:t>
            </w:r>
          </w:p>
          <w:p w14:paraId="583DD25C">
            <w:pPr>
              <w:bidi w:val="0"/>
              <w:spacing w:line="360" w:lineRule="auto"/>
              <w:rPr>
                <w:rFonts w:hint="eastAsia"/>
                <w:color w:val="auto"/>
                <w:highlight w:val="none"/>
                <w:lang w:val="en-US" w:eastAsia="zh-CN"/>
              </w:rPr>
            </w:pPr>
            <w:r>
              <w:rPr>
                <w:rFonts w:hint="eastAsia"/>
                <w:color w:val="auto"/>
                <w:highlight w:val="none"/>
                <w:lang w:val="en-US" w:eastAsia="zh-CN"/>
              </w:rPr>
              <w:t>（2）支持射击训练全流程（举枪、瞄准、击发、击发后）视频录制功能，录制视频支持不同速率回放，回放视频中据枪轨迹与实时视频画面同步显示，便于射击问题详细分析，视频进度条可拖动，自动标记击发瞬间视频进度条位置，便于教练员和射手对击发瞬间进行特定分析；提供国家认可的具有相关资质的第三方检测机构出具的带有CMA或CNAS标志的（检测）报告或软件截图；完全满足得0.5分，提供不满足要求或未提供的不得分。</w:t>
            </w:r>
          </w:p>
          <w:p w14:paraId="3A0469BA">
            <w:pPr>
              <w:bidi w:val="0"/>
              <w:spacing w:line="360" w:lineRule="auto"/>
              <w:rPr>
                <w:rFonts w:hint="eastAsia"/>
                <w:color w:val="auto"/>
                <w:highlight w:val="none"/>
                <w:lang w:val="en-US" w:eastAsia="zh-CN"/>
              </w:rPr>
            </w:pPr>
            <w:r>
              <w:rPr>
                <w:rFonts w:hint="eastAsia"/>
                <w:color w:val="auto"/>
                <w:highlight w:val="none"/>
                <w:lang w:val="en-US" w:eastAsia="zh-CN"/>
              </w:rPr>
              <w:t>（3）具备扳机预压瞬间检测功能；提供国家认可的具有相关资质的第三方检测机构出具的带有CMA或CNAS标志的（检测）报告或软件截图；完全满足得0.5分，提供不满足要求或未提供的不得分。</w:t>
            </w:r>
          </w:p>
          <w:p w14:paraId="4EE693DE">
            <w:pPr>
              <w:bidi w:val="0"/>
              <w:spacing w:line="360" w:lineRule="auto"/>
              <w:rPr>
                <w:rFonts w:hint="eastAsia"/>
                <w:color w:val="auto"/>
                <w:highlight w:val="none"/>
                <w:lang w:val="en-US" w:eastAsia="zh-CN"/>
              </w:rPr>
            </w:pPr>
            <w:r>
              <w:rPr>
                <w:rFonts w:hint="eastAsia"/>
                <w:color w:val="auto"/>
                <w:highlight w:val="none"/>
                <w:lang w:val="en-US" w:eastAsia="zh-CN"/>
              </w:rPr>
              <w:t>2.枪瞄仪</w:t>
            </w:r>
          </w:p>
          <w:p w14:paraId="1C1E6A53">
            <w:pPr>
              <w:bidi w:val="0"/>
              <w:spacing w:line="360" w:lineRule="auto"/>
              <w:rPr>
                <w:rFonts w:hint="eastAsia"/>
                <w:color w:val="auto"/>
                <w:highlight w:val="none"/>
                <w:lang w:val="en-US" w:eastAsia="zh-CN"/>
              </w:rPr>
            </w:pPr>
            <w:r>
              <w:rPr>
                <w:rFonts w:hint="eastAsia"/>
                <w:color w:val="auto"/>
                <w:highlight w:val="none"/>
                <w:lang w:val="en-US" w:eastAsia="zh-CN"/>
              </w:rPr>
              <w:t>（1）适用距离：支持5-200米不同距离的精度报靶射击训练、1000米内的任意目标射击训练和战术对抗训练；提供国家认可的具有相关资质的第三方检测机构出具的带有CMA或CNAS标志的（检测）报告；完全满足得0.5分，提供不满足要求或未提供的不得分。</w:t>
            </w:r>
          </w:p>
          <w:p w14:paraId="4C334677">
            <w:pPr>
              <w:bidi w:val="0"/>
              <w:spacing w:line="360" w:lineRule="auto"/>
              <w:rPr>
                <w:rFonts w:hint="eastAsia"/>
                <w:color w:val="auto"/>
                <w:highlight w:val="none"/>
                <w:lang w:val="en-US" w:eastAsia="zh-CN"/>
              </w:rPr>
            </w:pPr>
            <w:r>
              <w:rPr>
                <w:rFonts w:hint="eastAsia"/>
                <w:color w:val="auto"/>
                <w:highlight w:val="none"/>
                <w:lang w:val="en-US" w:eastAsia="zh-CN"/>
              </w:rPr>
              <w:t>（2）抗冲击性：具备承受实弹射击冲击能力，抗冲击性≥300G加速度瞬间冲击；提供国家认可的具有相关资质的第三方检测机构出具的带有CMA或CNAS标志的（检测）报告；完全满足得1分，不满足得0分。</w:t>
            </w:r>
          </w:p>
        </w:tc>
      </w:tr>
      <w:tr w14:paraId="2B9EC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5D6E7C37">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50E44D51">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right w:val="single" w:color="auto" w:sz="4" w:space="0"/>
            </w:tcBorders>
          </w:tcPr>
          <w:p w14:paraId="09D4ECEE">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300573A1">
            <w:pPr>
              <w:bidi w:val="0"/>
              <w:spacing w:line="360" w:lineRule="auto"/>
              <w:jc w:val="center"/>
              <w:rPr>
                <w:rFonts w:hint="eastAsia"/>
                <w:color w:val="auto"/>
                <w:highlight w:val="none"/>
                <w:lang w:val="en-US" w:eastAsia="zh-CN"/>
              </w:rPr>
            </w:pPr>
            <w:r>
              <w:rPr>
                <w:rFonts w:hint="eastAsia"/>
                <w:color w:val="auto"/>
                <w:highlight w:val="none"/>
                <w:lang w:val="en-US" w:eastAsia="zh-CN"/>
              </w:rPr>
              <w:t>可移动防弹器（1分）</w:t>
            </w:r>
          </w:p>
        </w:tc>
        <w:tc>
          <w:tcPr>
            <w:tcW w:w="6322" w:type="dxa"/>
            <w:tcBorders>
              <w:top w:val="single" w:color="auto" w:sz="4" w:space="0"/>
              <w:left w:val="single" w:color="auto" w:sz="4" w:space="0"/>
              <w:bottom w:val="single" w:color="auto" w:sz="4" w:space="0"/>
              <w:right w:val="single" w:color="auto" w:sz="4" w:space="0"/>
            </w:tcBorders>
            <w:vAlign w:val="center"/>
          </w:tcPr>
          <w:p w14:paraId="2B501914">
            <w:pPr>
              <w:bidi w:val="0"/>
              <w:spacing w:line="360" w:lineRule="auto"/>
              <w:rPr>
                <w:rFonts w:hint="eastAsia"/>
                <w:color w:val="auto"/>
                <w:highlight w:val="none"/>
                <w:lang w:val="en-US" w:eastAsia="zh-CN"/>
              </w:rPr>
            </w:pPr>
            <w:r>
              <w:rPr>
                <w:rFonts w:hint="eastAsia"/>
                <w:color w:val="auto"/>
                <w:highlight w:val="none"/>
                <w:lang w:val="en-US" w:eastAsia="zh-CN"/>
              </w:rPr>
              <w:t>手枪弹痕深度≤0.7mm，步枪弹痕深≤0.7mm，具备上下左右位置的弹痕深度记录，测量方位不少于4个，弹痕测量位置不少于6个；投标人提供公安部特种警用装备质量监督检验中心或国家认可的第三方具有相应资质检测机构出具有效的合格检验报告作为佐证材料的得1分；不满足或未提供的不得分。</w:t>
            </w:r>
          </w:p>
        </w:tc>
      </w:tr>
      <w:tr w14:paraId="2DF17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60A1A718">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30ACE061">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5289CB35">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7BB651C">
            <w:pPr>
              <w:bidi w:val="0"/>
              <w:spacing w:line="360" w:lineRule="auto"/>
              <w:jc w:val="center"/>
              <w:rPr>
                <w:rFonts w:hint="eastAsia"/>
                <w:color w:val="auto"/>
                <w:highlight w:val="none"/>
                <w:lang w:val="en-US" w:eastAsia="zh-CN"/>
              </w:rPr>
            </w:pPr>
            <w:r>
              <w:rPr>
                <w:rFonts w:hint="eastAsia"/>
                <w:color w:val="auto"/>
                <w:highlight w:val="none"/>
                <w:lang w:val="en-US" w:eastAsia="zh-CN"/>
              </w:rPr>
              <w:t>通过式安检门（3分）</w:t>
            </w:r>
          </w:p>
        </w:tc>
        <w:tc>
          <w:tcPr>
            <w:tcW w:w="6322" w:type="dxa"/>
            <w:tcBorders>
              <w:top w:val="single" w:color="auto" w:sz="4" w:space="0"/>
              <w:left w:val="single" w:color="auto" w:sz="4" w:space="0"/>
              <w:bottom w:val="single" w:color="auto" w:sz="4" w:space="0"/>
              <w:right w:val="single" w:color="auto" w:sz="4" w:space="0"/>
            </w:tcBorders>
            <w:vAlign w:val="center"/>
          </w:tcPr>
          <w:p w14:paraId="5B2F4FD4">
            <w:pPr>
              <w:bidi w:val="0"/>
              <w:spacing w:line="360" w:lineRule="auto"/>
              <w:rPr>
                <w:rFonts w:hint="eastAsia"/>
                <w:color w:val="auto"/>
                <w:highlight w:val="none"/>
                <w:lang w:val="en-US" w:eastAsia="zh-CN"/>
              </w:rPr>
            </w:pPr>
            <w:r>
              <w:rPr>
                <w:rFonts w:hint="eastAsia"/>
                <w:color w:val="auto"/>
                <w:highlight w:val="none"/>
                <w:lang w:val="en-US" w:eastAsia="zh-CN"/>
              </w:rPr>
              <w:t>磁感应强度限制：在探测区左右边界各向内150mm的区域中，任意一点的磁感应强度均应小于等于10</w:t>
            </w:r>
            <w:r>
              <w:rPr>
                <w:rFonts w:hint="eastAsia"/>
                <w:color w:val="auto"/>
                <w:highlight w:val="none"/>
                <w:lang w:val="en-US" w:eastAsia="zh-CN"/>
              </w:rPr>
              <w:sym w:font="Symbol" w:char="F06D"/>
            </w:r>
            <w:r>
              <w:rPr>
                <w:rFonts w:hint="eastAsia"/>
                <w:color w:val="auto"/>
                <w:highlight w:val="none"/>
                <w:lang w:val="en-US" w:eastAsia="zh-CN"/>
              </w:rPr>
              <w:t>T；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1258AB18">
            <w:pPr>
              <w:bidi w:val="0"/>
              <w:spacing w:line="360" w:lineRule="auto"/>
              <w:rPr>
                <w:rFonts w:hint="eastAsia"/>
                <w:color w:val="auto"/>
                <w:highlight w:val="none"/>
                <w:lang w:val="en-US" w:eastAsia="zh-CN"/>
              </w:rPr>
            </w:pPr>
            <w:r>
              <w:rPr>
                <w:rFonts w:hint="eastAsia"/>
                <w:color w:val="auto"/>
                <w:highlight w:val="none"/>
                <w:lang w:val="en-US" w:eastAsia="zh-CN"/>
              </w:rPr>
              <w:t>最低探测高度：在离地2cm高度处以一个直径20mm铁球为测试物，以接近1m/s的速度通过安检门，系统应报警；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0380D8F2">
            <w:pPr>
              <w:bidi w:val="0"/>
              <w:spacing w:line="360" w:lineRule="auto"/>
              <w:rPr>
                <w:rFonts w:hint="eastAsia"/>
                <w:color w:val="auto"/>
                <w:highlight w:val="none"/>
                <w:lang w:val="en-US" w:eastAsia="zh-CN"/>
              </w:rPr>
            </w:pPr>
            <w:r>
              <w:rPr>
                <w:rFonts w:hint="eastAsia"/>
                <w:color w:val="auto"/>
                <w:highlight w:val="none"/>
                <w:lang w:val="en-US" w:eastAsia="zh-CN"/>
              </w:rPr>
              <w:t>回形针探测能力：以3cm的回形针为测试物，以接近1m/s的速度通过安检门，系统应报警；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tc>
      </w:tr>
      <w:tr w14:paraId="6639B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03F4317A">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74FDFD3D">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1E7CE00B">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4FFAB5C">
            <w:pPr>
              <w:bidi w:val="0"/>
              <w:spacing w:line="360" w:lineRule="auto"/>
              <w:jc w:val="center"/>
              <w:rPr>
                <w:rFonts w:hint="eastAsia"/>
                <w:color w:val="auto"/>
                <w:highlight w:val="none"/>
                <w:lang w:val="en-US" w:eastAsia="zh-CN"/>
              </w:rPr>
            </w:pPr>
            <w:r>
              <w:rPr>
                <w:rFonts w:hint="eastAsia"/>
                <w:color w:val="auto"/>
                <w:highlight w:val="none"/>
                <w:lang w:val="en-US" w:eastAsia="zh-CN"/>
              </w:rPr>
              <w:t>智能长短枪柜（4分）</w:t>
            </w:r>
          </w:p>
        </w:tc>
        <w:tc>
          <w:tcPr>
            <w:tcW w:w="6322" w:type="dxa"/>
            <w:tcBorders>
              <w:top w:val="single" w:color="auto" w:sz="4" w:space="0"/>
              <w:left w:val="single" w:color="auto" w:sz="4" w:space="0"/>
              <w:bottom w:val="single" w:color="auto" w:sz="4" w:space="0"/>
              <w:right w:val="single" w:color="auto" w:sz="4" w:space="0"/>
            </w:tcBorders>
            <w:vAlign w:val="center"/>
          </w:tcPr>
          <w:p w14:paraId="6E63ACC5">
            <w:pPr>
              <w:bidi w:val="0"/>
              <w:spacing w:line="360" w:lineRule="auto"/>
              <w:rPr>
                <w:rFonts w:hint="eastAsia"/>
                <w:color w:val="auto"/>
                <w:highlight w:val="none"/>
                <w:lang w:val="en-US" w:eastAsia="zh-CN"/>
              </w:rPr>
            </w:pPr>
            <w:r>
              <w:rPr>
                <w:rFonts w:hint="eastAsia"/>
                <w:color w:val="auto"/>
                <w:highlight w:val="none"/>
                <w:lang w:val="en-US" w:eastAsia="zh-CN"/>
              </w:rPr>
              <w:t>1.指纹识别率：指纹识别应满足国家要求，认假率应≤0.001%，拒真率应≤0.4%，且在1：1和1：N比对时，平均响应时间应分别为≤23ms和≤270ms（N≥512）；投标人能提供国家安全防范报警系统产品质量监督中心或公安部特种警用装备质量监督检验中心出具的符合要求的指纹识别设备检测报告作为佐证材料的得1分，不满足或未提供的不得分。</w:t>
            </w:r>
          </w:p>
          <w:p w14:paraId="5B549E07">
            <w:pPr>
              <w:bidi w:val="0"/>
              <w:spacing w:line="360" w:lineRule="auto"/>
              <w:rPr>
                <w:rFonts w:hint="eastAsia"/>
                <w:color w:val="auto"/>
                <w:highlight w:val="none"/>
                <w:lang w:val="en-US" w:eastAsia="zh-CN"/>
              </w:rPr>
            </w:pPr>
            <w:r>
              <w:rPr>
                <w:rFonts w:hint="eastAsia"/>
                <w:color w:val="auto"/>
                <w:highlight w:val="none"/>
                <w:lang w:val="en-US" w:eastAsia="zh-CN"/>
              </w:rPr>
              <w:t>2.振动探测器产生报警信号时，其每次持续时间应不小于 1s。应具有灵敏度设置功能在控制软件设置界面可以设置报警等级，最多可以设置16个等级，并且可以自定义设置每个报警等级对应的灵敏度，可设置范围 0～16g。投标人能提供国家安全防范报警系统产品质量监督中心或公安部特种警用装备质量监督检验中心出具的符合要求的振动报警系统检测报告作为佐证材料的得1分，不满足或未提供的不得分。</w:t>
            </w:r>
          </w:p>
          <w:p w14:paraId="6625729E">
            <w:pPr>
              <w:bidi w:val="0"/>
              <w:spacing w:line="360" w:lineRule="auto"/>
              <w:rPr>
                <w:rFonts w:hint="eastAsia"/>
                <w:color w:val="auto"/>
                <w:highlight w:val="none"/>
                <w:lang w:val="en-US" w:eastAsia="zh-CN"/>
              </w:rPr>
            </w:pPr>
            <w:r>
              <w:rPr>
                <w:rFonts w:hint="eastAsia"/>
                <w:color w:val="auto"/>
                <w:highlight w:val="none"/>
                <w:lang w:val="en-US" w:eastAsia="zh-CN"/>
              </w:rPr>
              <w:t>3.酒精漂移量检测：4h内，零点漂移量应≤6mg/100mL。酒精检测的测量范围应为 0mg/100mL～90mg/100mL；投标人能提供国家安全防范报警系统产品质量监督中心或公安部特种警用装备质量监督检验中心出具的符合要求的酒精检测模块检测报告作为佐证材料的得1分，不满足或未提供的不得分。</w:t>
            </w:r>
          </w:p>
          <w:p w14:paraId="78E0E3D5">
            <w:pPr>
              <w:bidi w:val="0"/>
              <w:spacing w:line="360" w:lineRule="auto"/>
              <w:rPr>
                <w:rFonts w:hint="eastAsia"/>
                <w:color w:val="auto"/>
                <w:highlight w:val="none"/>
                <w:lang w:val="en-US" w:eastAsia="zh-CN"/>
              </w:rPr>
            </w:pPr>
            <w:r>
              <w:rPr>
                <w:rFonts w:hint="eastAsia"/>
                <w:color w:val="auto"/>
                <w:highlight w:val="none"/>
                <w:lang w:val="en-US" w:eastAsia="zh-CN"/>
              </w:rPr>
              <w:t>4.人脸识别的检测频率应≥10次/秒。在同一设定阈值条件下，在有效探测集总数量≥10万张时，且设备的错误接受率（FAR）应≤0.05%时，错误拒绝率(FRR)应≤3%；投标人提供国家安全防范报警系统产品质量监督中心或公安部特种警用装备质量监督检验中心出具的符合要求的人脸识别设备检测报告作为佐证材料的得1分，不满足或未提供的不得分。</w:t>
            </w:r>
          </w:p>
        </w:tc>
      </w:tr>
      <w:tr w14:paraId="5C505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7778D6B2">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15C45D02">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64020E9D">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595BBC1E">
            <w:pPr>
              <w:bidi w:val="0"/>
              <w:spacing w:line="360" w:lineRule="auto"/>
              <w:jc w:val="center"/>
              <w:rPr>
                <w:rFonts w:hint="eastAsia"/>
                <w:color w:val="auto"/>
                <w:highlight w:val="none"/>
                <w:lang w:val="en-US" w:eastAsia="zh-CN"/>
              </w:rPr>
            </w:pPr>
            <w:r>
              <w:rPr>
                <w:rFonts w:hint="eastAsia"/>
                <w:color w:val="auto"/>
                <w:highlight w:val="none"/>
                <w:lang w:val="en-US" w:eastAsia="zh-CN"/>
              </w:rPr>
              <w:t>智能弹药柜 （4分）</w:t>
            </w:r>
          </w:p>
        </w:tc>
        <w:tc>
          <w:tcPr>
            <w:tcW w:w="6322" w:type="dxa"/>
            <w:tcBorders>
              <w:top w:val="single" w:color="auto" w:sz="4" w:space="0"/>
              <w:left w:val="single" w:color="auto" w:sz="4" w:space="0"/>
              <w:bottom w:val="single" w:color="auto" w:sz="4" w:space="0"/>
              <w:right w:val="single" w:color="auto" w:sz="4" w:space="0"/>
            </w:tcBorders>
            <w:vAlign w:val="center"/>
          </w:tcPr>
          <w:p w14:paraId="0936FF62">
            <w:pPr>
              <w:bidi w:val="0"/>
              <w:spacing w:line="360" w:lineRule="auto"/>
              <w:rPr>
                <w:rFonts w:hint="eastAsia"/>
                <w:color w:val="auto"/>
                <w:highlight w:val="none"/>
                <w:lang w:val="en-US" w:eastAsia="zh-CN"/>
              </w:rPr>
            </w:pPr>
            <w:r>
              <w:rPr>
                <w:rFonts w:hint="eastAsia"/>
                <w:color w:val="auto"/>
                <w:highlight w:val="none"/>
                <w:lang w:val="en-US" w:eastAsia="zh-CN"/>
              </w:rPr>
              <w:t>1.指纹识别率：指纹识别应满足国家要求，认假率应≤0.001%，拒真率应≤0.4%，且在1：1和1：N比对时，平均响应时间应分别为≤23ms和≤270ms（N≥512）；投标人能提供国家安全防范报警系统产品质量监督中心或公安部特种警用装备质量监督检验中心出具的符合要求的指纹识别设备检测报告作为佐证材料的得1分，不满足或未提供的不得分。</w:t>
            </w:r>
          </w:p>
          <w:p w14:paraId="05C2C2FC">
            <w:pPr>
              <w:bidi w:val="0"/>
              <w:spacing w:line="360" w:lineRule="auto"/>
              <w:rPr>
                <w:rFonts w:hint="eastAsia"/>
                <w:color w:val="auto"/>
                <w:highlight w:val="none"/>
                <w:lang w:val="en-US" w:eastAsia="zh-CN"/>
              </w:rPr>
            </w:pPr>
            <w:r>
              <w:rPr>
                <w:rFonts w:hint="eastAsia"/>
                <w:color w:val="auto"/>
                <w:highlight w:val="none"/>
                <w:lang w:val="en-US" w:eastAsia="zh-CN"/>
              </w:rPr>
              <w:t>2.振动探测器产生报警信号时，其每次持续时间应不小于1s。应具有灵敏度设置功能在控制软件设置界面可以设置报警等级，最多可以设置16个等级，并且可以自定义设置每个报警等级对应的灵敏度，可设置范围 0～16g。投标人能提供国家安全防范报警系统产品质量监督中心或公安部特种警用装备质量监督检验中心出具的符合要求的振动报警系统检测报告作为佐证材料的得1分，不满足或未提供的不得分。</w:t>
            </w:r>
          </w:p>
          <w:p w14:paraId="6257374D">
            <w:pPr>
              <w:bidi w:val="0"/>
              <w:spacing w:line="360" w:lineRule="auto"/>
              <w:rPr>
                <w:rFonts w:hint="eastAsia"/>
                <w:color w:val="auto"/>
                <w:highlight w:val="none"/>
                <w:lang w:val="en-US" w:eastAsia="zh-CN"/>
              </w:rPr>
            </w:pPr>
            <w:r>
              <w:rPr>
                <w:rFonts w:hint="eastAsia"/>
                <w:color w:val="auto"/>
                <w:highlight w:val="none"/>
                <w:lang w:val="en-US" w:eastAsia="zh-CN"/>
              </w:rPr>
              <w:t>3.酒精漂移量检测：4h内，零点漂移量应≤6mg/100mL。酒精检测的测量范围应为 0mg/100mL～90mg/100mL；投标人能提供国家安全防范报警系统产品质量监督中心或公安部特种警用装备质量监督检验中心出具的符合要求的酒精检测模块检测报告作为佐证材料的得1分，不满足或未提供的不得分。</w:t>
            </w:r>
          </w:p>
          <w:p w14:paraId="477C3718">
            <w:pPr>
              <w:bidi w:val="0"/>
              <w:spacing w:line="360" w:lineRule="auto"/>
              <w:rPr>
                <w:rFonts w:hint="eastAsia"/>
                <w:color w:val="auto"/>
                <w:highlight w:val="none"/>
                <w:lang w:val="en-US" w:eastAsia="zh-CN"/>
              </w:rPr>
            </w:pPr>
            <w:r>
              <w:rPr>
                <w:rFonts w:hint="eastAsia"/>
                <w:color w:val="auto"/>
                <w:highlight w:val="none"/>
                <w:lang w:val="en-US" w:eastAsia="zh-CN"/>
              </w:rPr>
              <w:t>4.人脸识别的检测频率应≥10次/秒。在同一设定阈值条件下，在有效探测集总数量≥10万张时，且设备的错误接受率（FAR）应≤0.05%时，错误拒绝率(FRR)应≤3%；投标人提供国家安全防范报警系统产品质量监督中心或公安部特种警用装备质量监督检验中心出具的符合要求的人脸识别设备检测报告作为佐证材料的得1分，不满足或未提供的不得分。</w:t>
            </w:r>
          </w:p>
        </w:tc>
      </w:tr>
      <w:tr w14:paraId="7F2B8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right w:val="single" w:color="auto" w:sz="4" w:space="0"/>
            </w:tcBorders>
          </w:tcPr>
          <w:p w14:paraId="1180F0CE">
            <w:pPr>
              <w:pStyle w:val="140"/>
              <w:spacing w:line="360" w:lineRule="auto"/>
              <w:rPr>
                <w:rFonts w:hint="eastAsia" w:asciiTheme="minorEastAsia" w:hAnsiTheme="minorEastAsia" w:eastAsiaTheme="minorEastAsia" w:cstheme="minorEastAsia"/>
                <w:b/>
                <w:bCs/>
                <w:color w:val="auto"/>
                <w:spacing w:val="-3"/>
                <w:sz w:val="21"/>
                <w:szCs w:val="21"/>
                <w:highlight w:val="none"/>
              </w:rPr>
            </w:pPr>
          </w:p>
        </w:tc>
        <w:tc>
          <w:tcPr>
            <w:tcW w:w="657" w:type="dxa"/>
            <w:vMerge w:val="continue"/>
            <w:tcBorders>
              <w:left w:val="single" w:color="auto" w:sz="4" w:space="0"/>
              <w:right w:val="single" w:color="auto" w:sz="4" w:space="0"/>
            </w:tcBorders>
          </w:tcPr>
          <w:p w14:paraId="044A64CC">
            <w:pPr>
              <w:pStyle w:val="140"/>
              <w:spacing w:line="360" w:lineRule="auto"/>
              <w:rPr>
                <w:rFonts w:hint="eastAsia" w:asciiTheme="minorEastAsia" w:hAnsiTheme="minorEastAsia" w:eastAsiaTheme="minorEastAsia" w:cstheme="minorEastAsia"/>
                <w:b/>
                <w:bCs/>
                <w:color w:val="auto"/>
                <w:spacing w:val="5"/>
                <w:sz w:val="21"/>
                <w:szCs w:val="21"/>
                <w:highlight w:val="none"/>
              </w:rPr>
            </w:pPr>
          </w:p>
        </w:tc>
        <w:tc>
          <w:tcPr>
            <w:tcW w:w="1250" w:type="dxa"/>
            <w:vMerge w:val="continue"/>
            <w:tcBorders>
              <w:left w:val="single" w:color="auto" w:sz="4" w:space="0"/>
              <w:bottom w:val="single" w:color="auto" w:sz="4" w:space="0"/>
              <w:right w:val="single" w:color="auto" w:sz="4" w:space="0"/>
            </w:tcBorders>
          </w:tcPr>
          <w:p w14:paraId="54192493">
            <w:pPr>
              <w:pStyle w:val="140"/>
              <w:spacing w:line="360" w:lineRule="auto"/>
              <w:rPr>
                <w:rFonts w:hint="eastAsia" w:asciiTheme="minorEastAsia" w:hAnsiTheme="minorEastAsia" w:eastAsiaTheme="minorEastAsia" w:cstheme="minorEastAsia"/>
                <w:color w:val="auto"/>
                <w:spacing w:val="7"/>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B6A5678">
            <w:pPr>
              <w:bidi w:val="0"/>
              <w:spacing w:line="360" w:lineRule="auto"/>
              <w:rPr>
                <w:rFonts w:hint="eastAsia"/>
                <w:color w:val="auto"/>
                <w:highlight w:val="none"/>
                <w:lang w:val="en-US" w:eastAsia="zh-CN"/>
              </w:rPr>
            </w:pPr>
          </w:p>
          <w:p w14:paraId="242DF7AC">
            <w:pPr>
              <w:bidi w:val="0"/>
              <w:spacing w:line="360" w:lineRule="auto"/>
              <w:jc w:val="center"/>
              <w:rPr>
                <w:rFonts w:hint="eastAsia"/>
                <w:color w:val="auto"/>
                <w:highlight w:val="none"/>
                <w:lang w:val="en-US" w:eastAsia="zh-CN"/>
              </w:rPr>
            </w:pPr>
            <w:r>
              <w:rPr>
                <w:rFonts w:hint="eastAsia"/>
                <w:color w:val="auto"/>
                <w:highlight w:val="none"/>
                <w:lang w:val="en-US" w:eastAsia="zh-CN"/>
              </w:rPr>
              <w:t>智能弹药发放机（3分）</w:t>
            </w:r>
          </w:p>
        </w:tc>
        <w:tc>
          <w:tcPr>
            <w:tcW w:w="6322" w:type="dxa"/>
            <w:tcBorders>
              <w:top w:val="single" w:color="auto" w:sz="4" w:space="0"/>
              <w:left w:val="single" w:color="auto" w:sz="4" w:space="0"/>
              <w:bottom w:val="single" w:color="auto" w:sz="4" w:space="0"/>
              <w:right w:val="single" w:color="auto" w:sz="4" w:space="0"/>
            </w:tcBorders>
            <w:vAlign w:val="center"/>
          </w:tcPr>
          <w:p w14:paraId="3E0CD7C7">
            <w:pPr>
              <w:bidi w:val="0"/>
              <w:spacing w:line="360" w:lineRule="auto"/>
              <w:rPr>
                <w:rFonts w:hint="eastAsia"/>
                <w:color w:val="auto"/>
                <w:highlight w:val="none"/>
                <w:lang w:val="en-US" w:eastAsia="zh-CN"/>
              </w:rPr>
            </w:pPr>
            <w:r>
              <w:rPr>
                <w:rFonts w:hint="eastAsia"/>
                <w:color w:val="auto"/>
                <w:highlight w:val="none"/>
                <w:lang w:val="en-US" w:eastAsia="zh-CN"/>
              </w:rPr>
              <w:t>发弹准确率：在入弹仓子弹数量不大于150颗的情况下，设定1～30颗任意子弹的发放数量，发放不低于20次，发放数量均应准确无误；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3932BD59">
            <w:pPr>
              <w:bidi w:val="0"/>
              <w:spacing w:line="360" w:lineRule="auto"/>
              <w:rPr>
                <w:rFonts w:hint="eastAsia"/>
                <w:color w:val="auto"/>
                <w:highlight w:val="none"/>
                <w:lang w:val="en-US" w:eastAsia="zh-CN"/>
              </w:rPr>
            </w:pPr>
            <w:r>
              <w:rPr>
                <w:rFonts w:hint="eastAsia"/>
                <w:color w:val="auto"/>
                <w:highlight w:val="none"/>
                <w:lang w:val="en-US" w:eastAsia="zh-CN"/>
              </w:rPr>
              <w:t>具有余弹快速计数回收功能和弹仓弹量不足提醒功能；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p w14:paraId="7B57A4AA">
            <w:pPr>
              <w:bidi w:val="0"/>
              <w:spacing w:line="360" w:lineRule="auto"/>
              <w:rPr>
                <w:rFonts w:hint="eastAsia"/>
                <w:color w:val="auto"/>
                <w:highlight w:val="none"/>
                <w:lang w:val="en-US" w:eastAsia="zh-CN"/>
              </w:rPr>
            </w:pPr>
            <w:r>
              <w:rPr>
                <w:rFonts w:hint="eastAsia"/>
                <w:color w:val="auto"/>
                <w:highlight w:val="none"/>
                <w:lang w:val="en-US" w:eastAsia="zh-CN"/>
              </w:rPr>
              <w:t>人证核验功能：具有身份证识读功能和人脸识别功能，能够识读有效二代居民身份证，并能进行人脸识别及人证比对，判别人证是否一致。身份证识读功能和人脸识别功能的核验时间应不大于5秒；投标人能提供公安部特种警用装备质量监督检验中心或公安部安全防范报警系统产品质量监督检验测试中心或国家认可的第三方具有相应资质检测机构出具有效的合格检验报告作为佐证材料的得1分；不满足或未提供的不得分。</w:t>
            </w:r>
          </w:p>
        </w:tc>
      </w:tr>
      <w:tr w14:paraId="74441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top w:val="single" w:color="auto" w:sz="4" w:space="0"/>
              <w:left w:val="single" w:color="auto" w:sz="4" w:space="0"/>
              <w:bottom w:val="single" w:color="auto" w:sz="4" w:space="0"/>
              <w:right w:val="single" w:color="auto" w:sz="4" w:space="0"/>
            </w:tcBorders>
          </w:tcPr>
          <w:p w14:paraId="1A4E3F2D">
            <w:pPr>
              <w:spacing w:line="360" w:lineRule="auto"/>
              <w:rPr>
                <w:rFonts w:hint="eastAsia" w:asciiTheme="minorEastAsia" w:hAnsiTheme="minorEastAsia" w:eastAsiaTheme="minorEastAsia" w:cstheme="minorEastAsia"/>
                <w:color w:val="auto"/>
                <w:sz w:val="21"/>
                <w:szCs w:val="21"/>
                <w:highlight w:val="none"/>
              </w:rPr>
            </w:pPr>
          </w:p>
        </w:tc>
        <w:tc>
          <w:tcPr>
            <w:tcW w:w="657" w:type="dxa"/>
            <w:vMerge w:val="continue"/>
            <w:tcBorders>
              <w:left w:val="single" w:color="auto" w:sz="4" w:space="0"/>
              <w:right w:val="single" w:color="auto" w:sz="4" w:space="0"/>
            </w:tcBorders>
          </w:tcPr>
          <w:p w14:paraId="7DF360E1">
            <w:pPr>
              <w:spacing w:line="360" w:lineRule="auto"/>
              <w:rPr>
                <w:rFonts w:hint="eastAsia" w:asciiTheme="minorEastAsia" w:hAnsiTheme="minorEastAsia" w:eastAsiaTheme="minorEastAsia" w:cstheme="minorEastAsia"/>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01B751E4">
            <w:pPr>
              <w:bidi w:val="0"/>
              <w:spacing w:line="360" w:lineRule="auto"/>
              <w:jc w:val="center"/>
              <w:rPr>
                <w:rFonts w:hint="eastAsia"/>
                <w:color w:val="auto"/>
                <w:highlight w:val="none"/>
                <w:lang w:val="en-US" w:eastAsia="zh-CN"/>
              </w:rPr>
            </w:pPr>
            <w:r>
              <w:rPr>
                <w:rFonts w:hint="eastAsia"/>
                <w:color w:val="auto"/>
                <w:highlight w:val="none"/>
                <w:lang w:val="en-US" w:eastAsia="zh-CN"/>
              </w:rPr>
              <w:t>质量保证期、服务响应时间（满分8分）</w:t>
            </w:r>
          </w:p>
        </w:tc>
        <w:tc>
          <w:tcPr>
            <w:tcW w:w="7485" w:type="dxa"/>
            <w:gridSpan w:val="2"/>
            <w:tcBorders>
              <w:top w:val="single" w:color="auto" w:sz="4" w:space="0"/>
              <w:left w:val="single" w:color="auto" w:sz="4" w:space="0"/>
              <w:bottom w:val="single" w:color="auto" w:sz="4" w:space="0"/>
              <w:right w:val="single" w:color="auto" w:sz="4" w:space="0"/>
            </w:tcBorders>
          </w:tcPr>
          <w:p w14:paraId="07A03CB2">
            <w:pPr>
              <w:bidi w:val="0"/>
              <w:spacing w:line="360" w:lineRule="auto"/>
              <w:rPr>
                <w:rFonts w:hint="eastAsia"/>
                <w:color w:val="auto"/>
                <w:highlight w:val="none"/>
                <w:lang w:val="en-US" w:eastAsia="zh-CN"/>
              </w:rPr>
            </w:pPr>
            <w:r>
              <w:rPr>
                <w:rFonts w:hint="eastAsia"/>
                <w:color w:val="auto"/>
                <w:highlight w:val="none"/>
                <w:lang w:val="en-US" w:eastAsia="zh-CN"/>
              </w:rPr>
              <w:t>根据投标人提供的质量保证服务响应时间、质量保证等进行评审：</w:t>
            </w:r>
          </w:p>
          <w:p w14:paraId="50EB1233">
            <w:pPr>
              <w:bidi w:val="0"/>
              <w:spacing w:line="360" w:lineRule="auto"/>
              <w:rPr>
                <w:rFonts w:hint="eastAsia"/>
                <w:color w:val="auto"/>
                <w:highlight w:val="none"/>
                <w:lang w:val="en-US" w:eastAsia="zh-CN"/>
              </w:rPr>
            </w:pPr>
            <w:r>
              <w:rPr>
                <w:rFonts w:hint="eastAsia"/>
                <w:b/>
                <w:bCs/>
                <w:color w:val="auto"/>
                <w:highlight w:val="none"/>
                <w:lang w:val="en-US" w:eastAsia="zh-CN"/>
              </w:rPr>
              <w:t>一档（2分）：</w:t>
            </w:r>
            <w:r>
              <w:rPr>
                <w:rFonts w:hint="eastAsia"/>
                <w:color w:val="auto"/>
                <w:highlight w:val="none"/>
                <w:lang w:val="en-US" w:eastAsia="zh-CN"/>
              </w:rPr>
              <w:t>质量保证期、服务响应时间满足采购文件要求；且有质量保证方案内容，但其内容与本项目无关或多以名词解释为主；</w:t>
            </w:r>
          </w:p>
          <w:p w14:paraId="4406DA05">
            <w:pPr>
              <w:bidi w:val="0"/>
              <w:spacing w:line="360" w:lineRule="auto"/>
              <w:rPr>
                <w:rFonts w:hint="eastAsia"/>
                <w:color w:val="auto"/>
                <w:highlight w:val="none"/>
                <w:lang w:val="en-US" w:eastAsia="zh-CN"/>
              </w:rPr>
            </w:pPr>
            <w:r>
              <w:rPr>
                <w:rFonts w:hint="eastAsia"/>
                <w:b/>
                <w:bCs/>
                <w:color w:val="auto"/>
                <w:highlight w:val="none"/>
                <w:lang w:val="en-US" w:eastAsia="zh-CN"/>
              </w:rPr>
              <w:t>二档（5分）：</w:t>
            </w:r>
            <w:r>
              <w:rPr>
                <w:rFonts w:hint="eastAsia"/>
                <w:color w:val="auto"/>
                <w:highlight w:val="none"/>
                <w:lang w:val="en-US" w:eastAsia="zh-CN"/>
              </w:rPr>
              <w:t>质量保证期不少于2年，服务响应时间优于采购文件要求；且质量保证方案合理，能提供针对本项目的安全、质量控制及承诺；</w:t>
            </w:r>
          </w:p>
          <w:p w14:paraId="4F2C5D4D">
            <w:pPr>
              <w:bidi w:val="0"/>
              <w:spacing w:line="360" w:lineRule="auto"/>
              <w:rPr>
                <w:rFonts w:hint="eastAsia"/>
                <w:color w:val="auto"/>
                <w:highlight w:val="none"/>
                <w:lang w:val="en-US" w:eastAsia="zh-CN"/>
              </w:rPr>
            </w:pPr>
            <w:r>
              <w:rPr>
                <w:rFonts w:hint="eastAsia"/>
                <w:b/>
                <w:bCs/>
                <w:color w:val="auto"/>
                <w:highlight w:val="none"/>
                <w:lang w:val="en-US" w:eastAsia="zh-CN"/>
              </w:rPr>
              <w:t>三档（8分）：</w:t>
            </w:r>
            <w:r>
              <w:rPr>
                <w:rFonts w:hint="eastAsia"/>
                <w:color w:val="auto"/>
                <w:highlight w:val="none"/>
                <w:lang w:val="en-US" w:eastAsia="zh-CN"/>
              </w:rPr>
              <w:t>质量保证期不少于3年，服务响应时间优于采购文件要求；且质量保证方案及服务内容等具体、有深入的分析，能提供针对本项目的安全、质量控制及承诺，质量控制有利于项目的实施，确保项目安全、高质量、高效率完成，提供有利于本项目实施的合理化建议。</w:t>
            </w:r>
          </w:p>
        </w:tc>
      </w:tr>
      <w:tr w14:paraId="7B85F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top w:val="single" w:color="auto" w:sz="4" w:space="0"/>
              <w:left w:val="single" w:color="auto" w:sz="4" w:space="0"/>
              <w:bottom w:val="single" w:color="auto" w:sz="4" w:space="0"/>
              <w:right w:val="single" w:color="auto" w:sz="4" w:space="0"/>
            </w:tcBorders>
          </w:tcPr>
          <w:p w14:paraId="4874640E">
            <w:pPr>
              <w:spacing w:line="360" w:lineRule="auto"/>
              <w:rPr>
                <w:rFonts w:hint="eastAsia" w:asciiTheme="minorEastAsia" w:hAnsiTheme="minorEastAsia" w:eastAsiaTheme="minorEastAsia" w:cstheme="minorEastAsia"/>
                <w:color w:val="auto"/>
                <w:sz w:val="21"/>
                <w:szCs w:val="21"/>
                <w:highlight w:val="none"/>
              </w:rPr>
            </w:pPr>
          </w:p>
        </w:tc>
        <w:tc>
          <w:tcPr>
            <w:tcW w:w="657" w:type="dxa"/>
            <w:vMerge w:val="continue"/>
            <w:tcBorders>
              <w:left w:val="single" w:color="auto" w:sz="4" w:space="0"/>
              <w:right w:val="single" w:color="auto" w:sz="4" w:space="0"/>
            </w:tcBorders>
          </w:tcPr>
          <w:p w14:paraId="247C9E30">
            <w:pPr>
              <w:spacing w:line="360" w:lineRule="auto"/>
              <w:rPr>
                <w:rFonts w:hint="eastAsia" w:asciiTheme="minorEastAsia" w:hAnsiTheme="minorEastAsia" w:eastAsiaTheme="minorEastAsia" w:cstheme="minorEastAsia"/>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2F1C6421">
            <w:pPr>
              <w:bidi w:val="0"/>
              <w:spacing w:line="360" w:lineRule="auto"/>
              <w:jc w:val="center"/>
              <w:rPr>
                <w:rFonts w:hint="eastAsia"/>
                <w:color w:val="auto"/>
                <w:highlight w:val="none"/>
                <w:lang w:val="en-US" w:eastAsia="zh-CN"/>
              </w:rPr>
            </w:pPr>
            <w:r>
              <w:rPr>
                <w:rFonts w:hint="eastAsia"/>
                <w:color w:val="auto"/>
                <w:highlight w:val="none"/>
                <w:lang w:val="en-US" w:eastAsia="zh-CN"/>
              </w:rPr>
              <w:t>售后服务方案、应急保障措施（满分10分）</w:t>
            </w:r>
          </w:p>
        </w:tc>
        <w:tc>
          <w:tcPr>
            <w:tcW w:w="7485" w:type="dxa"/>
            <w:gridSpan w:val="2"/>
            <w:tcBorders>
              <w:top w:val="single" w:color="auto" w:sz="4" w:space="0"/>
              <w:left w:val="single" w:color="auto" w:sz="4" w:space="0"/>
              <w:bottom w:val="single" w:color="auto" w:sz="4" w:space="0"/>
              <w:right w:val="single" w:color="auto" w:sz="4" w:space="0"/>
            </w:tcBorders>
          </w:tcPr>
          <w:p w14:paraId="368004AE">
            <w:pPr>
              <w:bidi w:val="0"/>
              <w:spacing w:line="360" w:lineRule="auto"/>
              <w:rPr>
                <w:rFonts w:hint="eastAsia"/>
                <w:color w:val="auto"/>
                <w:highlight w:val="none"/>
                <w:lang w:val="en-US" w:eastAsia="zh-CN"/>
              </w:rPr>
            </w:pPr>
            <w:r>
              <w:rPr>
                <w:rFonts w:hint="eastAsia"/>
                <w:b/>
                <w:bCs/>
                <w:color w:val="auto"/>
                <w:highlight w:val="none"/>
                <w:lang w:val="en-US" w:eastAsia="zh-CN"/>
              </w:rPr>
              <w:t>一档（2 分）：</w:t>
            </w:r>
            <w:r>
              <w:rPr>
                <w:rFonts w:hint="eastAsia"/>
                <w:color w:val="auto"/>
                <w:highlight w:val="none"/>
                <w:lang w:val="en-US" w:eastAsia="zh-CN"/>
              </w:rPr>
              <w:t>基本满足采购文件要求；提供有售后服务承诺；售后服务方案总体评述不全面；应急保障措施制定内容笼统，措施与采购内容无关。</w:t>
            </w:r>
          </w:p>
          <w:p w14:paraId="7D71D557">
            <w:pPr>
              <w:bidi w:val="0"/>
              <w:spacing w:line="360" w:lineRule="auto"/>
              <w:rPr>
                <w:rFonts w:hint="eastAsia"/>
                <w:color w:val="auto"/>
                <w:highlight w:val="none"/>
                <w:lang w:val="en-US" w:eastAsia="zh-CN"/>
              </w:rPr>
            </w:pPr>
            <w:r>
              <w:rPr>
                <w:rFonts w:hint="eastAsia"/>
                <w:b/>
                <w:bCs/>
                <w:color w:val="auto"/>
                <w:highlight w:val="none"/>
                <w:lang w:val="en-US" w:eastAsia="zh-CN"/>
              </w:rPr>
              <w:t>二档（6分）：</w:t>
            </w:r>
            <w:r>
              <w:rPr>
                <w:rFonts w:hint="eastAsia"/>
                <w:color w:val="auto"/>
                <w:highlight w:val="none"/>
                <w:lang w:val="en-US" w:eastAsia="zh-CN"/>
              </w:rPr>
              <w:t>在满足一档的前提下；提供合理的售后服务承诺；有售后服务制度；有实施事项分析，售后服务方案总体评述较全面；提出有建设性的应急保障措施，接到采购人临时需求或突发紧急状况提供有效的 解决方案。</w:t>
            </w:r>
          </w:p>
          <w:p w14:paraId="572F8BC1">
            <w:pPr>
              <w:bidi w:val="0"/>
              <w:spacing w:line="360" w:lineRule="auto"/>
              <w:rPr>
                <w:rFonts w:hint="eastAsia"/>
                <w:color w:val="auto"/>
                <w:highlight w:val="none"/>
                <w:lang w:val="en-US" w:eastAsia="zh-CN"/>
              </w:rPr>
            </w:pPr>
            <w:r>
              <w:rPr>
                <w:rFonts w:hint="eastAsia"/>
                <w:b/>
                <w:bCs/>
                <w:color w:val="auto"/>
                <w:highlight w:val="none"/>
                <w:lang w:val="en-US" w:eastAsia="zh-CN"/>
              </w:rPr>
              <w:t>三档（10分）：</w:t>
            </w:r>
            <w:r>
              <w:rPr>
                <w:rFonts w:hint="eastAsia"/>
                <w:color w:val="auto"/>
                <w:highlight w:val="none"/>
                <w:lang w:val="en-US" w:eastAsia="zh-CN"/>
              </w:rPr>
              <w:t>在满足二档的前提下；提供详细、具体的售后服务承诺；有完整的售后服务制度；对内容、流程详尽有操作性；跟踪指导服务及时，后续跟踪服务内容全面多样；方案总体评述全面、科学；提出具体的、有创意、有针对性的应急保障措施，接到采购人临时需求或突发紧急状况能结合采购人实际情况提供有效、有针对性的解决方案。</w:t>
            </w:r>
          </w:p>
        </w:tc>
      </w:tr>
      <w:tr w14:paraId="214EA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tcBorders>
              <w:top w:val="single" w:color="auto" w:sz="4" w:space="0"/>
              <w:left w:val="single" w:color="auto" w:sz="4" w:space="0"/>
              <w:bottom w:val="single" w:color="auto" w:sz="4" w:space="0"/>
            </w:tcBorders>
          </w:tcPr>
          <w:p w14:paraId="3C051E33">
            <w:pPr>
              <w:spacing w:line="360" w:lineRule="auto"/>
              <w:rPr>
                <w:rFonts w:hint="eastAsia" w:asciiTheme="minorEastAsia" w:hAnsiTheme="minorEastAsia" w:eastAsiaTheme="minorEastAsia" w:cstheme="minorEastAsia"/>
                <w:color w:val="auto"/>
                <w:sz w:val="21"/>
                <w:szCs w:val="21"/>
                <w:highlight w:val="none"/>
              </w:rPr>
            </w:pPr>
          </w:p>
        </w:tc>
        <w:tc>
          <w:tcPr>
            <w:tcW w:w="657" w:type="dxa"/>
            <w:vMerge w:val="continue"/>
            <w:tcBorders>
              <w:left w:val="single" w:color="auto" w:sz="4" w:space="0"/>
              <w:right w:val="single" w:color="auto" w:sz="4" w:space="0"/>
            </w:tcBorders>
          </w:tcPr>
          <w:p w14:paraId="602B8BE0">
            <w:pPr>
              <w:spacing w:line="360" w:lineRule="auto"/>
              <w:rPr>
                <w:rFonts w:hint="eastAsia" w:asciiTheme="minorEastAsia" w:hAnsiTheme="minorEastAsia" w:eastAsiaTheme="minorEastAsia" w:cstheme="minorEastAsia"/>
                <w:color w:val="auto"/>
                <w:sz w:val="21"/>
                <w:szCs w:val="21"/>
                <w:highlight w:val="none"/>
              </w:rPr>
            </w:pPr>
          </w:p>
        </w:tc>
        <w:tc>
          <w:tcPr>
            <w:tcW w:w="1250" w:type="dxa"/>
            <w:tcBorders>
              <w:top w:val="single" w:color="auto" w:sz="4" w:space="0"/>
              <w:bottom w:val="single" w:color="auto" w:sz="4" w:space="0"/>
            </w:tcBorders>
            <w:vAlign w:val="center"/>
          </w:tcPr>
          <w:p w14:paraId="13A3B8AA">
            <w:pPr>
              <w:bidi w:val="0"/>
              <w:spacing w:line="360" w:lineRule="auto"/>
              <w:jc w:val="center"/>
              <w:rPr>
                <w:rFonts w:hint="eastAsia"/>
                <w:color w:val="auto"/>
                <w:highlight w:val="none"/>
                <w:lang w:val="en-US" w:eastAsia="zh-CN"/>
              </w:rPr>
            </w:pPr>
            <w:r>
              <w:rPr>
                <w:rFonts w:hint="eastAsia"/>
                <w:color w:val="auto"/>
                <w:highlight w:val="none"/>
                <w:lang w:val="en-US" w:eastAsia="zh-CN"/>
              </w:rPr>
              <w:t>建设方案</w:t>
            </w:r>
          </w:p>
          <w:p w14:paraId="4D342BA7">
            <w:pPr>
              <w:bidi w:val="0"/>
              <w:spacing w:line="360" w:lineRule="auto"/>
              <w:jc w:val="center"/>
              <w:rPr>
                <w:rFonts w:hint="eastAsia"/>
                <w:color w:val="auto"/>
                <w:highlight w:val="none"/>
                <w:lang w:val="en-US" w:eastAsia="zh-CN"/>
              </w:rPr>
            </w:pPr>
            <w:r>
              <w:rPr>
                <w:rFonts w:hint="eastAsia"/>
                <w:color w:val="auto"/>
                <w:highlight w:val="none"/>
                <w:lang w:val="en-US" w:eastAsia="zh-CN"/>
              </w:rPr>
              <w:t>（满分12分）</w:t>
            </w:r>
          </w:p>
        </w:tc>
        <w:tc>
          <w:tcPr>
            <w:tcW w:w="7485" w:type="dxa"/>
            <w:gridSpan w:val="2"/>
            <w:tcBorders>
              <w:top w:val="single" w:color="auto" w:sz="4" w:space="0"/>
              <w:bottom w:val="single" w:color="auto" w:sz="4" w:space="0"/>
            </w:tcBorders>
          </w:tcPr>
          <w:p w14:paraId="489622C9">
            <w:pPr>
              <w:bidi w:val="0"/>
              <w:spacing w:line="360" w:lineRule="auto"/>
              <w:rPr>
                <w:rFonts w:hint="eastAsia"/>
                <w:color w:val="auto"/>
                <w:highlight w:val="none"/>
                <w:lang w:val="en-US" w:eastAsia="zh-CN"/>
              </w:rPr>
            </w:pPr>
            <w:r>
              <w:rPr>
                <w:rFonts w:hint="eastAsia"/>
                <w:color w:val="auto"/>
                <w:highlight w:val="none"/>
                <w:lang w:val="en-US" w:eastAsia="zh-CN"/>
              </w:rPr>
              <w:t>未提供建设方案的得0分；</w:t>
            </w:r>
          </w:p>
          <w:p w14:paraId="4E8077EB">
            <w:pPr>
              <w:bidi w:val="0"/>
              <w:spacing w:line="360" w:lineRule="auto"/>
              <w:rPr>
                <w:rFonts w:hint="eastAsia"/>
                <w:color w:val="auto"/>
                <w:highlight w:val="none"/>
                <w:lang w:val="en-US" w:eastAsia="zh-CN"/>
              </w:rPr>
            </w:pPr>
            <w:r>
              <w:rPr>
                <w:rFonts w:hint="eastAsia"/>
                <w:b/>
                <w:bCs/>
                <w:color w:val="auto"/>
                <w:highlight w:val="none"/>
                <w:lang w:val="en-US" w:eastAsia="zh-CN"/>
              </w:rPr>
              <w:t>一档（2分）：</w:t>
            </w:r>
            <w:r>
              <w:rPr>
                <w:rFonts w:hint="eastAsia"/>
                <w:color w:val="auto"/>
                <w:highlight w:val="none"/>
                <w:lang w:val="en-US" w:eastAsia="zh-CN"/>
              </w:rPr>
              <w:t>建设方案各个阶段的工作安排、人员安排、实施组织办法等方面描述与本项目无关，方案内容错乱或前后内容不一致；</w:t>
            </w:r>
          </w:p>
          <w:p w14:paraId="09BA57E7">
            <w:pPr>
              <w:bidi w:val="0"/>
              <w:spacing w:line="360" w:lineRule="auto"/>
              <w:rPr>
                <w:rFonts w:hint="eastAsia"/>
                <w:color w:val="auto"/>
                <w:highlight w:val="none"/>
                <w:lang w:val="en-US" w:eastAsia="zh-CN"/>
              </w:rPr>
            </w:pPr>
            <w:r>
              <w:rPr>
                <w:rFonts w:hint="eastAsia"/>
                <w:b/>
                <w:bCs/>
                <w:color w:val="auto"/>
                <w:highlight w:val="none"/>
                <w:lang w:val="en-US" w:eastAsia="zh-CN"/>
              </w:rPr>
              <w:t>二档（7分）：</w:t>
            </w:r>
            <w:r>
              <w:rPr>
                <w:rFonts w:hint="eastAsia"/>
                <w:color w:val="auto"/>
                <w:highlight w:val="none"/>
                <w:lang w:val="en-US" w:eastAsia="zh-CN"/>
              </w:rPr>
              <w:t>建设方案各个阶段的工作安排、人员安排、实施组织办法及保障体系等方面有所描述；具有较完备的管理组织、项目实施规范和管理制度、质量管理体系；有施工进度安排，设备进场安排，设计方案、安装流程等，在</w:t>
            </w:r>
            <w:r>
              <w:rPr>
                <w:rFonts w:hint="eastAsia" w:ascii="宋体" w:hAnsi="宋体" w:cs="宋体"/>
                <w:color w:val="auto"/>
                <w:szCs w:val="21"/>
                <w:highlight w:val="none"/>
                <w:lang w:val="en-US" w:eastAsia="zh-CN"/>
              </w:rPr>
              <w:t>各主要部分进行了施工技术方案的阐述。</w:t>
            </w:r>
          </w:p>
          <w:p w14:paraId="7B11633A">
            <w:pPr>
              <w:bidi w:val="0"/>
              <w:spacing w:line="360" w:lineRule="auto"/>
              <w:rPr>
                <w:rFonts w:hint="eastAsia"/>
                <w:color w:val="auto"/>
                <w:highlight w:val="none"/>
                <w:lang w:val="en-US" w:eastAsia="zh-CN"/>
              </w:rPr>
            </w:pPr>
            <w:r>
              <w:rPr>
                <w:rFonts w:hint="eastAsia"/>
                <w:b/>
                <w:bCs/>
                <w:color w:val="auto"/>
                <w:highlight w:val="none"/>
                <w:lang w:val="en-US" w:eastAsia="zh-CN"/>
              </w:rPr>
              <w:t>三档（12分）：</w:t>
            </w:r>
            <w:r>
              <w:rPr>
                <w:rFonts w:hint="eastAsia"/>
                <w:color w:val="auto"/>
                <w:highlight w:val="none"/>
                <w:lang w:val="en-US" w:eastAsia="zh-CN"/>
              </w:rPr>
              <w:t>建设方案详细具体，各个阶段的工作安排、人员安排、实施组织办法及保障体系、实施进度计划等方面描述清晰，对项目实施有指导性的作用；具有完备的管理组织、项目实施规范和管理制度、质量管理体系和安全保障体系，工作内容明确；施工进度安排得当，设备进场安排有序、科学，设计方案与采购需求相切合，安装流程具体</w:t>
            </w:r>
            <w:r>
              <w:rPr>
                <w:rFonts w:hint="eastAsia" w:ascii="宋体" w:hAnsi="宋体" w:cs="宋体"/>
                <w:color w:val="auto"/>
                <w:szCs w:val="21"/>
                <w:highlight w:val="none"/>
                <w:lang w:val="en-US" w:eastAsia="zh-CN"/>
              </w:rPr>
              <w:t>，</w:t>
            </w:r>
            <w:r>
              <w:rPr>
                <w:rFonts w:hint="eastAsia"/>
                <w:color w:val="auto"/>
                <w:highlight w:val="none"/>
                <w:lang w:val="en-US" w:eastAsia="zh-CN"/>
              </w:rPr>
              <w:t>在</w:t>
            </w:r>
            <w:r>
              <w:rPr>
                <w:rFonts w:hint="eastAsia" w:ascii="宋体" w:hAnsi="宋体" w:cs="宋体"/>
                <w:color w:val="auto"/>
                <w:szCs w:val="21"/>
                <w:highlight w:val="none"/>
                <w:lang w:val="en-US" w:eastAsia="zh-CN"/>
              </w:rPr>
              <w:t>各主要部分具体的施工技术方案与采购需求相切合，安全技术措施有针对性。</w:t>
            </w:r>
          </w:p>
        </w:tc>
      </w:tr>
      <w:tr w14:paraId="7F827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restart"/>
            <w:tcBorders>
              <w:top w:val="single" w:color="auto" w:sz="4" w:space="0"/>
              <w:left w:val="single" w:color="auto" w:sz="4" w:space="0"/>
            </w:tcBorders>
            <w:vAlign w:val="center"/>
          </w:tcPr>
          <w:p w14:paraId="23B85C79">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w:t>
            </w:r>
          </w:p>
        </w:tc>
        <w:tc>
          <w:tcPr>
            <w:tcW w:w="657" w:type="dxa"/>
            <w:vMerge w:val="restart"/>
            <w:tcBorders>
              <w:left w:val="single" w:color="auto" w:sz="4" w:space="0"/>
              <w:right w:val="single" w:color="auto" w:sz="4" w:space="0"/>
            </w:tcBorders>
            <w:vAlign w:val="center"/>
          </w:tcPr>
          <w:p w14:paraId="397681D0">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商务分</w:t>
            </w:r>
            <w:r>
              <w:rPr>
                <w:rFonts w:hint="eastAsia" w:asciiTheme="minorEastAsia" w:hAnsiTheme="minorEastAsia" w:eastAsiaTheme="minorEastAsia" w:cstheme="minorEastAsia"/>
                <w:b/>
                <w:bCs/>
                <w:color w:val="auto"/>
                <w:sz w:val="21"/>
                <w:szCs w:val="21"/>
                <w:highlight w:val="none"/>
              </w:rPr>
              <w:t xml:space="preserve"> </w:t>
            </w:r>
            <w:r>
              <w:rPr>
                <w:rFonts w:hint="eastAsia" w:asciiTheme="minorEastAsia" w:hAnsiTheme="minorEastAsia" w:eastAsiaTheme="minorEastAsia" w:cstheme="minorEastAsia"/>
                <w:b/>
                <w:bCs/>
                <w:color w:val="auto"/>
                <w:spacing w:val="2"/>
                <w:sz w:val="21"/>
                <w:szCs w:val="21"/>
                <w:highlight w:val="none"/>
              </w:rPr>
              <w:t>（满分</w:t>
            </w:r>
            <w:r>
              <w:rPr>
                <w:rFonts w:hint="eastAsia" w:asciiTheme="minorEastAsia" w:hAnsiTheme="minorEastAsia" w:eastAsiaTheme="minorEastAsia" w:cstheme="minorEastAsia"/>
                <w:b/>
                <w:bCs/>
                <w:color w:val="auto"/>
                <w:sz w:val="21"/>
                <w:szCs w:val="21"/>
                <w:highlight w:val="none"/>
              </w:rPr>
              <w:t xml:space="preserve"> </w:t>
            </w:r>
            <w:r>
              <w:rPr>
                <w:rFonts w:hint="eastAsia" w:asciiTheme="minorEastAsia" w:hAnsiTheme="minorEastAsia" w:eastAsiaTheme="minorEastAsia" w:cstheme="minorEastAsia"/>
                <w:b/>
                <w:bCs/>
                <w:color w:val="auto"/>
                <w:spacing w:val="1"/>
                <w:sz w:val="21"/>
                <w:szCs w:val="21"/>
                <w:highlight w:val="none"/>
                <w:lang w:val="en-US" w:eastAsia="zh-CN"/>
              </w:rPr>
              <w:t>6</w:t>
            </w:r>
            <w:r>
              <w:rPr>
                <w:rFonts w:hint="eastAsia" w:asciiTheme="minorEastAsia" w:hAnsiTheme="minorEastAsia" w:eastAsiaTheme="minorEastAsia" w:cstheme="minorEastAsia"/>
                <w:b/>
                <w:bCs/>
                <w:color w:val="auto"/>
                <w:spacing w:val="1"/>
                <w:sz w:val="21"/>
                <w:szCs w:val="21"/>
                <w:highlight w:val="none"/>
              </w:rPr>
              <w:t>分）</w:t>
            </w:r>
          </w:p>
        </w:tc>
        <w:tc>
          <w:tcPr>
            <w:tcW w:w="1250" w:type="dxa"/>
            <w:tcBorders>
              <w:top w:val="single" w:color="auto" w:sz="4" w:space="0"/>
              <w:bottom w:val="single" w:color="auto" w:sz="4" w:space="0"/>
            </w:tcBorders>
            <w:vAlign w:val="center"/>
          </w:tcPr>
          <w:p w14:paraId="5B2C4063">
            <w:pPr>
              <w:bidi w:val="0"/>
              <w:spacing w:line="360" w:lineRule="auto"/>
              <w:jc w:val="center"/>
              <w:rPr>
                <w:rFonts w:hint="eastAsia"/>
                <w:color w:val="auto"/>
                <w:highlight w:val="none"/>
                <w:lang w:val="en-US" w:eastAsia="zh-CN"/>
              </w:rPr>
            </w:pPr>
            <w:r>
              <w:rPr>
                <w:rFonts w:hint="eastAsia"/>
                <w:color w:val="auto"/>
                <w:highlight w:val="none"/>
                <w:lang w:val="en-US" w:eastAsia="zh-CN"/>
              </w:rPr>
              <w:t>履约能力   （满分3分）</w:t>
            </w:r>
          </w:p>
        </w:tc>
        <w:tc>
          <w:tcPr>
            <w:tcW w:w="7485" w:type="dxa"/>
            <w:gridSpan w:val="2"/>
            <w:tcBorders>
              <w:top w:val="single" w:color="auto" w:sz="4" w:space="0"/>
              <w:bottom w:val="single" w:color="auto" w:sz="4" w:space="0"/>
            </w:tcBorders>
          </w:tcPr>
          <w:p w14:paraId="7C33F827">
            <w:pPr>
              <w:bidi w:val="0"/>
              <w:spacing w:line="360" w:lineRule="auto"/>
              <w:rPr>
                <w:rFonts w:hint="eastAsia"/>
                <w:color w:val="auto"/>
                <w:highlight w:val="none"/>
                <w:lang w:val="en-US" w:eastAsia="zh-CN"/>
              </w:rPr>
            </w:pPr>
            <w:r>
              <w:rPr>
                <w:rFonts w:hint="eastAsia"/>
                <w:color w:val="auto"/>
                <w:highlight w:val="none"/>
                <w:lang w:val="en-US" w:eastAsia="zh-CN"/>
              </w:rPr>
              <w:t>投标人具有</w:t>
            </w:r>
            <w:r>
              <w:rPr>
                <w:rFonts w:hint="eastAsia" w:hAnsi="宋体" w:cs="宋体"/>
                <w:color w:val="auto"/>
                <w:sz w:val="21"/>
                <w:highlight w:val="none"/>
                <w:lang w:val="en-US" w:eastAsia="zh-CN"/>
              </w:rPr>
              <w:t>质量管理体系证书、职业健康安全管理体系证书、环境管理体系证书的每个得1分，满分3分</w:t>
            </w:r>
            <w:r>
              <w:rPr>
                <w:rFonts w:hint="eastAsia"/>
                <w:color w:val="auto"/>
                <w:highlight w:val="none"/>
                <w:lang w:val="en-US" w:eastAsia="zh-CN"/>
              </w:rPr>
              <w:t>。 (须提供有效的证书复印件并加盖公章，否则不得分。）</w:t>
            </w:r>
          </w:p>
        </w:tc>
      </w:tr>
      <w:tr w14:paraId="4A8BE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vMerge w:val="continue"/>
            <w:tcBorders>
              <w:left w:val="single" w:color="auto" w:sz="4" w:space="0"/>
            </w:tcBorders>
            <w:vAlign w:val="center"/>
          </w:tcPr>
          <w:p w14:paraId="1955C701">
            <w:pPr>
              <w:spacing w:line="360" w:lineRule="auto"/>
              <w:jc w:val="center"/>
              <w:rPr>
                <w:rFonts w:hint="eastAsia" w:asciiTheme="minorEastAsia" w:hAnsiTheme="minorEastAsia" w:eastAsiaTheme="minorEastAsia" w:cstheme="minorEastAsia"/>
                <w:b/>
                <w:bCs/>
                <w:color w:val="auto"/>
                <w:sz w:val="21"/>
                <w:szCs w:val="21"/>
                <w:highlight w:val="none"/>
              </w:rPr>
            </w:pPr>
          </w:p>
        </w:tc>
        <w:tc>
          <w:tcPr>
            <w:tcW w:w="657" w:type="dxa"/>
            <w:vMerge w:val="continue"/>
            <w:tcBorders>
              <w:left w:val="single" w:color="auto" w:sz="4" w:space="0"/>
              <w:right w:val="single" w:color="auto" w:sz="4" w:space="0"/>
            </w:tcBorders>
            <w:vAlign w:val="center"/>
          </w:tcPr>
          <w:p w14:paraId="5A7793CF">
            <w:pPr>
              <w:spacing w:line="360" w:lineRule="auto"/>
              <w:jc w:val="center"/>
              <w:rPr>
                <w:rFonts w:hint="eastAsia" w:asciiTheme="minorEastAsia" w:hAnsiTheme="minorEastAsia" w:eastAsiaTheme="minorEastAsia" w:cstheme="minorEastAsia"/>
                <w:b/>
                <w:bCs/>
                <w:color w:val="auto"/>
                <w:sz w:val="21"/>
                <w:szCs w:val="21"/>
                <w:highlight w:val="none"/>
              </w:rPr>
            </w:pPr>
          </w:p>
        </w:tc>
        <w:tc>
          <w:tcPr>
            <w:tcW w:w="1250" w:type="dxa"/>
            <w:tcBorders>
              <w:top w:val="single" w:color="auto" w:sz="4" w:space="0"/>
              <w:bottom w:val="single" w:color="auto" w:sz="4" w:space="0"/>
            </w:tcBorders>
            <w:vAlign w:val="center"/>
          </w:tcPr>
          <w:p w14:paraId="488C2350">
            <w:pPr>
              <w:pStyle w:val="140"/>
              <w:spacing w:line="360" w:lineRule="auto"/>
              <w:jc w:val="cente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8"/>
                <w:sz w:val="21"/>
                <w:szCs w:val="21"/>
                <w:highlight w:val="none"/>
              </w:rPr>
              <w:t>业绩分（满</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分</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36"/>
                <w:sz w:val="21"/>
                <w:szCs w:val="21"/>
                <w:highlight w:val="none"/>
                <w:lang w:val="en-US" w:eastAsia="zh-CN"/>
              </w:rPr>
              <w:t>3</w:t>
            </w:r>
            <w:r>
              <w:rPr>
                <w:rFonts w:hint="eastAsia" w:asciiTheme="minorEastAsia" w:hAnsiTheme="minorEastAsia" w:eastAsiaTheme="minorEastAsia" w:cstheme="minorEastAsia"/>
                <w:color w:val="auto"/>
                <w:spacing w:val="-3"/>
                <w:sz w:val="21"/>
                <w:szCs w:val="21"/>
                <w:highlight w:val="none"/>
              </w:rPr>
              <w:t>分）</w:t>
            </w:r>
          </w:p>
        </w:tc>
        <w:tc>
          <w:tcPr>
            <w:tcW w:w="7485" w:type="dxa"/>
            <w:gridSpan w:val="2"/>
            <w:tcBorders>
              <w:top w:val="single" w:color="auto" w:sz="4" w:space="0"/>
              <w:bottom w:val="single" w:color="auto" w:sz="4" w:space="0"/>
            </w:tcBorders>
          </w:tcPr>
          <w:p w14:paraId="618622E1">
            <w:pPr>
              <w:pStyle w:val="140"/>
              <w:spacing w:line="360" w:lineRule="auto"/>
              <w:ind w:left="105" w:leftChars="50" w:right="105" w:rightChars="50"/>
              <w:rPr>
                <w:rFonts w:hint="eastAsia" w:asciiTheme="minorEastAsia" w:hAnsiTheme="minorEastAsia" w:eastAsiaTheme="minorEastAsia" w:cstheme="minorEastAsia"/>
                <w:b/>
                <w:bCs/>
                <w:color w:val="auto"/>
                <w:spacing w:val="9"/>
                <w:sz w:val="21"/>
                <w:szCs w:val="21"/>
                <w:highlight w:val="none"/>
              </w:rPr>
            </w:pPr>
            <w:r>
              <w:rPr>
                <w:rFonts w:hint="eastAsia" w:asciiTheme="minorEastAsia" w:hAnsiTheme="minorEastAsia" w:eastAsiaTheme="minorEastAsia" w:cstheme="minorEastAsia"/>
                <w:color w:val="auto"/>
                <w:spacing w:val="7"/>
                <w:sz w:val="21"/>
                <w:szCs w:val="21"/>
                <w:highlight w:val="none"/>
              </w:rPr>
              <w:t>投标人自2022</w:t>
            </w:r>
            <w:r>
              <w:rPr>
                <w:rFonts w:hint="eastAsia" w:asciiTheme="minorEastAsia" w:hAnsiTheme="minorEastAsia" w:eastAsiaTheme="minorEastAsia" w:cstheme="minorEastAsia"/>
                <w:color w:val="auto"/>
                <w:spacing w:val="-52"/>
                <w:sz w:val="21"/>
                <w:szCs w:val="21"/>
                <w:highlight w:val="none"/>
              </w:rPr>
              <w:t xml:space="preserve"> </w:t>
            </w:r>
            <w:r>
              <w:rPr>
                <w:rFonts w:hint="eastAsia" w:asciiTheme="minorEastAsia" w:hAnsiTheme="minorEastAsia" w:eastAsiaTheme="minorEastAsia" w:cstheme="minorEastAsia"/>
                <w:color w:val="auto"/>
                <w:spacing w:val="7"/>
                <w:sz w:val="21"/>
                <w:szCs w:val="21"/>
                <w:highlight w:val="none"/>
              </w:rPr>
              <w:t>年</w:t>
            </w:r>
            <w:r>
              <w:rPr>
                <w:rFonts w:hint="eastAsia" w:asciiTheme="minorEastAsia" w:hAnsiTheme="minorEastAsia" w:eastAsiaTheme="minorEastAsia" w:cstheme="minorEastAsia"/>
                <w:color w:val="auto"/>
                <w:spacing w:val="7"/>
                <w:sz w:val="21"/>
                <w:szCs w:val="21"/>
                <w:highlight w:val="none"/>
                <w:lang w:val="en-US" w:eastAsia="zh-CN"/>
              </w:rPr>
              <w:t>11</w:t>
            </w:r>
            <w:r>
              <w:rPr>
                <w:rFonts w:hint="eastAsia" w:asciiTheme="minorEastAsia" w:hAnsiTheme="minorEastAsia" w:eastAsiaTheme="minorEastAsia" w:cstheme="minorEastAsia"/>
                <w:color w:val="auto"/>
                <w:spacing w:val="7"/>
                <w:sz w:val="21"/>
                <w:szCs w:val="21"/>
                <w:highlight w:val="none"/>
              </w:rPr>
              <w:t>月至今有类似项目</w:t>
            </w:r>
            <w:r>
              <w:rPr>
                <w:rFonts w:hint="eastAsia" w:asciiTheme="minorEastAsia" w:hAnsiTheme="minorEastAsia" w:eastAsiaTheme="minorEastAsia" w:cstheme="minorEastAsia"/>
                <w:color w:val="auto"/>
                <w:spacing w:val="4"/>
                <w:sz w:val="21"/>
                <w:szCs w:val="21"/>
                <w:highlight w:val="none"/>
              </w:rPr>
              <w:t>的每个得1</w:t>
            </w:r>
            <w:r>
              <w:rPr>
                <w:rFonts w:hint="eastAsia" w:asciiTheme="minorEastAsia" w:hAnsiTheme="minorEastAsia" w:eastAsiaTheme="minorEastAsia" w:cstheme="minorEastAsia"/>
                <w:color w:val="auto"/>
                <w:spacing w:val="-36"/>
                <w:sz w:val="21"/>
                <w:szCs w:val="21"/>
                <w:highlight w:val="none"/>
              </w:rPr>
              <w:t xml:space="preserve"> </w:t>
            </w:r>
            <w:r>
              <w:rPr>
                <w:rFonts w:hint="eastAsia" w:asciiTheme="minorEastAsia" w:hAnsiTheme="minorEastAsia" w:eastAsiaTheme="minorEastAsia" w:cstheme="minorEastAsia"/>
                <w:color w:val="auto"/>
                <w:spacing w:val="4"/>
                <w:sz w:val="21"/>
                <w:szCs w:val="21"/>
                <w:highlight w:val="none"/>
              </w:rPr>
              <w:t>分，满分</w:t>
            </w:r>
            <w:r>
              <w:rPr>
                <w:rFonts w:hint="eastAsia" w:asciiTheme="minorEastAsia" w:hAnsiTheme="minorEastAsia" w:eastAsiaTheme="minorEastAsia" w:cstheme="minorEastAsia"/>
                <w:color w:val="auto"/>
                <w:spacing w:val="-33"/>
                <w:sz w:val="21"/>
                <w:szCs w:val="21"/>
                <w:highlight w:val="none"/>
              </w:rPr>
              <w:t xml:space="preserve"> </w:t>
            </w:r>
            <w:r>
              <w:rPr>
                <w:rFonts w:hint="eastAsia" w:asciiTheme="minorEastAsia" w:hAnsiTheme="minorEastAsia" w:eastAsiaTheme="minorEastAsia" w:cstheme="minorEastAsia"/>
                <w:color w:val="auto"/>
                <w:spacing w:val="4"/>
                <w:sz w:val="21"/>
                <w:szCs w:val="21"/>
                <w:highlight w:val="none"/>
                <w:lang w:val="en-US" w:eastAsia="zh-CN"/>
              </w:rPr>
              <w:t>3</w:t>
            </w:r>
            <w:r>
              <w:rPr>
                <w:rFonts w:hint="eastAsia" w:asciiTheme="minorEastAsia" w:hAnsiTheme="minorEastAsia" w:eastAsiaTheme="minorEastAsia" w:cstheme="minorEastAsia"/>
                <w:color w:val="auto"/>
                <w:spacing w:val="4"/>
                <w:sz w:val="21"/>
                <w:szCs w:val="21"/>
                <w:highlight w:val="none"/>
              </w:rPr>
              <w:t>分。【类</w:t>
            </w:r>
            <w:r>
              <w:rPr>
                <w:rFonts w:hint="eastAsia" w:asciiTheme="minorEastAsia" w:hAnsiTheme="minorEastAsia" w:eastAsiaTheme="minorEastAsia" w:cstheme="minorEastAsia"/>
                <w:color w:val="auto"/>
                <w:spacing w:val="9"/>
                <w:sz w:val="21"/>
                <w:szCs w:val="21"/>
                <w:highlight w:val="none"/>
              </w:rPr>
              <w:t>似项目</w:t>
            </w:r>
            <w:r>
              <w:rPr>
                <w:rFonts w:hint="eastAsia" w:asciiTheme="minorEastAsia" w:hAnsiTheme="minorEastAsia" w:eastAsiaTheme="minorEastAsia" w:cstheme="minorEastAsia"/>
                <w:color w:val="auto"/>
                <w:spacing w:val="9"/>
                <w:sz w:val="21"/>
                <w:szCs w:val="21"/>
                <w:highlight w:val="none"/>
                <w:lang w:eastAsia="zh-CN"/>
              </w:rPr>
              <w:t>指：采集系统或射击系统或监控及广播设备或安全管理设备或防弹防护器材等与本项目类似的项目，</w:t>
            </w:r>
            <w:r>
              <w:rPr>
                <w:rFonts w:hint="eastAsia" w:asciiTheme="minorEastAsia" w:hAnsiTheme="minorEastAsia" w:eastAsiaTheme="minorEastAsia" w:cstheme="minorEastAsia"/>
                <w:color w:val="auto"/>
                <w:spacing w:val="9"/>
                <w:sz w:val="21"/>
                <w:szCs w:val="21"/>
                <w:highlight w:val="none"/>
              </w:rPr>
              <w:t>须提供有效的中标通知书</w:t>
            </w:r>
            <w:r>
              <w:rPr>
                <w:rFonts w:hint="eastAsia" w:asciiTheme="minorEastAsia" w:hAnsiTheme="minorEastAsia" w:eastAsiaTheme="minorEastAsia" w:cstheme="minorEastAsia"/>
                <w:color w:val="auto"/>
                <w:spacing w:val="9"/>
                <w:sz w:val="21"/>
                <w:szCs w:val="21"/>
                <w:highlight w:val="none"/>
                <w:lang w:eastAsia="zh-CN"/>
              </w:rPr>
              <w:t>及</w:t>
            </w:r>
            <w:r>
              <w:rPr>
                <w:rFonts w:hint="eastAsia" w:asciiTheme="minorEastAsia" w:hAnsiTheme="minorEastAsia" w:eastAsiaTheme="minorEastAsia" w:cstheme="minorEastAsia"/>
                <w:color w:val="auto"/>
                <w:spacing w:val="9"/>
                <w:sz w:val="21"/>
                <w:szCs w:val="21"/>
                <w:highlight w:val="none"/>
              </w:rPr>
              <w:t>合同复印件</w:t>
            </w:r>
            <w:r>
              <w:rPr>
                <w:rFonts w:hint="eastAsia" w:asciiTheme="minorEastAsia" w:hAnsiTheme="minorEastAsia" w:eastAsiaTheme="minorEastAsia" w:cstheme="minorEastAsia"/>
                <w:color w:val="auto"/>
                <w:spacing w:val="7"/>
                <w:sz w:val="21"/>
                <w:szCs w:val="21"/>
                <w:highlight w:val="none"/>
              </w:rPr>
              <w:t>（包含首页、盖章页、金额页</w:t>
            </w:r>
            <w:r>
              <w:rPr>
                <w:rFonts w:hint="eastAsia" w:asciiTheme="minorEastAsia" w:hAnsiTheme="minorEastAsia" w:eastAsiaTheme="minorEastAsia" w:cstheme="minorEastAsia"/>
                <w:color w:val="auto"/>
                <w:spacing w:val="20"/>
                <w:sz w:val="21"/>
                <w:szCs w:val="21"/>
                <w:highlight w:val="none"/>
              </w:rPr>
              <w:t>），</w:t>
            </w:r>
            <w:r>
              <w:rPr>
                <w:rFonts w:hint="eastAsia" w:asciiTheme="minorEastAsia" w:hAnsiTheme="minorEastAsia" w:eastAsiaTheme="minorEastAsia" w:cstheme="minorEastAsia"/>
                <w:color w:val="auto"/>
                <w:spacing w:val="7"/>
                <w:sz w:val="21"/>
                <w:szCs w:val="21"/>
                <w:highlight w:val="none"/>
              </w:rPr>
              <w:t>并加盖公章，否则不得分】。</w:t>
            </w:r>
          </w:p>
        </w:tc>
      </w:tr>
      <w:tr w14:paraId="1B9FC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19" w:type="dxa"/>
            <w:tcBorders>
              <w:left w:val="single" w:color="auto" w:sz="4" w:space="0"/>
            </w:tcBorders>
            <w:vAlign w:val="center"/>
          </w:tcPr>
          <w:p w14:paraId="06A47EDB">
            <w:pPr>
              <w:pStyle w:val="14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3"/>
                <w:sz w:val="21"/>
                <w:szCs w:val="21"/>
                <w:highlight w:val="none"/>
              </w:rPr>
              <w:t>4</w:t>
            </w:r>
          </w:p>
        </w:tc>
        <w:tc>
          <w:tcPr>
            <w:tcW w:w="657" w:type="dxa"/>
            <w:tcBorders>
              <w:left w:val="single" w:color="auto" w:sz="4" w:space="0"/>
              <w:right w:val="single" w:color="auto" w:sz="4" w:space="0"/>
            </w:tcBorders>
            <w:vAlign w:val="center"/>
          </w:tcPr>
          <w:p w14:paraId="642003FF">
            <w:pPr>
              <w:pStyle w:val="14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5"/>
                <w:sz w:val="21"/>
                <w:szCs w:val="21"/>
                <w:highlight w:val="none"/>
              </w:rPr>
              <w:t>政策功</w:t>
            </w:r>
            <w:r>
              <w:rPr>
                <w:rFonts w:hint="eastAsia" w:asciiTheme="minorEastAsia" w:hAnsiTheme="minorEastAsia" w:eastAsiaTheme="minorEastAsia" w:cstheme="minorEastAsia"/>
                <w:b/>
                <w:bCs/>
                <w:color w:val="auto"/>
                <w:spacing w:val="-1"/>
                <w:sz w:val="21"/>
                <w:szCs w:val="21"/>
                <w:highlight w:val="none"/>
              </w:rPr>
              <w:t>能分</w:t>
            </w:r>
            <w:r>
              <w:rPr>
                <w:rFonts w:hint="eastAsia" w:asciiTheme="minorEastAsia" w:hAnsiTheme="minorEastAsia" w:eastAsiaTheme="minorEastAsia" w:cstheme="minorEastAsia"/>
                <w:b/>
                <w:bCs/>
                <w:color w:val="auto"/>
                <w:spacing w:val="2"/>
                <w:sz w:val="21"/>
                <w:szCs w:val="21"/>
                <w:highlight w:val="none"/>
              </w:rPr>
              <w:t>（满分1分）</w:t>
            </w:r>
          </w:p>
        </w:tc>
        <w:tc>
          <w:tcPr>
            <w:tcW w:w="1250" w:type="dxa"/>
            <w:tcBorders>
              <w:top w:val="single" w:color="auto" w:sz="4" w:space="0"/>
              <w:bottom w:val="single" w:color="auto" w:sz="4" w:space="0"/>
            </w:tcBorders>
            <w:vAlign w:val="center"/>
          </w:tcPr>
          <w:p w14:paraId="40DAF395">
            <w:pPr>
              <w:pStyle w:val="140"/>
              <w:spacing w:line="360" w:lineRule="auto"/>
              <w:jc w:val="center"/>
              <w:rPr>
                <w:rFonts w:hint="eastAsia" w:asciiTheme="minorEastAsia" w:hAnsiTheme="minorEastAsia" w:eastAsiaTheme="minorEastAsia" w:cstheme="minorEastAsia"/>
                <w:color w:val="auto"/>
                <w:spacing w:val="8"/>
                <w:sz w:val="21"/>
                <w:szCs w:val="21"/>
                <w:highlight w:val="none"/>
              </w:rPr>
            </w:pPr>
            <w:r>
              <w:rPr>
                <w:rFonts w:hint="eastAsia" w:asciiTheme="minorEastAsia" w:hAnsiTheme="minorEastAsia" w:eastAsiaTheme="minorEastAsia" w:cstheme="minorEastAsia"/>
                <w:color w:val="auto"/>
                <w:spacing w:val="-2"/>
                <w:sz w:val="21"/>
                <w:szCs w:val="21"/>
                <w:highlight w:val="none"/>
              </w:rPr>
              <w:t>节能、环保</w:t>
            </w:r>
            <w:r>
              <w:rPr>
                <w:rFonts w:hint="eastAsia" w:asciiTheme="minorEastAsia" w:hAnsiTheme="minorEastAsia" w:eastAsiaTheme="minorEastAsia" w:cstheme="minorEastAsia"/>
                <w:color w:val="auto"/>
                <w:spacing w:val="1"/>
                <w:sz w:val="21"/>
                <w:szCs w:val="21"/>
                <w:highlight w:val="none"/>
              </w:rPr>
              <w:t>分（满分</w:t>
            </w:r>
            <w:r>
              <w:rPr>
                <w:rFonts w:hint="eastAsia" w:asciiTheme="minorEastAsia" w:hAnsiTheme="minorEastAsia" w:eastAsiaTheme="minorEastAsia" w:cstheme="minorEastAsia"/>
                <w:color w:val="auto"/>
                <w:spacing w:val="-22"/>
                <w:sz w:val="21"/>
                <w:szCs w:val="21"/>
                <w:highlight w:val="none"/>
              </w:rPr>
              <w:t xml:space="preserve"> </w:t>
            </w:r>
            <w:r>
              <w:rPr>
                <w:rFonts w:hint="eastAsia" w:asciiTheme="minorEastAsia" w:hAnsiTheme="minorEastAsia" w:eastAsiaTheme="minorEastAsia" w:cstheme="minorEastAsia"/>
                <w:color w:val="auto"/>
                <w:spacing w:val="1"/>
                <w:sz w:val="21"/>
                <w:szCs w:val="21"/>
                <w:highlight w:val="none"/>
              </w:rPr>
              <w:t>1</w:t>
            </w:r>
            <w:r>
              <w:rPr>
                <w:rFonts w:hint="eastAsia" w:asciiTheme="minorEastAsia" w:hAnsiTheme="minorEastAsia" w:eastAsiaTheme="minorEastAsia" w:cstheme="minorEastAsia"/>
                <w:color w:val="auto"/>
                <w:spacing w:val="-1"/>
                <w:sz w:val="21"/>
                <w:szCs w:val="21"/>
                <w:highlight w:val="none"/>
              </w:rPr>
              <w:t>分）</w:t>
            </w:r>
          </w:p>
        </w:tc>
        <w:tc>
          <w:tcPr>
            <w:tcW w:w="7485" w:type="dxa"/>
            <w:gridSpan w:val="2"/>
            <w:tcBorders>
              <w:top w:val="single" w:color="auto" w:sz="4" w:space="0"/>
              <w:bottom w:val="single" w:color="auto" w:sz="4" w:space="0"/>
            </w:tcBorders>
          </w:tcPr>
          <w:p w14:paraId="26F4B9AA">
            <w:pPr>
              <w:spacing w:line="360" w:lineRule="auto"/>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pacing w:val="0"/>
                <w:sz w:val="21"/>
                <w:szCs w:val="24"/>
                <w:highlight w:val="none"/>
              </w:rPr>
              <w:t>（1）节能产品分：投标产品列入品目清单范围内优先采购的，且提供国家确定的认证机构出具的、处于有效期之内的节能产品认证证书复印件（加盖供应商公章），每有一项得 0.5 分，</w:t>
            </w:r>
            <w:r>
              <w:rPr>
                <w:rFonts w:hint="eastAsia" w:cs="Times New Roman"/>
                <w:color w:val="auto"/>
                <w:spacing w:val="0"/>
                <w:sz w:val="21"/>
                <w:szCs w:val="24"/>
                <w:highlight w:val="none"/>
                <w:lang w:eastAsia="zh-CN"/>
              </w:rPr>
              <w:t>满分</w:t>
            </w:r>
            <w:r>
              <w:rPr>
                <w:rFonts w:hint="eastAsia" w:ascii="Times New Roman" w:hAnsi="Times New Roman" w:eastAsia="宋体" w:cs="Times New Roman"/>
                <w:color w:val="auto"/>
                <w:spacing w:val="0"/>
                <w:sz w:val="21"/>
                <w:szCs w:val="24"/>
                <w:highlight w:val="none"/>
              </w:rPr>
              <w:t>0.5分。采购内容中的强制产品不加分。</w:t>
            </w:r>
          </w:p>
          <w:p w14:paraId="15C7F92B">
            <w:pPr>
              <w:spacing w:line="360" w:lineRule="auto"/>
              <w:rPr>
                <w:rFonts w:hint="eastAsia" w:asciiTheme="minorEastAsia" w:hAnsiTheme="minorEastAsia" w:eastAsiaTheme="minorEastAsia" w:cstheme="minorEastAsia"/>
                <w:color w:val="auto"/>
                <w:spacing w:val="7"/>
                <w:sz w:val="21"/>
                <w:szCs w:val="21"/>
                <w:highlight w:val="none"/>
              </w:rPr>
            </w:pPr>
            <w:r>
              <w:rPr>
                <w:rFonts w:hint="eastAsia" w:ascii="Times New Roman" w:hAnsi="Times New Roman" w:eastAsia="宋体" w:cs="Times New Roman"/>
                <w:color w:val="auto"/>
                <w:spacing w:val="0"/>
                <w:sz w:val="21"/>
                <w:szCs w:val="24"/>
                <w:highlight w:val="none"/>
              </w:rPr>
              <w:t>（2）环保标志产品分：投标产品列入品目清单范围内优先采购的，且提供国家确定的认证机构出具的、处于有效期之内的环境标志产品认证证书复印件（加盖供应商公章），每有一项得0.5分，</w:t>
            </w:r>
            <w:r>
              <w:rPr>
                <w:rFonts w:hint="eastAsia" w:cs="Times New Roman"/>
                <w:color w:val="auto"/>
                <w:spacing w:val="0"/>
                <w:sz w:val="21"/>
                <w:szCs w:val="24"/>
                <w:highlight w:val="none"/>
                <w:lang w:eastAsia="zh-CN"/>
              </w:rPr>
              <w:t>满分</w:t>
            </w:r>
            <w:r>
              <w:rPr>
                <w:rFonts w:hint="eastAsia" w:ascii="Times New Roman" w:hAnsi="Times New Roman" w:eastAsia="宋体" w:cs="Times New Roman"/>
                <w:color w:val="auto"/>
                <w:spacing w:val="0"/>
                <w:sz w:val="21"/>
                <w:szCs w:val="24"/>
                <w:highlight w:val="none"/>
              </w:rPr>
              <w:t>0.5分。</w:t>
            </w:r>
          </w:p>
        </w:tc>
      </w:tr>
      <w:tr w14:paraId="017CD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011" w:type="dxa"/>
            <w:gridSpan w:val="5"/>
            <w:tcBorders>
              <w:left w:val="single" w:color="auto" w:sz="4" w:space="0"/>
            </w:tcBorders>
            <w:vAlign w:val="center"/>
          </w:tcPr>
          <w:p w14:paraId="53CC46D0">
            <w:pPr>
              <w:pStyle w:val="140"/>
              <w:spacing w:line="360" w:lineRule="auto"/>
              <w:rPr>
                <w:rFonts w:hint="eastAsia" w:asciiTheme="minorEastAsia" w:hAnsiTheme="minorEastAsia" w:eastAsiaTheme="minorEastAsia" w:cstheme="minorEastAsia"/>
                <w:color w:val="auto"/>
                <w:spacing w:val="9"/>
                <w:sz w:val="21"/>
                <w:szCs w:val="21"/>
                <w:highlight w:val="none"/>
              </w:rPr>
            </w:pPr>
            <w:r>
              <w:rPr>
                <w:rFonts w:hint="eastAsia" w:asciiTheme="minorEastAsia" w:hAnsiTheme="minorEastAsia" w:eastAsiaTheme="minorEastAsia" w:cstheme="minorEastAsia"/>
                <w:b/>
                <w:bCs/>
                <w:color w:val="auto"/>
                <w:spacing w:val="3"/>
                <w:sz w:val="21"/>
                <w:szCs w:val="21"/>
                <w:highlight w:val="none"/>
              </w:rPr>
              <w:t>总得分=1+2+3+4。</w:t>
            </w:r>
          </w:p>
        </w:tc>
      </w:tr>
    </w:tbl>
    <w:p w14:paraId="7CA3FECF">
      <w:pPr>
        <w:pStyle w:val="27"/>
        <w:spacing w:line="360" w:lineRule="auto"/>
        <w:ind w:firstLine="420"/>
        <w:rPr>
          <w:rFonts w:hint="eastAsia" w:asciiTheme="majorEastAsia" w:hAnsiTheme="majorEastAsia" w:eastAsiaTheme="majorEastAsia"/>
          <w:bCs/>
          <w:color w:val="auto"/>
          <w:sz w:val="21"/>
          <w:highlight w:val="none"/>
        </w:rPr>
      </w:pPr>
    </w:p>
    <w:p w14:paraId="3AE75424">
      <w:pPr>
        <w:pStyle w:val="27"/>
        <w:spacing w:line="360" w:lineRule="auto"/>
        <w:ind w:firstLine="420"/>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注：计分方法按四舍五入取至百分位</w:t>
      </w:r>
    </w:p>
    <w:p w14:paraId="4EF3CA45">
      <w:pPr>
        <w:rPr>
          <w:rFonts w:hint="eastAsia" w:asciiTheme="majorEastAsia" w:hAnsiTheme="majorEastAsia" w:eastAsiaTheme="majorEastAsia"/>
          <w:color w:val="auto"/>
          <w:highlight w:val="none"/>
        </w:rPr>
      </w:pPr>
    </w:p>
    <w:p w14:paraId="5D3B8232">
      <w:pPr>
        <w:pStyle w:val="5"/>
        <w:keepNext w:val="0"/>
        <w:keepLines w:val="0"/>
        <w:jc w:val="center"/>
        <w:rPr>
          <w:rFonts w:hint="eastAsia" w:asciiTheme="majorEastAsia" w:hAnsiTheme="majorEastAsia" w:eastAsiaTheme="majorEastAsia"/>
          <w:color w:val="auto"/>
          <w:sz w:val="30"/>
          <w:szCs w:val="30"/>
          <w:highlight w:val="none"/>
        </w:rPr>
      </w:pPr>
    </w:p>
    <w:p w14:paraId="057FAB5E">
      <w:pPr>
        <w:rPr>
          <w:rFonts w:hint="eastAsia" w:asciiTheme="majorEastAsia" w:hAnsiTheme="majorEastAsia" w:eastAsiaTheme="majorEastAsia"/>
          <w:color w:val="auto"/>
          <w:sz w:val="30"/>
          <w:szCs w:val="30"/>
          <w:highlight w:val="none"/>
        </w:rPr>
      </w:pPr>
    </w:p>
    <w:p w14:paraId="235B7474">
      <w:pPr>
        <w:rPr>
          <w:rFonts w:hint="eastAsia" w:asciiTheme="majorEastAsia" w:hAnsiTheme="majorEastAsia" w:eastAsiaTheme="majorEastAsia"/>
          <w:color w:val="auto"/>
          <w:sz w:val="30"/>
          <w:szCs w:val="30"/>
          <w:highlight w:val="none"/>
        </w:rPr>
      </w:pPr>
    </w:p>
    <w:p w14:paraId="2C4CDA0D">
      <w:pPr>
        <w:rPr>
          <w:rFonts w:hint="eastAsia" w:asciiTheme="majorEastAsia" w:hAnsiTheme="majorEastAsia" w:eastAsiaTheme="majorEastAsia"/>
          <w:color w:val="auto"/>
          <w:sz w:val="30"/>
          <w:szCs w:val="30"/>
          <w:highlight w:val="none"/>
        </w:rPr>
      </w:pPr>
    </w:p>
    <w:p w14:paraId="1F184F6D">
      <w:pPr>
        <w:rPr>
          <w:rFonts w:hint="eastAsia" w:asciiTheme="majorEastAsia" w:hAnsiTheme="majorEastAsia" w:eastAsiaTheme="majorEastAsia"/>
          <w:color w:val="auto"/>
          <w:sz w:val="30"/>
          <w:szCs w:val="30"/>
          <w:highlight w:val="none"/>
        </w:rPr>
      </w:pPr>
    </w:p>
    <w:p w14:paraId="5520F736">
      <w:pPr>
        <w:pStyle w:val="5"/>
        <w:keepNext w:val="0"/>
        <w:keepLines w:val="0"/>
        <w:jc w:val="center"/>
        <w:rPr>
          <w:rFonts w:hint="eastAsia" w:asciiTheme="majorEastAsia" w:hAnsiTheme="majorEastAsia" w:eastAsiaTheme="majorEastAsia"/>
          <w:color w:val="auto"/>
          <w:sz w:val="30"/>
          <w:szCs w:val="30"/>
          <w:highlight w:val="none"/>
        </w:rPr>
      </w:pPr>
      <w:r>
        <w:rPr>
          <w:rFonts w:hint="eastAsia" w:asciiTheme="majorEastAsia" w:hAnsiTheme="majorEastAsia" w:eastAsiaTheme="majorEastAsia"/>
          <w:color w:val="auto"/>
          <w:sz w:val="30"/>
          <w:szCs w:val="30"/>
          <w:highlight w:val="none"/>
        </w:rPr>
        <w:t>四、中标候选人推荐</w:t>
      </w:r>
    </w:p>
    <w:p w14:paraId="4160B485">
      <w:pPr>
        <w:pStyle w:val="27"/>
        <w:spacing w:line="360" w:lineRule="auto"/>
        <w:contextualSpacing/>
        <w:rPr>
          <w:rFonts w:hint="eastAsia" w:asciiTheme="majorEastAsia" w:hAnsiTheme="majorEastAsia" w:eastAsiaTheme="majorEastAsia"/>
          <w:b/>
          <w:bCs/>
          <w:color w:val="auto"/>
          <w:sz w:val="24"/>
          <w:szCs w:val="24"/>
          <w:highlight w:val="none"/>
        </w:rPr>
      </w:pPr>
      <w:r>
        <w:rPr>
          <w:rFonts w:hint="eastAsia" w:asciiTheme="majorEastAsia" w:hAnsiTheme="majorEastAsia" w:eastAsiaTheme="majorEastAsia"/>
          <w:b/>
          <w:bCs/>
          <w:color w:val="auto"/>
          <w:sz w:val="24"/>
          <w:szCs w:val="24"/>
          <w:highlight w:val="none"/>
        </w:rPr>
        <w:t>综合评分法</w:t>
      </w:r>
    </w:p>
    <w:p w14:paraId="381EA83A">
      <w:pPr>
        <w:pStyle w:val="27"/>
        <w:spacing w:line="360" w:lineRule="auto"/>
        <w:ind w:firstLine="420" w:firstLineChars="200"/>
        <w:contextualSpacing/>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1</w:t>
      </w: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评标委员会根据原始评标记录和评标结果编写评标报告，并通过电子交易平台向采购人、采购代理机构提交。</w:t>
      </w:r>
    </w:p>
    <w:p w14:paraId="63D7D984">
      <w:pPr>
        <w:pStyle w:val="27"/>
        <w:spacing w:line="360" w:lineRule="auto"/>
        <w:ind w:firstLine="420" w:firstLineChars="200"/>
        <w:contextualSpacing/>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2</w:t>
      </w:r>
      <w:r>
        <w:rPr>
          <w:rFonts w:asciiTheme="majorEastAsia" w:hAnsiTheme="majorEastAsia" w:eastAsiaTheme="majorEastAsia"/>
          <w:color w:val="auto"/>
          <w:sz w:val="21"/>
          <w:highlight w:val="none"/>
        </w:rPr>
        <w:t>.</w:t>
      </w:r>
      <w:r>
        <w:rPr>
          <w:rFonts w:hint="eastAsia" w:asciiTheme="majorEastAsia" w:hAnsiTheme="majorEastAsia" w:eastAsiaTheme="majorEastAsia"/>
          <w:color w:val="auto"/>
          <w:sz w:val="21"/>
          <w:highlight w:val="none"/>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若评审因素量化指标评审得分相同，则由评标委员会投票表决，少数服从多数。</w:t>
      </w:r>
    </w:p>
    <w:p w14:paraId="3986D131">
      <w:pPr>
        <w:pStyle w:val="27"/>
        <w:spacing w:line="360" w:lineRule="auto"/>
        <w:ind w:firstLine="420" w:firstLineChars="200"/>
        <w:contextualSpacing/>
        <w:rPr>
          <w:rFonts w:hint="eastAsia" w:asciiTheme="majorEastAsia" w:hAnsiTheme="majorEastAsia" w:eastAsiaTheme="majorEastAsia"/>
          <w:color w:val="auto"/>
          <w:sz w:val="21"/>
          <w:highlight w:val="none"/>
        </w:rPr>
      </w:pPr>
    </w:p>
    <w:p w14:paraId="505D505F">
      <w:pPr>
        <w:spacing w:before="120" w:beforeLines="50" w:after="120" w:afterLines="50" w:line="400" w:lineRule="exact"/>
        <w:rPr>
          <w:rFonts w:hint="eastAsia" w:asciiTheme="majorEastAsia" w:hAnsiTheme="majorEastAsia" w:eastAsiaTheme="majorEastAsia"/>
          <w:b/>
          <w:color w:val="auto"/>
          <w:sz w:val="24"/>
          <w:highlight w:val="none"/>
        </w:rPr>
      </w:pPr>
    </w:p>
    <w:p w14:paraId="6F86993E">
      <w:pPr>
        <w:spacing w:before="120" w:beforeLines="50" w:after="120" w:afterLines="50" w:line="400" w:lineRule="exact"/>
        <w:rPr>
          <w:rFonts w:hint="eastAsia" w:asciiTheme="majorEastAsia" w:hAnsiTheme="majorEastAsia" w:eastAsiaTheme="majorEastAsia"/>
          <w:b/>
          <w:color w:val="auto"/>
          <w:sz w:val="24"/>
          <w:highlight w:val="none"/>
        </w:rPr>
      </w:pPr>
    </w:p>
    <w:p w14:paraId="27BDCF14">
      <w:pPr>
        <w:spacing w:before="120" w:beforeLines="50" w:after="120" w:afterLines="50" w:line="400" w:lineRule="exact"/>
        <w:rPr>
          <w:rFonts w:hint="eastAsia" w:asciiTheme="majorEastAsia" w:hAnsiTheme="majorEastAsia" w:eastAsiaTheme="majorEastAsia"/>
          <w:b/>
          <w:color w:val="auto"/>
          <w:sz w:val="24"/>
          <w:highlight w:val="none"/>
        </w:rPr>
      </w:pPr>
    </w:p>
    <w:p w14:paraId="2EA99E0D">
      <w:pPr>
        <w:spacing w:before="120" w:beforeLines="50" w:after="120" w:afterLines="50" w:line="400" w:lineRule="exact"/>
        <w:rPr>
          <w:rFonts w:hint="eastAsia" w:asciiTheme="majorEastAsia" w:hAnsiTheme="majorEastAsia" w:eastAsiaTheme="majorEastAsia"/>
          <w:b/>
          <w:color w:val="auto"/>
          <w:sz w:val="24"/>
          <w:highlight w:val="none"/>
        </w:rPr>
      </w:pPr>
    </w:p>
    <w:p w14:paraId="10B03D62">
      <w:pPr>
        <w:spacing w:before="120" w:beforeLines="50" w:after="120" w:afterLines="50" w:line="400" w:lineRule="exact"/>
        <w:rPr>
          <w:rFonts w:hint="eastAsia" w:asciiTheme="majorEastAsia" w:hAnsiTheme="majorEastAsia" w:eastAsiaTheme="majorEastAsia"/>
          <w:b/>
          <w:color w:val="auto"/>
          <w:sz w:val="24"/>
          <w:highlight w:val="none"/>
        </w:rPr>
      </w:pPr>
    </w:p>
    <w:p w14:paraId="189DFF58">
      <w:pPr>
        <w:spacing w:before="120" w:beforeLines="50" w:after="120" w:afterLines="50" w:line="400" w:lineRule="exact"/>
        <w:rPr>
          <w:rFonts w:hint="eastAsia" w:asciiTheme="majorEastAsia" w:hAnsiTheme="majorEastAsia" w:eastAsiaTheme="majorEastAsia"/>
          <w:b/>
          <w:color w:val="auto"/>
          <w:sz w:val="24"/>
          <w:highlight w:val="none"/>
        </w:rPr>
      </w:pPr>
    </w:p>
    <w:p w14:paraId="170294B1">
      <w:pPr>
        <w:pStyle w:val="4"/>
        <w:keepNext w:val="0"/>
        <w:keepLines w:val="0"/>
        <w:jc w:val="center"/>
        <w:rPr>
          <w:rFonts w:hint="eastAsia" w:asciiTheme="majorEastAsia" w:hAnsiTheme="majorEastAsia" w:eastAsiaTheme="majorEastAsia"/>
          <w:color w:val="auto"/>
          <w:highlight w:val="none"/>
        </w:rPr>
      </w:pPr>
    </w:p>
    <w:p w14:paraId="011521AF">
      <w:pPr>
        <w:rPr>
          <w:rFonts w:hint="eastAsia" w:asciiTheme="majorEastAsia" w:hAnsiTheme="majorEastAsia" w:eastAsiaTheme="majorEastAsia"/>
          <w:color w:val="auto"/>
          <w:highlight w:val="none"/>
        </w:rPr>
      </w:pPr>
    </w:p>
    <w:p w14:paraId="351D7E06">
      <w:pPr>
        <w:rPr>
          <w:rFonts w:hint="eastAsia" w:asciiTheme="majorEastAsia" w:hAnsiTheme="majorEastAsia" w:eastAsiaTheme="majorEastAsia"/>
          <w:color w:val="auto"/>
          <w:highlight w:val="none"/>
        </w:rPr>
      </w:pPr>
    </w:p>
    <w:p w14:paraId="42305A95">
      <w:pPr>
        <w:rPr>
          <w:rFonts w:hint="eastAsia" w:asciiTheme="majorEastAsia" w:hAnsiTheme="majorEastAsia" w:eastAsiaTheme="majorEastAsia"/>
          <w:color w:val="auto"/>
          <w:highlight w:val="none"/>
        </w:rPr>
      </w:pPr>
    </w:p>
    <w:p w14:paraId="0BC70B23">
      <w:pPr>
        <w:rPr>
          <w:rFonts w:hint="eastAsia" w:asciiTheme="majorEastAsia" w:hAnsiTheme="majorEastAsia" w:eastAsiaTheme="majorEastAsia"/>
          <w:color w:val="auto"/>
          <w:highlight w:val="none"/>
        </w:rPr>
      </w:pPr>
    </w:p>
    <w:p w14:paraId="5349BD32">
      <w:pPr>
        <w:rPr>
          <w:rFonts w:hint="eastAsia" w:asciiTheme="majorEastAsia" w:hAnsiTheme="majorEastAsia" w:eastAsiaTheme="majorEastAsia"/>
          <w:color w:val="auto"/>
          <w:highlight w:val="none"/>
        </w:rPr>
      </w:pPr>
    </w:p>
    <w:p w14:paraId="3DC0E957">
      <w:pPr>
        <w:pStyle w:val="4"/>
        <w:keepNext w:val="0"/>
        <w:keepLines w:val="0"/>
        <w:jc w:val="center"/>
        <w:rPr>
          <w:rFonts w:hint="eastAsia" w:asciiTheme="majorEastAsia" w:hAnsiTheme="majorEastAsia" w:eastAsiaTheme="majorEastAsia"/>
          <w:color w:val="auto"/>
          <w:highlight w:val="none"/>
        </w:rPr>
      </w:pPr>
    </w:p>
    <w:p w14:paraId="144DC392">
      <w:pPr>
        <w:pStyle w:val="4"/>
        <w:keepNext w:val="0"/>
        <w:keepLines w:val="0"/>
        <w:jc w:val="center"/>
        <w:rPr>
          <w:rFonts w:hint="eastAsia" w:asciiTheme="majorEastAsia" w:hAnsiTheme="majorEastAsia" w:eastAsiaTheme="majorEastAsia"/>
          <w:color w:val="auto"/>
          <w:highlight w:val="none"/>
        </w:rPr>
      </w:pPr>
    </w:p>
    <w:p w14:paraId="0AB0F3E9">
      <w:pPr>
        <w:pStyle w:val="4"/>
        <w:keepNext w:val="0"/>
        <w:keepLines w:val="0"/>
        <w:jc w:val="center"/>
        <w:rPr>
          <w:rFonts w:hint="eastAsia" w:asciiTheme="majorEastAsia" w:hAnsiTheme="majorEastAsia" w:eastAsiaTheme="majorEastAsia"/>
          <w:color w:val="auto"/>
          <w:highlight w:val="none"/>
        </w:rPr>
      </w:pPr>
    </w:p>
    <w:p w14:paraId="15139987">
      <w:pPr>
        <w:pStyle w:val="4"/>
        <w:keepNext w:val="0"/>
        <w:keepLines w:val="0"/>
        <w:jc w:val="center"/>
        <w:rPr>
          <w:rFonts w:hint="eastAsia" w:asciiTheme="majorEastAsia" w:hAnsiTheme="majorEastAsia" w:eastAsiaTheme="majorEastAsia"/>
          <w:color w:val="auto"/>
          <w:highlight w:val="none"/>
        </w:rPr>
      </w:pPr>
    </w:p>
    <w:p w14:paraId="1B5803AD">
      <w:pPr>
        <w:rPr>
          <w:rFonts w:hint="eastAsia" w:asciiTheme="majorEastAsia" w:hAnsiTheme="majorEastAsia" w:eastAsiaTheme="majorEastAsia"/>
          <w:color w:val="auto"/>
          <w:highlight w:val="none"/>
        </w:rPr>
      </w:pPr>
    </w:p>
    <w:p w14:paraId="4E4A2274">
      <w:pPr>
        <w:rPr>
          <w:rFonts w:hint="eastAsia" w:asciiTheme="majorEastAsia" w:hAnsiTheme="majorEastAsia" w:eastAsiaTheme="majorEastAsia"/>
          <w:color w:val="auto"/>
          <w:highlight w:val="none"/>
        </w:rPr>
      </w:pPr>
    </w:p>
    <w:p w14:paraId="75C8E360">
      <w:pPr>
        <w:rPr>
          <w:rFonts w:hint="eastAsia" w:asciiTheme="majorEastAsia" w:hAnsiTheme="majorEastAsia" w:eastAsiaTheme="majorEastAsia"/>
          <w:color w:val="auto"/>
          <w:highlight w:val="none"/>
        </w:rPr>
      </w:pPr>
    </w:p>
    <w:p w14:paraId="79EBEF46">
      <w:pPr>
        <w:rPr>
          <w:rFonts w:hint="eastAsia" w:asciiTheme="majorEastAsia" w:hAnsiTheme="majorEastAsia" w:eastAsiaTheme="majorEastAsia"/>
          <w:color w:val="auto"/>
          <w:highlight w:val="none"/>
        </w:rPr>
      </w:pPr>
    </w:p>
    <w:p w14:paraId="24598370">
      <w:pPr>
        <w:rPr>
          <w:rFonts w:hint="eastAsia" w:asciiTheme="majorEastAsia" w:hAnsiTheme="majorEastAsia" w:eastAsiaTheme="majorEastAsia"/>
          <w:color w:val="auto"/>
          <w:highlight w:val="none"/>
        </w:rPr>
      </w:pPr>
    </w:p>
    <w:p w14:paraId="064D6DBA">
      <w:pPr>
        <w:rPr>
          <w:rFonts w:hint="eastAsia" w:asciiTheme="majorEastAsia" w:hAnsiTheme="majorEastAsia" w:eastAsiaTheme="majorEastAsia"/>
          <w:color w:val="auto"/>
          <w:highlight w:val="none"/>
        </w:rPr>
      </w:pPr>
    </w:p>
    <w:p w14:paraId="079101FB">
      <w:pPr>
        <w:rPr>
          <w:rFonts w:hint="eastAsia" w:asciiTheme="majorEastAsia" w:hAnsiTheme="majorEastAsia" w:eastAsiaTheme="majorEastAsia"/>
          <w:color w:val="auto"/>
          <w:highlight w:val="none"/>
        </w:rPr>
      </w:pPr>
    </w:p>
    <w:p w14:paraId="0CBAC736">
      <w:pPr>
        <w:rPr>
          <w:rFonts w:hint="eastAsia" w:asciiTheme="majorEastAsia" w:hAnsiTheme="majorEastAsia" w:eastAsiaTheme="majorEastAsia"/>
          <w:color w:val="auto"/>
          <w:highlight w:val="none"/>
        </w:rPr>
      </w:pPr>
    </w:p>
    <w:p w14:paraId="2298E72A">
      <w:pPr>
        <w:rPr>
          <w:rFonts w:hint="eastAsia" w:asciiTheme="majorEastAsia" w:hAnsiTheme="majorEastAsia" w:eastAsiaTheme="majorEastAsia"/>
          <w:color w:val="auto"/>
          <w:highlight w:val="none"/>
        </w:rPr>
      </w:pPr>
    </w:p>
    <w:p w14:paraId="4BC5C227">
      <w:pPr>
        <w:rPr>
          <w:rFonts w:hint="eastAsia" w:asciiTheme="majorEastAsia" w:hAnsiTheme="majorEastAsia" w:eastAsiaTheme="majorEastAsia"/>
          <w:color w:val="auto"/>
          <w:highlight w:val="none"/>
        </w:rPr>
      </w:pPr>
    </w:p>
    <w:p w14:paraId="4B6E0D47">
      <w:pPr>
        <w:rPr>
          <w:rFonts w:hint="eastAsia" w:asciiTheme="majorEastAsia" w:hAnsiTheme="majorEastAsia" w:eastAsiaTheme="majorEastAsia"/>
          <w:color w:val="auto"/>
          <w:highlight w:val="none"/>
        </w:rPr>
      </w:pPr>
    </w:p>
    <w:p w14:paraId="76E7BC03">
      <w:pPr>
        <w:rPr>
          <w:rFonts w:hint="eastAsia" w:asciiTheme="majorEastAsia" w:hAnsiTheme="majorEastAsia" w:eastAsiaTheme="majorEastAsia"/>
          <w:color w:val="auto"/>
          <w:highlight w:val="none"/>
        </w:rPr>
      </w:pPr>
    </w:p>
    <w:p w14:paraId="418079E6">
      <w:pPr>
        <w:rPr>
          <w:rFonts w:hint="eastAsia" w:asciiTheme="majorEastAsia" w:hAnsiTheme="majorEastAsia" w:eastAsiaTheme="majorEastAsia"/>
          <w:color w:val="auto"/>
          <w:highlight w:val="none"/>
        </w:rPr>
      </w:pPr>
    </w:p>
    <w:p w14:paraId="1A43C774">
      <w:pPr>
        <w:pStyle w:val="3"/>
        <w:jc w:val="center"/>
        <w:rPr>
          <w:rFonts w:hint="eastAsia" w:asciiTheme="majorEastAsia" w:hAnsiTheme="majorEastAsia" w:eastAsiaTheme="majorEastAsia"/>
          <w:color w:val="auto"/>
          <w:highlight w:val="none"/>
        </w:rPr>
      </w:pPr>
      <w:bookmarkStart w:id="149" w:name="_Toc74320804"/>
      <w:r>
        <w:rPr>
          <w:rFonts w:hint="eastAsia" w:asciiTheme="majorEastAsia" w:hAnsiTheme="majorEastAsia" w:eastAsiaTheme="majorEastAsia"/>
          <w:color w:val="auto"/>
          <w:highlight w:val="none"/>
        </w:rPr>
        <w:t>第五章  拟签订的合同文本</w:t>
      </w:r>
      <w:bookmarkEnd w:id="149"/>
    </w:p>
    <w:p w14:paraId="38393133">
      <w:pPr>
        <w:snapToGrid w:val="0"/>
        <w:jc w:val="center"/>
        <w:rPr>
          <w:rFonts w:hint="eastAsia" w:asciiTheme="majorEastAsia" w:hAnsiTheme="majorEastAsia" w:eastAsiaTheme="majorEastAsia"/>
          <w:bCs/>
          <w:color w:val="auto"/>
          <w:sz w:val="32"/>
          <w:szCs w:val="32"/>
          <w:highlight w:val="none"/>
        </w:rPr>
      </w:pPr>
    </w:p>
    <w:p w14:paraId="07658734">
      <w:pPr>
        <w:snapToGrid w:val="0"/>
        <w:jc w:val="center"/>
        <w:rPr>
          <w:rFonts w:hint="eastAsia" w:asciiTheme="majorEastAsia" w:hAnsiTheme="majorEastAsia" w:eastAsiaTheme="majorEastAsia"/>
          <w:bCs/>
          <w:color w:val="auto"/>
          <w:sz w:val="32"/>
          <w:szCs w:val="32"/>
          <w:highlight w:val="none"/>
        </w:rPr>
      </w:pPr>
    </w:p>
    <w:p w14:paraId="7C957767">
      <w:pPr>
        <w:snapToGrid w:val="0"/>
        <w:jc w:val="center"/>
        <w:rPr>
          <w:rFonts w:hint="eastAsia" w:asciiTheme="majorEastAsia" w:hAnsiTheme="majorEastAsia" w:eastAsiaTheme="majorEastAsia"/>
          <w:bCs/>
          <w:color w:val="auto"/>
          <w:sz w:val="32"/>
          <w:szCs w:val="32"/>
          <w:highlight w:val="none"/>
        </w:rPr>
      </w:pPr>
    </w:p>
    <w:p w14:paraId="2E649DA8">
      <w:pPr>
        <w:snapToGrid w:val="0"/>
        <w:jc w:val="center"/>
        <w:rPr>
          <w:rFonts w:hint="eastAsia" w:asciiTheme="majorEastAsia" w:hAnsiTheme="majorEastAsia" w:eastAsiaTheme="majorEastAsia"/>
          <w:bCs/>
          <w:color w:val="auto"/>
          <w:sz w:val="32"/>
          <w:szCs w:val="32"/>
          <w:highlight w:val="none"/>
        </w:rPr>
      </w:pPr>
    </w:p>
    <w:p w14:paraId="4F755D33">
      <w:pPr>
        <w:snapToGrid w:val="0"/>
        <w:jc w:val="center"/>
        <w:rPr>
          <w:rFonts w:hint="eastAsia" w:asciiTheme="majorEastAsia" w:hAnsiTheme="majorEastAsia" w:eastAsiaTheme="majorEastAsia"/>
          <w:bCs/>
          <w:color w:val="auto"/>
          <w:sz w:val="32"/>
          <w:szCs w:val="32"/>
          <w:highlight w:val="none"/>
        </w:rPr>
      </w:pPr>
    </w:p>
    <w:p w14:paraId="5382C335">
      <w:pPr>
        <w:snapToGrid w:val="0"/>
        <w:jc w:val="center"/>
        <w:rPr>
          <w:rFonts w:hint="eastAsia" w:asciiTheme="majorEastAsia" w:hAnsiTheme="majorEastAsia" w:eastAsiaTheme="majorEastAsia"/>
          <w:bCs/>
          <w:color w:val="auto"/>
          <w:sz w:val="32"/>
          <w:szCs w:val="32"/>
          <w:highlight w:val="none"/>
        </w:rPr>
      </w:pPr>
    </w:p>
    <w:p w14:paraId="379AD96C">
      <w:pPr>
        <w:snapToGrid w:val="0"/>
        <w:jc w:val="center"/>
        <w:rPr>
          <w:rFonts w:hint="eastAsia" w:asciiTheme="majorEastAsia" w:hAnsiTheme="majorEastAsia" w:eastAsiaTheme="majorEastAsia"/>
          <w:bCs/>
          <w:color w:val="auto"/>
          <w:sz w:val="32"/>
          <w:szCs w:val="32"/>
          <w:highlight w:val="none"/>
        </w:rPr>
      </w:pPr>
    </w:p>
    <w:p w14:paraId="2A867D17">
      <w:pPr>
        <w:snapToGrid w:val="0"/>
        <w:jc w:val="center"/>
        <w:rPr>
          <w:rFonts w:hint="eastAsia" w:asciiTheme="majorEastAsia" w:hAnsiTheme="majorEastAsia" w:eastAsiaTheme="majorEastAsia"/>
          <w:bCs/>
          <w:color w:val="auto"/>
          <w:sz w:val="32"/>
          <w:szCs w:val="32"/>
          <w:highlight w:val="none"/>
        </w:rPr>
      </w:pPr>
    </w:p>
    <w:p w14:paraId="16237F5E">
      <w:pPr>
        <w:snapToGrid w:val="0"/>
        <w:jc w:val="center"/>
        <w:rPr>
          <w:rFonts w:hint="eastAsia" w:asciiTheme="majorEastAsia" w:hAnsiTheme="majorEastAsia" w:eastAsiaTheme="majorEastAsia"/>
          <w:bCs/>
          <w:color w:val="auto"/>
          <w:sz w:val="32"/>
          <w:szCs w:val="32"/>
          <w:highlight w:val="none"/>
        </w:rPr>
      </w:pPr>
    </w:p>
    <w:p w14:paraId="666D8C03">
      <w:pPr>
        <w:snapToGrid w:val="0"/>
        <w:jc w:val="center"/>
        <w:rPr>
          <w:rFonts w:hint="eastAsia" w:asciiTheme="majorEastAsia" w:hAnsiTheme="majorEastAsia" w:eastAsiaTheme="majorEastAsia"/>
          <w:bCs/>
          <w:color w:val="auto"/>
          <w:sz w:val="32"/>
          <w:szCs w:val="32"/>
          <w:highlight w:val="none"/>
        </w:rPr>
      </w:pPr>
    </w:p>
    <w:p w14:paraId="3D424797">
      <w:pPr>
        <w:snapToGrid w:val="0"/>
        <w:jc w:val="center"/>
        <w:rPr>
          <w:rFonts w:hint="eastAsia" w:asciiTheme="majorEastAsia" w:hAnsiTheme="majorEastAsia" w:eastAsiaTheme="majorEastAsia"/>
          <w:bCs/>
          <w:color w:val="auto"/>
          <w:sz w:val="32"/>
          <w:szCs w:val="32"/>
          <w:highlight w:val="none"/>
        </w:rPr>
      </w:pPr>
    </w:p>
    <w:p w14:paraId="526F0248">
      <w:pPr>
        <w:snapToGrid w:val="0"/>
        <w:jc w:val="center"/>
        <w:rPr>
          <w:rFonts w:hint="eastAsia" w:asciiTheme="majorEastAsia" w:hAnsiTheme="majorEastAsia" w:eastAsiaTheme="majorEastAsia"/>
          <w:bCs/>
          <w:color w:val="auto"/>
          <w:sz w:val="32"/>
          <w:szCs w:val="32"/>
          <w:highlight w:val="none"/>
        </w:rPr>
      </w:pPr>
    </w:p>
    <w:p w14:paraId="622B7B64">
      <w:pPr>
        <w:snapToGrid w:val="0"/>
        <w:jc w:val="center"/>
        <w:rPr>
          <w:rFonts w:hint="eastAsia" w:asciiTheme="majorEastAsia" w:hAnsiTheme="majorEastAsia" w:eastAsiaTheme="majorEastAsia"/>
          <w:b/>
          <w:bCs/>
          <w:color w:val="auto"/>
          <w:sz w:val="32"/>
          <w:szCs w:val="32"/>
          <w:highlight w:val="none"/>
        </w:rPr>
      </w:pPr>
      <w:r>
        <w:rPr>
          <w:rFonts w:asciiTheme="majorEastAsia" w:hAnsiTheme="majorEastAsia" w:eastAsiaTheme="majorEastAsia"/>
          <w:bCs/>
          <w:color w:val="auto"/>
          <w:sz w:val="32"/>
          <w:szCs w:val="32"/>
          <w:highlight w:val="none"/>
        </w:rPr>
        <w:br w:type="page"/>
      </w:r>
      <w:bookmarkStart w:id="150" w:name="_Hlk55381736"/>
      <w:r>
        <w:rPr>
          <w:rFonts w:hint="eastAsia" w:asciiTheme="majorEastAsia" w:hAnsiTheme="majorEastAsia" w:eastAsiaTheme="majorEastAsia"/>
          <w:b/>
          <w:color w:val="auto"/>
          <w:sz w:val="32"/>
          <w:szCs w:val="32"/>
          <w:highlight w:val="none"/>
        </w:rPr>
        <w:t xml:space="preserve"> </w:t>
      </w:r>
      <w:r>
        <w:rPr>
          <w:rFonts w:hint="eastAsia" w:asciiTheme="majorEastAsia" w:hAnsiTheme="majorEastAsia" w:eastAsiaTheme="majorEastAsia"/>
          <w:b/>
          <w:bCs/>
          <w:color w:val="auto"/>
          <w:sz w:val="32"/>
          <w:szCs w:val="32"/>
          <w:highlight w:val="none"/>
        </w:rPr>
        <w:t>《广西壮族自治区政府采购合同》</w:t>
      </w:r>
    </w:p>
    <w:p w14:paraId="66697088">
      <w:pPr>
        <w:snapToGrid w:val="0"/>
        <w:spacing w:line="400" w:lineRule="exact"/>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文本</w:t>
      </w:r>
    </w:p>
    <w:p w14:paraId="25ED8D7B">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合同编号：</w:t>
      </w:r>
    </w:p>
    <w:p w14:paraId="6D3E0774">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采购计划：</w:t>
      </w:r>
    </w:p>
    <w:p w14:paraId="3BC7C0D0">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采购人（甲方）：</w:t>
      </w:r>
    </w:p>
    <w:p w14:paraId="55DE1DA2">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供应商（乙方）：</w:t>
      </w:r>
    </w:p>
    <w:p w14:paraId="754455CF">
      <w:pPr>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bidi="ar"/>
        </w:rPr>
        <w:t>项目名称：</w:t>
      </w:r>
    </w:p>
    <w:p w14:paraId="1A9BEE89">
      <w:pPr>
        <w:snapToGrid w:val="0"/>
        <w:spacing w:line="336" w:lineRule="auto"/>
        <w:rPr>
          <w:rFonts w:hint="eastAsia" w:ascii="宋体" w:hAnsi="宋体" w:cs="宋体"/>
          <w:color w:val="auto"/>
          <w:szCs w:val="21"/>
          <w:highlight w:val="none"/>
          <w:u w:val="single"/>
        </w:rPr>
      </w:pPr>
      <w:r>
        <w:rPr>
          <w:rFonts w:hint="eastAsia" w:ascii="宋体" w:hAnsi="宋体" w:cs="宋体"/>
          <w:color w:val="auto"/>
          <w:szCs w:val="21"/>
          <w:highlight w:val="none"/>
          <w:lang w:bidi="ar"/>
        </w:rPr>
        <w:t>项目编号：</w:t>
      </w:r>
    </w:p>
    <w:p w14:paraId="04641B7D">
      <w:pPr>
        <w:snapToGrid w:val="0"/>
        <w:spacing w:line="336" w:lineRule="auto"/>
        <w:rPr>
          <w:rFonts w:hint="eastAsia" w:ascii="宋体" w:hAnsi="宋体" w:cs="宋体"/>
          <w:color w:val="auto"/>
          <w:szCs w:val="21"/>
          <w:highlight w:val="none"/>
          <w:u w:val="single"/>
        </w:rPr>
      </w:pPr>
      <w:r>
        <w:rPr>
          <w:rFonts w:hint="eastAsia" w:ascii="宋体" w:hAnsi="宋体" w:cs="宋体"/>
          <w:color w:val="auto"/>
          <w:szCs w:val="21"/>
          <w:highlight w:val="none"/>
          <w:lang w:bidi="ar"/>
        </w:rPr>
        <w:t>签订地点：</w:t>
      </w:r>
    </w:p>
    <w:p w14:paraId="3A12D8EF">
      <w:pPr>
        <w:snapToGrid w:val="0"/>
        <w:spacing w:line="336" w:lineRule="auto"/>
        <w:rPr>
          <w:rFonts w:hint="eastAsia" w:ascii="宋体" w:hAnsi="宋体" w:cs="宋体"/>
          <w:color w:val="auto"/>
          <w:szCs w:val="21"/>
          <w:highlight w:val="none"/>
          <w:lang w:bidi="ar"/>
        </w:rPr>
      </w:pPr>
      <w:r>
        <w:rPr>
          <w:rFonts w:hint="eastAsia" w:ascii="宋体" w:hAnsi="宋体" w:cs="宋体"/>
          <w:color w:val="auto"/>
          <w:szCs w:val="21"/>
          <w:highlight w:val="none"/>
          <w:lang w:bidi="ar"/>
        </w:rPr>
        <w:t>签订时间：</w:t>
      </w:r>
    </w:p>
    <w:p w14:paraId="2717AC04">
      <w:pPr>
        <w:snapToGrid w:val="0"/>
        <w:spacing w:line="336"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本合同为中小企业预留合同：</w:t>
      </w:r>
      <w:r>
        <w:rPr>
          <w:rFonts w:hint="eastAsia" w:cs="宋体" w:asciiTheme="majorEastAsia" w:hAnsiTheme="majorEastAsia" w:eastAsiaTheme="majorEastAsia"/>
          <w:color w:val="auto"/>
          <w:szCs w:val="21"/>
          <w:highlight w:val="none"/>
          <w:u w:val="single"/>
        </w:rPr>
        <w:t>否</w:t>
      </w:r>
      <w:r>
        <w:rPr>
          <w:rFonts w:hint="eastAsia" w:cs="宋体" w:asciiTheme="majorEastAsia" w:hAnsiTheme="majorEastAsia" w:eastAsiaTheme="majorEastAsia"/>
          <w:color w:val="auto"/>
          <w:szCs w:val="21"/>
          <w:highlight w:val="none"/>
        </w:rPr>
        <w:t>。</w:t>
      </w:r>
    </w:p>
    <w:p w14:paraId="7171D280">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根据《中华人民共和国政府采购法》《中华人民共和国民法典》等法律、法规规定，按照采购文件规定条款和中标人承诺，甲乙双方签订本合同。</w:t>
      </w:r>
    </w:p>
    <w:p w14:paraId="18805922">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第一条 合同标的</w:t>
      </w:r>
    </w:p>
    <w:p w14:paraId="0D60D620">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szCs w:val="21"/>
          <w:highlight w:val="none"/>
          <w:lang w:eastAsia="ar-SA"/>
        </w:rPr>
        <w:t>.</w:t>
      </w:r>
      <w:r>
        <w:rPr>
          <w:rFonts w:hint="eastAsia" w:cs="宋体" w:asciiTheme="majorEastAsia" w:hAnsiTheme="majorEastAsia" w:eastAsiaTheme="majorEastAsia"/>
          <w:color w:val="auto"/>
          <w:szCs w:val="21"/>
          <w:highlight w:val="none"/>
        </w:rPr>
        <w:t>供货一览表</w:t>
      </w:r>
    </w:p>
    <w:tbl>
      <w:tblPr>
        <w:tblStyle w:val="5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04"/>
        <w:gridCol w:w="1104"/>
        <w:gridCol w:w="1390"/>
        <w:gridCol w:w="1088"/>
        <w:gridCol w:w="1069"/>
        <w:gridCol w:w="1087"/>
        <w:gridCol w:w="1203"/>
      </w:tblGrid>
      <w:tr w14:paraId="4B72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15E99DDE">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序号</w:t>
            </w:r>
          </w:p>
        </w:tc>
        <w:tc>
          <w:tcPr>
            <w:tcW w:w="1104" w:type="dxa"/>
            <w:vAlign w:val="center"/>
          </w:tcPr>
          <w:p w14:paraId="31ACA483">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标的名称</w:t>
            </w:r>
          </w:p>
        </w:tc>
        <w:tc>
          <w:tcPr>
            <w:tcW w:w="1104" w:type="dxa"/>
            <w:vAlign w:val="center"/>
          </w:tcPr>
          <w:p w14:paraId="44B3D66A">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商标品牌</w:t>
            </w:r>
          </w:p>
        </w:tc>
        <w:tc>
          <w:tcPr>
            <w:tcW w:w="1390" w:type="dxa"/>
            <w:vAlign w:val="center"/>
          </w:tcPr>
          <w:p w14:paraId="781896AD">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规格型号</w:t>
            </w:r>
          </w:p>
        </w:tc>
        <w:tc>
          <w:tcPr>
            <w:tcW w:w="1088" w:type="dxa"/>
            <w:vAlign w:val="center"/>
          </w:tcPr>
          <w:p w14:paraId="5F5BFF8B">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生产厂家</w:t>
            </w:r>
          </w:p>
        </w:tc>
        <w:tc>
          <w:tcPr>
            <w:tcW w:w="1069" w:type="dxa"/>
            <w:vAlign w:val="center"/>
          </w:tcPr>
          <w:p w14:paraId="2FDB5589">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数量</w:t>
            </w:r>
          </w:p>
          <w:p w14:paraId="4D37FDA6">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单位</w:t>
            </w:r>
          </w:p>
        </w:tc>
        <w:tc>
          <w:tcPr>
            <w:tcW w:w="1087" w:type="dxa"/>
            <w:vAlign w:val="center"/>
          </w:tcPr>
          <w:p w14:paraId="61A1CF9C">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单价(元)</w:t>
            </w:r>
          </w:p>
        </w:tc>
        <w:tc>
          <w:tcPr>
            <w:tcW w:w="1203" w:type="dxa"/>
            <w:vAlign w:val="center"/>
          </w:tcPr>
          <w:p w14:paraId="682F55F0">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金额(元)</w:t>
            </w:r>
          </w:p>
        </w:tc>
      </w:tr>
      <w:tr w14:paraId="14F5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6641C52E">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p>
        </w:tc>
        <w:tc>
          <w:tcPr>
            <w:tcW w:w="1104" w:type="dxa"/>
            <w:vAlign w:val="center"/>
          </w:tcPr>
          <w:p w14:paraId="12ADB9BE">
            <w:pPr>
              <w:spacing w:line="336" w:lineRule="auto"/>
              <w:jc w:val="center"/>
              <w:rPr>
                <w:rFonts w:hint="eastAsia" w:cs="宋体" w:asciiTheme="majorEastAsia" w:hAnsiTheme="majorEastAsia" w:eastAsiaTheme="majorEastAsia"/>
                <w:color w:val="auto"/>
                <w:szCs w:val="21"/>
                <w:highlight w:val="none"/>
              </w:rPr>
            </w:pPr>
          </w:p>
        </w:tc>
        <w:tc>
          <w:tcPr>
            <w:tcW w:w="1104" w:type="dxa"/>
            <w:vAlign w:val="center"/>
          </w:tcPr>
          <w:p w14:paraId="16B9AC84">
            <w:pPr>
              <w:spacing w:line="336" w:lineRule="auto"/>
              <w:rPr>
                <w:rFonts w:hint="eastAsia" w:cs="宋体" w:asciiTheme="majorEastAsia" w:hAnsiTheme="majorEastAsia" w:eastAsiaTheme="majorEastAsia"/>
                <w:color w:val="auto"/>
                <w:szCs w:val="21"/>
                <w:highlight w:val="none"/>
              </w:rPr>
            </w:pPr>
          </w:p>
        </w:tc>
        <w:tc>
          <w:tcPr>
            <w:tcW w:w="1390" w:type="dxa"/>
            <w:vAlign w:val="center"/>
          </w:tcPr>
          <w:p w14:paraId="17FE886C">
            <w:pPr>
              <w:spacing w:line="336" w:lineRule="auto"/>
              <w:jc w:val="center"/>
              <w:rPr>
                <w:rFonts w:hint="eastAsia" w:cs="宋体" w:asciiTheme="majorEastAsia" w:hAnsiTheme="majorEastAsia" w:eastAsiaTheme="majorEastAsia"/>
                <w:color w:val="auto"/>
                <w:szCs w:val="21"/>
                <w:highlight w:val="none"/>
              </w:rPr>
            </w:pPr>
          </w:p>
        </w:tc>
        <w:tc>
          <w:tcPr>
            <w:tcW w:w="1088" w:type="dxa"/>
            <w:vAlign w:val="center"/>
          </w:tcPr>
          <w:p w14:paraId="71BAE3B2">
            <w:pPr>
              <w:spacing w:line="336" w:lineRule="auto"/>
              <w:jc w:val="center"/>
              <w:rPr>
                <w:rFonts w:hint="eastAsia" w:cs="宋体" w:asciiTheme="majorEastAsia" w:hAnsiTheme="majorEastAsia" w:eastAsiaTheme="majorEastAsia"/>
                <w:color w:val="auto"/>
                <w:szCs w:val="21"/>
                <w:highlight w:val="none"/>
              </w:rPr>
            </w:pPr>
          </w:p>
        </w:tc>
        <w:tc>
          <w:tcPr>
            <w:tcW w:w="1069" w:type="dxa"/>
            <w:vAlign w:val="center"/>
          </w:tcPr>
          <w:p w14:paraId="16136406">
            <w:pPr>
              <w:spacing w:line="336" w:lineRule="auto"/>
              <w:jc w:val="center"/>
              <w:rPr>
                <w:rFonts w:hint="eastAsia" w:cs="宋体" w:asciiTheme="majorEastAsia" w:hAnsiTheme="majorEastAsia" w:eastAsiaTheme="majorEastAsia"/>
                <w:color w:val="auto"/>
                <w:szCs w:val="21"/>
                <w:highlight w:val="none"/>
              </w:rPr>
            </w:pPr>
          </w:p>
        </w:tc>
        <w:tc>
          <w:tcPr>
            <w:tcW w:w="1087" w:type="dxa"/>
            <w:vAlign w:val="center"/>
          </w:tcPr>
          <w:p w14:paraId="2A8C94EA">
            <w:pPr>
              <w:spacing w:line="336" w:lineRule="auto"/>
              <w:jc w:val="center"/>
              <w:rPr>
                <w:rFonts w:hint="eastAsia" w:cs="宋体" w:asciiTheme="majorEastAsia" w:hAnsiTheme="majorEastAsia" w:eastAsiaTheme="majorEastAsia"/>
                <w:color w:val="auto"/>
                <w:szCs w:val="21"/>
                <w:highlight w:val="none"/>
              </w:rPr>
            </w:pPr>
          </w:p>
        </w:tc>
        <w:tc>
          <w:tcPr>
            <w:tcW w:w="1203" w:type="dxa"/>
            <w:vAlign w:val="center"/>
          </w:tcPr>
          <w:p w14:paraId="4B1C69A6">
            <w:pPr>
              <w:spacing w:line="336" w:lineRule="auto"/>
              <w:jc w:val="center"/>
              <w:rPr>
                <w:rFonts w:hint="eastAsia" w:cs="宋体" w:asciiTheme="majorEastAsia" w:hAnsiTheme="majorEastAsia" w:eastAsiaTheme="majorEastAsia"/>
                <w:color w:val="auto"/>
                <w:szCs w:val="21"/>
                <w:highlight w:val="none"/>
              </w:rPr>
            </w:pPr>
          </w:p>
        </w:tc>
      </w:tr>
      <w:tr w14:paraId="59C2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219BE9C9">
            <w:pPr>
              <w:spacing w:line="336" w:lineRule="auto"/>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p>
        </w:tc>
        <w:tc>
          <w:tcPr>
            <w:tcW w:w="1104" w:type="dxa"/>
            <w:vAlign w:val="center"/>
          </w:tcPr>
          <w:p w14:paraId="7639D144">
            <w:pPr>
              <w:spacing w:line="336" w:lineRule="auto"/>
              <w:jc w:val="center"/>
              <w:rPr>
                <w:rFonts w:hint="eastAsia" w:cs="宋体" w:asciiTheme="majorEastAsia" w:hAnsiTheme="majorEastAsia" w:eastAsiaTheme="majorEastAsia"/>
                <w:color w:val="auto"/>
                <w:szCs w:val="21"/>
                <w:highlight w:val="none"/>
              </w:rPr>
            </w:pPr>
          </w:p>
        </w:tc>
        <w:tc>
          <w:tcPr>
            <w:tcW w:w="1104" w:type="dxa"/>
            <w:vAlign w:val="center"/>
          </w:tcPr>
          <w:p w14:paraId="7809A456">
            <w:pPr>
              <w:spacing w:line="336" w:lineRule="auto"/>
              <w:rPr>
                <w:rFonts w:hint="eastAsia" w:cs="宋体" w:asciiTheme="majorEastAsia" w:hAnsiTheme="majorEastAsia" w:eastAsiaTheme="majorEastAsia"/>
                <w:color w:val="auto"/>
                <w:szCs w:val="21"/>
                <w:highlight w:val="none"/>
              </w:rPr>
            </w:pPr>
          </w:p>
        </w:tc>
        <w:tc>
          <w:tcPr>
            <w:tcW w:w="1390" w:type="dxa"/>
            <w:vAlign w:val="center"/>
          </w:tcPr>
          <w:p w14:paraId="1CAE7178">
            <w:pPr>
              <w:spacing w:line="336" w:lineRule="auto"/>
              <w:jc w:val="center"/>
              <w:rPr>
                <w:rFonts w:hint="eastAsia" w:cs="宋体" w:asciiTheme="majorEastAsia" w:hAnsiTheme="majorEastAsia" w:eastAsiaTheme="majorEastAsia"/>
                <w:color w:val="auto"/>
                <w:szCs w:val="21"/>
                <w:highlight w:val="none"/>
              </w:rPr>
            </w:pPr>
          </w:p>
        </w:tc>
        <w:tc>
          <w:tcPr>
            <w:tcW w:w="1088" w:type="dxa"/>
            <w:vAlign w:val="center"/>
          </w:tcPr>
          <w:p w14:paraId="5018453F">
            <w:pPr>
              <w:spacing w:line="336" w:lineRule="auto"/>
              <w:jc w:val="center"/>
              <w:rPr>
                <w:rFonts w:hint="eastAsia" w:cs="宋体" w:asciiTheme="majorEastAsia" w:hAnsiTheme="majorEastAsia" w:eastAsiaTheme="majorEastAsia"/>
                <w:color w:val="auto"/>
                <w:szCs w:val="21"/>
                <w:highlight w:val="none"/>
              </w:rPr>
            </w:pPr>
          </w:p>
        </w:tc>
        <w:tc>
          <w:tcPr>
            <w:tcW w:w="1069" w:type="dxa"/>
            <w:vAlign w:val="center"/>
          </w:tcPr>
          <w:p w14:paraId="2B201985">
            <w:pPr>
              <w:spacing w:line="336" w:lineRule="auto"/>
              <w:jc w:val="center"/>
              <w:rPr>
                <w:rFonts w:hint="eastAsia" w:cs="宋体" w:asciiTheme="majorEastAsia" w:hAnsiTheme="majorEastAsia" w:eastAsiaTheme="majorEastAsia"/>
                <w:color w:val="auto"/>
                <w:szCs w:val="21"/>
                <w:highlight w:val="none"/>
              </w:rPr>
            </w:pPr>
          </w:p>
        </w:tc>
        <w:tc>
          <w:tcPr>
            <w:tcW w:w="1087" w:type="dxa"/>
            <w:vAlign w:val="center"/>
          </w:tcPr>
          <w:p w14:paraId="56A83209">
            <w:pPr>
              <w:spacing w:line="336" w:lineRule="auto"/>
              <w:jc w:val="center"/>
              <w:rPr>
                <w:rFonts w:hint="eastAsia" w:cs="宋体" w:asciiTheme="majorEastAsia" w:hAnsiTheme="majorEastAsia" w:eastAsiaTheme="majorEastAsia"/>
                <w:color w:val="auto"/>
                <w:szCs w:val="21"/>
                <w:highlight w:val="none"/>
              </w:rPr>
            </w:pPr>
          </w:p>
        </w:tc>
        <w:tc>
          <w:tcPr>
            <w:tcW w:w="1203" w:type="dxa"/>
            <w:vAlign w:val="center"/>
          </w:tcPr>
          <w:p w14:paraId="2D287AF1">
            <w:pPr>
              <w:spacing w:line="336" w:lineRule="auto"/>
              <w:jc w:val="center"/>
              <w:rPr>
                <w:rFonts w:hint="eastAsia" w:cs="宋体" w:asciiTheme="majorEastAsia" w:hAnsiTheme="majorEastAsia" w:eastAsiaTheme="majorEastAsia"/>
                <w:color w:val="auto"/>
                <w:szCs w:val="21"/>
                <w:highlight w:val="none"/>
              </w:rPr>
            </w:pPr>
          </w:p>
        </w:tc>
      </w:tr>
      <w:tr w14:paraId="3588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75" w:type="dxa"/>
            <w:vAlign w:val="center"/>
          </w:tcPr>
          <w:p w14:paraId="3171D39A">
            <w:pPr>
              <w:spacing w:line="336" w:lineRule="auto"/>
              <w:jc w:val="center"/>
              <w:rPr>
                <w:rFonts w:hint="default" w:cs="宋体" w:asciiTheme="majorEastAsia" w:hAnsiTheme="majorEastAsia" w:eastAsiaTheme="majorEastAsia"/>
                <w:color w:val="auto"/>
                <w:szCs w:val="21"/>
                <w:highlight w:val="none"/>
                <w:lang w:val="en-US" w:eastAsia="zh-CN"/>
              </w:rPr>
            </w:pPr>
            <w:r>
              <w:rPr>
                <w:rFonts w:hint="eastAsia" w:cs="宋体" w:asciiTheme="majorEastAsia" w:hAnsiTheme="majorEastAsia" w:eastAsiaTheme="majorEastAsia"/>
                <w:color w:val="auto"/>
                <w:szCs w:val="21"/>
                <w:highlight w:val="none"/>
                <w:lang w:val="en-US" w:eastAsia="zh-CN"/>
              </w:rPr>
              <w:t>...</w:t>
            </w:r>
          </w:p>
        </w:tc>
        <w:tc>
          <w:tcPr>
            <w:tcW w:w="1104" w:type="dxa"/>
            <w:vAlign w:val="center"/>
          </w:tcPr>
          <w:p w14:paraId="20AC1F86">
            <w:pPr>
              <w:spacing w:line="336" w:lineRule="auto"/>
              <w:jc w:val="center"/>
              <w:rPr>
                <w:rFonts w:hint="eastAsia" w:cs="宋体" w:asciiTheme="majorEastAsia" w:hAnsiTheme="majorEastAsia" w:eastAsiaTheme="majorEastAsia"/>
                <w:color w:val="auto"/>
                <w:szCs w:val="21"/>
                <w:highlight w:val="none"/>
              </w:rPr>
            </w:pPr>
          </w:p>
        </w:tc>
        <w:tc>
          <w:tcPr>
            <w:tcW w:w="1104" w:type="dxa"/>
            <w:vAlign w:val="center"/>
          </w:tcPr>
          <w:p w14:paraId="23E65657">
            <w:pPr>
              <w:spacing w:line="336" w:lineRule="auto"/>
              <w:rPr>
                <w:rFonts w:hint="eastAsia" w:cs="宋体" w:asciiTheme="majorEastAsia" w:hAnsiTheme="majorEastAsia" w:eastAsiaTheme="majorEastAsia"/>
                <w:color w:val="auto"/>
                <w:szCs w:val="21"/>
                <w:highlight w:val="none"/>
              </w:rPr>
            </w:pPr>
          </w:p>
        </w:tc>
        <w:tc>
          <w:tcPr>
            <w:tcW w:w="1390" w:type="dxa"/>
            <w:vAlign w:val="center"/>
          </w:tcPr>
          <w:p w14:paraId="4FA8EC02">
            <w:pPr>
              <w:spacing w:line="336" w:lineRule="auto"/>
              <w:jc w:val="center"/>
              <w:rPr>
                <w:rFonts w:hint="eastAsia" w:cs="宋体" w:asciiTheme="majorEastAsia" w:hAnsiTheme="majorEastAsia" w:eastAsiaTheme="majorEastAsia"/>
                <w:color w:val="auto"/>
                <w:szCs w:val="21"/>
                <w:highlight w:val="none"/>
              </w:rPr>
            </w:pPr>
          </w:p>
        </w:tc>
        <w:tc>
          <w:tcPr>
            <w:tcW w:w="1088" w:type="dxa"/>
            <w:vAlign w:val="center"/>
          </w:tcPr>
          <w:p w14:paraId="1F286DD6">
            <w:pPr>
              <w:spacing w:line="336" w:lineRule="auto"/>
              <w:jc w:val="center"/>
              <w:rPr>
                <w:rFonts w:hint="eastAsia" w:cs="宋体" w:asciiTheme="majorEastAsia" w:hAnsiTheme="majorEastAsia" w:eastAsiaTheme="majorEastAsia"/>
                <w:color w:val="auto"/>
                <w:szCs w:val="21"/>
                <w:highlight w:val="none"/>
              </w:rPr>
            </w:pPr>
          </w:p>
        </w:tc>
        <w:tc>
          <w:tcPr>
            <w:tcW w:w="1069" w:type="dxa"/>
            <w:vAlign w:val="center"/>
          </w:tcPr>
          <w:p w14:paraId="09B49A65">
            <w:pPr>
              <w:spacing w:line="336" w:lineRule="auto"/>
              <w:jc w:val="center"/>
              <w:rPr>
                <w:rFonts w:hint="eastAsia" w:cs="宋体" w:asciiTheme="majorEastAsia" w:hAnsiTheme="majorEastAsia" w:eastAsiaTheme="majorEastAsia"/>
                <w:color w:val="auto"/>
                <w:szCs w:val="21"/>
                <w:highlight w:val="none"/>
              </w:rPr>
            </w:pPr>
          </w:p>
        </w:tc>
        <w:tc>
          <w:tcPr>
            <w:tcW w:w="1087" w:type="dxa"/>
            <w:vAlign w:val="center"/>
          </w:tcPr>
          <w:p w14:paraId="31E5E5C5">
            <w:pPr>
              <w:spacing w:line="336" w:lineRule="auto"/>
              <w:jc w:val="center"/>
              <w:rPr>
                <w:rFonts w:hint="eastAsia" w:cs="宋体" w:asciiTheme="majorEastAsia" w:hAnsiTheme="majorEastAsia" w:eastAsiaTheme="majorEastAsia"/>
                <w:color w:val="auto"/>
                <w:szCs w:val="21"/>
                <w:highlight w:val="none"/>
              </w:rPr>
            </w:pPr>
          </w:p>
        </w:tc>
        <w:tc>
          <w:tcPr>
            <w:tcW w:w="1203" w:type="dxa"/>
            <w:vAlign w:val="center"/>
          </w:tcPr>
          <w:p w14:paraId="3150A527">
            <w:pPr>
              <w:spacing w:line="336" w:lineRule="auto"/>
              <w:jc w:val="center"/>
              <w:rPr>
                <w:rFonts w:hint="eastAsia" w:cs="宋体" w:asciiTheme="majorEastAsia" w:hAnsiTheme="majorEastAsia" w:eastAsiaTheme="majorEastAsia"/>
                <w:color w:val="auto"/>
                <w:szCs w:val="21"/>
                <w:highlight w:val="none"/>
              </w:rPr>
            </w:pPr>
          </w:p>
        </w:tc>
      </w:tr>
      <w:tr w14:paraId="7DC2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720" w:type="dxa"/>
            <w:gridSpan w:val="8"/>
            <w:vAlign w:val="center"/>
          </w:tcPr>
          <w:p w14:paraId="78D8E4E3">
            <w:pPr>
              <w:spacing w:line="336" w:lineRule="auto"/>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合计金额人民币(大写)                   (小写)               </w:t>
            </w:r>
          </w:p>
        </w:tc>
      </w:tr>
      <w:tr w14:paraId="1892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720" w:type="dxa"/>
            <w:gridSpan w:val="8"/>
            <w:vAlign w:val="center"/>
          </w:tcPr>
          <w:p w14:paraId="288DFA6B">
            <w:pPr>
              <w:spacing w:line="336" w:lineRule="auto"/>
              <w:rPr>
                <w:rFonts w:hint="eastAsia" w:eastAsia="宋体" w:cs="宋体" w:asciiTheme="majorEastAsia" w:hAnsiTheme="majorEastAsia"/>
                <w:color w:val="auto"/>
                <w:szCs w:val="21"/>
                <w:highlight w:val="none"/>
                <w:lang w:eastAsia="zh-CN"/>
              </w:rPr>
            </w:pPr>
            <w:r>
              <w:rPr>
                <w:rFonts w:hint="eastAsia" w:cs="宋体" w:asciiTheme="majorEastAsia" w:hAnsiTheme="majorEastAsia" w:eastAsiaTheme="majorEastAsia"/>
                <w:color w:val="auto"/>
                <w:szCs w:val="21"/>
                <w:highlight w:val="none"/>
              </w:rPr>
              <w:t>供货一览表</w:t>
            </w:r>
            <w:r>
              <w:rPr>
                <w:rFonts w:hint="eastAsia"/>
                <w:color w:val="auto"/>
                <w:highlight w:val="none"/>
              </w:rPr>
              <w:t>以最终验收清单为准</w:t>
            </w:r>
            <w:r>
              <w:rPr>
                <w:rFonts w:hint="eastAsia"/>
                <w:color w:val="auto"/>
                <w:highlight w:val="none"/>
                <w:lang w:eastAsia="zh-CN"/>
              </w:rPr>
              <w:t>。</w:t>
            </w:r>
          </w:p>
        </w:tc>
      </w:tr>
    </w:tbl>
    <w:p w14:paraId="552E37BF">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合同合计金额包括投标报价包含货物、货物标准附件、备品备件、专用工具、设备安装辅材、施工辅材、包装、运输、装卸、保险、货到就位的各种费用以</w:t>
      </w:r>
      <w:r>
        <w:rPr>
          <w:rFonts w:hint="eastAsia" w:cs="宋体" w:asciiTheme="majorEastAsia" w:hAnsiTheme="majorEastAsia" w:eastAsiaTheme="majorEastAsia"/>
          <w:color w:val="auto"/>
          <w:szCs w:val="21"/>
          <w:highlight w:val="none"/>
          <w:lang w:eastAsia="zh-CN"/>
        </w:rPr>
        <w:t>及建设、施工、安装、调试等</w:t>
      </w:r>
      <w:r>
        <w:rPr>
          <w:rFonts w:hint="eastAsia" w:cs="宋体" w:asciiTheme="majorEastAsia" w:hAnsiTheme="majorEastAsia" w:eastAsiaTheme="majorEastAsia"/>
          <w:color w:val="auto"/>
          <w:szCs w:val="21"/>
          <w:highlight w:val="none"/>
        </w:rPr>
        <w:t>本采购文件所列设备材料需进行补充完善才能完成本项目的功能配置或实际采购中产品材料有任何遗漏的费用（含本项目需要但本文件中未列出的设备材料、功能配置）、</w:t>
      </w:r>
      <w:r>
        <w:rPr>
          <w:rFonts w:hint="eastAsia" w:cs="宋体" w:asciiTheme="majorEastAsia" w:hAnsiTheme="majorEastAsia" w:eastAsiaTheme="majorEastAsia"/>
          <w:bCs/>
          <w:color w:val="auto"/>
          <w:szCs w:val="21"/>
          <w:highlight w:val="none"/>
        </w:rPr>
        <w:t>调试，及投入使用后质量保修期内的维护、保养、人员培训、售后服务</w:t>
      </w:r>
      <w:r>
        <w:rPr>
          <w:rFonts w:hint="eastAsia" w:cs="宋体" w:asciiTheme="majorEastAsia" w:hAnsiTheme="majorEastAsia" w:eastAsiaTheme="majorEastAsia"/>
          <w:color w:val="auto"/>
          <w:szCs w:val="21"/>
          <w:highlight w:val="none"/>
        </w:rPr>
        <w:t>及其他所有成本费用，以及合同明示或暗示的所有责任、义务和一般风险等一切费用。</w:t>
      </w:r>
    </w:p>
    <w:p w14:paraId="029187F8">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第二条 质量保证</w:t>
      </w:r>
    </w:p>
    <w:p w14:paraId="47AC490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乙方所提供的货物型号、技术规格、技术参数等应符合</w:t>
      </w:r>
      <w:r>
        <w:rPr>
          <w:rFonts w:hint="eastAsia" w:cs="宋体" w:asciiTheme="majorEastAsia" w:hAnsiTheme="majorEastAsia" w:eastAsiaTheme="majorEastAsia"/>
          <w:color w:val="auto"/>
          <w:szCs w:val="21"/>
          <w:highlight w:val="none"/>
          <w:lang w:eastAsia="zh-Hans"/>
        </w:rPr>
        <w:t>国家标准、行业标准、地方标准等标准、规范（上述标准、规范有出入的，以较严格为准）</w:t>
      </w:r>
      <w:r>
        <w:rPr>
          <w:rFonts w:hint="eastAsia" w:cs="宋体" w:asciiTheme="majorEastAsia" w:hAnsiTheme="majorEastAsia" w:eastAsiaTheme="majorEastAsia"/>
          <w:color w:val="auto"/>
          <w:szCs w:val="21"/>
          <w:highlight w:val="none"/>
        </w:rPr>
        <w:t>，并与公告规定、采购文件及投标文件承诺的质量相一致，以确保使用过程的安全有效</w:t>
      </w:r>
      <w:r>
        <w:rPr>
          <w:rFonts w:hint="eastAsia" w:cs="宋体" w:asciiTheme="majorEastAsia" w:hAnsiTheme="majorEastAsia" w:eastAsiaTheme="majorEastAsia"/>
          <w:color w:val="auto"/>
          <w:szCs w:val="21"/>
          <w:highlight w:val="none"/>
          <w:lang w:eastAsia="zh-Hans"/>
        </w:rPr>
        <w:t>，如采购文件中明确对货物提出更高的技术要求的，乙方还应当确保符合采购文件提出的技术要求</w:t>
      </w:r>
      <w:r>
        <w:rPr>
          <w:rFonts w:hint="eastAsia" w:cs="宋体" w:asciiTheme="majorEastAsia" w:hAnsiTheme="majorEastAsia" w:eastAsiaTheme="majorEastAsia"/>
          <w:color w:val="auto"/>
          <w:szCs w:val="21"/>
          <w:highlight w:val="none"/>
        </w:rPr>
        <w:t>。</w:t>
      </w:r>
    </w:p>
    <w:p w14:paraId="60B4E38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乙方所提供的货物必须是全新、未使用的原装产品，且在正常安装、使用和保养条件下，其使用寿命期内各项指标均达到公告规定、采购文件或投标文件承诺的质量要求。</w:t>
      </w:r>
    </w:p>
    <w:p w14:paraId="339843A8">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第三条 权利保证</w:t>
      </w:r>
    </w:p>
    <w:p w14:paraId="47357BFC">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乙方应保证所提供货物在使用时不会侵犯任何第三方的专利权、商标权、工业设计权或其他权利。若因侵权导致甲方损失，乙方应全额赔偿，包括甲方因此支付的律师费、罚金等。</w:t>
      </w:r>
    </w:p>
    <w:p w14:paraId="3AC3401C">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乙方应按公告规定、采购文件或投标文件承诺的时间向甲方提供使用货物的有关技术资料。</w:t>
      </w:r>
    </w:p>
    <w:p w14:paraId="41F1B4A0">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40BFABB">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乙方保证将要交付的货物的所有权完全属于乙方，且无任何抵押、质押、查封等产权瑕疵。</w:t>
      </w:r>
    </w:p>
    <w:p w14:paraId="6EC6FFD5">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第四条 包装和运输</w:t>
      </w:r>
    </w:p>
    <w:p w14:paraId="131CCFA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乙方提供的货物均应按照公告规定、采购文件或投标文件承诺的包装材料、包装标准、包装方式进行包装，每一包装单元内应附详细的装箱单和质量合格证。</w:t>
      </w:r>
    </w:p>
    <w:p w14:paraId="13E27BDB">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货物的运输方式：</w:t>
      </w:r>
      <w:r>
        <w:rPr>
          <w:rFonts w:hint="eastAsia" w:cs="宋体" w:asciiTheme="majorEastAsia" w:hAnsiTheme="majorEastAsia" w:eastAsiaTheme="majorEastAsia"/>
          <w:color w:val="auto"/>
          <w:kern w:val="1"/>
          <w:szCs w:val="21"/>
          <w:highlight w:val="none"/>
          <w:u w:val="single"/>
          <w:lang w:eastAsia="ar-SA"/>
        </w:rPr>
        <w:t>不限</w:t>
      </w:r>
      <w:r>
        <w:rPr>
          <w:rFonts w:hint="eastAsia" w:cs="宋体" w:asciiTheme="majorEastAsia" w:hAnsiTheme="majorEastAsia" w:eastAsiaTheme="majorEastAsia"/>
          <w:color w:val="auto"/>
          <w:szCs w:val="21"/>
          <w:highlight w:val="none"/>
        </w:rPr>
        <w:t>。</w:t>
      </w:r>
    </w:p>
    <w:p w14:paraId="646AB4DC">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乙方负责货物运输及相关费用，货物运输合理损耗及计算方法：</w:t>
      </w:r>
      <w:r>
        <w:rPr>
          <w:rFonts w:hint="eastAsia" w:cs="宋体" w:asciiTheme="majorEastAsia" w:hAnsiTheme="majorEastAsia" w:eastAsiaTheme="majorEastAsia"/>
          <w:color w:val="auto"/>
          <w:szCs w:val="21"/>
          <w:highlight w:val="none"/>
          <w:u w:val="single"/>
        </w:rPr>
        <w:t>货物运输保险费已包含在合同总价中，乙方须确保货物安全无损地运抵安装地点</w:t>
      </w:r>
      <w:r>
        <w:rPr>
          <w:rFonts w:hint="eastAsia" w:cs="宋体" w:asciiTheme="majorEastAsia" w:hAnsiTheme="majorEastAsia" w:eastAsiaTheme="majorEastAsia"/>
          <w:color w:val="auto"/>
          <w:szCs w:val="21"/>
          <w:highlight w:val="none"/>
        </w:rPr>
        <w:t>。</w:t>
      </w:r>
    </w:p>
    <w:p w14:paraId="0B194F37">
      <w:pPr>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第五条 交付和验收</w:t>
      </w:r>
    </w:p>
    <w:p w14:paraId="42A1CE5A">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交货时间：</w:t>
      </w:r>
      <w:r>
        <w:rPr>
          <w:rFonts w:hint="eastAsia" w:cs="宋体" w:asciiTheme="majorEastAsia" w:hAnsiTheme="majorEastAsia" w:eastAsiaTheme="majorEastAsia"/>
          <w:color w:val="auto"/>
          <w:szCs w:val="21"/>
          <w:highlight w:val="none"/>
          <w:u w:val="single"/>
        </w:rPr>
        <w:t>按乙方投标文件中所承诺的时间</w:t>
      </w:r>
      <w:r>
        <w:rPr>
          <w:rFonts w:hint="eastAsia" w:cs="宋体" w:asciiTheme="majorEastAsia" w:hAnsiTheme="majorEastAsia" w:eastAsiaTheme="majorEastAsia"/>
          <w:color w:val="auto"/>
          <w:szCs w:val="21"/>
          <w:highlight w:val="none"/>
        </w:rPr>
        <w:t>；交货地点：</w:t>
      </w:r>
      <w:r>
        <w:rPr>
          <w:rFonts w:hint="eastAsia" w:cs="宋体" w:asciiTheme="majorEastAsia" w:hAnsiTheme="majorEastAsia" w:eastAsiaTheme="majorEastAsia"/>
          <w:color w:val="auto"/>
          <w:szCs w:val="21"/>
          <w:highlight w:val="none"/>
          <w:u w:val="single"/>
        </w:rPr>
        <w:t>广西区内（甲方指定地点）</w:t>
      </w:r>
      <w:r>
        <w:rPr>
          <w:rFonts w:hint="eastAsia" w:cs="宋体" w:asciiTheme="majorEastAsia" w:hAnsiTheme="majorEastAsia" w:eastAsiaTheme="majorEastAsia"/>
          <w:color w:val="auto"/>
          <w:szCs w:val="21"/>
          <w:highlight w:val="none"/>
        </w:rPr>
        <w:t>。</w:t>
      </w:r>
    </w:p>
    <w:p w14:paraId="09E75D67">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乙方提供不符合公告规定的、采购文件、投标文件承诺的或本合同规定的货物，甲方有权拒绝接受。</w:t>
      </w:r>
    </w:p>
    <w:p w14:paraId="35F63128">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3.乙方应将所提供货物的装箱清单、用户手册、原厂保修卡、随机资料、工具和备品、备件等交付给甲方，如有缺失应在甲方要求的合理时间内及时补齐，否则视为逾期交货。</w:t>
      </w:r>
    </w:p>
    <w:p w14:paraId="0E61DE1E">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4.甲方应当在到货并安装、调试完后</w:t>
      </w:r>
      <w:bookmarkStart w:id="151" w:name="OLE_LINK12"/>
      <w:bookmarkStart w:id="152" w:name="OLE_LINK11"/>
      <w:r>
        <w:rPr>
          <w:rFonts w:hint="eastAsia" w:cs="宋体" w:asciiTheme="majorEastAsia" w:hAnsiTheme="majorEastAsia" w:eastAsiaTheme="majorEastAsia"/>
          <w:color w:val="auto"/>
          <w:szCs w:val="21"/>
          <w:highlight w:val="none"/>
        </w:rPr>
        <w:t>一个月内进行验收</w:t>
      </w:r>
      <w:bookmarkEnd w:id="151"/>
      <w:bookmarkEnd w:id="152"/>
      <w:r>
        <w:rPr>
          <w:rFonts w:hint="eastAsia" w:cs="宋体" w:asciiTheme="majorEastAsia" w:hAnsiTheme="majorEastAsia" w:eastAsiaTheme="majorEastAsia"/>
          <w:color w:val="auto"/>
          <w:szCs w:val="21"/>
          <w:highlight w:val="none"/>
        </w:rPr>
        <w:t>。验收合格后由甲乙双方签署货物验收单并加盖采购人公章，甲乙双方各执一份。甲方签署货物验收单并不免除乙方对货物的质量保证责任，甲方在使用货物过程中，货物存在产品质量问题的，乙方承担因此产生的所有责任。</w:t>
      </w:r>
    </w:p>
    <w:p w14:paraId="149AA499">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若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14:paraId="37FB8EB1">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6.甲方对验收有异议的，在验收后五个工作日内以书面形式向乙方提出，乙方应自收到甲方书面异议后五日内及时予以解决。</w:t>
      </w:r>
    </w:p>
    <w:p w14:paraId="446BF3A7">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第六条 安装和培训</w:t>
      </w:r>
    </w:p>
    <w:p w14:paraId="399AEF11">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甲方应提供必要安装条件（如场地、电源、水源等）。乙方应在到货之日起</w:t>
      </w:r>
      <w:r>
        <w:rPr>
          <w:rFonts w:hint="eastAsia" w:cs="宋体" w:asciiTheme="majorEastAsia" w:hAnsiTheme="majorEastAsia" w:eastAsiaTheme="majorEastAsia"/>
          <w:color w:val="auto"/>
          <w:szCs w:val="21"/>
          <w:highlight w:val="none"/>
          <w:u w:val="single"/>
        </w:rPr>
        <w:t xml:space="preserve"> 3 </w:t>
      </w:r>
      <w:r>
        <w:rPr>
          <w:rFonts w:hint="eastAsia" w:cs="宋体" w:asciiTheme="majorEastAsia" w:hAnsiTheme="majorEastAsia" w:eastAsiaTheme="majorEastAsia"/>
          <w:color w:val="auto"/>
          <w:szCs w:val="21"/>
          <w:highlight w:val="none"/>
        </w:rPr>
        <w:t>个工作日内对货物进行安装、调试。</w:t>
      </w:r>
    </w:p>
    <w:p w14:paraId="5F0ED803">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乙方负责甲方有关人员的培训</w:t>
      </w:r>
      <w:r>
        <w:rPr>
          <w:rFonts w:hint="eastAsia" w:cs="宋体" w:asciiTheme="majorEastAsia" w:hAnsiTheme="majorEastAsia" w:eastAsiaTheme="majorEastAsia"/>
          <w:color w:val="auto"/>
          <w:szCs w:val="21"/>
          <w:highlight w:val="none"/>
          <w:lang w:eastAsia="zh-Hans"/>
        </w:rPr>
        <w:t>，具体培训时间、地点由甲方予以确定</w:t>
      </w:r>
      <w:r>
        <w:rPr>
          <w:rFonts w:hint="eastAsia" w:cs="宋体" w:asciiTheme="majorEastAsia" w:hAnsiTheme="majorEastAsia" w:eastAsiaTheme="majorEastAsia"/>
          <w:color w:val="auto"/>
          <w:szCs w:val="21"/>
          <w:highlight w:val="none"/>
        </w:rPr>
        <w:t>。</w:t>
      </w:r>
    </w:p>
    <w:p w14:paraId="4E533BE0">
      <w:pPr>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第七条 售后服务、质保期</w:t>
      </w:r>
    </w:p>
    <w:p w14:paraId="3B14F180">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kern w:val="1"/>
          <w:szCs w:val="21"/>
          <w:highlight w:val="none"/>
        </w:rPr>
        <w:t xml:space="preserve"> </w:t>
      </w:r>
      <w:r>
        <w:rPr>
          <w:rFonts w:hint="eastAsia" w:cs="宋体" w:asciiTheme="majorEastAsia" w:hAnsiTheme="majorEastAsia" w:eastAsiaTheme="majorEastAsia"/>
          <w:color w:val="auto"/>
          <w:szCs w:val="21"/>
          <w:highlight w:val="none"/>
        </w:rPr>
        <w:t>乙方应按照国家有关法律法规和“三包”规定以及公告、采购文件投标文件和本合同所附的《服务承诺》，为甲方提供售后服务。</w:t>
      </w:r>
    </w:p>
    <w:p w14:paraId="2B549F07">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货物保修期：</w:t>
      </w:r>
      <w:r>
        <w:rPr>
          <w:rFonts w:hint="eastAsia" w:cs="宋体" w:asciiTheme="majorEastAsia" w:hAnsiTheme="majorEastAsia" w:eastAsiaTheme="majorEastAsia"/>
          <w:color w:val="auto"/>
          <w:szCs w:val="21"/>
          <w:highlight w:val="none"/>
          <w:u w:val="single"/>
        </w:rPr>
        <w:t>按乙方承诺，但是不得低于国家相关标准。</w:t>
      </w:r>
    </w:p>
    <w:p w14:paraId="439F2D18">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szCs w:val="21"/>
          <w:highlight w:val="none"/>
        </w:rPr>
        <w:t>乙方提供的服务承诺和售后服务及质保期责任等其它具体约定事项（见合同附件)。</w:t>
      </w:r>
    </w:p>
    <w:p w14:paraId="325CACDC">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第八条 付款方式</w:t>
      </w:r>
    </w:p>
    <w:p w14:paraId="2A59449B">
      <w:pPr>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u w:val="single"/>
        </w:rPr>
        <w:t>1</w:t>
      </w:r>
      <w:r>
        <w:rPr>
          <w:rFonts w:hint="eastAsia" w:cs="宋体" w:asciiTheme="majorEastAsia" w:hAnsiTheme="majorEastAsia" w:eastAsiaTheme="majorEastAsia"/>
          <w:color w:val="auto"/>
          <w:szCs w:val="21"/>
          <w:highlight w:val="none"/>
          <w:u w:val="single"/>
          <w:lang w:val="en-US" w:eastAsia="zh-CN"/>
        </w:rPr>
        <w:t>.自签订合同之日起5个工作日内支付50%合同款，货到采购人指定地点，安装调试试运行起5个工作日内支付30%合同款，经采购人验收合格后5个工作日内向中标人支付剩余的合同款</w:t>
      </w:r>
      <w:r>
        <w:rPr>
          <w:rFonts w:hint="eastAsia" w:cs="宋体" w:asciiTheme="majorEastAsia" w:hAnsiTheme="majorEastAsia" w:eastAsiaTheme="majorEastAsia"/>
          <w:color w:val="auto"/>
          <w:szCs w:val="21"/>
          <w:highlight w:val="none"/>
          <w:u w:val="single"/>
        </w:rPr>
        <w:t>。</w:t>
      </w:r>
    </w:p>
    <w:p w14:paraId="6DF2B679">
      <w:pPr>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u w:val="single"/>
        </w:rPr>
        <w:t>2</w:t>
      </w:r>
      <w:r>
        <w:rPr>
          <w:rFonts w:hint="eastAsia" w:cs="宋体" w:asciiTheme="majorEastAsia" w:hAnsiTheme="majorEastAsia" w:eastAsiaTheme="majorEastAsia"/>
          <w:color w:val="auto"/>
          <w:szCs w:val="21"/>
          <w:highlight w:val="none"/>
          <w:u w:val="single"/>
          <w:lang w:val="en-US" w:eastAsia="zh-CN"/>
        </w:rPr>
        <w:t>.</w:t>
      </w:r>
      <w:r>
        <w:rPr>
          <w:rFonts w:hint="eastAsia" w:cs="宋体" w:asciiTheme="majorEastAsia" w:hAnsiTheme="majorEastAsia" w:eastAsiaTheme="majorEastAsia"/>
          <w:color w:val="auto"/>
          <w:szCs w:val="21"/>
          <w:highlight w:val="none"/>
          <w:u w:val="single"/>
        </w:rPr>
        <w:t>采购人付款前，中标人应向采购人开具等额有效的增值税普通发票，采购人未收到发票的，有权不予支付相应款项直至中标人提供合格发票，并不承担延迟付款责任。发票认证通过是付款的必要前提之一。</w:t>
      </w:r>
    </w:p>
    <w:p w14:paraId="7BB86F39">
      <w:pPr>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u w:val="single"/>
        </w:rPr>
        <w:t>3</w:t>
      </w:r>
      <w:r>
        <w:rPr>
          <w:rFonts w:hint="eastAsia" w:cs="宋体" w:asciiTheme="majorEastAsia" w:hAnsiTheme="majorEastAsia" w:eastAsiaTheme="majorEastAsia"/>
          <w:color w:val="auto"/>
          <w:szCs w:val="21"/>
          <w:highlight w:val="none"/>
          <w:u w:val="single"/>
          <w:lang w:val="en-US" w:eastAsia="zh-CN"/>
        </w:rPr>
        <w:t>.</w:t>
      </w:r>
      <w:r>
        <w:rPr>
          <w:rFonts w:hint="eastAsia" w:cs="宋体" w:asciiTheme="majorEastAsia" w:hAnsiTheme="majorEastAsia" w:eastAsiaTheme="majorEastAsia"/>
          <w:color w:val="auto"/>
          <w:szCs w:val="21"/>
          <w:highlight w:val="none"/>
          <w:u w:val="single"/>
        </w:rPr>
        <w:t>付款方式：银行转账。</w:t>
      </w:r>
    </w:p>
    <w:p w14:paraId="084AE41E">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第九条 履约保证金</w:t>
      </w:r>
    </w:p>
    <w:p w14:paraId="2E1C7EED">
      <w:pPr>
        <w:pStyle w:val="20"/>
        <w:spacing w:line="336" w:lineRule="auto"/>
        <w:ind w:firstLine="450"/>
        <w:rPr>
          <w:rFonts w:hint="eastAsia" w:cs="宋体" w:asciiTheme="majorEastAsia" w:hAnsiTheme="majorEastAsia" w:eastAsiaTheme="majorEastAsia"/>
          <w:color w:val="auto"/>
          <w:kern w:val="2"/>
          <w:sz w:val="21"/>
          <w:szCs w:val="21"/>
          <w:highlight w:val="none"/>
        </w:rPr>
      </w:pPr>
      <w:r>
        <w:rPr>
          <w:rFonts w:hint="eastAsia" w:cs="宋体" w:asciiTheme="majorEastAsia" w:hAnsiTheme="majorEastAsia" w:eastAsiaTheme="majorEastAsia"/>
          <w:color w:val="auto"/>
          <w:kern w:val="2"/>
          <w:sz w:val="21"/>
          <w:szCs w:val="21"/>
          <w:highlight w:val="none"/>
          <w:lang w:val="en-US" w:eastAsia="zh-CN"/>
        </w:rPr>
        <w:t>1.</w:t>
      </w:r>
      <w:r>
        <w:rPr>
          <w:rFonts w:hint="eastAsia" w:cs="宋体" w:asciiTheme="majorEastAsia" w:hAnsiTheme="majorEastAsia" w:eastAsiaTheme="majorEastAsia"/>
          <w:color w:val="auto"/>
          <w:kern w:val="2"/>
          <w:sz w:val="21"/>
          <w:szCs w:val="21"/>
          <w:highlight w:val="none"/>
        </w:rPr>
        <w:t>履约保证金：</w:t>
      </w:r>
      <w:r>
        <w:rPr>
          <w:rFonts w:hint="eastAsia" w:cs="宋体" w:asciiTheme="majorEastAsia" w:hAnsiTheme="majorEastAsia" w:eastAsiaTheme="majorEastAsia"/>
          <w:color w:val="auto"/>
          <w:kern w:val="2"/>
          <w:sz w:val="21"/>
          <w:szCs w:val="21"/>
          <w:highlight w:val="none"/>
          <w:u w:val="single"/>
        </w:rPr>
        <w:t>中标金额的2%</w:t>
      </w:r>
      <w:r>
        <w:rPr>
          <w:rFonts w:hint="eastAsia" w:cs="宋体" w:asciiTheme="majorEastAsia" w:hAnsiTheme="majorEastAsia" w:eastAsiaTheme="majorEastAsia"/>
          <w:color w:val="auto"/>
          <w:kern w:val="2"/>
          <w:sz w:val="21"/>
          <w:szCs w:val="21"/>
          <w:highlight w:val="none"/>
        </w:rPr>
        <w:t>。</w:t>
      </w:r>
    </w:p>
    <w:p w14:paraId="3592B6DA">
      <w:pPr>
        <w:pStyle w:val="20"/>
        <w:spacing w:line="336" w:lineRule="auto"/>
        <w:ind w:firstLine="420" w:firstLineChars="200"/>
        <w:rPr>
          <w:rFonts w:hint="eastAsia" w:cs="宋体" w:asciiTheme="majorEastAsia" w:hAnsiTheme="majorEastAsia" w:eastAsiaTheme="majorEastAsia"/>
          <w:color w:val="auto"/>
          <w:kern w:val="2"/>
          <w:sz w:val="21"/>
          <w:szCs w:val="21"/>
          <w:highlight w:val="none"/>
        </w:rPr>
      </w:pPr>
      <w:r>
        <w:rPr>
          <w:rFonts w:hint="eastAsia" w:cs="宋体" w:asciiTheme="majorEastAsia" w:hAnsiTheme="majorEastAsia" w:eastAsiaTheme="majorEastAsia"/>
          <w:color w:val="auto"/>
          <w:kern w:val="2"/>
          <w:sz w:val="21"/>
          <w:szCs w:val="21"/>
          <w:highlight w:val="none"/>
        </w:rPr>
        <w:t>2.履约保证金递交方式：支票、汇票、本票、银行转账或者金融机构、担保机构出具的保函（含电子保函）等非现金形式。</w:t>
      </w:r>
    </w:p>
    <w:p w14:paraId="4741232B">
      <w:pPr>
        <w:pStyle w:val="20"/>
        <w:spacing w:line="336" w:lineRule="auto"/>
        <w:ind w:firstLine="420" w:firstLineChars="200"/>
        <w:rPr>
          <w:rFonts w:hint="eastAsia" w:ascii="宋体" w:hAnsi="宋体" w:cs="宋体"/>
          <w:color w:val="auto"/>
          <w:szCs w:val="21"/>
          <w:highlight w:val="none"/>
        </w:rPr>
      </w:pPr>
      <w:r>
        <w:rPr>
          <w:rFonts w:hint="eastAsia" w:cs="宋体" w:asciiTheme="majorEastAsia" w:hAnsiTheme="majorEastAsia" w:eastAsiaTheme="majorEastAsia"/>
          <w:color w:val="auto"/>
          <w:kern w:val="2"/>
          <w:sz w:val="21"/>
          <w:szCs w:val="21"/>
          <w:highlight w:val="none"/>
        </w:rPr>
        <w:t>3.履约保证金递交时间：签订合同前由中标人转入采购人指定账户。</w:t>
      </w:r>
      <w:r>
        <w:rPr>
          <w:rFonts w:hint="eastAsia" w:cs="宋体" w:asciiTheme="majorEastAsia" w:hAnsiTheme="majorEastAsia" w:eastAsiaTheme="majorEastAsia"/>
          <w:color w:val="auto"/>
          <w:kern w:val="2"/>
          <w:sz w:val="21"/>
          <w:szCs w:val="21"/>
          <w:highlight w:val="none"/>
          <w:lang w:bidi="ar"/>
        </w:rPr>
        <w:t>履约保证金指定账户：</w:t>
      </w:r>
    </w:p>
    <w:p w14:paraId="349D7CBA">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开户名称：广西壮族自治区司法厅</w:t>
      </w:r>
    </w:p>
    <w:p w14:paraId="7C66790A">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开户银行：建行南宁新华支行</w:t>
      </w:r>
    </w:p>
    <w:p w14:paraId="761C708E">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银行账号：45001604658050502855</w:t>
      </w:r>
    </w:p>
    <w:p w14:paraId="1285BA87">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纳税人识别号：450100007565020</w:t>
      </w:r>
    </w:p>
    <w:p w14:paraId="2894FB6C">
      <w:pPr>
        <w:autoSpaceDE w:val="0"/>
        <w:autoSpaceDN w:val="0"/>
        <w:snapToGrid w:val="0"/>
        <w:spacing w:line="360" w:lineRule="auto"/>
        <w:ind w:firstLine="634" w:firstLineChars="302"/>
        <w:textAlignment w:val="bottom"/>
        <w:rPr>
          <w:rFonts w:hint="eastAsia" w:ascii="宋体" w:hAnsi="宋体" w:cs="宋体"/>
          <w:color w:val="auto"/>
          <w:szCs w:val="21"/>
          <w:highlight w:val="none"/>
        </w:rPr>
      </w:pPr>
      <w:r>
        <w:rPr>
          <w:rFonts w:hint="eastAsia" w:ascii="宋体" w:hAnsi="宋体" w:cs="宋体"/>
          <w:color w:val="auto"/>
          <w:szCs w:val="21"/>
          <w:highlight w:val="none"/>
          <w:lang w:bidi="ar"/>
        </w:rPr>
        <w:t>统一社会信用代码：114500000075650208</w:t>
      </w:r>
    </w:p>
    <w:p w14:paraId="5AFBB1F3">
      <w:pPr>
        <w:pStyle w:val="20"/>
        <w:spacing w:line="336" w:lineRule="auto"/>
        <w:ind w:firstLine="420" w:firstLineChars="200"/>
        <w:rPr>
          <w:rFonts w:hint="eastAsia"/>
          <w:color w:val="auto"/>
          <w:highlight w:val="none"/>
        </w:rPr>
      </w:pPr>
      <w:r>
        <w:rPr>
          <w:rFonts w:hint="eastAsia" w:cs="宋体" w:asciiTheme="majorEastAsia" w:hAnsiTheme="majorEastAsia" w:eastAsiaTheme="majorEastAsia"/>
          <w:color w:val="auto"/>
          <w:kern w:val="2"/>
          <w:sz w:val="21"/>
          <w:szCs w:val="21"/>
          <w:highlight w:val="none"/>
        </w:rPr>
        <w:t>4.履约保证金退还：验收合格后一年无质量问题，中标人提供《政府采购项目履约保证金退付意见书》及《政府采购项目合同验收报告》，向采购人提出书面申请退还，采购人在收到申请后五个工作日内以银行转账方式无息退还。</w:t>
      </w:r>
    </w:p>
    <w:p w14:paraId="196C4FBF">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第十条 税费</w:t>
      </w:r>
    </w:p>
    <w:p w14:paraId="53C8E3B7">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本合同执行中相关的一切税费均由乙方负担。</w:t>
      </w:r>
    </w:p>
    <w:p w14:paraId="36658CBE">
      <w:pPr>
        <w:spacing w:line="336" w:lineRule="auto"/>
        <w:ind w:firstLine="422" w:firstLineChars="200"/>
        <w:rPr>
          <w:rFonts w:hint="eastAsia" w:cs="宋体" w:asciiTheme="majorEastAsia" w:hAnsiTheme="majorEastAsia" w:eastAsiaTheme="majorEastAsia"/>
          <w:b/>
          <w:bCs/>
          <w:color w:val="auto"/>
          <w:szCs w:val="21"/>
          <w:highlight w:val="none"/>
        </w:rPr>
      </w:pPr>
      <w:r>
        <w:rPr>
          <w:rFonts w:hint="eastAsia" w:cs="宋体" w:asciiTheme="majorEastAsia" w:hAnsiTheme="majorEastAsia" w:eastAsiaTheme="majorEastAsia"/>
          <w:b/>
          <w:bCs/>
          <w:color w:val="auto"/>
          <w:szCs w:val="21"/>
          <w:highlight w:val="none"/>
        </w:rPr>
        <w:t>第十一条 质量保证及售后服务</w:t>
      </w:r>
    </w:p>
    <w:p w14:paraId="5AD29A07">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1.乙方应按采购文件规定的货物性能、技术要求、质量标准向甲方提供未经使用的全新产品。乙方提供货物的质量保证期按交货验收合格之日起计</w:t>
      </w:r>
      <w:r>
        <w:rPr>
          <w:rFonts w:hint="eastAsia" w:cs="宋体" w:asciiTheme="majorEastAsia" w:hAnsiTheme="majorEastAsia" w:eastAsiaTheme="majorEastAsia"/>
          <w:color w:val="auto"/>
          <w:kern w:val="1"/>
          <w:szCs w:val="21"/>
          <w:highlight w:val="none"/>
        </w:rPr>
        <w:t>,货物免费保修期为</w:t>
      </w:r>
      <w:r>
        <w:rPr>
          <w:rFonts w:hint="eastAsia" w:cs="宋体" w:asciiTheme="majorEastAsia" w:hAnsiTheme="majorEastAsia" w:eastAsiaTheme="majorEastAsia"/>
          <w:color w:val="auto"/>
          <w:kern w:val="1"/>
          <w:szCs w:val="21"/>
          <w:highlight w:val="none"/>
          <w:u w:val="single"/>
        </w:rPr>
        <w:t xml:space="preserve">     </w:t>
      </w:r>
      <w:r>
        <w:rPr>
          <w:rFonts w:hint="eastAsia" w:cs="宋体" w:asciiTheme="majorEastAsia" w:hAnsiTheme="majorEastAsia" w:eastAsiaTheme="majorEastAsia"/>
          <w:color w:val="auto"/>
          <w:kern w:val="1"/>
          <w:szCs w:val="21"/>
          <w:highlight w:val="none"/>
        </w:rPr>
        <w:t>年</w:t>
      </w:r>
      <w:r>
        <w:rPr>
          <w:rFonts w:hint="eastAsia" w:cs="宋体" w:asciiTheme="majorEastAsia" w:hAnsiTheme="majorEastAsia" w:eastAsiaTheme="majorEastAsia"/>
          <w:color w:val="auto"/>
          <w:kern w:val="1"/>
          <w:szCs w:val="21"/>
          <w:highlight w:val="none"/>
          <w:lang w:eastAsia="ar-SA"/>
        </w:rPr>
        <w:t>。在保证期内因货物本身的质量问题发生故障，乙方应负责免费修理和更换零部件。对达不到技术要求者，根据实际情况，经双方协商，可按以下办法处理：</w:t>
      </w:r>
    </w:p>
    <w:p w14:paraId="2F344C5B">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（1）更换：产品出现质量问题、经乙方</w:t>
      </w:r>
      <w:r>
        <w:rPr>
          <w:rFonts w:hint="eastAsia" w:cs="宋体" w:asciiTheme="majorEastAsia" w:hAnsiTheme="majorEastAsia" w:eastAsiaTheme="majorEastAsia"/>
          <w:color w:val="auto"/>
          <w:kern w:val="1"/>
          <w:szCs w:val="21"/>
          <w:highlight w:val="none"/>
          <w:u w:val="single"/>
          <w:lang w:eastAsia="ar-SA"/>
        </w:rPr>
        <w:t>1</w:t>
      </w:r>
      <w:r>
        <w:rPr>
          <w:rFonts w:hint="eastAsia" w:cs="宋体" w:asciiTheme="majorEastAsia" w:hAnsiTheme="majorEastAsia" w:eastAsiaTheme="majorEastAsia"/>
          <w:color w:val="auto"/>
          <w:kern w:val="1"/>
          <w:szCs w:val="21"/>
          <w:highlight w:val="none"/>
          <w:lang w:eastAsia="ar-SA"/>
        </w:rPr>
        <w:t>次维修仍不能达到合同约定的质量标准的，甲方有权更换，并由乙方承担所发生的全部费用。</w:t>
      </w:r>
    </w:p>
    <w:p w14:paraId="2473AAAA">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（2）贬值处理：</w:t>
      </w:r>
      <w:r>
        <w:rPr>
          <w:rFonts w:hint="eastAsia" w:cs="宋体" w:asciiTheme="majorEastAsia" w:hAnsiTheme="majorEastAsia" w:eastAsiaTheme="majorEastAsia"/>
          <w:color w:val="auto"/>
          <w:kern w:val="1"/>
          <w:szCs w:val="21"/>
          <w:highlight w:val="none"/>
          <w:lang w:eastAsia="zh-Hans"/>
        </w:rPr>
        <w:t>因乙方</w:t>
      </w:r>
      <w:r>
        <w:rPr>
          <w:rFonts w:hint="eastAsia" w:cs="宋体" w:asciiTheme="majorEastAsia" w:hAnsiTheme="majorEastAsia" w:eastAsiaTheme="majorEastAsia"/>
          <w:color w:val="auto"/>
          <w:kern w:val="1"/>
          <w:szCs w:val="21"/>
          <w:highlight w:val="none"/>
          <w:lang w:eastAsia="ar-SA"/>
        </w:rPr>
        <w:t>产品出现质量问题</w:t>
      </w:r>
      <w:r>
        <w:rPr>
          <w:rFonts w:hint="eastAsia" w:cs="宋体" w:asciiTheme="majorEastAsia" w:hAnsiTheme="majorEastAsia" w:eastAsiaTheme="majorEastAsia"/>
          <w:color w:val="auto"/>
          <w:kern w:val="1"/>
          <w:szCs w:val="21"/>
          <w:highlight w:val="none"/>
          <w:lang w:eastAsia="zh-Hans"/>
        </w:rPr>
        <w:t>造成退换货产生的贬值由乙方自行承担</w:t>
      </w:r>
      <w:r>
        <w:rPr>
          <w:rFonts w:hint="eastAsia" w:cs="宋体" w:asciiTheme="majorEastAsia" w:hAnsiTheme="majorEastAsia" w:eastAsiaTheme="majorEastAsia"/>
          <w:color w:val="auto"/>
          <w:kern w:val="1"/>
          <w:szCs w:val="21"/>
          <w:highlight w:val="none"/>
          <w:lang w:eastAsia="ar-SA"/>
        </w:rPr>
        <w:t>。</w:t>
      </w:r>
    </w:p>
    <w:p w14:paraId="749669C8">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退货处理：产品出现严重质量问题的，甲方有权退货，乙方应退还甲方支付的合同款，同时承担退货所发生的所有费用（运输、保险、检验、货款利息及银行手续费等），并视作乙方不能交付货物而须支付违约赔偿金给甲方，</w:t>
      </w:r>
      <w:r>
        <w:rPr>
          <w:rFonts w:hint="eastAsia" w:cs="宋体" w:asciiTheme="majorEastAsia" w:hAnsiTheme="majorEastAsia" w:eastAsiaTheme="majorEastAsia"/>
          <w:color w:val="auto"/>
          <w:kern w:val="1"/>
          <w:szCs w:val="21"/>
          <w:highlight w:val="none"/>
        </w:rPr>
        <w:t>甲方将上报政府采购监督管理部门，同时追究乙方的违约责任。如乙方的违约行为符合《政府采购法》第五十条第2款约定的情形，</w:t>
      </w:r>
      <w:r>
        <w:rPr>
          <w:rFonts w:hint="eastAsia" w:cs="宋体" w:asciiTheme="majorEastAsia" w:hAnsiTheme="majorEastAsia" w:eastAsiaTheme="majorEastAsia"/>
          <w:color w:val="auto"/>
          <w:kern w:val="1"/>
          <w:szCs w:val="21"/>
          <w:highlight w:val="none"/>
          <w:lang w:eastAsia="ar-SA"/>
        </w:rPr>
        <w:t>甲方有权终止合同，由此造成的损失由乙方负责。</w:t>
      </w:r>
    </w:p>
    <w:p w14:paraId="00579985">
      <w:pPr>
        <w:snapToGrid w:val="0"/>
        <w:spacing w:line="336" w:lineRule="auto"/>
        <w:ind w:firstLine="420" w:firstLineChars="200"/>
        <w:rPr>
          <w:rFonts w:hint="eastAsia" w:cs="宋体" w:asciiTheme="majorEastAsia" w:hAnsiTheme="majorEastAsia" w:eastAsiaTheme="majorEastAsia"/>
          <w:color w:val="auto"/>
          <w:szCs w:val="21"/>
          <w:highlight w:val="none"/>
          <w:u w:val="single"/>
        </w:rPr>
      </w:pPr>
      <w:r>
        <w:rPr>
          <w:rFonts w:hint="eastAsia" w:cs="宋体" w:asciiTheme="majorEastAsia" w:hAnsiTheme="majorEastAsia" w:eastAsiaTheme="majorEastAsia"/>
          <w:color w:val="auto"/>
          <w:szCs w:val="21"/>
          <w:highlight w:val="none"/>
        </w:rPr>
        <w:t>2.如在使用过程中出现故障，乙方应在接到甲方通知后</w:t>
      </w:r>
      <w:r>
        <w:rPr>
          <w:rFonts w:hint="eastAsia" w:cs="宋体" w:asciiTheme="majorEastAsia" w:hAnsiTheme="majorEastAsia" w:eastAsiaTheme="majorEastAsia"/>
          <w:color w:val="auto"/>
          <w:szCs w:val="21"/>
          <w:highlight w:val="none"/>
          <w:u w:val="single"/>
        </w:rPr>
        <w:t xml:space="preserve">    小时内响应，   小时内解决故障，否则须在    内提供与原设备技术参数要求相同或高于原设备技术参数要求的备用产品，以保证甲方的正常工作。</w:t>
      </w:r>
    </w:p>
    <w:p w14:paraId="3EB8ECC9">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szCs w:val="21"/>
          <w:highlight w:val="none"/>
        </w:rPr>
        <w:t>3.在质</w:t>
      </w:r>
      <w:r>
        <w:rPr>
          <w:rFonts w:hint="eastAsia" w:cs="宋体" w:asciiTheme="majorEastAsia" w:hAnsiTheme="majorEastAsia" w:eastAsiaTheme="majorEastAsia"/>
          <w:color w:val="auto"/>
          <w:kern w:val="1"/>
          <w:szCs w:val="21"/>
          <w:highlight w:val="none"/>
          <w:lang w:eastAsia="ar-SA"/>
        </w:rPr>
        <w:t>保期内，乙方应对货物出现的质量及安全问题负责处理解决并承担一切费用。如有产品质量争议，则按照国家相关法律法规及行业标准</w:t>
      </w:r>
      <w:r>
        <w:rPr>
          <w:rFonts w:hint="eastAsia" w:cs="宋体" w:asciiTheme="majorEastAsia" w:hAnsiTheme="majorEastAsia" w:eastAsiaTheme="majorEastAsia"/>
          <w:color w:val="auto"/>
          <w:kern w:val="1"/>
          <w:szCs w:val="21"/>
          <w:highlight w:val="none"/>
          <w:lang w:eastAsia="zh-Hans"/>
        </w:rPr>
        <w:t>、地方标准等标准、规范解决（上述标准、规范有出入的，以较严格为准）</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kern w:val="1"/>
          <w:szCs w:val="21"/>
          <w:highlight w:val="none"/>
          <w:lang w:eastAsia="zh-Hans"/>
        </w:rPr>
        <w:t>如采购文件中明确对货物提出更高的技术要求的，乙方还应当确保符合采购文件提出的技术要求</w:t>
      </w:r>
      <w:r>
        <w:rPr>
          <w:rFonts w:hint="eastAsia" w:cs="宋体" w:asciiTheme="majorEastAsia" w:hAnsiTheme="majorEastAsia" w:eastAsiaTheme="majorEastAsia"/>
          <w:color w:val="auto"/>
          <w:kern w:val="1"/>
          <w:szCs w:val="21"/>
          <w:highlight w:val="none"/>
          <w:lang w:eastAsia="ar-SA"/>
        </w:rPr>
        <w:t>。</w:t>
      </w:r>
    </w:p>
    <w:p w14:paraId="3D849BFB">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4.质保期内货物如因人为使用不当导致损坏的，乙方也应当积极进行维修服务，但相应维修费用由甲方承担。超过质保期的机器设备，终生维修，维修时只收取部件成本费。</w:t>
      </w:r>
    </w:p>
    <w:p w14:paraId="541A2E85">
      <w:pPr>
        <w:snapToGrid w:val="0"/>
        <w:spacing w:line="336" w:lineRule="auto"/>
        <w:ind w:firstLine="422"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b/>
          <w:color w:val="auto"/>
          <w:szCs w:val="21"/>
          <w:highlight w:val="none"/>
        </w:rPr>
        <w:t>第十二条 货物包装、发运及运输</w:t>
      </w:r>
    </w:p>
    <w:p w14:paraId="06A41059">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1.乙方应在货物发运前对其进行满足运输距离、防潮、防震、防锈和防破损装卸等要求包装，以保证货物安全运达甲方指定地点。</w:t>
      </w:r>
    </w:p>
    <w:p w14:paraId="59A499BE">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2.使用说明书、质量检验证明书、随配附件和工具以及清单一并附于货物内。</w:t>
      </w:r>
    </w:p>
    <w:p w14:paraId="1280F0AF">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3.乙方在货物发运手续办理完毕后二十四小时内或货到甲方四十八小时前通知甲方，以准备接货。</w:t>
      </w:r>
    </w:p>
    <w:p w14:paraId="17AD4C39">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4.货物在交付甲方前发生的风险均由乙方负责。</w:t>
      </w:r>
    </w:p>
    <w:p w14:paraId="5230EEF9">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5.货物在规定的交付期限内由乙方送达甲方指定的地点。</w:t>
      </w:r>
    </w:p>
    <w:p w14:paraId="035CC471">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第十三条 交货及验收要求</w:t>
      </w:r>
    </w:p>
    <w:p w14:paraId="6521D2FF">
      <w:pPr>
        <w:snapToGrid w:val="0"/>
        <w:spacing w:line="336" w:lineRule="auto"/>
        <w:ind w:firstLine="420" w:firstLineChars="200"/>
        <w:jc w:val="left"/>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color w:val="auto"/>
          <w:szCs w:val="21"/>
          <w:highlight w:val="none"/>
        </w:rPr>
        <w:t>1.甲方对乙方提交的货物依据采购文件上的技术规格要求和国家有关质量标准进行现</w:t>
      </w:r>
      <w:r>
        <w:rPr>
          <w:rFonts w:hint="eastAsia" w:cs="宋体" w:asciiTheme="majorEastAsia" w:hAnsiTheme="majorEastAsia" w:eastAsiaTheme="majorEastAsia"/>
          <w:bCs/>
          <w:color w:val="auto"/>
          <w:szCs w:val="21"/>
          <w:highlight w:val="none"/>
        </w:rPr>
        <w:t>场签收，外观、说明书符合采购文件技术要求的，给予签收，不合格的不予签收。</w:t>
      </w:r>
    </w:p>
    <w:p w14:paraId="07764038">
      <w:pPr>
        <w:snapToGrid w:val="0"/>
        <w:spacing w:line="336" w:lineRule="auto"/>
        <w:ind w:firstLine="420" w:firstLineChars="200"/>
        <w:jc w:val="left"/>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bCs/>
          <w:color w:val="auto"/>
          <w:szCs w:val="21"/>
          <w:highlight w:val="none"/>
        </w:rPr>
        <w:t>2.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14:paraId="5A95F55C">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3.乙方需负责安装、调试，并培训甲方的使用操作人员，直到设备运行符合技术要求，甲方方可验收。</w:t>
      </w:r>
    </w:p>
    <w:p w14:paraId="4D80618D">
      <w:pPr>
        <w:snapToGrid w:val="0"/>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4.甲方组织验收，</w:t>
      </w:r>
      <w:r>
        <w:rPr>
          <w:rFonts w:hint="eastAsia" w:cs="宋体" w:asciiTheme="majorEastAsia" w:hAnsiTheme="majorEastAsia" w:eastAsiaTheme="majorEastAsia"/>
          <w:bCs/>
          <w:color w:val="auto"/>
          <w:szCs w:val="21"/>
          <w:highlight w:val="none"/>
        </w:rPr>
        <w:t>乙方必须到场</w:t>
      </w:r>
      <w:r>
        <w:rPr>
          <w:rFonts w:hint="eastAsia" w:cs="宋体" w:asciiTheme="majorEastAsia" w:hAnsiTheme="majorEastAsia" w:eastAsiaTheme="majorEastAsia"/>
          <w:color w:val="auto"/>
          <w:szCs w:val="21"/>
          <w:highlight w:val="none"/>
        </w:rPr>
        <w:t>配合，</w:t>
      </w:r>
      <w:r>
        <w:rPr>
          <w:rFonts w:hint="eastAsia" w:cs="宋体" w:asciiTheme="majorEastAsia" w:hAnsiTheme="majorEastAsia" w:eastAsiaTheme="majorEastAsia"/>
          <w:bCs/>
          <w:color w:val="auto"/>
          <w:szCs w:val="21"/>
          <w:highlight w:val="none"/>
        </w:rPr>
        <w:t>验收合格后双方签署验收合格凭证。</w:t>
      </w:r>
      <w:r>
        <w:rPr>
          <w:rFonts w:hint="eastAsia" w:cs="宋体" w:asciiTheme="majorEastAsia" w:hAnsiTheme="majorEastAsia" w:eastAsiaTheme="majorEastAsia"/>
          <w:color w:val="auto"/>
          <w:szCs w:val="21"/>
          <w:highlight w:val="none"/>
        </w:rPr>
        <w:t>对技术复杂的货物，甲方可请国家认可的专业检测机构参与验收，费用由乙方承担。</w:t>
      </w:r>
    </w:p>
    <w:p w14:paraId="3F40D4D8">
      <w:pPr>
        <w:snapToGrid w:val="0"/>
        <w:spacing w:line="336" w:lineRule="auto"/>
        <w:ind w:firstLine="420" w:firstLineChars="200"/>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5.其他未尽事宜应严格参照《关于印发广西壮族自治区政府采购项目履约验收管理办法的通知》[桂财采〔2015〕22号]以及《财政部关于进一步加强政府采购需求和履约验收管理的指导意见》[财库〔2016〕205号]规定执行。</w:t>
      </w:r>
    </w:p>
    <w:p w14:paraId="13935E5D">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第十四条 违约责任</w:t>
      </w:r>
    </w:p>
    <w:p w14:paraId="6C472940">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1.乙方所提供的货物规格、技术标准、材料等质量不合格的，应在甲方要求的合理时间内及时更换，更换不及时的按逾期交货处罚；因质量问题甲方不同意接收的或</w:t>
      </w:r>
      <w:r>
        <w:rPr>
          <w:rFonts w:hint="eastAsia" w:cs="宋体" w:asciiTheme="majorEastAsia" w:hAnsiTheme="majorEastAsia" w:eastAsiaTheme="majorEastAsia"/>
          <w:color w:val="auto"/>
          <w:kern w:val="1"/>
          <w:szCs w:val="21"/>
          <w:highlight w:val="none"/>
          <w:lang w:eastAsia="zh-Hans"/>
        </w:rPr>
        <w:t>即便存在质量问题但</w:t>
      </w:r>
      <w:r>
        <w:rPr>
          <w:rFonts w:hint="eastAsia" w:cs="宋体" w:asciiTheme="majorEastAsia" w:hAnsiTheme="majorEastAsia" w:eastAsiaTheme="majorEastAsia"/>
          <w:color w:val="auto"/>
          <w:kern w:val="1"/>
          <w:szCs w:val="21"/>
          <w:highlight w:val="none"/>
          <w:lang w:eastAsia="ar-SA"/>
        </w:rPr>
        <w:t>特殊情况甲方同意接收的，乙方应向甲方支付违约货款额</w:t>
      </w:r>
      <w:r>
        <w:rPr>
          <w:rFonts w:hint="eastAsia" w:cs="宋体" w:asciiTheme="majorEastAsia" w:hAnsiTheme="majorEastAsia" w:eastAsiaTheme="majorEastAsia"/>
          <w:color w:val="auto"/>
          <w:kern w:val="1"/>
          <w:szCs w:val="21"/>
          <w:highlight w:val="none"/>
          <w:u w:val="single"/>
          <w:lang w:eastAsia="ar-SA"/>
        </w:rPr>
        <w:t>5%</w:t>
      </w:r>
      <w:r>
        <w:rPr>
          <w:rFonts w:hint="eastAsia" w:cs="宋体" w:asciiTheme="majorEastAsia" w:hAnsiTheme="majorEastAsia" w:eastAsiaTheme="majorEastAsia"/>
          <w:color w:val="auto"/>
          <w:kern w:val="1"/>
          <w:szCs w:val="21"/>
          <w:highlight w:val="none"/>
        </w:rPr>
        <w:t>的</w:t>
      </w:r>
      <w:r>
        <w:rPr>
          <w:rFonts w:hint="eastAsia" w:cs="宋体" w:asciiTheme="majorEastAsia" w:hAnsiTheme="majorEastAsia" w:eastAsiaTheme="majorEastAsia"/>
          <w:color w:val="auto"/>
          <w:kern w:val="1"/>
          <w:szCs w:val="21"/>
          <w:highlight w:val="none"/>
          <w:lang w:eastAsia="ar-SA"/>
        </w:rPr>
        <w:t>违约金</w:t>
      </w:r>
      <w:r>
        <w:rPr>
          <w:rFonts w:hint="eastAsia" w:cs="宋体" w:asciiTheme="majorEastAsia" w:hAnsiTheme="majorEastAsia" w:eastAsiaTheme="majorEastAsia"/>
          <w:color w:val="auto"/>
          <w:kern w:val="1"/>
          <w:szCs w:val="21"/>
          <w:highlight w:val="none"/>
        </w:rPr>
        <w:t>，违约金不足以弥补甲方实际损失的，还应继续</w:t>
      </w:r>
      <w:r>
        <w:rPr>
          <w:rFonts w:hint="eastAsia" w:cs="宋体" w:asciiTheme="majorEastAsia" w:hAnsiTheme="majorEastAsia" w:eastAsiaTheme="majorEastAsia"/>
          <w:color w:val="auto"/>
          <w:kern w:val="1"/>
          <w:szCs w:val="21"/>
          <w:highlight w:val="none"/>
          <w:lang w:eastAsia="ar-SA"/>
        </w:rPr>
        <w:t>并赔偿甲方经济损失。</w:t>
      </w:r>
    </w:p>
    <w:p w14:paraId="54B24CA1">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2.乙方提供的货物如侵犯了第三方合法权益而引发的任何纠纷或诉讼，均由乙方负责交涉并承担全部责任。</w:t>
      </w:r>
    </w:p>
    <w:p w14:paraId="4EE9B7EF">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3.因包装、运输引起的货物损坏，</w:t>
      </w:r>
      <w:r>
        <w:rPr>
          <w:rFonts w:hint="eastAsia" w:cs="宋体" w:asciiTheme="majorEastAsia" w:hAnsiTheme="majorEastAsia" w:eastAsiaTheme="majorEastAsia"/>
          <w:color w:val="auto"/>
          <w:kern w:val="1"/>
          <w:szCs w:val="21"/>
          <w:highlight w:val="none"/>
          <w:lang w:eastAsia="zh-Hans"/>
        </w:rPr>
        <w:t>甲方有权选择不予接收或</w:t>
      </w:r>
      <w:r>
        <w:rPr>
          <w:rFonts w:hint="eastAsia" w:cs="宋体" w:asciiTheme="majorEastAsia" w:hAnsiTheme="majorEastAsia" w:eastAsiaTheme="majorEastAsia"/>
          <w:color w:val="auto"/>
          <w:kern w:val="1"/>
          <w:szCs w:val="21"/>
          <w:highlight w:val="none"/>
          <w:lang w:eastAsia="ar-SA"/>
        </w:rPr>
        <w:t>按质量不合格处罚。</w:t>
      </w:r>
    </w:p>
    <w:p w14:paraId="37DE26A5">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4.</w:t>
      </w:r>
      <w:r>
        <w:rPr>
          <w:rFonts w:hint="eastAsia" w:cs="宋体" w:asciiTheme="majorEastAsia" w:hAnsiTheme="majorEastAsia" w:eastAsiaTheme="majorEastAsia"/>
          <w:color w:val="auto"/>
          <w:szCs w:val="21"/>
          <w:highlight w:val="none"/>
        </w:rPr>
        <w:t>甲方无故延期接收货物、乙方逾期交货的，每天向对方偿付违约货款额</w:t>
      </w:r>
      <w:bookmarkStart w:id="153" w:name="_Hlk166775994"/>
      <w:r>
        <w:rPr>
          <w:rFonts w:hint="eastAsia" w:cs="宋体" w:asciiTheme="majorEastAsia" w:hAnsiTheme="majorEastAsia" w:eastAsiaTheme="majorEastAsia"/>
          <w:color w:val="auto"/>
          <w:szCs w:val="21"/>
          <w:highlight w:val="none"/>
          <w:u w:val="single"/>
        </w:rPr>
        <w:t>万分之四</w:t>
      </w:r>
      <w:bookmarkEnd w:id="153"/>
      <w:r>
        <w:rPr>
          <w:rFonts w:hint="eastAsia" w:cs="宋体" w:asciiTheme="majorEastAsia" w:hAnsiTheme="majorEastAsia" w:eastAsiaTheme="majorEastAsia"/>
          <w:color w:val="auto"/>
          <w:szCs w:val="21"/>
          <w:highlight w:val="none"/>
        </w:rPr>
        <w:t>违约金，但违约金累计不得超过违约货款额</w:t>
      </w:r>
      <w:bookmarkStart w:id="154" w:name="_Hlk117262039"/>
      <w:r>
        <w:rPr>
          <w:rFonts w:cs="宋体" w:asciiTheme="majorEastAsia" w:hAnsiTheme="majorEastAsia" w:eastAsiaTheme="majorEastAsia"/>
          <w:color w:val="auto"/>
          <w:szCs w:val="21"/>
          <w:highlight w:val="none"/>
          <w:u w:val="single"/>
        </w:rPr>
        <w:t>10</w:t>
      </w:r>
      <w:r>
        <w:rPr>
          <w:rFonts w:hint="eastAsia" w:cs="宋体" w:asciiTheme="majorEastAsia" w:hAnsiTheme="majorEastAsia" w:eastAsiaTheme="majorEastAsia"/>
          <w:color w:val="auto"/>
          <w:szCs w:val="21"/>
          <w:highlight w:val="none"/>
          <w:u w:val="single"/>
        </w:rPr>
        <w:t>%</w:t>
      </w:r>
      <w:bookmarkEnd w:id="154"/>
      <w:r>
        <w:rPr>
          <w:rFonts w:hint="eastAsia" w:cs="宋体" w:asciiTheme="majorEastAsia" w:hAnsiTheme="majorEastAsia" w:eastAsiaTheme="majorEastAsia"/>
          <w:color w:val="auto"/>
          <w:szCs w:val="21"/>
          <w:highlight w:val="none"/>
        </w:rPr>
        <w:t>，超过</w:t>
      </w:r>
      <w:r>
        <w:rPr>
          <w:rFonts w:hint="eastAsia" w:cs="宋体" w:asciiTheme="majorEastAsia" w:hAnsiTheme="majorEastAsia" w:eastAsiaTheme="majorEastAsia"/>
          <w:color w:val="auto"/>
          <w:szCs w:val="21"/>
          <w:highlight w:val="none"/>
          <w:u w:val="single"/>
        </w:rPr>
        <w:t xml:space="preserve"> 20 </w:t>
      </w:r>
      <w:r>
        <w:rPr>
          <w:rFonts w:hint="eastAsia" w:cs="宋体" w:asciiTheme="majorEastAsia" w:hAnsiTheme="majorEastAsia" w:eastAsiaTheme="majorEastAsia"/>
          <w:color w:val="auto"/>
          <w:szCs w:val="21"/>
          <w:highlight w:val="none"/>
        </w:rPr>
        <w:t>天对方有权解除合同，违约方承担因此给对方造成经济损失；甲方延期付货款的，每天向乙方偿付延期货款额</w:t>
      </w:r>
      <w:r>
        <w:rPr>
          <w:rFonts w:hint="eastAsia" w:cs="宋体" w:asciiTheme="majorEastAsia" w:hAnsiTheme="majorEastAsia" w:eastAsiaTheme="majorEastAsia"/>
          <w:color w:val="auto"/>
          <w:szCs w:val="21"/>
          <w:highlight w:val="none"/>
          <w:u w:val="single"/>
        </w:rPr>
        <w:t>万分之四</w:t>
      </w:r>
      <w:r>
        <w:rPr>
          <w:rFonts w:hint="eastAsia" w:cs="宋体" w:asciiTheme="majorEastAsia" w:hAnsiTheme="majorEastAsia" w:eastAsiaTheme="majorEastAsia"/>
          <w:color w:val="auto"/>
          <w:szCs w:val="21"/>
          <w:highlight w:val="none"/>
        </w:rPr>
        <w:t>滞纳金，但滞纳金累计不得超过延期货款额</w:t>
      </w:r>
      <w:r>
        <w:rPr>
          <w:rFonts w:hint="eastAsia" w:cs="宋体" w:asciiTheme="majorEastAsia" w:hAnsiTheme="majorEastAsia" w:eastAsiaTheme="majorEastAsia"/>
          <w:color w:val="auto"/>
          <w:szCs w:val="21"/>
          <w:highlight w:val="none"/>
          <w:u w:val="single"/>
        </w:rPr>
        <w:t>10%</w:t>
      </w:r>
      <w:r>
        <w:rPr>
          <w:rFonts w:hint="eastAsia" w:cs="宋体" w:asciiTheme="majorEastAsia" w:hAnsiTheme="majorEastAsia" w:eastAsiaTheme="majorEastAsia"/>
          <w:color w:val="auto"/>
          <w:szCs w:val="21"/>
          <w:highlight w:val="none"/>
        </w:rPr>
        <w:t>。</w:t>
      </w:r>
    </w:p>
    <w:p w14:paraId="1E7E3004">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5.乙方未按本合同和投标文件中规定的服务承诺提供售后服务的，乙方应按本合同合计金额</w:t>
      </w:r>
      <w:r>
        <w:rPr>
          <w:rFonts w:hint="eastAsia" w:cs="宋体" w:asciiTheme="majorEastAsia" w:hAnsiTheme="majorEastAsia" w:eastAsiaTheme="majorEastAsia"/>
          <w:color w:val="auto"/>
          <w:kern w:val="1"/>
          <w:szCs w:val="21"/>
          <w:highlight w:val="none"/>
        </w:rPr>
        <w:t>的</w:t>
      </w:r>
      <w:r>
        <w:rPr>
          <w:rFonts w:hint="eastAsia" w:cs="宋体" w:asciiTheme="majorEastAsia" w:hAnsiTheme="majorEastAsia" w:eastAsiaTheme="majorEastAsia"/>
          <w:color w:val="auto"/>
          <w:kern w:val="1"/>
          <w:szCs w:val="21"/>
          <w:highlight w:val="none"/>
          <w:u w:val="single"/>
        </w:rPr>
        <w:t>10</w:t>
      </w:r>
      <w:r>
        <w:rPr>
          <w:rFonts w:hint="eastAsia" w:cs="宋体" w:asciiTheme="majorEastAsia" w:hAnsiTheme="majorEastAsia" w:eastAsiaTheme="majorEastAsia"/>
          <w:color w:val="auto"/>
          <w:kern w:val="1"/>
          <w:szCs w:val="21"/>
          <w:highlight w:val="none"/>
          <w:u w:val="single"/>
          <w:lang w:eastAsia="ar-SA"/>
        </w:rPr>
        <w:t>%</w:t>
      </w:r>
      <w:r>
        <w:rPr>
          <w:rFonts w:hint="eastAsia" w:cs="宋体" w:asciiTheme="majorEastAsia" w:hAnsiTheme="majorEastAsia" w:eastAsiaTheme="majorEastAsia"/>
          <w:color w:val="auto"/>
          <w:kern w:val="1"/>
          <w:szCs w:val="21"/>
          <w:highlight w:val="none"/>
          <w:lang w:eastAsia="ar-SA"/>
        </w:rPr>
        <w:t>向甲方支付违约金。</w:t>
      </w:r>
    </w:p>
    <w:p w14:paraId="0458558E">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6.乙方提供的货物在质量保证期内，因设计、工艺或材料的缺陷和其它质量原因造成的问题，由乙方负责，费用从履约保证金中扣除，履约保证金不足以支付的，由乙方另行支付。</w:t>
      </w:r>
    </w:p>
    <w:p w14:paraId="260A4BAF">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7.其它违约行为按违约货款额5%收取违约金并赔偿经济损失。</w:t>
      </w:r>
    </w:p>
    <w:p w14:paraId="6A795BDE">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8.</w:t>
      </w:r>
      <w:r>
        <w:rPr>
          <w:rFonts w:hint="eastAsia" w:cs="宋体" w:asciiTheme="majorEastAsia" w:hAnsiTheme="majorEastAsia" w:eastAsiaTheme="majorEastAsia"/>
          <w:color w:val="auto"/>
          <w:kern w:val="1"/>
          <w:szCs w:val="21"/>
          <w:highlight w:val="none"/>
          <w:lang w:eastAsia="zh-Hans"/>
        </w:rPr>
        <w:t>任何一方违约，均应当赔偿由此给守约方造成的全部经济损失，包括但不限于案件受理费、律师费、评估费、鉴定费、差旅费等。</w:t>
      </w:r>
    </w:p>
    <w:p w14:paraId="0DF179FF">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第十五条 不可抗力事件处理</w:t>
      </w:r>
    </w:p>
    <w:p w14:paraId="355B04B8">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1.在合同有效期内，任何一方因不可抗力事件导致不能履行合同，则合同履行期可延长，其延长期与不可抗力影响期相同。</w:t>
      </w:r>
    </w:p>
    <w:p w14:paraId="4327570A">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2.不可抗力事件发生后，应立即通知对方，并寄送有关权威机构出具的证明。</w:t>
      </w:r>
    </w:p>
    <w:p w14:paraId="6781B50C">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 不可抗力事件延续一百二十天以上，双方应通过友好协商，确定是否继续履行合同。</w:t>
      </w:r>
    </w:p>
    <w:p w14:paraId="600ABCDF">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第十六条 合同争议解决</w:t>
      </w:r>
    </w:p>
    <w:p w14:paraId="793564FE">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1.因货物质量问题发生争议的，应邀请国家认可的质量检测机构按照国家标准对货物质量进行</w:t>
      </w:r>
      <w:r>
        <w:rPr>
          <w:rFonts w:hint="eastAsia" w:cs="宋体" w:asciiTheme="majorEastAsia" w:hAnsiTheme="majorEastAsia" w:eastAsiaTheme="majorEastAsia"/>
          <w:color w:val="auto"/>
          <w:kern w:val="1"/>
          <w:szCs w:val="21"/>
          <w:highlight w:val="none"/>
          <w:lang w:eastAsia="zh-Hans"/>
        </w:rPr>
        <w:t>鉴定</w:t>
      </w:r>
      <w:r>
        <w:rPr>
          <w:rFonts w:hint="eastAsia" w:cs="宋体" w:asciiTheme="majorEastAsia" w:hAnsiTheme="majorEastAsia" w:eastAsiaTheme="majorEastAsia"/>
          <w:color w:val="auto"/>
          <w:kern w:val="1"/>
          <w:szCs w:val="21"/>
          <w:highlight w:val="none"/>
          <w:lang w:eastAsia="ar-SA"/>
        </w:rPr>
        <w:t>。货物符合国家标准的，鉴定费由甲方承担；货物不符合国家标准的，鉴定费由乙方承担。</w:t>
      </w:r>
    </w:p>
    <w:p w14:paraId="31CA4202">
      <w:pPr>
        <w:snapToGrid w:val="0"/>
        <w:spacing w:line="336" w:lineRule="auto"/>
        <w:ind w:firstLine="420" w:firstLineChars="200"/>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1"/>
          <w:szCs w:val="21"/>
          <w:highlight w:val="none"/>
          <w:lang w:eastAsia="ar-SA"/>
        </w:rPr>
        <w:t>2.因履行本合同引起的或与本合同有关的争议，甲乙双方应首先通过友好协商解决，如果协商不能解决，可向甲方所在地人民法院提起诉讼。</w:t>
      </w:r>
      <w:r>
        <w:rPr>
          <w:rFonts w:hint="eastAsia" w:asciiTheme="majorEastAsia" w:hAnsiTheme="majorEastAsia" w:eastAsiaTheme="majorEastAsia"/>
          <w:color w:val="auto"/>
          <w:szCs w:val="21"/>
          <w:highlight w:val="none"/>
        </w:rPr>
        <w:t>守约方为主张权利而产生的律师费、保全费、保函费、鉴定费、公告费、公证费等由违约方承担。</w:t>
      </w:r>
    </w:p>
    <w:p w14:paraId="0155E401">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3.诉讼期间，本合同继续履行。</w:t>
      </w:r>
    </w:p>
    <w:p w14:paraId="7C8534BF">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第十七条 合同生效及其它</w:t>
      </w:r>
    </w:p>
    <w:p w14:paraId="1C70C995">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1.合同履行地点为：</w:t>
      </w:r>
      <w:r>
        <w:rPr>
          <w:rFonts w:hint="eastAsia" w:cs="宋体" w:asciiTheme="majorEastAsia" w:hAnsiTheme="majorEastAsia" w:eastAsiaTheme="majorEastAsia"/>
          <w:color w:val="auto"/>
          <w:kern w:val="1"/>
          <w:szCs w:val="21"/>
          <w:highlight w:val="none"/>
          <w:u w:val="single"/>
          <w:lang w:eastAsia="zh-CN"/>
        </w:rPr>
        <w:t>广西区内采购人指定地点</w:t>
      </w:r>
      <w:r>
        <w:rPr>
          <w:rFonts w:hint="eastAsia" w:cs="宋体" w:asciiTheme="majorEastAsia" w:hAnsiTheme="majorEastAsia" w:eastAsiaTheme="majorEastAsia"/>
          <w:color w:val="auto"/>
          <w:kern w:val="1"/>
          <w:szCs w:val="21"/>
          <w:highlight w:val="none"/>
          <w:lang w:eastAsia="ar-SA"/>
        </w:rPr>
        <w:t>；合同履行的方式：</w:t>
      </w:r>
      <w:r>
        <w:rPr>
          <w:rFonts w:hint="eastAsia" w:cs="宋体" w:asciiTheme="majorEastAsia" w:hAnsiTheme="majorEastAsia" w:eastAsiaTheme="majorEastAsia"/>
          <w:color w:val="auto"/>
          <w:kern w:val="1"/>
          <w:szCs w:val="21"/>
          <w:highlight w:val="none"/>
          <w:u w:val="single"/>
          <w:lang w:eastAsia="ar-SA"/>
        </w:rPr>
        <w:t>按照本合同约定</w:t>
      </w:r>
      <w:r>
        <w:rPr>
          <w:rFonts w:hint="eastAsia" w:cs="宋体" w:asciiTheme="majorEastAsia" w:hAnsiTheme="majorEastAsia" w:eastAsiaTheme="majorEastAsia"/>
          <w:color w:val="auto"/>
          <w:kern w:val="1"/>
          <w:szCs w:val="21"/>
          <w:highlight w:val="none"/>
          <w:lang w:eastAsia="ar-SA"/>
        </w:rPr>
        <w:t>。</w:t>
      </w:r>
    </w:p>
    <w:p w14:paraId="12609F22">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2.合同经双方</w:t>
      </w:r>
      <w:r>
        <w:rPr>
          <w:rFonts w:hint="eastAsia" w:cs="宋体" w:asciiTheme="majorEastAsia" w:hAnsiTheme="majorEastAsia" w:eastAsiaTheme="majorEastAsia"/>
          <w:color w:val="auto"/>
          <w:kern w:val="1"/>
          <w:szCs w:val="21"/>
          <w:highlight w:val="none"/>
        </w:rPr>
        <w:t>法定代表人（或负责人）</w:t>
      </w:r>
      <w:r>
        <w:rPr>
          <w:rFonts w:hint="eastAsia" w:cs="宋体" w:asciiTheme="majorEastAsia" w:hAnsiTheme="majorEastAsia" w:eastAsiaTheme="majorEastAsia"/>
          <w:color w:val="auto"/>
          <w:kern w:val="1"/>
          <w:szCs w:val="21"/>
          <w:highlight w:val="none"/>
          <w:lang w:eastAsia="ar-SA"/>
        </w:rPr>
        <w:t>或授权代表签字并加盖单位公章后生效。</w:t>
      </w:r>
    </w:p>
    <w:p w14:paraId="18D10DAC">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3.</w:t>
      </w:r>
      <w:r>
        <w:rPr>
          <w:rFonts w:hint="eastAsia" w:cs="宋体" w:asciiTheme="majorEastAsia" w:hAnsiTheme="majorEastAsia" w:eastAsiaTheme="majorEastAsia"/>
          <w:color w:val="auto"/>
          <w:szCs w:val="21"/>
          <w:highlight w:val="none"/>
        </w:rPr>
        <w:t>合同执行中涉及采购内容修改或补充的，按政府采购相关规定要求签订书面补充协议，并作为主合同不可分割的一部分</w:t>
      </w:r>
      <w:r>
        <w:rPr>
          <w:rFonts w:hint="eastAsia" w:cs="宋体" w:asciiTheme="majorEastAsia" w:hAnsiTheme="majorEastAsia" w:eastAsiaTheme="majorEastAsia"/>
          <w:color w:val="auto"/>
          <w:kern w:val="1"/>
          <w:szCs w:val="21"/>
          <w:highlight w:val="none"/>
          <w:lang w:eastAsia="ar-SA"/>
        </w:rPr>
        <w:t>。</w:t>
      </w:r>
    </w:p>
    <w:p w14:paraId="51B6935B">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4.本合同未尽事宜，遵照《</w:t>
      </w:r>
      <w:r>
        <w:rPr>
          <w:rFonts w:hint="eastAsia" w:cs="宋体" w:asciiTheme="majorEastAsia" w:hAnsiTheme="majorEastAsia" w:eastAsiaTheme="majorEastAsia"/>
          <w:color w:val="auto"/>
          <w:kern w:val="1"/>
          <w:szCs w:val="21"/>
          <w:highlight w:val="none"/>
        </w:rPr>
        <w:t>中华人民共和国民法典</w:t>
      </w:r>
      <w:r>
        <w:rPr>
          <w:rFonts w:hint="eastAsia" w:cs="宋体" w:asciiTheme="majorEastAsia" w:hAnsiTheme="majorEastAsia" w:eastAsiaTheme="majorEastAsia"/>
          <w:color w:val="auto"/>
          <w:kern w:val="1"/>
          <w:szCs w:val="21"/>
          <w:highlight w:val="none"/>
          <w:lang w:eastAsia="ar-SA"/>
        </w:rPr>
        <w:t>》有关条文执行。</w:t>
      </w:r>
    </w:p>
    <w:p w14:paraId="1E9FF888">
      <w:pPr>
        <w:snapToGrid w:val="0"/>
        <w:spacing w:line="336" w:lineRule="auto"/>
        <w:ind w:firstLine="422"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第十八条 合同的变更、终止与转让</w:t>
      </w:r>
    </w:p>
    <w:p w14:paraId="2F45D843">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1.本合同一经签订，甲乙双方不得擅自变更、中止或终止。</w:t>
      </w:r>
    </w:p>
    <w:p w14:paraId="370DEFE1">
      <w:pPr>
        <w:suppressAutoHyphens/>
        <w:snapToGrid w:val="0"/>
        <w:spacing w:line="336" w:lineRule="auto"/>
        <w:ind w:firstLine="420"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color w:val="auto"/>
          <w:kern w:val="1"/>
          <w:szCs w:val="21"/>
          <w:highlight w:val="none"/>
          <w:lang w:eastAsia="ar-SA"/>
        </w:rPr>
        <w:t>2.未经甲方书面同意，乙方不得擅自转让</w:t>
      </w:r>
      <w:r>
        <w:rPr>
          <w:rFonts w:hint="eastAsia" w:cs="宋体" w:asciiTheme="majorEastAsia" w:hAnsiTheme="majorEastAsia" w:eastAsiaTheme="majorEastAsia"/>
          <w:color w:val="auto"/>
          <w:kern w:val="1"/>
          <w:szCs w:val="21"/>
          <w:highlight w:val="none"/>
          <w:lang w:eastAsia="zh-Hans"/>
        </w:rPr>
        <w:t>、分包</w:t>
      </w:r>
      <w:r>
        <w:rPr>
          <w:rFonts w:hint="eastAsia" w:cs="宋体" w:asciiTheme="majorEastAsia" w:hAnsiTheme="majorEastAsia" w:eastAsiaTheme="majorEastAsia"/>
          <w:color w:val="auto"/>
          <w:kern w:val="1"/>
          <w:szCs w:val="21"/>
          <w:highlight w:val="none"/>
          <w:lang w:eastAsia="ar-SA"/>
        </w:rPr>
        <w:t>（无进口资格的乙方委托进口货物除外）其应履行的合同义务。</w:t>
      </w:r>
    </w:p>
    <w:p w14:paraId="4CB6699F">
      <w:pPr>
        <w:spacing w:line="336" w:lineRule="auto"/>
        <w:ind w:firstLine="422" w:firstLineChars="200"/>
        <w:rPr>
          <w:rFonts w:hint="eastAsia" w:cs="宋体" w:asciiTheme="majorEastAsia" w:hAnsiTheme="majorEastAsia" w:eastAsiaTheme="majorEastAsia"/>
          <w:b/>
          <w:color w:val="auto"/>
          <w:kern w:val="1"/>
          <w:szCs w:val="21"/>
          <w:highlight w:val="none"/>
        </w:rPr>
      </w:pPr>
      <w:r>
        <w:rPr>
          <w:rFonts w:hint="eastAsia" w:cs="宋体" w:asciiTheme="majorEastAsia" w:hAnsiTheme="majorEastAsia" w:eastAsiaTheme="majorEastAsia"/>
          <w:b/>
          <w:color w:val="auto"/>
          <w:kern w:val="1"/>
          <w:szCs w:val="21"/>
          <w:highlight w:val="none"/>
          <w:lang w:eastAsia="ar-SA"/>
        </w:rPr>
        <w:t>第十九条 签订本合同依据</w:t>
      </w:r>
    </w:p>
    <w:p w14:paraId="1A949740">
      <w:pPr>
        <w:spacing w:line="336" w:lineRule="auto"/>
        <w:ind w:firstLine="420" w:firstLineChars="200"/>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kern w:val="1"/>
          <w:szCs w:val="21"/>
          <w:highlight w:val="none"/>
        </w:rPr>
        <w:t>1</w:t>
      </w:r>
      <w:r>
        <w:rPr>
          <w:rFonts w:hint="eastAsia" w:cs="宋体" w:asciiTheme="majorEastAsia" w:hAnsiTheme="majorEastAsia" w:eastAsiaTheme="majorEastAsia"/>
          <w:color w:val="auto"/>
          <w:kern w:val="1"/>
          <w:szCs w:val="21"/>
          <w:highlight w:val="none"/>
          <w:lang w:eastAsia="ar-SA"/>
        </w:rPr>
        <w:t>.</w:t>
      </w:r>
      <w:r>
        <w:rPr>
          <w:rFonts w:hint="eastAsia" w:cs="宋体" w:asciiTheme="majorEastAsia" w:hAnsiTheme="majorEastAsia" w:eastAsiaTheme="majorEastAsia"/>
          <w:color w:val="auto"/>
          <w:kern w:val="1"/>
          <w:szCs w:val="21"/>
          <w:highlight w:val="none"/>
        </w:rPr>
        <w:t>招标</w:t>
      </w:r>
      <w:r>
        <w:rPr>
          <w:rFonts w:hint="eastAsia" w:cs="宋体" w:asciiTheme="majorEastAsia" w:hAnsiTheme="majorEastAsia" w:eastAsiaTheme="majorEastAsia"/>
          <w:color w:val="auto"/>
          <w:kern w:val="1"/>
          <w:szCs w:val="21"/>
          <w:highlight w:val="none"/>
          <w:lang w:eastAsia="ar-SA"/>
        </w:rPr>
        <w:t>文件；</w:t>
      </w:r>
    </w:p>
    <w:p w14:paraId="79962F27">
      <w:pPr>
        <w:suppressAutoHyphens/>
        <w:spacing w:line="336" w:lineRule="auto"/>
        <w:ind w:firstLine="420" w:firstLineChars="200"/>
        <w:rPr>
          <w:rFonts w:hint="eastAsia" w:cs="宋体" w:asciiTheme="majorEastAsia" w:hAnsiTheme="majorEastAsia" w:eastAsiaTheme="majorEastAsia"/>
          <w:color w:val="auto"/>
          <w:kern w:val="1"/>
          <w:szCs w:val="21"/>
          <w:highlight w:val="none"/>
        </w:rPr>
      </w:pPr>
      <w:r>
        <w:rPr>
          <w:rFonts w:hint="eastAsia" w:cs="宋体" w:asciiTheme="majorEastAsia" w:hAnsiTheme="majorEastAsia" w:eastAsiaTheme="majorEastAsia"/>
          <w:color w:val="auto"/>
          <w:kern w:val="1"/>
          <w:szCs w:val="21"/>
          <w:highlight w:val="none"/>
        </w:rPr>
        <w:t>2</w:t>
      </w:r>
      <w:r>
        <w:rPr>
          <w:rFonts w:hint="eastAsia" w:cs="宋体" w:asciiTheme="majorEastAsia" w:hAnsiTheme="majorEastAsia" w:eastAsiaTheme="majorEastAsia"/>
          <w:color w:val="auto"/>
          <w:kern w:val="1"/>
          <w:szCs w:val="21"/>
          <w:highlight w:val="none"/>
          <w:lang w:eastAsia="ar-SA"/>
        </w:rPr>
        <w:t>.乙方提供的投标文件</w:t>
      </w:r>
      <w:r>
        <w:rPr>
          <w:rFonts w:hint="eastAsia" w:cs="宋体" w:asciiTheme="majorEastAsia" w:hAnsiTheme="majorEastAsia" w:eastAsiaTheme="majorEastAsia"/>
          <w:color w:val="auto"/>
          <w:kern w:val="1"/>
          <w:szCs w:val="21"/>
          <w:highlight w:val="none"/>
        </w:rPr>
        <w:t>；</w:t>
      </w:r>
    </w:p>
    <w:p w14:paraId="218F125B">
      <w:pPr>
        <w:suppressAutoHyphens/>
        <w:spacing w:line="336" w:lineRule="auto"/>
        <w:ind w:firstLine="420" w:firstLineChars="200"/>
        <w:rPr>
          <w:rFonts w:hint="eastAsia" w:cs="宋体" w:asciiTheme="majorEastAsia" w:hAnsiTheme="majorEastAsia" w:eastAsiaTheme="majorEastAsia"/>
          <w:color w:val="auto"/>
          <w:kern w:val="1"/>
          <w:szCs w:val="21"/>
          <w:highlight w:val="none"/>
        </w:rPr>
      </w:pPr>
      <w:r>
        <w:rPr>
          <w:rFonts w:hint="eastAsia" w:cs="宋体" w:asciiTheme="majorEastAsia" w:hAnsiTheme="majorEastAsia" w:eastAsiaTheme="majorEastAsia"/>
          <w:color w:val="auto"/>
          <w:kern w:val="1"/>
          <w:szCs w:val="21"/>
          <w:highlight w:val="none"/>
        </w:rPr>
        <w:t>3</w:t>
      </w:r>
      <w:r>
        <w:rPr>
          <w:rFonts w:hint="eastAsia" w:cs="宋体" w:asciiTheme="majorEastAsia" w:hAnsiTheme="majorEastAsia" w:eastAsiaTheme="majorEastAsia"/>
          <w:color w:val="auto"/>
          <w:kern w:val="1"/>
          <w:szCs w:val="21"/>
          <w:highlight w:val="none"/>
          <w:lang w:eastAsia="ar-SA"/>
        </w:rPr>
        <w:t>.中标通知书</w:t>
      </w:r>
      <w:r>
        <w:rPr>
          <w:rFonts w:hint="eastAsia" w:cs="宋体" w:asciiTheme="majorEastAsia" w:hAnsiTheme="majorEastAsia" w:eastAsiaTheme="majorEastAsia"/>
          <w:color w:val="auto"/>
          <w:kern w:val="1"/>
          <w:szCs w:val="21"/>
          <w:highlight w:val="none"/>
        </w:rPr>
        <w:t>。</w:t>
      </w:r>
    </w:p>
    <w:p w14:paraId="1511FD3D">
      <w:pPr>
        <w:snapToGrid w:val="0"/>
        <w:spacing w:line="336" w:lineRule="auto"/>
        <w:ind w:firstLine="420" w:firstLineChars="200"/>
        <w:rPr>
          <w:rFonts w:hint="eastAsia" w:cs="宋体" w:asciiTheme="majorEastAsia" w:hAnsiTheme="majorEastAsia" w:eastAsiaTheme="majorEastAsia"/>
          <w:b/>
          <w:color w:val="auto"/>
          <w:szCs w:val="21"/>
          <w:highlight w:val="none"/>
        </w:rPr>
      </w:pPr>
      <w:r>
        <w:rPr>
          <w:rFonts w:hint="eastAsia" w:cs="宋体" w:asciiTheme="majorEastAsia" w:hAnsiTheme="majorEastAsia" w:eastAsiaTheme="majorEastAsia"/>
          <w:color w:val="auto"/>
          <w:kern w:val="1"/>
          <w:szCs w:val="21"/>
          <w:highlight w:val="none"/>
        </w:rPr>
        <w:t>文本内容约定不一致的，以</w:t>
      </w:r>
      <w:r>
        <w:rPr>
          <w:rFonts w:hint="eastAsia" w:cs="宋体" w:asciiTheme="majorEastAsia" w:hAnsiTheme="majorEastAsia" w:eastAsiaTheme="majorEastAsia"/>
          <w:color w:val="auto"/>
          <w:kern w:val="1"/>
          <w:szCs w:val="21"/>
          <w:highlight w:val="none"/>
          <w:lang w:eastAsia="zh-CN"/>
        </w:rPr>
        <w:t>高要求标准</w:t>
      </w:r>
      <w:r>
        <w:rPr>
          <w:rFonts w:hint="eastAsia" w:cs="宋体" w:asciiTheme="majorEastAsia" w:hAnsiTheme="majorEastAsia" w:eastAsiaTheme="majorEastAsia"/>
          <w:color w:val="auto"/>
          <w:kern w:val="1"/>
          <w:szCs w:val="21"/>
          <w:highlight w:val="none"/>
        </w:rPr>
        <w:t>的文本为准。</w:t>
      </w:r>
    </w:p>
    <w:p w14:paraId="740712D9">
      <w:pPr>
        <w:snapToGrid w:val="0"/>
        <w:spacing w:line="336" w:lineRule="auto"/>
        <w:ind w:firstLine="422" w:firstLineChars="200"/>
        <w:rPr>
          <w:rFonts w:hint="eastAsia" w:cs="宋体" w:asciiTheme="majorEastAsia" w:hAnsiTheme="majorEastAsia" w:eastAsiaTheme="majorEastAsia"/>
          <w:color w:val="auto"/>
          <w:kern w:val="1"/>
          <w:szCs w:val="21"/>
          <w:highlight w:val="none"/>
          <w:lang w:eastAsia="ar-SA"/>
        </w:rPr>
      </w:pPr>
      <w:r>
        <w:rPr>
          <w:rFonts w:hint="eastAsia" w:cs="宋体" w:asciiTheme="majorEastAsia" w:hAnsiTheme="majorEastAsia" w:eastAsiaTheme="majorEastAsia"/>
          <w:b/>
          <w:color w:val="auto"/>
          <w:szCs w:val="21"/>
          <w:highlight w:val="none"/>
        </w:rPr>
        <w:t xml:space="preserve">第二十条 </w:t>
      </w:r>
      <w:r>
        <w:rPr>
          <w:rFonts w:hint="eastAsia" w:cs="宋体" w:asciiTheme="majorEastAsia" w:hAnsiTheme="majorEastAsia" w:eastAsiaTheme="majorEastAsia"/>
          <w:color w:val="auto"/>
          <w:kern w:val="1"/>
          <w:szCs w:val="21"/>
          <w:highlight w:val="none"/>
          <w:lang w:eastAsia="ar-SA"/>
        </w:rPr>
        <w:t>本合同一式</w:t>
      </w:r>
      <w:r>
        <w:rPr>
          <w:rFonts w:hint="eastAsia" w:cs="宋体" w:asciiTheme="majorEastAsia" w:hAnsiTheme="majorEastAsia" w:eastAsiaTheme="majorEastAsia"/>
          <w:color w:val="auto"/>
          <w:kern w:val="1"/>
          <w:szCs w:val="21"/>
          <w:highlight w:val="none"/>
        </w:rPr>
        <w:t>捌</w:t>
      </w:r>
      <w:r>
        <w:rPr>
          <w:rFonts w:hint="eastAsia" w:cs="宋体" w:asciiTheme="majorEastAsia" w:hAnsiTheme="majorEastAsia" w:eastAsiaTheme="majorEastAsia"/>
          <w:color w:val="auto"/>
          <w:kern w:val="1"/>
          <w:szCs w:val="21"/>
          <w:highlight w:val="none"/>
          <w:lang w:eastAsia="ar-SA"/>
        </w:rPr>
        <w:t>份，具有同等法律效力。甲方</w:t>
      </w:r>
      <w:r>
        <w:rPr>
          <w:rFonts w:hint="eastAsia" w:cs="宋体" w:asciiTheme="majorEastAsia" w:hAnsiTheme="majorEastAsia" w:eastAsiaTheme="majorEastAsia"/>
          <w:color w:val="auto"/>
          <w:kern w:val="1"/>
          <w:szCs w:val="21"/>
          <w:highlight w:val="none"/>
        </w:rPr>
        <w:t>肆</w:t>
      </w:r>
      <w:r>
        <w:rPr>
          <w:rFonts w:hint="eastAsia" w:cs="宋体" w:asciiTheme="majorEastAsia" w:hAnsiTheme="majorEastAsia" w:eastAsiaTheme="majorEastAsia"/>
          <w:color w:val="auto"/>
          <w:kern w:val="1"/>
          <w:szCs w:val="21"/>
          <w:highlight w:val="none"/>
          <w:lang w:eastAsia="ar-SA"/>
        </w:rPr>
        <w:t>份，乙方</w:t>
      </w:r>
      <w:r>
        <w:rPr>
          <w:rFonts w:hint="eastAsia" w:cs="宋体" w:asciiTheme="majorEastAsia" w:hAnsiTheme="majorEastAsia" w:eastAsiaTheme="majorEastAsia"/>
          <w:color w:val="auto"/>
          <w:kern w:val="1"/>
          <w:szCs w:val="21"/>
          <w:highlight w:val="none"/>
        </w:rPr>
        <w:t>贰</w:t>
      </w:r>
      <w:r>
        <w:rPr>
          <w:rFonts w:hint="eastAsia" w:cs="宋体" w:asciiTheme="majorEastAsia" w:hAnsiTheme="majorEastAsia" w:eastAsiaTheme="majorEastAsia"/>
          <w:color w:val="auto"/>
          <w:kern w:val="1"/>
          <w:szCs w:val="21"/>
          <w:highlight w:val="none"/>
          <w:lang w:eastAsia="ar-SA"/>
        </w:rPr>
        <w:t>份，采购代理机构</w:t>
      </w:r>
      <w:r>
        <w:rPr>
          <w:rFonts w:hint="eastAsia" w:cs="宋体" w:asciiTheme="majorEastAsia" w:hAnsiTheme="majorEastAsia" w:eastAsiaTheme="majorEastAsia"/>
          <w:color w:val="auto"/>
          <w:kern w:val="1"/>
          <w:szCs w:val="21"/>
          <w:highlight w:val="none"/>
        </w:rPr>
        <w:t>贰</w:t>
      </w:r>
      <w:r>
        <w:rPr>
          <w:rFonts w:hint="eastAsia" w:cs="宋体" w:asciiTheme="majorEastAsia" w:hAnsiTheme="majorEastAsia" w:eastAsiaTheme="majorEastAsia"/>
          <w:color w:val="auto"/>
          <w:kern w:val="1"/>
          <w:szCs w:val="21"/>
          <w:highlight w:val="none"/>
          <w:lang w:eastAsia="ar-SA"/>
        </w:rPr>
        <w:t>份</w:t>
      </w:r>
      <w:r>
        <w:rPr>
          <w:rFonts w:hint="eastAsia" w:cs="宋体" w:asciiTheme="majorEastAsia" w:hAnsiTheme="majorEastAsia" w:eastAsiaTheme="majorEastAsia"/>
          <w:color w:val="auto"/>
          <w:kern w:val="1"/>
          <w:szCs w:val="21"/>
          <w:highlight w:val="none"/>
        </w:rPr>
        <w:t>，本合同经甲乙双方法定代表人（或负责人）或授权代表签字并加盖单位公章后生效</w:t>
      </w:r>
      <w:r>
        <w:rPr>
          <w:rFonts w:hint="eastAsia" w:cs="宋体" w:asciiTheme="majorEastAsia" w:hAnsiTheme="majorEastAsia" w:eastAsiaTheme="majorEastAsia"/>
          <w:color w:val="auto"/>
          <w:kern w:val="1"/>
          <w:szCs w:val="21"/>
          <w:highlight w:val="none"/>
          <w:lang w:eastAsia="ar-SA"/>
        </w:rPr>
        <w:t>。合同附件是合同的不可分割的组成部分，与合同具有同等法律效力。</w:t>
      </w:r>
    </w:p>
    <w:tbl>
      <w:tblPr>
        <w:tblStyle w:val="50"/>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0"/>
        <w:gridCol w:w="4410"/>
      </w:tblGrid>
      <w:tr w14:paraId="1E83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4410" w:type="dxa"/>
            <w:vAlign w:val="center"/>
          </w:tcPr>
          <w:p w14:paraId="1572194E">
            <w:pPr>
              <w:snapToGrid w:val="0"/>
              <w:spacing w:line="48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甲方（章） 广西壮族自治区司法厅 </w:t>
            </w:r>
          </w:p>
          <w:p w14:paraId="29D3F255">
            <w:pPr>
              <w:snapToGrid w:val="0"/>
              <w:spacing w:line="480" w:lineRule="exact"/>
              <w:ind w:firstLine="945" w:firstLineChars="450"/>
              <w:jc w:val="righ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年   月   日</w:t>
            </w:r>
          </w:p>
        </w:tc>
        <w:tc>
          <w:tcPr>
            <w:tcW w:w="4410" w:type="dxa"/>
            <w:vAlign w:val="center"/>
          </w:tcPr>
          <w:p w14:paraId="772E66BC">
            <w:pPr>
              <w:snapToGrid w:val="0"/>
              <w:spacing w:line="48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乙方（章）               </w:t>
            </w:r>
          </w:p>
          <w:p w14:paraId="34646479">
            <w:pPr>
              <w:snapToGrid w:val="0"/>
              <w:spacing w:line="480" w:lineRule="exact"/>
              <w:jc w:val="righ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年   月   日</w:t>
            </w:r>
          </w:p>
        </w:tc>
      </w:tr>
      <w:tr w14:paraId="2D70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410" w:type="dxa"/>
            <w:vAlign w:val="center"/>
          </w:tcPr>
          <w:p w14:paraId="7135A658">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地址：</w:t>
            </w:r>
          </w:p>
        </w:tc>
        <w:tc>
          <w:tcPr>
            <w:tcW w:w="4410" w:type="dxa"/>
            <w:vAlign w:val="center"/>
          </w:tcPr>
          <w:p w14:paraId="0A9D0E07">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地址：</w:t>
            </w:r>
          </w:p>
        </w:tc>
      </w:tr>
      <w:tr w14:paraId="031A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4410" w:type="dxa"/>
            <w:vAlign w:val="center"/>
          </w:tcPr>
          <w:p w14:paraId="62349615">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法定代表人或委托代理人：</w:t>
            </w:r>
          </w:p>
        </w:tc>
        <w:tc>
          <w:tcPr>
            <w:tcW w:w="4410" w:type="dxa"/>
            <w:vAlign w:val="center"/>
          </w:tcPr>
          <w:p w14:paraId="61E4A5A6">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法定代表人或委托代理人：</w:t>
            </w:r>
          </w:p>
        </w:tc>
      </w:tr>
      <w:tr w14:paraId="0CC4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410" w:type="dxa"/>
            <w:vAlign w:val="center"/>
          </w:tcPr>
          <w:p w14:paraId="37034DF2">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电话：</w:t>
            </w:r>
          </w:p>
        </w:tc>
        <w:tc>
          <w:tcPr>
            <w:tcW w:w="4410" w:type="dxa"/>
            <w:vAlign w:val="center"/>
          </w:tcPr>
          <w:p w14:paraId="3258D4A1">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电话：</w:t>
            </w:r>
          </w:p>
        </w:tc>
      </w:tr>
      <w:tr w14:paraId="7029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4410" w:type="dxa"/>
            <w:vAlign w:val="center"/>
          </w:tcPr>
          <w:p w14:paraId="241B16CD">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电子邮箱：</w:t>
            </w:r>
          </w:p>
        </w:tc>
        <w:tc>
          <w:tcPr>
            <w:tcW w:w="4410" w:type="dxa"/>
            <w:vAlign w:val="center"/>
          </w:tcPr>
          <w:p w14:paraId="6B114E0F">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电子邮箱：</w:t>
            </w:r>
          </w:p>
        </w:tc>
      </w:tr>
      <w:tr w14:paraId="5EA7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410" w:type="dxa"/>
            <w:vAlign w:val="center"/>
          </w:tcPr>
          <w:p w14:paraId="28803431">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开户银行：</w:t>
            </w:r>
          </w:p>
        </w:tc>
        <w:tc>
          <w:tcPr>
            <w:tcW w:w="4410" w:type="dxa"/>
            <w:vAlign w:val="center"/>
          </w:tcPr>
          <w:p w14:paraId="09BFB6DB">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开户银行：</w:t>
            </w:r>
          </w:p>
        </w:tc>
      </w:tr>
      <w:tr w14:paraId="6344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4410" w:type="dxa"/>
            <w:vAlign w:val="center"/>
          </w:tcPr>
          <w:p w14:paraId="32075B45">
            <w:pPr>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账号：</w:t>
            </w:r>
          </w:p>
        </w:tc>
        <w:tc>
          <w:tcPr>
            <w:tcW w:w="4410" w:type="dxa"/>
            <w:vAlign w:val="center"/>
          </w:tcPr>
          <w:p w14:paraId="1C292AFA">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账号：</w:t>
            </w:r>
          </w:p>
        </w:tc>
      </w:tr>
      <w:tr w14:paraId="2B15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4410" w:type="dxa"/>
            <w:vAlign w:val="center"/>
          </w:tcPr>
          <w:p w14:paraId="783E193E">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纳税人识别号或统一社会信用代码：</w:t>
            </w:r>
          </w:p>
        </w:tc>
        <w:tc>
          <w:tcPr>
            <w:tcW w:w="4410" w:type="dxa"/>
            <w:vAlign w:val="center"/>
          </w:tcPr>
          <w:p w14:paraId="3B0176F2">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纳税人识别号或统一社会信用代码：</w:t>
            </w:r>
          </w:p>
        </w:tc>
      </w:tr>
      <w:tr w14:paraId="7E1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4410" w:type="dxa"/>
            <w:vAlign w:val="center"/>
          </w:tcPr>
          <w:p w14:paraId="798DB0C2">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邮政编码：</w:t>
            </w:r>
          </w:p>
        </w:tc>
        <w:tc>
          <w:tcPr>
            <w:tcW w:w="4410" w:type="dxa"/>
            <w:vAlign w:val="center"/>
          </w:tcPr>
          <w:p w14:paraId="6C8D18B9">
            <w:pPr>
              <w:snapToGrid w:val="0"/>
              <w:spacing w:line="480" w:lineRule="exact"/>
              <w:jc w:val="lef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邮政编码：</w:t>
            </w:r>
          </w:p>
        </w:tc>
      </w:tr>
    </w:tbl>
    <w:p w14:paraId="32F7E1D0">
      <w:pPr>
        <w:snapToGrid w:val="0"/>
        <w:spacing w:line="360" w:lineRule="auto"/>
        <w:ind w:left="420" w:hanging="420" w:hangingChars="200"/>
        <w:rPr>
          <w:rFonts w:hint="eastAsia" w:asciiTheme="majorEastAsia" w:hAnsiTheme="majorEastAsia" w:eastAsiaTheme="majorEastAsia"/>
          <w:color w:val="auto"/>
          <w:szCs w:val="21"/>
          <w:highlight w:val="none"/>
        </w:rPr>
      </w:pPr>
    </w:p>
    <w:p w14:paraId="7207BB97">
      <w:pPr>
        <w:snapToGrid w:val="0"/>
        <w:spacing w:line="360" w:lineRule="auto"/>
        <w:jc w:val="center"/>
        <w:rPr>
          <w:rFonts w:hint="eastAsia" w:asciiTheme="majorEastAsia" w:hAnsiTheme="majorEastAsia" w:eastAsiaTheme="majorEastAsia"/>
          <w:bCs/>
          <w:color w:val="auto"/>
          <w:sz w:val="32"/>
          <w:szCs w:val="32"/>
          <w:highlight w:val="none"/>
        </w:rPr>
      </w:pPr>
      <w:r>
        <w:rPr>
          <w:rFonts w:asciiTheme="majorEastAsia" w:hAnsiTheme="majorEastAsia" w:eastAsiaTheme="majorEastAsia"/>
          <w:b/>
          <w:color w:val="auto"/>
          <w:szCs w:val="21"/>
          <w:highlight w:val="none"/>
        </w:rPr>
        <w:br w:type="page"/>
      </w:r>
    </w:p>
    <w:bookmarkEnd w:id="150"/>
    <w:p w14:paraId="6282328D">
      <w:pPr>
        <w:snapToGrid w:val="0"/>
        <w:jc w:val="center"/>
        <w:rPr>
          <w:rFonts w:hint="eastAsia" w:asciiTheme="majorEastAsia" w:hAnsiTheme="majorEastAsia" w:eastAsiaTheme="majorEastAsia"/>
          <w:bCs/>
          <w:color w:val="auto"/>
          <w:sz w:val="32"/>
          <w:szCs w:val="32"/>
          <w:highlight w:val="none"/>
        </w:rPr>
      </w:pPr>
    </w:p>
    <w:p w14:paraId="7D20D8B4">
      <w:pPr>
        <w:pStyle w:val="2"/>
        <w:rPr>
          <w:rFonts w:hint="eastAsia" w:asciiTheme="majorEastAsia" w:hAnsiTheme="majorEastAsia" w:eastAsiaTheme="majorEastAsia"/>
          <w:bCs/>
          <w:color w:val="auto"/>
          <w:sz w:val="32"/>
          <w:szCs w:val="32"/>
          <w:highlight w:val="none"/>
        </w:rPr>
      </w:pPr>
    </w:p>
    <w:p w14:paraId="4F00499D">
      <w:pPr>
        <w:rPr>
          <w:rFonts w:hint="eastAsia" w:asciiTheme="majorEastAsia" w:hAnsiTheme="majorEastAsia" w:eastAsiaTheme="majorEastAsia"/>
          <w:color w:val="auto"/>
          <w:highlight w:val="none"/>
        </w:rPr>
      </w:pPr>
    </w:p>
    <w:p w14:paraId="62CF046B">
      <w:pPr>
        <w:snapToGrid w:val="0"/>
        <w:jc w:val="center"/>
        <w:rPr>
          <w:rFonts w:hint="eastAsia" w:asciiTheme="majorEastAsia" w:hAnsiTheme="majorEastAsia" w:eastAsiaTheme="majorEastAsia"/>
          <w:bCs/>
          <w:color w:val="auto"/>
          <w:sz w:val="32"/>
          <w:szCs w:val="32"/>
          <w:highlight w:val="none"/>
        </w:rPr>
      </w:pPr>
    </w:p>
    <w:p w14:paraId="33711939">
      <w:pPr>
        <w:snapToGrid w:val="0"/>
        <w:jc w:val="center"/>
        <w:rPr>
          <w:rFonts w:hint="eastAsia" w:asciiTheme="majorEastAsia" w:hAnsiTheme="majorEastAsia" w:eastAsiaTheme="majorEastAsia"/>
          <w:bCs/>
          <w:color w:val="auto"/>
          <w:sz w:val="32"/>
          <w:szCs w:val="32"/>
          <w:highlight w:val="none"/>
        </w:rPr>
      </w:pPr>
    </w:p>
    <w:p w14:paraId="14C3B5BE">
      <w:pPr>
        <w:snapToGrid w:val="0"/>
        <w:jc w:val="center"/>
        <w:rPr>
          <w:rFonts w:hint="eastAsia" w:asciiTheme="majorEastAsia" w:hAnsiTheme="majorEastAsia" w:eastAsiaTheme="majorEastAsia"/>
          <w:bCs/>
          <w:color w:val="auto"/>
          <w:sz w:val="32"/>
          <w:szCs w:val="32"/>
          <w:highlight w:val="none"/>
        </w:rPr>
      </w:pPr>
    </w:p>
    <w:p w14:paraId="4620ABCE">
      <w:pPr>
        <w:snapToGrid w:val="0"/>
        <w:jc w:val="center"/>
        <w:rPr>
          <w:rFonts w:hint="eastAsia" w:asciiTheme="majorEastAsia" w:hAnsiTheme="majorEastAsia" w:eastAsiaTheme="majorEastAsia"/>
          <w:bCs/>
          <w:color w:val="auto"/>
          <w:sz w:val="32"/>
          <w:szCs w:val="32"/>
          <w:highlight w:val="none"/>
        </w:rPr>
      </w:pPr>
    </w:p>
    <w:p w14:paraId="489DDC13">
      <w:pPr>
        <w:snapToGrid w:val="0"/>
        <w:jc w:val="center"/>
        <w:rPr>
          <w:rFonts w:hint="eastAsia" w:asciiTheme="majorEastAsia" w:hAnsiTheme="majorEastAsia" w:eastAsiaTheme="majorEastAsia"/>
          <w:bCs/>
          <w:color w:val="auto"/>
          <w:sz w:val="32"/>
          <w:szCs w:val="32"/>
          <w:highlight w:val="none"/>
        </w:rPr>
      </w:pPr>
    </w:p>
    <w:p w14:paraId="143EC999">
      <w:pPr>
        <w:snapToGrid w:val="0"/>
        <w:jc w:val="center"/>
        <w:rPr>
          <w:rFonts w:hint="eastAsia" w:asciiTheme="majorEastAsia" w:hAnsiTheme="majorEastAsia" w:eastAsiaTheme="majorEastAsia"/>
          <w:bCs/>
          <w:color w:val="auto"/>
          <w:sz w:val="32"/>
          <w:szCs w:val="32"/>
          <w:highlight w:val="none"/>
        </w:rPr>
      </w:pPr>
    </w:p>
    <w:p w14:paraId="2F9DF60A">
      <w:pPr>
        <w:pStyle w:val="3"/>
        <w:jc w:val="center"/>
        <w:rPr>
          <w:rFonts w:hint="eastAsia" w:asciiTheme="majorEastAsia" w:hAnsiTheme="majorEastAsia" w:eastAsiaTheme="majorEastAsia"/>
          <w:color w:val="auto"/>
          <w:highlight w:val="none"/>
        </w:rPr>
      </w:pPr>
      <w:bookmarkStart w:id="155" w:name="_Toc74320805"/>
    </w:p>
    <w:p w14:paraId="369CBBD5">
      <w:pPr>
        <w:pStyle w:val="3"/>
        <w:jc w:val="center"/>
        <w:rPr>
          <w:rFonts w:hint="eastAsia" w:asciiTheme="majorEastAsia" w:hAnsiTheme="majorEastAsia" w:eastAsiaTheme="majorEastAsia"/>
          <w:color w:val="auto"/>
          <w:highlight w:val="none"/>
        </w:rPr>
      </w:pPr>
      <w:r>
        <w:rPr>
          <w:rFonts w:hint="eastAsia" w:asciiTheme="majorEastAsia" w:hAnsiTheme="majorEastAsia" w:eastAsiaTheme="majorEastAsia"/>
          <w:color w:val="auto"/>
          <w:highlight w:val="none"/>
        </w:rPr>
        <w:t>第六章　投标文件格式</w:t>
      </w:r>
      <w:bookmarkEnd w:id="155"/>
    </w:p>
    <w:p w14:paraId="2330828C">
      <w:pPr>
        <w:snapToGrid w:val="0"/>
        <w:spacing w:before="50" w:after="50"/>
        <w:outlineLvl w:val="1"/>
        <w:rPr>
          <w:rFonts w:hint="eastAsia" w:asciiTheme="majorEastAsia" w:hAnsiTheme="majorEastAsia" w:eastAsiaTheme="majorEastAsia"/>
          <w:color w:val="auto"/>
          <w:sz w:val="32"/>
          <w:szCs w:val="20"/>
          <w:highlight w:val="none"/>
        </w:rPr>
      </w:pPr>
    </w:p>
    <w:p w14:paraId="27A1416B">
      <w:pPr>
        <w:snapToGrid w:val="0"/>
        <w:spacing w:before="50" w:after="50"/>
        <w:outlineLvl w:val="1"/>
        <w:rPr>
          <w:rFonts w:hint="eastAsia" w:asciiTheme="majorEastAsia" w:hAnsiTheme="majorEastAsia" w:eastAsiaTheme="majorEastAsia"/>
          <w:color w:val="auto"/>
          <w:sz w:val="32"/>
          <w:szCs w:val="20"/>
          <w:highlight w:val="none"/>
        </w:rPr>
      </w:pPr>
    </w:p>
    <w:p w14:paraId="718F1023">
      <w:pPr>
        <w:snapToGrid w:val="0"/>
        <w:spacing w:before="50" w:after="50"/>
        <w:outlineLvl w:val="1"/>
        <w:rPr>
          <w:rFonts w:hint="eastAsia" w:asciiTheme="majorEastAsia" w:hAnsiTheme="majorEastAsia" w:eastAsiaTheme="majorEastAsia"/>
          <w:color w:val="auto"/>
          <w:sz w:val="32"/>
          <w:szCs w:val="20"/>
          <w:highlight w:val="none"/>
        </w:rPr>
      </w:pPr>
    </w:p>
    <w:p w14:paraId="2F979CCB">
      <w:pPr>
        <w:snapToGrid w:val="0"/>
        <w:spacing w:before="50" w:after="50"/>
        <w:outlineLvl w:val="1"/>
        <w:rPr>
          <w:rFonts w:hint="eastAsia" w:asciiTheme="majorEastAsia" w:hAnsiTheme="majorEastAsia" w:eastAsiaTheme="majorEastAsia"/>
          <w:color w:val="auto"/>
          <w:sz w:val="32"/>
          <w:szCs w:val="20"/>
          <w:highlight w:val="none"/>
        </w:rPr>
      </w:pPr>
    </w:p>
    <w:p w14:paraId="50B0A2E1">
      <w:pPr>
        <w:pStyle w:val="45"/>
        <w:ind w:firstLine="643"/>
        <w:rPr>
          <w:rFonts w:hint="eastAsia" w:asciiTheme="majorEastAsia" w:hAnsiTheme="majorEastAsia" w:eastAsiaTheme="majorEastAsia"/>
          <w:color w:val="auto"/>
          <w:sz w:val="32"/>
          <w:highlight w:val="none"/>
        </w:rPr>
      </w:pPr>
    </w:p>
    <w:p w14:paraId="728006CE">
      <w:pPr>
        <w:rPr>
          <w:rFonts w:hint="eastAsia" w:asciiTheme="majorEastAsia" w:hAnsiTheme="majorEastAsia" w:eastAsiaTheme="majorEastAsia"/>
          <w:color w:val="auto"/>
          <w:sz w:val="32"/>
          <w:szCs w:val="20"/>
          <w:highlight w:val="none"/>
        </w:rPr>
      </w:pPr>
    </w:p>
    <w:p w14:paraId="69588CA7">
      <w:pPr>
        <w:pStyle w:val="45"/>
        <w:ind w:firstLine="422"/>
        <w:rPr>
          <w:rFonts w:hint="eastAsia" w:asciiTheme="majorEastAsia" w:hAnsiTheme="majorEastAsia" w:eastAsiaTheme="majorEastAsia"/>
          <w:color w:val="auto"/>
          <w:highlight w:val="none"/>
        </w:rPr>
      </w:pPr>
    </w:p>
    <w:p w14:paraId="0413397E">
      <w:pPr>
        <w:snapToGrid w:val="0"/>
        <w:spacing w:before="50" w:after="50"/>
        <w:outlineLvl w:val="1"/>
        <w:rPr>
          <w:rFonts w:hint="eastAsia" w:asciiTheme="majorEastAsia" w:hAnsiTheme="majorEastAsia" w:eastAsiaTheme="majorEastAsia"/>
          <w:color w:val="auto"/>
          <w:sz w:val="32"/>
          <w:szCs w:val="20"/>
          <w:highlight w:val="none"/>
        </w:rPr>
      </w:pPr>
    </w:p>
    <w:p w14:paraId="0EBAA7D9">
      <w:pPr>
        <w:snapToGrid w:val="0"/>
        <w:spacing w:before="50" w:after="50"/>
        <w:outlineLvl w:val="1"/>
        <w:rPr>
          <w:rFonts w:hint="eastAsia" w:asciiTheme="majorEastAsia" w:hAnsiTheme="majorEastAsia" w:eastAsiaTheme="majorEastAsia"/>
          <w:color w:val="auto"/>
          <w:sz w:val="32"/>
          <w:szCs w:val="20"/>
          <w:highlight w:val="none"/>
        </w:rPr>
      </w:pPr>
    </w:p>
    <w:p w14:paraId="0BC20BC4">
      <w:pPr>
        <w:snapToGrid w:val="0"/>
        <w:spacing w:before="50" w:after="50"/>
        <w:outlineLvl w:val="1"/>
        <w:rPr>
          <w:rFonts w:hint="eastAsia" w:asciiTheme="majorEastAsia" w:hAnsiTheme="majorEastAsia" w:eastAsiaTheme="majorEastAsia"/>
          <w:color w:val="auto"/>
          <w:sz w:val="32"/>
          <w:szCs w:val="20"/>
          <w:highlight w:val="none"/>
        </w:rPr>
      </w:pPr>
    </w:p>
    <w:p w14:paraId="1601099A">
      <w:pPr>
        <w:snapToGrid w:val="0"/>
        <w:spacing w:before="50" w:after="50"/>
        <w:outlineLvl w:val="1"/>
        <w:rPr>
          <w:rFonts w:hint="eastAsia" w:asciiTheme="majorEastAsia" w:hAnsiTheme="majorEastAsia" w:eastAsiaTheme="majorEastAsia"/>
          <w:color w:val="auto"/>
          <w:sz w:val="32"/>
          <w:szCs w:val="20"/>
          <w:highlight w:val="none"/>
        </w:rPr>
      </w:pPr>
    </w:p>
    <w:p w14:paraId="69E29A54">
      <w:pPr>
        <w:snapToGrid w:val="0"/>
        <w:spacing w:before="50" w:after="50"/>
        <w:outlineLvl w:val="1"/>
        <w:rPr>
          <w:rFonts w:hint="eastAsia" w:asciiTheme="majorEastAsia" w:hAnsiTheme="majorEastAsia" w:eastAsiaTheme="majorEastAsia"/>
          <w:color w:val="auto"/>
          <w:sz w:val="32"/>
          <w:szCs w:val="20"/>
          <w:highlight w:val="none"/>
        </w:rPr>
      </w:pPr>
    </w:p>
    <w:p w14:paraId="34F2B7D1">
      <w:pPr>
        <w:snapToGrid w:val="0"/>
        <w:spacing w:before="50" w:after="50"/>
        <w:outlineLvl w:val="1"/>
        <w:rPr>
          <w:rFonts w:hint="eastAsia" w:asciiTheme="majorEastAsia" w:hAnsiTheme="majorEastAsia" w:eastAsiaTheme="majorEastAsia"/>
          <w:color w:val="auto"/>
          <w:sz w:val="32"/>
          <w:szCs w:val="20"/>
          <w:highlight w:val="none"/>
        </w:rPr>
      </w:pPr>
    </w:p>
    <w:p w14:paraId="3E7E226D">
      <w:pPr>
        <w:snapToGrid w:val="0"/>
        <w:spacing w:before="120" w:beforeLines="50" w:after="50"/>
        <w:jc w:val="center"/>
        <w:outlineLvl w:val="1"/>
        <w:rPr>
          <w:rFonts w:hint="eastAsia" w:asciiTheme="majorEastAsia" w:hAnsiTheme="majorEastAsia" w:eastAsiaTheme="majorEastAsia"/>
          <w:color w:val="auto"/>
          <w:highlight w:val="none"/>
        </w:rPr>
      </w:pPr>
    </w:p>
    <w:p w14:paraId="649A05FE">
      <w:pPr>
        <w:rPr>
          <w:rFonts w:hint="eastAsia" w:asciiTheme="majorEastAsia" w:hAnsiTheme="majorEastAsia" w:eastAsiaTheme="majorEastAsia"/>
          <w:b/>
          <w:color w:val="auto"/>
          <w:sz w:val="28"/>
          <w:szCs w:val="28"/>
          <w:highlight w:val="none"/>
        </w:rPr>
      </w:pPr>
      <w:bookmarkStart w:id="156" w:name="_Toc19686836"/>
      <w:bookmarkStart w:id="157" w:name="_Toc254970698"/>
      <w:bookmarkStart w:id="158" w:name="_Toc254970557"/>
    </w:p>
    <w:p w14:paraId="5FF6B583">
      <w:pPr>
        <w:rPr>
          <w:rFonts w:hint="eastAsia" w:asciiTheme="majorEastAsia" w:hAnsiTheme="majorEastAsia" w:eastAsiaTheme="majorEastAsia"/>
          <w:b/>
          <w:color w:val="auto"/>
          <w:sz w:val="28"/>
          <w:szCs w:val="28"/>
          <w:highlight w:val="none"/>
        </w:rPr>
      </w:pPr>
    </w:p>
    <w:p w14:paraId="42F7C105">
      <w:pPr>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一、报价文件格式</w:t>
      </w:r>
      <w:bookmarkEnd w:id="156"/>
    </w:p>
    <w:p w14:paraId="315746C7">
      <w:pPr>
        <w:snapToGrid w:val="0"/>
        <w:spacing w:before="120" w:beforeLines="50" w:after="50" w:line="360" w:lineRule="auto"/>
        <w:ind w:left="142"/>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1. 报价文件封面格式： </w:t>
      </w:r>
    </w:p>
    <w:p w14:paraId="0CAC85CE">
      <w:pPr>
        <w:snapToGrid w:val="0"/>
        <w:spacing w:before="120" w:beforeLines="50" w:after="50" w:line="360" w:lineRule="auto"/>
        <w:ind w:left="142"/>
        <w:jc w:val="center"/>
        <w:rPr>
          <w:rFonts w:hint="eastAsia" w:asciiTheme="majorEastAsia" w:hAnsiTheme="majorEastAsia" w:eastAsiaTheme="majorEastAsia"/>
          <w:bCs/>
          <w:color w:val="auto"/>
          <w:sz w:val="48"/>
          <w:szCs w:val="48"/>
          <w:highlight w:val="none"/>
        </w:rPr>
      </w:pPr>
      <w:r>
        <w:rPr>
          <w:rFonts w:hint="eastAsia" w:asciiTheme="majorEastAsia" w:hAnsiTheme="majorEastAsia" w:eastAsiaTheme="majorEastAsia"/>
          <w:bCs/>
          <w:color w:val="auto"/>
          <w:sz w:val="48"/>
          <w:szCs w:val="48"/>
          <w:highlight w:val="none"/>
        </w:rPr>
        <w:t>电子投标文件</w:t>
      </w:r>
    </w:p>
    <w:p w14:paraId="27EBCB58">
      <w:pPr>
        <w:snapToGrid w:val="0"/>
        <w:spacing w:before="120" w:beforeLines="50" w:after="50" w:line="400" w:lineRule="exact"/>
        <w:jc w:val="left"/>
        <w:rPr>
          <w:rFonts w:hint="eastAsia" w:asciiTheme="majorEastAsia" w:hAnsiTheme="majorEastAsia" w:eastAsiaTheme="majorEastAsia"/>
          <w:bCs/>
          <w:color w:val="auto"/>
          <w:sz w:val="48"/>
          <w:szCs w:val="48"/>
          <w:highlight w:val="none"/>
        </w:rPr>
      </w:pPr>
    </w:p>
    <w:p w14:paraId="139E1C44">
      <w:pPr>
        <w:snapToGrid w:val="0"/>
        <w:spacing w:before="120" w:beforeLines="50" w:after="50" w:line="400" w:lineRule="exact"/>
        <w:jc w:val="center"/>
        <w:rPr>
          <w:rFonts w:hint="eastAsia" w:cs="方正小标宋简体" w:asciiTheme="majorEastAsia" w:hAnsiTheme="majorEastAsia" w:eastAsiaTheme="majorEastAsia"/>
          <w:color w:val="auto"/>
          <w:sz w:val="44"/>
          <w:szCs w:val="44"/>
          <w:highlight w:val="none"/>
        </w:rPr>
      </w:pPr>
      <w:r>
        <w:rPr>
          <w:rFonts w:hint="eastAsia" w:cs="方正小标宋简体" w:asciiTheme="majorEastAsia" w:hAnsiTheme="majorEastAsia" w:eastAsiaTheme="majorEastAsia"/>
          <w:color w:val="auto"/>
          <w:sz w:val="44"/>
          <w:szCs w:val="44"/>
          <w:highlight w:val="none"/>
        </w:rPr>
        <w:t>报  价  文  件</w:t>
      </w:r>
    </w:p>
    <w:p w14:paraId="6B0BAA33">
      <w:pPr>
        <w:snapToGrid w:val="0"/>
        <w:spacing w:before="120" w:beforeLines="50" w:after="50" w:line="400" w:lineRule="exact"/>
        <w:rPr>
          <w:rFonts w:hint="eastAsia" w:asciiTheme="majorEastAsia" w:hAnsiTheme="majorEastAsia" w:eastAsiaTheme="majorEastAsia"/>
          <w:bCs/>
          <w:color w:val="auto"/>
          <w:sz w:val="24"/>
          <w:szCs w:val="20"/>
          <w:highlight w:val="none"/>
        </w:rPr>
      </w:pPr>
    </w:p>
    <w:p w14:paraId="7238094E">
      <w:pPr>
        <w:snapToGrid w:val="0"/>
        <w:spacing w:before="120" w:beforeLines="50" w:after="50" w:line="400" w:lineRule="exact"/>
        <w:rPr>
          <w:rFonts w:hint="eastAsia" w:asciiTheme="majorEastAsia" w:hAnsiTheme="majorEastAsia" w:eastAsiaTheme="majorEastAsia"/>
          <w:bCs/>
          <w:color w:val="auto"/>
          <w:sz w:val="24"/>
          <w:szCs w:val="20"/>
          <w:highlight w:val="none"/>
        </w:rPr>
      </w:pPr>
    </w:p>
    <w:p w14:paraId="0AD5BC45">
      <w:pPr>
        <w:snapToGrid w:val="0"/>
        <w:spacing w:before="120" w:beforeLines="50" w:after="50" w:line="400" w:lineRule="exact"/>
        <w:rPr>
          <w:rFonts w:hint="eastAsia" w:asciiTheme="majorEastAsia" w:hAnsiTheme="majorEastAsia" w:eastAsiaTheme="majorEastAsia"/>
          <w:bCs/>
          <w:color w:val="auto"/>
          <w:sz w:val="24"/>
          <w:szCs w:val="20"/>
          <w:highlight w:val="none"/>
        </w:rPr>
      </w:pPr>
    </w:p>
    <w:p w14:paraId="77122780">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 xml:space="preserve">项目名称： </w:t>
      </w:r>
    </w:p>
    <w:p w14:paraId="521A945F">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29F0BFB4">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 xml:space="preserve">项目编号： </w:t>
      </w:r>
    </w:p>
    <w:p w14:paraId="0C34FF42">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11C6CD97">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6C0AD9CB">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530DC9EE">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投标人名称：</w:t>
      </w:r>
    </w:p>
    <w:p w14:paraId="7C768CAA">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p>
    <w:p w14:paraId="0A97C379">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投标人地址：</w:t>
      </w:r>
    </w:p>
    <w:p w14:paraId="4AD421EB">
      <w:pPr>
        <w:pStyle w:val="8"/>
        <w:snapToGrid w:val="0"/>
        <w:spacing w:before="50" w:after="50" w:line="400" w:lineRule="exact"/>
        <w:ind w:firstLine="960" w:firstLineChars="400"/>
        <w:rPr>
          <w:rFonts w:hint="eastAsia" w:asciiTheme="majorEastAsia" w:hAnsiTheme="majorEastAsia" w:eastAsiaTheme="majorEastAsia"/>
          <w:bCs/>
          <w:color w:val="auto"/>
          <w:sz w:val="24"/>
          <w:szCs w:val="24"/>
          <w:highlight w:val="none"/>
        </w:rPr>
      </w:pPr>
    </w:p>
    <w:p w14:paraId="02CE3787">
      <w:pPr>
        <w:snapToGrid w:val="0"/>
        <w:spacing w:before="120" w:beforeLines="50" w:after="50" w:line="400" w:lineRule="exact"/>
        <w:rPr>
          <w:rFonts w:hint="eastAsia" w:asciiTheme="majorEastAsia" w:hAnsiTheme="majorEastAsia" w:eastAsiaTheme="majorEastAsia"/>
          <w:color w:val="auto"/>
          <w:sz w:val="30"/>
          <w:szCs w:val="20"/>
          <w:highlight w:val="none"/>
        </w:rPr>
      </w:pPr>
      <w:r>
        <w:rPr>
          <w:rFonts w:hint="eastAsia" w:asciiTheme="majorEastAsia" w:hAnsiTheme="majorEastAsia" w:eastAsiaTheme="majorEastAsia"/>
          <w:color w:val="auto"/>
          <w:sz w:val="24"/>
          <w:highlight w:val="none"/>
        </w:rPr>
        <w:t xml:space="preserve">                                   年  月  日</w:t>
      </w:r>
    </w:p>
    <w:p w14:paraId="13CEC1FC">
      <w:pPr>
        <w:snapToGrid w:val="0"/>
        <w:spacing w:before="120" w:beforeLines="50" w:after="50" w:line="360" w:lineRule="auto"/>
        <w:jc w:val="left"/>
        <w:rPr>
          <w:rFonts w:hint="eastAsia" w:asciiTheme="majorEastAsia" w:hAnsiTheme="majorEastAsia" w:eastAsiaTheme="majorEastAsia"/>
          <w:color w:val="auto"/>
          <w:sz w:val="24"/>
          <w:szCs w:val="20"/>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2.</w:t>
      </w:r>
      <w:r>
        <w:rPr>
          <w:rFonts w:hint="eastAsia" w:asciiTheme="majorEastAsia" w:hAnsiTheme="majorEastAsia" w:eastAsiaTheme="majorEastAsia"/>
          <w:b/>
          <w:bCs/>
          <w:color w:val="auto"/>
          <w:sz w:val="24"/>
          <w:highlight w:val="none"/>
        </w:rPr>
        <w:t>报价文件目录</w:t>
      </w:r>
    </w:p>
    <w:p w14:paraId="11FD0FBD">
      <w:pPr>
        <w:snapToGrid w:val="0"/>
        <w:spacing w:before="50" w:after="120" w:afterLines="50" w:line="360" w:lineRule="auto"/>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0F0F6ED6">
      <w:pPr>
        <w:snapToGrid w:val="0"/>
        <w:spacing w:before="120" w:beforeLines="50" w:after="50"/>
        <w:rPr>
          <w:rFonts w:hint="eastAsia" w:asciiTheme="majorEastAsia" w:hAnsiTheme="majorEastAsia" w:eastAsiaTheme="majorEastAsia"/>
          <w:b/>
          <w:color w:val="auto"/>
          <w:sz w:val="24"/>
          <w:highlight w:val="none"/>
        </w:rPr>
      </w:pPr>
    </w:p>
    <w:p w14:paraId="6B0291ED">
      <w:pPr>
        <w:snapToGrid w:val="0"/>
        <w:spacing w:before="120" w:beforeLines="50" w:after="50"/>
        <w:rPr>
          <w:rFonts w:hint="eastAsia" w:asciiTheme="majorEastAsia" w:hAnsiTheme="majorEastAsia" w:eastAsiaTheme="majorEastAsia"/>
          <w:b/>
          <w:color w:val="auto"/>
          <w:sz w:val="24"/>
          <w:highlight w:val="none"/>
        </w:rPr>
      </w:pPr>
    </w:p>
    <w:p w14:paraId="5D509B07">
      <w:pPr>
        <w:snapToGrid w:val="0"/>
        <w:spacing w:before="120" w:beforeLines="50" w:after="50"/>
        <w:rPr>
          <w:rFonts w:hint="eastAsia" w:asciiTheme="majorEastAsia" w:hAnsiTheme="majorEastAsia" w:eastAsiaTheme="majorEastAsia"/>
          <w:b/>
          <w:color w:val="auto"/>
          <w:sz w:val="24"/>
          <w:highlight w:val="none"/>
        </w:rPr>
      </w:pPr>
    </w:p>
    <w:p w14:paraId="24269300">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3. 投标函格式：</w:t>
      </w:r>
    </w:p>
    <w:p w14:paraId="6C9C80EF">
      <w:pPr>
        <w:snapToGrid w:val="0"/>
        <w:spacing w:before="120" w:beforeLines="50" w:after="50" w:line="360" w:lineRule="auto"/>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投 标 函</w:t>
      </w:r>
    </w:p>
    <w:p w14:paraId="71B6FFD2">
      <w:pPr>
        <w:snapToGrid w:val="0"/>
        <w:spacing w:before="120" w:beforeLines="50" w:after="50" w:line="320" w:lineRule="exact"/>
        <w:jc w:val="center"/>
        <w:rPr>
          <w:rFonts w:hint="eastAsia" w:asciiTheme="majorEastAsia" w:hAnsiTheme="majorEastAsia" w:eastAsiaTheme="majorEastAsia"/>
          <w:b/>
          <w:color w:val="auto"/>
          <w:sz w:val="32"/>
          <w:szCs w:val="32"/>
          <w:highlight w:val="none"/>
        </w:rPr>
      </w:pPr>
    </w:p>
    <w:p w14:paraId="4213709D">
      <w:pPr>
        <w:spacing w:line="36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致：</w:t>
      </w:r>
      <w:r>
        <w:rPr>
          <w:rFonts w:hint="eastAsia" w:asciiTheme="majorEastAsia" w:hAnsiTheme="majorEastAsia" w:eastAsiaTheme="majorEastAsia"/>
          <w:color w:val="auto"/>
          <w:szCs w:val="21"/>
          <w:highlight w:val="none"/>
          <w:u w:val="single"/>
        </w:rPr>
        <w:t>采购人名称</w:t>
      </w:r>
    </w:p>
    <w:p w14:paraId="2627A3BE">
      <w:pPr>
        <w:spacing w:line="36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根据贵方</w:t>
      </w:r>
      <w:r>
        <w:rPr>
          <w:rFonts w:hint="eastAsia" w:asciiTheme="majorEastAsia" w:hAnsiTheme="majorEastAsia" w:eastAsiaTheme="majorEastAsia"/>
          <w:color w:val="auto"/>
          <w:szCs w:val="21"/>
          <w:highlight w:val="none"/>
          <w:u w:val="single"/>
        </w:rPr>
        <w:t xml:space="preserve"> 项目名称</w:t>
      </w:r>
      <w:r>
        <w:rPr>
          <w:rFonts w:hint="eastAsia" w:asciiTheme="majorEastAsia" w:hAnsiTheme="majorEastAsia" w:eastAsiaTheme="majorEastAsia"/>
          <w:color w:val="auto"/>
          <w:szCs w:val="21"/>
          <w:highlight w:val="none"/>
        </w:rPr>
        <w:t>（项目编号：</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）的招标公告，签字代表______</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（姓名）经正式授权并代表投标人</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（投标人名称）提交投标文件。</w:t>
      </w:r>
    </w:p>
    <w:p w14:paraId="31D1E2BC">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据此函，我方宣布同意如下：</w:t>
      </w:r>
    </w:p>
    <w:p w14:paraId="15BA8C86">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173A3CC">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2.我方在投标之前已经完全理解并接受招标文件的各项规定和要求，对招标文件的合理性、合法性不再有异议。</w:t>
      </w:r>
    </w:p>
    <w:p w14:paraId="13055454">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3.本投标有效期自投标截止之日起</w:t>
      </w:r>
      <w:r>
        <w:rPr>
          <w:rFonts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日。</w:t>
      </w:r>
    </w:p>
    <w:p w14:paraId="234A3D3A">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4.如中标，本投标文件至本项目合同履行完毕止均保持有效，我方将按“招标文件”及政府采购法律、法规的规定履行合同责任和义务。</w:t>
      </w:r>
    </w:p>
    <w:p w14:paraId="64CF0BB3">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5.我方同意按照贵方要求提供与投标有关的一切数据或者资料。</w:t>
      </w:r>
    </w:p>
    <w:p w14:paraId="2DC1010E">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6.我方向贵方提交的所有投标文件、资料都是准确的和真实的。</w:t>
      </w:r>
    </w:p>
    <w:p w14:paraId="7FF6101B">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7.以上事项如有虚假或者隐瞒，我方愿意承担一切后果，并不再寻求任何旨在减轻或者免除法律责任的辩解。</w:t>
      </w:r>
    </w:p>
    <w:p w14:paraId="74599425">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8.根据</w:t>
      </w:r>
      <w:r>
        <w:rPr>
          <w:rFonts w:asciiTheme="majorEastAsia" w:hAnsiTheme="majorEastAsia" w:eastAsiaTheme="majorEastAsia"/>
          <w:color w:val="auto"/>
          <w:szCs w:val="21"/>
          <w:highlight w:val="none"/>
        </w:rPr>
        <w:t>《中华人民共和国政府采购法实施条例》第五十条要求对政府采购合同进行公告</w:t>
      </w:r>
      <w:r>
        <w:rPr>
          <w:rFonts w:hint="eastAsia" w:asciiTheme="majorEastAsia" w:hAnsiTheme="majorEastAsia" w:eastAsiaTheme="majorEastAsia"/>
          <w:color w:val="auto"/>
          <w:szCs w:val="21"/>
          <w:highlight w:val="none"/>
        </w:rPr>
        <w:t>，</w:t>
      </w:r>
      <w:r>
        <w:rPr>
          <w:rFonts w:asciiTheme="majorEastAsia" w:hAnsiTheme="majorEastAsia" w:eastAsiaTheme="majorEastAsia"/>
          <w:color w:val="auto"/>
          <w:szCs w:val="21"/>
          <w:highlight w:val="none"/>
        </w:rPr>
        <w:t>但政府采购合同中涉及国家秘密、商业秘密的内容除外。</w:t>
      </w:r>
      <w:r>
        <w:rPr>
          <w:rFonts w:hint="eastAsia" w:asciiTheme="majorEastAsia" w:hAnsiTheme="majorEastAsia" w:eastAsiaTheme="majorEastAsia"/>
          <w:color w:val="auto"/>
          <w:szCs w:val="21"/>
          <w:highlight w:val="none"/>
        </w:rPr>
        <w:t>我方就对本次投标文件进行注明如下：（两项内容中必须选择一项）</w:t>
      </w:r>
    </w:p>
    <w:p w14:paraId="12B77852">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□我方本次投标文件</w:t>
      </w:r>
      <w:r>
        <w:rPr>
          <w:rFonts w:cs="宋体" w:asciiTheme="majorEastAsia" w:hAnsiTheme="majorEastAsia" w:eastAsiaTheme="majorEastAsia"/>
          <w:color w:val="auto"/>
          <w:kern w:val="0"/>
          <w:szCs w:val="21"/>
          <w:highlight w:val="none"/>
        </w:rPr>
        <w:t>内容中</w:t>
      </w:r>
      <w:r>
        <w:rPr>
          <w:rFonts w:hint="eastAsia" w:asciiTheme="majorEastAsia" w:hAnsiTheme="majorEastAsia" w:eastAsiaTheme="majorEastAsia"/>
          <w:color w:val="auto"/>
          <w:szCs w:val="21"/>
          <w:highlight w:val="none"/>
        </w:rPr>
        <w:t>未</w:t>
      </w:r>
      <w:r>
        <w:rPr>
          <w:rFonts w:cs="宋体" w:asciiTheme="majorEastAsia" w:hAnsiTheme="majorEastAsia" w:eastAsiaTheme="majorEastAsia"/>
          <w:color w:val="auto"/>
          <w:kern w:val="0"/>
          <w:szCs w:val="21"/>
          <w:highlight w:val="none"/>
        </w:rPr>
        <w:t>涉及商业秘密</w:t>
      </w:r>
      <w:r>
        <w:rPr>
          <w:rFonts w:hint="eastAsia" w:cs="宋体" w:asciiTheme="majorEastAsia" w:hAnsiTheme="majorEastAsia" w:eastAsiaTheme="majorEastAsia"/>
          <w:color w:val="auto"/>
          <w:kern w:val="0"/>
          <w:szCs w:val="21"/>
          <w:highlight w:val="none"/>
        </w:rPr>
        <w:t>；</w:t>
      </w:r>
    </w:p>
    <w:p w14:paraId="7BBF2DF8">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□我方本次投标文件</w:t>
      </w:r>
      <w:r>
        <w:rPr>
          <w:rFonts w:cs="宋体" w:asciiTheme="majorEastAsia" w:hAnsiTheme="majorEastAsia" w:eastAsiaTheme="majorEastAsia"/>
          <w:color w:val="auto"/>
          <w:kern w:val="0"/>
          <w:szCs w:val="21"/>
          <w:highlight w:val="none"/>
        </w:rPr>
        <w:t>涉及商业秘密</w:t>
      </w:r>
      <w:r>
        <w:rPr>
          <w:rFonts w:hint="eastAsia" w:cs="宋体" w:asciiTheme="majorEastAsia" w:hAnsiTheme="majorEastAsia" w:eastAsiaTheme="majorEastAsia"/>
          <w:color w:val="auto"/>
          <w:kern w:val="0"/>
          <w:szCs w:val="21"/>
          <w:highlight w:val="none"/>
        </w:rPr>
        <w:t>的</w:t>
      </w:r>
      <w:r>
        <w:rPr>
          <w:rFonts w:cs="宋体" w:asciiTheme="majorEastAsia" w:hAnsiTheme="majorEastAsia" w:eastAsiaTheme="majorEastAsia"/>
          <w:color w:val="auto"/>
          <w:kern w:val="0"/>
          <w:szCs w:val="21"/>
          <w:highlight w:val="none"/>
        </w:rPr>
        <w:t>内容</w:t>
      </w:r>
      <w:r>
        <w:rPr>
          <w:rFonts w:hint="eastAsia" w:cs="宋体" w:asciiTheme="majorEastAsia" w:hAnsiTheme="majorEastAsia" w:eastAsiaTheme="majorEastAsia"/>
          <w:color w:val="auto"/>
          <w:kern w:val="0"/>
          <w:szCs w:val="21"/>
          <w:highlight w:val="none"/>
        </w:rPr>
        <w:t>有：</w:t>
      </w:r>
      <w:r>
        <w:rPr>
          <w:rFonts w:hint="eastAsia" w:cs="宋体" w:asciiTheme="majorEastAsia" w:hAnsiTheme="majorEastAsia" w:eastAsiaTheme="majorEastAsia"/>
          <w:color w:val="auto"/>
          <w:kern w:val="0"/>
          <w:szCs w:val="21"/>
          <w:highlight w:val="none"/>
          <w:u w:val="single"/>
        </w:rPr>
        <w:t xml:space="preserve">                         </w:t>
      </w:r>
      <w:r>
        <w:rPr>
          <w:rFonts w:hint="eastAsia" w:cs="宋体" w:asciiTheme="majorEastAsia" w:hAnsiTheme="majorEastAsia" w:eastAsiaTheme="majorEastAsia"/>
          <w:color w:val="auto"/>
          <w:kern w:val="0"/>
          <w:szCs w:val="21"/>
          <w:highlight w:val="none"/>
        </w:rPr>
        <w:t>；</w:t>
      </w:r>
    </w:p>
    <w:p w14:paraId="286DA6F6">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9.与本投标有关的一切正式往来信函请寄：</w:t>
      </w:r>
    </w:p>
    <w:p w14:paraId="2452EB1C">
      <w:pPr>
        <w:spacing w:line="360" w:lineRule="exact"/>
        <w:ind w:firstLine="420" w:firstLineChars="200"/>
        <w:contextualSpacing/>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地址：</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邮编：</w:t>
      </w:r>
      <w:r>
        <w:rPr>
          <w:rFonts w:hint="eastAsia" w:asciiTheme="majorEastAsia" w:hAnsiTheme="majorEastAsia" w:eastAsiaTheme="majorEastAsia"/>
          <w:color w:val="auto"/>
          <w:szCs w:val="21"/>
          <w:highlight w:val="none"/>
          <w:u w:val="single"/>
        </w:rPr>
        <w:t xml:space="preserve">            </w:t>
      </w:r>
    </w:p>
    <w:p w14:paraId="75606B8C">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电话：</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传真：</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邮箱：</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p>
    <w:p w14:paraId="1F633174">
      <w:pPr>
        <w:spacing w:line="360" w:lineRule="exact"/>
        <w:ind w:firstLine="420" w:firstLineChars="20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投标人名称</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u w:val="single"/>
        </w:rPr>
        <w:t xml:space="preserve">                </w:t>
      </w:r>
    </w:p>
    <w:p w14:paraId="17B0A760">
      <w:pPr>
        <w:spacing w:line="36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开户银行：</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银行帐号：</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w:t>
      </w:r>
    </w:p>
    <w:p w14:paraId="51B8ED75">
      <w:pPr>
        <w:spacing w:line="36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rPr>
        <w:t xml:space="preserve">___________ </w:t>
      </w:r>
    </w:p>
    <w:p w14:paraId="10BAD2A4">
      <w:pPr>
        <w:pStyle w:val="27"/>
        <w:spacing w:line="360" w:lineRule="exact"/>
        <w:contextualSpacing/>
        <w:jc w:val="center"/>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 </w:t>
      </w:r>
      <w:r>
        <w:rPr>
          <w:rFonts w:asciiTheme="majorEastAsia" w:hAnsiTheme="majorEastAsia" w:eastAsiaTheme="majorEastAsia"/>
          <w:color w:val="auto"/>
          <w:sz w:val="21"/>
          <w:highlight w:val="none"/>
        </w:rPr>
        <w:t xml:space="preserve">                                   </w:t>
      </w:r>
    </w:p>
    <w:p w14:paraId="08EEC8A3">
      <w:pPr>
        <w:pStyle w:val="27"/>
        <w:spacing w:line="360" w:lineRule="exact"/>
        <w:contextualSpacing/>
        <w:jc w:val="center"/>
        <w:rPr>
          <w:rFonts w:hint="eastAsia" w:asciiTheme="majorEastAsia" w:hAnsiTheme="majorEastAsia" w:eastAsiaTheme="majorEastAsia"/>
          <w:color w:val="auto"/>
          <w:sz w:val="21"/>
          <w:highlight w:val="none"/>
        </w:rPr>
      </w:pPr>
    </w:p>
    <w:p w14:paraId="548757B3">
      <w:pPr>
        <w:pStyle w:val="27"/>
        <w:spacing w:line="360" w:lineRule="exact"/>
        <w:contextualSpacing/>
        <w:jc w:val="center"/>
        <w:rPr>
          <w:rFonts w:hint="eastAsia" w:asciiTheme="majorEastAsia" w:hAnsiTheme="majorEastAsia" w:eastAsiaTheme="majorEastAsia"/>
          <w:color w:val="auto"/>
          <w:sz w:val="21"/>
          <w:highlight w:val="none"/>
          <w:u w:val="single"/>
        </w:rPr>
      </w:pPr>
      <w:r>
        <w:rPr>
          <w:rFonts w:hint="eastAsia" w:asciiTheme="majorEastAsia" w:hAnsiTheme="majorEastAsia" w:eastAsiaTheme="majorEastAsia"/>
          <w:color w:val="auto"/>
          <w:sz w:val="21"/>
          <w:highlight w:val="none"/>
        </w:rPr>
        <w:t>投标人名称（电子签章）：</w:t>
      </w:r>
    </w:p>
    <w:p w14:paraId="5F62C60D">
      <w:pPr>
        <w:pStyle w:val="27"/>
        <w:spacing w:line="360" w:lineRule="exact"/>
        <w:contextualSpacing/>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                                                </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年</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月</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日</w:t>
      </w:r>
    </w:p>
    <w:p w14:paraId="2FA2CCEB">
      <w:pPr>
        <w:snapToGrid w:val="0"/>
        <w:spacing w:before="120" w:beforeLines="50" w:after="50"/>
        <w:jc w:val="left"/>
        <w:rPr>
          <w:rFonts w:hint="eastAsia" w:asciiTheme="majorEastAsia" w:hAnsiTheme="majorEastAsia" w:eastAsiaTheme="majorEastAsia"/>
          <w:b/>
          <w:color w:val="auto"/>
          <w:sz w:val="24"/>
          <w:szCs w:val="20"/>
          <w:highlight w:val="none"/>
        </w:rPr>
      </w:pPr>
      <w:r>
        <w:rPr>
          <w:rFonts w:asciiTheme="majorEastAsia" w:hAnsiTheme="majorEastAsia" w:eastAsiaTheme="majorEastAsia"/>
          <w:color w:val="auto"/>
          <w:highlight w:val="none"/>
          <w:u w:val="single"/>
        </w:rPr>
        <w:br w:type="page"/>
      </w:r>
      <w:r>
        <w:rPr>
          <w:rFonts w:hint="eastAsia" w:asciiTheme="majorEastAsia" w:hAnsiTheme="majorEastAsia" w:eastAsiaTheme="majorEastAsia"/>
          <w:b/>
          <w:color w:val="auto"/>
          <w:sz w:val="24"/>
          <w:highlight w:val="none"/>
        </w:rPr>
        <w:t>4. 开标一览表（货物类格式）</w:t>
      </w:r>
    </w:p>
    <w:p w14:paraId="6BD0E10F">
      <w:pPr>
        <w:snapToGrid w:val="0"/>
        <w:spacing w:before="50" w:after="50"/>
        <w:jc w:val="center"/>
        <w:rPr>
          <w:rFonts w:hint="eastAsia" w:asciiTheme="majorEastAsia" w:hAnsiTheme="majorEastAsia" w:eastAsiaTheme="majorEastAsia"/>
          <w:b/>
          <w:color w:val="auto"/>
          <w:sz w:val="30"/>
          <w:highlight w:val="none"/>
        </w:rPr>
      </w:pPr>
      <w:r>
        <w:rPr>
          <w:rFonts w:hint="eastAsia" w:asciiTheme="majorEastAsia" w:hAnsiTheme="majorEastAsia" w:eastAsiaTheme="majorEastAsia"/>
          <w:b/>
          <w:color w:val="auto"/>
          <w:sz w:val="30"/>
          <w:highlight w:val="none"/>
        </w:rPr>
        <w:t>开标一览表</w:t>
      </w:r>
    </w:p>
    <w:p w14:paraId="2BA06D38">
      <w:pPr>
        <w:snapToGrid w:val="0"/>
        <w:spacing w:before="50" w:after="50"/>
        <w:jc w:val="center"/>
        <w:rPr>
          <w:rFonts w:hint="eastAsia" w:asciiTheme="majorEastAsia" w:hAnsiTheme="majorEastAsia" w:eastAsiaTheme="majorEastAsia"/>
          <w:b/>
          <w:color w:val="auto"/>
          <w:sz w:val="30"/>
          <w:szCs w:val="20"/>
          <w:highlight w:val="none"/>
        </w:rPr>
      </w:pPr>
    </w:p>
    <w:p w14:paraId="33F63134">
      <w:pPr>
        <w:snapToGrid w:val="0"/>
        <w:spacing w:before="50" w:after="50" w:line="360" w:lineRule="auto"/>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项目名称：</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rPr>
        <w:t xml:space="preserve">         </w:t>
      </w:r>
      <w:r>
        <w:rPr>
          <w:rFonts w:hint="eastAsia" w:asciiTheme="majorEastAsia" w:hAnsiTheme="majorEastAsia" w:eastAsiaTheme="majorEastAsia"/>
          <w:color w:val="auto"/>
          <w:szCs w:val="21"/>
          <w:highlight w:val="none"/>
        </w:rPr>
        <w:t>项目编号：</w:t>
      </w:r>
      <w:r>
        <w:rPr>
          <w:rFonts w:hint="eastAsia" w:asciiTheme="majorEastAsia" w:hAnsiTheme="majorEastAsia" w:eastAsiaTheme="majorEastAsia"/>
          <w:color w:val="auto"/>
          <w:szCs w:val="21"/>
          <w:highlight w:val="none"/>
          <w:u w:val="single"/>
        </w:rPr>
        <w:t xml:space="preserve">  </w:t>
      </w:r>
      <w:r>
        <w:rPr>
          <w:rFonts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分标：</w:t>
      </w:r>
      <w:r>
        <w:rPr>
          <w:rFonts w:hint="eastAsia" w:asciiTheme="majorEastAsia" w:hAnsiTheme="majorEastAsia" w:eastAsiaTheme="majorEastAsia"/>
          <w:color w:val="auto"/>
          <w:szCs w:val="21"/>
          <w:highlight w:val="none"/>
          <w:u w:val="single"/>
        </w:rPr>
        <w:t xml:space="preserve">           </w:t>
      </w:r>
    </w:p>
    <w:p w14:paraId="3A684D0D">
      <w:pPr>
        <w:snapToGrid w:val="0"/>
        <w:spacing w:before="50" w:after="50" w:line="360" w:lineRule="auto"/>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投标人名称：</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单位：元</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5"/>
        <w:gridCol w:w="1202"/>
        <w:gridCol w:w="1076"/>
        <w:gridCol w:w="919"/>
        <w:gridCol w:w="768"/>
        <w:gridCol w:w="921"/>
        <w:gridCol w:w="1338"/>
        <w:gridCol w:w="808"/>
        <w:gridCol w:w="1648"/>
      </w:tblGrid>
      <w:tr w14:paraId="7255D7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9"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2502603B">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序号</w:t>
            </w:r>
          </w:p>
        </w:tc>
        <w:tc>
          <w:tcPr>
            <w:tcW w:w="1202" w:type="dxa"/>
            <w:tcBorders>
              <w:top w:val="single" w:color="auto" w:sz="4" w:space="0"/>
              <w:left w:val="single" w:color="auto" w:sz="4" w:space="0"/>
              <w:bottom w:val="single" w:color="auto" w:sz="4" w:space="0"/>
              <w:right w:val="single" w:color="auto" w:sz="4" w:space="0"/>
            </w:tcBorders>
            <w:vAlign w:val="center"/>
          </w:tcPr>
          <w:p w14:paraId="02737C48">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标的名称</w:t>
            </w:r>
          </w:p>
        </w:tc>
        <w:tc>
          <w:tcPr>
            <w:tcW w:w="1076" w:type="dxa"/>
            <w:tcBorders>
              <w:top w:val="single" w:color="auto" w:sz="4" w:space="0"/>
              <w:left w:val="single" w:color="auto" w:sz="4" w:space="0"/>
              <w:bottom w:val="single" w:color="auto" w:sz="4" w:space="0"/>
              <w:right w:val="single" w:color="auto" w:sz="4" w:space="0"/>
            </w:tcBorders>
            <w:vAlign w:val="center"/>
          </w:tcPr>
          <w:p w14:paraId="2F6B739E">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品牌</w:t>
            </w:r>
          </w:p>
        </w:tc>
        <w:tc>
          <w:tcPr>
            <w:tcW w:w="919" w:type="dxa"/>
            <w:tcBorders>
              <w:top w:val="single" w:color="auto" w:sz="4" w:space="0"/>
              <w:left w:val="single" w:color="auto" w:sz="4" w:space="0"/>
              <w:bottom w:val="single" w:color="auto" w:sz="4" w:space="0"/>
              <w:right w:val="single" w:color="auto" w:sz="4" w:space="0"/>
            </w:tcBorders>
            <w:vAlign w:val="center"/>
          </w:tcPr>
          <w:p w14:paraId="72E52D89">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规格</w:t>
            </w:r>
          </w:p>
          <w:p w14:paraId="7F50032F">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型号</w:t>
            </w:r>
          </w:p>
        </w:tc>
        <w:tc>
          <w:tcPr>
            <w:tcW w:w="768" w:type="dxa"/>
            <w:tcBorders>
              <w:top w:val="single" w:color="auto" w:sz="4" w:space="0"/>
              <w:left w:val="single" w:color="auto" w:sz="4" w:space="0"/>
              <w:bottom w:val="single" w:color="auto" w:sz="4" w:space="0"/>
              <w:right w:val="single" w:color="auto" w:sz="4" w:space="0"/>
            </w:tcBorders>
            <w:vAlign w:val="center"/>
          </w:tcPr>
          <w:p w14:paraId="32FAE63D">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生产厂家</w:t>
            </w:r>
          </w:p>
        </w:tc>
        <w:tc>
          <w:tcPr>
            <w:tcW w:w="921" w:type="dxa"/>
            <w:tcBorders>
              <w:top w:val="single" w:color="auto" w:sz="4" w:space="0"/>
              <w:left w:val="single" w:color="auto" w:sz="4" w:space="0"/>
              <w:bottom w:val="single" w:color="auto" w:sz="4" w:space="0"/>
              <w:right w:val="single" w:color="auto" w:sz="4" w:space="0"/>
            </w:tcBorders>
            <w:vAlign w:val="center"/>
          </w:tcPr>
          <w:p w14:paraId="64305578">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国别</w:t>
            </w:r>
          </w:p>
        </w:tc>
        <w:tc>
          <w:tcPr>
            <w:tcW w:w="1338" w:type="dxa"/>
            <w:tcBorders>
              <w:top w:val="single" w:color="auto" w:sz="4" w:space="0"/>
              <w:left w:val="single" w:color="auto" w:sz="4" w:space="0"/>
              <w:bottom w:val="single" w:color="auto" w:sz="4" w:space="0"/>
              <w:right w:val="single" w:color="auto" w:sz="4" w:space="0"/>
            </w:tcBorders>
            <w:vAlign w:val="center"/>
          </w:tcPr>
          <w:p w14:paraId="69F2982B">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数量及单位①</w:t>
            </w:r>
          </w:p>
        </w:tc>
        <w:tc>
          <w:tcPr>
            <w:tcW w:w="808" w:type="dxa"/>
            <w:tcBorders>
              <w:top w:val="single" w:color="auto" w:sz="4" w:space="0"/>
              <w:left w:val="single" w:color="auto" w:sz="4" w:space="0"/>
              <w:bottom w:val="single" w:color="auto" w:sz="4" w:space="0"/>
              <w:right w:val="single" w:color="auto" w:sz="4" w:space="0"/>
            </w:tcBorders>
            <w:vAlign w:val="center"/>
          </w:tcPr>
          <w:p w14:paraId="0E608EE1">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单价</w:t>
            </w:r>
          </w:p>
          <w:p w14:paraId="34835AE0">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②</w:t>
            </w:r>
          </w:p>
        </w:tc>
        <w:tc>
          <w:tcPr>
            <w:tcW w:w="1648" w:type="dxa"/>
            <w:tcBorders>
              <w:top w:val="single" w:color="auto" w:sz="4" w:space="0"/>
              <w:left w:val="single" w:color="auto" w:sz="4" w:space="0"/>
              <w:bottom w:val="single" w:color="auto" w:sz="4" w:space="0"/>
              <w:right w:val="single" w:color="auto" w:sz="4" w:space="0"/>
            </w:tcBorders>
            <w:vAlign w:val="center"/>
          </w:tcPr>
          <w:p w14:paraId="766F3476">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投标报价</w:t>
            </w:r>
          </w:p>
          <w:p w14:paraId="4B31A083">
            <w:pPr>
              <w:snapToGrid w:val="0"/>
              <w:spacing w:before="50" w:after="50" w:line="360" w:lineRule="auto"/>
              <w:jc w:val="center"/>
              <w:rPr>
                <w:rFonts w:hint="eastAsia" w:asciiTheme="majorEastAsia" w:hAnsiTheme="majorEastAsia" w:eastAsiaTheme="majorEastAsia"/>
                <w:b/>
                <w:color w:val="auto"/>
                <w:szCs w:val="21"/>
                <w:highlight w:val="none"/>
              </w:rPr>
            </w:pPr>
            <w:r>
              <w:rPr>
                <w:rFonts w:asciiTheme="majorEastAsia" w:hAnsiTheme="majorEastAsia" w:eastAsiaTheme="majorEastAsia"/>
                <w:b/>
                <w:color w:val="auto"/>
                <w:szCs w:val="21"/>
                <w:highlight w:val="none"/>
              </w:rPr>
              <w:t>③</w:t>
            </w:r>
            <w:r>
              <w:rPr>
                <w:rFonts w:hint="eastAsia" w:asciiTheme="majorEastAsia" w:hAnsiTheme="majorEastAsia" w:eastAsiaTheme="majorEastAsia"/>
                <w:b/>
                <w:color w:val="auto"/>
                <w:szCs w:val="21"/>
                <w:highlight w:val="none"/>
              </w:rPr>
              <w:t>=①×②</w:t>
            </w:r>
          </w:p>
        </w:tc>
      </w:tr>
      <w:tr w14:paraId="18F82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3CD739D">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1</w:t>
            </w:r>
          </w:p>
        </w:tc>
        <w:tc>
          <w:tcPr>
            <w:tcW w:w="1202" w:type="dxa"/>
            <w:tcBorders>
              <w:top w:val="single" w:color="auto" w:sz="4" w:space="0"/>
              <w:left w:val="single" w:color="auto" w:sz="4" w:space="0"/>
              <w:bottom w:val="single" w:color="auto" w:sz="4" w:space="0"/>
              <w:right w:val="single" w:color="auto" w:sz="4" w:space="0"/>
            </w:tcBorders>
            <w:vAlign w:val="center"/>
          </w:tcPr>
          <w:p w14:paraId="7E2EE25D">
            <w:pPr>
              <w:snapToGrid w:val="0"/>
              <w:spacing w:before="50" w:after="50" w:line="360" w:lineRule="auto"/>
              <w:jc w:val="center"/>
              <w:rPr>
                <w:rFonts w:hint="eastAsia" w:asciiTheme="majorEastAsia" w:hAnsiTheme="majorEastAsia" w:eastAsiaTheme="majorEastAsia"/>
                <w:b/>
                <w:color w:val="auto"/>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7BDECB72">
            <w:pPr>
              <w:snapToGrid w:val="0"/>
              <w:spacing w:before="50" w:after="50" w:line="360" w:lineRule="auto"/>
              <w:rPr>
                <w:rFonts w:hint="eastAsia" w:asciiTheme="majorEastAsia" w:hAnsiTheme="majorEastAsia" w:eastAsiaTheme="majorEastAsia"/>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tcPr>
          <w:p w14:paraId="72DBA5E8">
            <w:pPr>
              <w:snapToGrid w:val="0"/>
              <w:spacing w:before="50" w:after="50" w:line="360" w:lineRule="auto"/>
              <w:rPr>
                <w:rFonts w:hint="eastAsia" w:asciiTheme="majorEastAsia" w:hAnsiTheme="majorEastAsia" w:eastAsiaTheme="majorEastAsia"/>
                <w:color w:val="auto"/>
                <w:szCs w:val="21"/>
                <w:highlight w:val="none"/>
              </w:rPr>
            </w:pPr>
          </w:p>
        </w:tc>
        <w:tc>
          <w:tcPr>
            <w:tcW w:w="768" w:type="dxa"/>
            <w:tcBorders>
              <w:top w:val="single" w:color="auto" w:sz="4" w:space="0"/>
              <w:left w:val="single" w:color="auto" w:sz="4" w:space="0"/>
              <w:bottom w:val="single" w:color="auto" w:sz="4" w:space="0"/>
              <w:right w:val="single" w:color="auto" w:sz="4" w:space="0"/>
            </w:tcBorders>
          </w:tcPr>
          <w:p w14:paraId="3B4260B5">
            <w:pPr>
              <w:snapToGrid w:val="0"/>
              <w:spacing w:before="50" w:after="50" w:line="360" w:lineRule="auto"/>
              <w:rPr>
                <w:rFonts w:hint="eastAsia" w:asciiTheme="majorEastAsia" w:hAnsiTheme="majorEastAsia" w:eastAsiaTheme="majorEastAsia"/>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tcPr>
          <w:p w14:paraId="23F53D8A">
            <w:pPr>
              <w:snapToGrid w:val="0"/>
              <w:spacing w:before="50" w:after="50" w:line="360" w:lineRule="auto"/>
              <w:rPr>
                <w:rFonts w:hint="eastAsia" w:asciiTheme="majorEastAsia" w:hAnsiTheme="majorEastAsia" w:eastAsiaTheme="majorEastAsia"/>
                <w:color w:val="auto"/>
                <w:szCs w:val="21"/>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14:paraId="728ADF4F">
            <w:pPr>
              <w:snapToGrid w:val="0"/>
              <w:spacing w:before="50" w:after="50" w:line="360" w:lineRule="auto"/>
              <w:rPr>
                <w:rFonts w:hint="eastAsia" w:asciiTheme="majorEastAsia" w:hAnsiTheme="majorEastAsia" w:eastAsiaTheme="majorEastAsia"/>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14:paraId="48C209C3">
            <w:pPr>
              <w:snapToGrid w:val="0"/>
              <w:spacing w:before="50" w:after="50" w:line="360" w:lineRule="auto"/>
              <w:rPr>
                <w:rFonts w:hint="eastAsia" w:asciiTheme="majorEastAsia" w:hAnsiTheme="majorEastAsia" w:eastAsiaTheme="majorEastAsia"/>
                <w:color w:val="auto"/>
                <w:szCs w:val="21"/>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14:paraId="37919175">
            <w:pPr>
              <w:snapToGrid w:val="0"/>
              <w:spacing w:before="50" w:after="50" w:line="360" w:lineRule="auto"/>
              <w:rPr>
                <w:rFonts w:hint="eastAsia" w:asciiTheme="majorEastAsia" w:hAnsiTheme="majorEastAsia" w:eastAsiaTheme="majorEastAsia"/>
                <w:color w:val="auto"/>
                <w:szCs w:val="21"/>
                <w:highlight w:val="none"/>
              </w:rPr>
            </w:pPr>
          </w:p>
        </w:tc>
      </w:tr>
      <w:tr w14:paraId="49248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1319A655">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w:t>
            </w:r>
          </w:p>
        </w:tc>
        <w:tc>
          <w:tcPr>
            <w:tcW w:w="1202" w:type="dxa"/>
            <w:tcBorders>
              <w:top w:val="single" w:color="auto" w:sz="4" w:space="0"/>
              <w:left w:val="single" w:color="auto" w:sz="4" w:space="0"/>
              <w:bottom w:val="single" w:color="auto" w:sz="4" w:space="0"/>
              <w:right w:val="single" w:color="auto" w:sz="4" w:space="0"/>
            </w:tcBorders>
            <w:vAlign w:val="center"/>
          </w:tcPr>
          <w:p w14:paraId="07CDE4E5">
            <w:pPr>
              <w:snapToGrid w:val="0"/>
              <w:spacing w:before="50" w:after="50" w:line="360" w:lineRule="auto"/>
              <w:jc w:val="center"/>
              <w:rPr>
                <w:rFonts w:hint="eastAsia" w:asciiTheme="majorEastAsia" w:hAnsiTheme="majorEastAsia" w:eastAsiaTheme="majorEastAsia"/>
                <w:b/>
                <w:color w:val="auto"/>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676D2A13">
            <w:pPr>
              <w:snapToGrid w:val="0"/>
              <w:spacing w:before="50" w:after="50" w:line="360" w:lineRule="auto"/>
              <w:rPr>
                <w:rFonts w:hint="eastAsia" w:asciiTheme="majorEastAsia" w:hAnsiTheme="majorEastAsia" w:eastAsiaTheme="majorEastAsia"/>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tcPr>
          <w:p w14:paraId="7B07AA43">
            <w:pPr>
              <w:snapToGrid w:val="0"/>
              <w:spacing w:before="50" w:after="50" w:line="360" w:lineRule="auto"/>
              <w:rPr>
                <w:rFonts w:hint="eastAsia" w:asciiTheme="majorEastAsia" w:hAnsiTheme="majorEastAsia" w:eastAsiaTheme="majorEastAsia"/>
                <w:color w:val="auto"/>
                <w:szCs w:val="21"/>
                <w:highlight w:val="none"/>
              </w:rPr>
            </w:pPr>
          </w:p>
        </w:tc>
        <w:tc>
          <w:tcPr>
            <w:tcW w:w="768" w:type="dxa"/>
            <w:tcBorders>
              <w:top w:val="single" w:color="auto" w:sz="4" w:space="0"/>
              <w:left w:val="single" w:color="auto" w:sz="4" w:space="0"/>
              <w:bottom w:val="single" w:color="auto" w:sz="4" w:space="0"/>
              <w:right w:val="single" w:color="auto" w:sz="4" w:space="0"/>
            </w:tcBorders>
          </w:tcPr>
          <w:p w14:paraId="7B54A443">
            <w:pPr>
              <w:snapToGrid w:val="0"/>
              <w:spacing w:before="50" w:after="50" w:line="360" w:lineRule="auto"/>
              <w:rPr>
                <w:rFonts w:hint="eastAsia" w:asciiTheme="majorEastAsia" w:hAnsiTheme="majorEastAsia" w:eastAsiaTheme="majorEastAsia"/>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tcPr>
          <w:p w14:paraId="182A2FE2">
            <w:pPr>
              <w:snapToGrid w:val="0"/>
              <w:spacing w:before="50" w:after="50" w:line="360" w:lineRule="auto"/>
              <w:rPr>
                <w:rFonts w:hint="eastAsia" w:asciiTheme="majorEastAsia" w:hAnsiTheme="majorEastAsia" w:eastAsiaTheme="majorEastAsia"/>
                <w:color w:val="auto"/>
                <w:szCs w:val="21"/>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14:paraId="7D3E5CCE">
            <w:pPr>
              <w:snapToGrid w:val="0"/>
              <w:spacing w:before="50" w:after="50" w:line="360" w:lineRule="auto"/>
              <w:rPr>
                <w:rFonts w:hint="eastAsia" w:asciiTheme="majorEastAsia" w:hAnsiTheme="majorEastAsia" w:eastAsiaTheme="majorEastAsia"/>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14:paraId="3D0B2E55">
            <w:pPr>
              <w:snapToGrid w:val="0"/>
              <w:spacing w:before="50" w:after="50" w:line="360" w:lineRule="auto"/>
              <w:rPr>
                <w:rFonts w:hint="eastAsia" w:asciiTheme="majorEastAsia" w:hAnsiTheme="majorEastAsia" w:eastAsiaTheme="majorEastAsia"/>
                <w:color w:val="auto"/>
                <w:szCs w:val="21"/>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14:paraId="5004E56F">
            <w:pPr>
              <w:snapToGrid w:val="0"/>
              <w:spacing w:before="50" w:after="50" w:line="360" w:lineRule="auto"/>
              <w:rPr>
                <w:rFonts w:hint="eastAsia" w:asciiTheme="majorEastAsia" w:hAnsiTheme="majorEastAsia" w:eastAsiaTheme="majorEastAsia"/>
                <w:color w:val="auto"/>
                <w:szCs w:val="21"/>
                <w:highlight w:val="none"/>
              </w:rPr>
            </w:pPr>
          </w:p>
        </w:tc>
      </w:tr>
      <w:tr w14:paraId="05183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7146FB0F">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w:t>
            </w:r>
          </w:p>
        </w:tc>
        <w:tc>
          <w:tcPr>
            <w:tcW w:w="1202" w:type="dxa"/>
            <w:tcBorders>
              <w:top w:val="single" w:color="auto" w:sz="4" w:space="0"/>
              <w:left w:val="single" w:color="auto" w:sz="4" w:space="0"/>
              <w:bottom w:val="single" w:color="auto" w:sz="4" w:space="0"/>
              <w:right w:val="single" w:color="auto" w:sz="4" w:space="0"/>
            </w:tcBorders>
            <w:vAlign w:val="center"/>
          </w:tcPr>
          <w:p w14:paraId="47C73675">
            <w:pPr>
              <w:snapToGrid w:val="0"/>
              <w:spacing w:before="50" w:after="50" w:line="360" w:lineRule="auto"/>
              <w:jc w:val="center"/>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w:t>
            </w:r>
          </w:p>
        </w:tc>
        <w:tc>
          <w:tcPr>
            <w:tcW w:w="1076" w:type="dxa"/>
            <w:tcBorders>
              <w:top w:val="single" w:color="auto" w:sz="4" w:space="0"/>
              <w:left w:val="single" w:color="auto" w:sz="4" w:space="0"/>
              <w:bottom w:val="single" w:color="auto" w:sz="4" w:space="0"/>
              <w:right w:val="single" w:color="auto" w:sz="4" w:space="0"/>
            </w:tcBorders>
            <w:vAlign w:val="center"/>
          </w:tcPr>
          <w:p w14:paraId="588D23A2">
            <w:pPr>
              <w:snapToGrid w:val="0"/>
              <w:spacing w:before="50" w:after="50" w:line="360" w:lineRule="auto"/>
              <w:rPr>
                <w:rFonts w:hint="eastAsia" w:asciiTheme="majorEastAsia" w:hAnsiTheme="majorEastAsia" w:eastAsiaTheme="majorEastAsia"/>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tcPr>
          <w:p w14:paraId="53C0CD15">
            <w:pPr>
              <w:snapToGrid w:val="0"/>
              <w:spacing w:before="50" w:after="50" w:line="360" w:lineRule="auto"/>
              <w:rPr>
                <w:rFonts w:hint="eastAsia" w:asciiTheme="majorEastAsia" w:hAnsiTheme="majorEastAsia" w:eastAsiaTheme="majorEastAsia"/>
                <w:color w:val="auto"/>
                <w:szCs w:val="21"/>
                <w:highlight w:val="none"/>
              </w:rPr>
            </w:pPr>
          </w:p>
        </w:tc>
        <w:tc>
          <w:tcPr>
            <w:tcW w:w="768" w:type="dxa"/>
            <w:tcBorders>
              <w:top w:val="single" w:color="auto" w:sz="4" w:space="0"/>
              <w:left w:val="single" w:color="auto" w:sz="4" w:space="0"/>
              <w:bottom w:val="single" w:color="auto" w:sz="4" w:space="0"/>
              <w:right w:val="single" w:color="auto" w:sz="4" w:space="0"/>
            </w:tcBorders>
          </w:tcPr>
          <w:p w14:paraId="1DFAB22A">
            <w:pPr>
              <w:snapToGrid w:val="0"/>
              <w:spacing w:before="50" w:after="50" w:line="360" w:lineRule="auto"/>
              <w:rPr>
                <w:rFonts w:hint="eastAsia" w:asciiTheme="majorEastAsia" w:hAnsiTheme="majorEastAsia" w:eastAsiaTheme="majorEastAsia"/>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tcPr>
          <w:p w14:paraId="79B5F828">
            <w:pPr>
              <w:snapToGrid w:val="0"/>
              <w:spacing w:before="50" w:after="50" w:line="360" w:lineRule="auto"/>
              <w:rPr>
                <w:rFonts w:hint="eastAsia" w:asciiTheme="majorEastAsia" w:hAnsiTheme="majorEastAsia" w:eastAsiaTheme="majorEastAsia"/>
                <w:color w:val="auto"/>
                <w:szCs w:val="21"/>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14:paraId="7A358130">
            <w:pPr>
              <w:snapToGrid w:val="0"/>
              <w:spacing w:before="50" w:after="50" w:line="360" w:lineRule="auto"/>
              <w:rPr>
                <w:rFonts w:hint="eastAsia" w:asciiTheme="majorEastAsia" w:hAnsiTheme="majorEastAsia" w:eastAsiaTheme="majorEastAsia"/>
                <w:color w:val="auto"/>
                <w:szCs w:val="21"/>
                <w:highlight w:val="none"/>
              </w:rPr>
            </w:pPr>
          </w:p>
        </w:tc>
        <w:tc>
          <w:tcPr>
            <w:tcW w:w="808" w:type="dxa"/>
            <w:tcBorders>
              <w:top w:val="single" w:color="auto" w:sz="4" w:space="0"/>
              <w:left w:val="single" w:color="auto" w:sz="4" w:space="0"/>
              <w:bottom w:val="single" w:color="auto" w:sz="4" w:space="0"/>
              <w:right w:val="single" w:color="auto" w:sz="4" w:space="0"/>
            </w:tcBorders>
            <w:vAlign w:val="center"/>
          </w:tcPr>
          <w:p w14:paraId="769BB159">
            <w:pPr>
              <w:snapToGrid w:val="0"/>
              <w:spacing w:before="50" w:after="50" w:line="360" w:lineRule="auto"/>
              <w:rPr>
                <w:rFonts w:hint="eastAsia" w:asciiTheme="majorEastAsia" w:hAnsiTheme="majorEastAsia" w:eastAsiaTheme="majorEastAsia"/>
                <w:color w:val="auto"/>
                <w:szCs w:val="21"/>
                <w:highlight w:val="none"/>
              </w:rPr>
            </w:pPr>
          </w:p>
        </w:tc>
        <w:tc>
          <w:tcPr>
            <w:tcW w:w="1648" w:type="dxa"/>
            <w:tcBorders>
              <w:top w:val="single" w:color="auto" w:sz="4" w:space="0"/>
              <w:left w:val="single" w:color="auto" w:sz="4" w:space="0"/>
              <w:bottom w:val="single" w:color="auto" w:sz="4" w:space="0"/>
              <w:right w:val="single" w:color="auto" w:sz="4" w:space="0"/>
            </w:tcBorders>
            <w:vAlign w:val="center"/>
          </w:tcPr>
          <w:p w14:paraId="56BB2EF9">
            <w:pPr>
              <w:snapToGrid w:val="0"/>
              <w:spacing w:before="50" w:after="50" w:line="360" w:lineRule="auto"/>
              <w:rPr>
                <w:rFonts w:hint="eastAsia" w:asciiTheme="majorEastAsia" w:hAnsiTheme="majorEastAsia" w:eastAsiaTheme="majorEastAsia"/>
                <w:color w:val="auto"/>
                <w:szCs w:val="21"/>
                <w:highlight w:val="none"/>
              </w:rPr>
            </w:pPr>
          </w:p>
        </w:tc>
      </w:tr>
      <w:tr w14:paraId="28706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9435" w:type="dxa"/>
            <w:gridSpan w:val="9"/>
            <w:tcBorders>
              <w:top w:val="single" w:color="auto" w:sz="4" w:space="0"/>
              <w:left w:val="single" w:color="auto" w:sz="4" w:space="0"/>
              <w:bottom w:val="single" w:color="auto" w:sz="4" w:space="0"/>
              <w:right w:val="single" w:color="auto" w:sz="4" w:space="0"/>
            </w:tcBorders>
          </w:tcPr>
          <w:p w14:paraId="1990799F">
            <w:pPr>
              <w:snapToGrid w:val="0"/>
              <w:spacing w:before="50" w:after="50" w:line="360" w:lineRule="auto"/>
              <w:rPr>
                <w:rFonts w:hint="eastAsia"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合计金额大写：人民币</w:t>
            </w:r>
            <w:r>
              <w:rPr>
                <w:rFonts w:hint="eastAsia" w:cs="仿宋_GB2312" w:asciiTheme="majorEastAsia" w:hAnsiTheme="majorEastAsia" w:eastAsiaTheme="majorEastAsia"/>
                <w:color w:val="auto"/>
                <w:szCs w:val="21"/>
                <w:highlight w:val="none"/>
                <w:u w:val="single"/>
              </w:rPr>
              <w:t xml:space="preserve">           </w:t>
            </w:r>
            <w:r>
              <w:rPr>
                <w:rFonts w:hint="eastAsia" w:cs="仿宋_GB2312" w:asciiTheme="majorEastAsia" w:hAnsiTheme="majorEastAsia" w:eastAsiaTheme="majorEastAsia"/>
                <w:color w:val="auto"/>
                <w:szCs w:val="21"/>
                <w:highlight w:val="none"/>
              </w:rPr>
              <w:t>（￥</w:t>
            </w:r>
            <w:r>
              <w:rPr>
                <w:rFonts w:hint="eastAsia" w:cs="仿宋_GB2312" w:asciiTheme="majorEastAsia" w:hAnsiTheme="majorEastAsia" w:eastAsiaTheme="majorEastAsia"/>
                <w:color w:val="auto"/>
                <w:szCs w:val="21"/>
                <w:highlight w:val="none"/>
                <w:u w:val="single"/>
              </w:rPr>
              <w:t xml:space="preserve">           </w:t>
            </w:r>
            <w:r>
              <w:rPr>
                <w:rFonts w:hint="eastAsia" w:cs="仿宋_GB2312" w:asciiTheme="majorEastAsia" w:hAnsiTheme="majorEastAsia" w:eastAsiaTheme="majorEastAsia"/>
                <w:color w:val="auto"/>
                <w:szCs w:val="21"/>
                <w:highlight w:val="none"/>
              </w:rPr>
              <w:t>）</w:t>
            </w:r>
          </w:p>
        </w:tc>
      </w:tr>
    </w:tbl>
    <w:p w14:paraId="715A5788">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r>
        <w:rPr>
          <w:rFonts w:hint="eastAsia" w:asciiTheme="majorEastAsia" w:hAnsiTheme="majorEastAsia" w:eastAsiaTheme="majorEastAsia"/>
          <w:color w:val="auto"/>
          <w:szCs w:val="21"/>
          <w:highlight w:val="none"/>
          <w:lang w:eastAsia="zh-CN"/>
        </w:rPr>
        <w:t>：</w:t>
      </w:r>
      <w:r>
        <w:rPr>
          <w:rFonts w:hint="eastAsia" w:asciiTheme="majorEastAsia" w:hAnsiTheme="majorEastAsia" w:eastAsiaTheme="majorEastAsia"/>
          <w:color w:val="auto"/>
          <w:szCs w:val="21"/>
          <w:highlight w:val="none"/>
        </w:rPr>
        <w:t xml:space="preserve"> </w:t>
      </w:r>
    </w:p>
    <w:p w14:paraId="5B857469">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1.投标人的开标一览表必须加盖投标人电子签章并由法定代表人（或负责人）</w:t>
      </w:r>
      <w:r>
        <w:rPr>
          <w:rFonts w:asciiTheme="majorEastAsia" w:hAnsiTheme="majorEastAsia" w:eastAsiaTheme="majorEastAsia"/>
          <w:color w:val="auto"/>
          <w:szCs w:val="21"/>
          <w:highlight w:val="none"/>
        </w:rPr>
        <w:t>或者委托代理人</w:t>
      </w:r>
      <w:r>
        <w:rPr>
          <w:rFonts w:hint="eastAsia" w:asciiTheme="majorEastAsia" w:hAnsiTheme="majorEastAsia" w:eastAsiaTheme="majorEastAsia"/>
          <w:color w:val="auto"/>
          <w:szCs w:val="21"/>
          <w:highlight w:val="none"/>
        </w:rPr>
        <w:t>（签字或电子签名），</w:t>
      </w:r>
      <w:r>
        <w:rPr>
          <w:rFonts w:hint="eastAsia" w:asciiTheme="majorEastAsia" w:hAnsiTheme="majorEastAsia" w:eastAsiaTheme="majorEastAsia"/>
          <w:b/>
          <w:color w:val="auto"/>
          <w:szCs w:val="21"/>
          <w:highlight w:val="none"/>
        </w:rPr>
        <w:t>否则其投标作无效标处理</w:t>
      </w:r>
      <w:r>
        <w:rPr>
          <w:rFonts w:hint="eastAsia" w:asciiTheme="majorEastAsia" w:hAnsiTheme="majorEastAsia" w:eastAsiaTheme="majorEastAsia"/>
          <w:color w:val="auto"/>
          <w:szCs w:val="21"/>
          <w:highlight w:val="none"/>
        </w:rPr>
        <w:t>。</w:t>
      </w:r>
    </w:p>
    <w:p w14:paraId="235631B9">
      <w:pPr>
        <w:snapToGrid w:val="0"/>
        <w:spacing w:line="360" w:lineRule="auto"/>
        <w:ind w:firstLine="420" w:firstLineChars="200"/>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Cs/>
          <w:color w:val="auto"/>
          <w:szCs w:val="21"/>
          <w:highlight w:val="none"/>
        </w:rPr>
        <w:t>2.</w:t>
      </w:r>
      <w:r>
        <w:rPr>
          <w:rFonts w:hint="eastAsia" w:asciiTheme="majorEastAsia" w:hAnsiTheme="majorEastAsia" w:eastAsiaTheme="majorEastAsia"/>
          <w:color w:val="auto"/>
          <w:szCs w:val="21"/>
          <w:highlight w:val="none"/>
        </w:rPr>
        <w:t>报价一经涂改，应在涂改处加盖投标人公章或者由法定代表人（或负责人）或者委托代理人（签字或电子签名）或者盖章</w:t>
      </w:r>
      <w:r>
        <w:rPr>
          <w:rFonts w:hint="eastAsia" w:asciiTheme="majorEastAsia" w:hAnsiTheme="majorEastAsia" w:eastAsiaTheme="majorEastAsia"/>
          <w:b/>
          <w:color w:val="auto"/>
          <w:szCs w:val="21"/>
          <w:highlight w:val="none"/>
        </w:rPr>
        <w:t>，否则其投标作无效标处理。</w:t>
      </w:r>
    </w:p>
    <w:p w14:paraId="4AC7FD7B">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3.招标文件中列明采购专用耗材的，应按招标文件规定的耗材量或者按耗材的常规试用量提供报价。</w:t>
      </w:r>
    </w:p>
    <w:p w14:paraId="0DFE4240">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4.如为联合体投标，“投标人名称”处必须列明联合体各方名称，并标注联合体牵头人名称，</w:t>
      </w:r>
      <w:r>
        <w:rPr>
          <w:rFonts w:hint="eastAsia" w:asciiTheme="majorEastAsia" w:hAnsiTheme="majorEastAsia" w:eastAsiaTheme="majorEastAsia"/>
          <w:b/>
          <w:color w:val="auto"/>
          <w:szCs w:val="21"/>
          <w:highlight w:val="none"/>
        </w:rPr>
        <w:t>否则其投标作无效标处理。</w:t>
      </w:r>
    </w:p>
    <w:p w14:paraId="516FDD12">
      <w:pPr>
        <w:snapToGrid w:val="0"/>
        <w:spacing w:line="360" w:lineRule="auto"/>
        <w:ind w:firstLine="396" w:firstLineChars="200"/>
        <w:jc w:val="left"/>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5.如为联合体投标，盖章处须加盖联合体牵头人电子签章，</w:t>
      </w:r>
      <w:r>
        <w:rPr>
          <w:rFonts w:hint="eastAsia" w:asciiTheme="majorEastAsia" w:hAnsiTheme="majorEastAsia" w:eastAsiaTheme="majorEastAsia"/>
          <w:b/>
          <w:color w:val="auto"/>
          <w:spacing w:val="-6"/>
          <w:szCs w:val="21"/>
          <w:highlight w:val="none"/>
        </w:rPr>
        <w:t>否则其投标作无效标处理。</w:t>
      </w:r>
    </w:p>
    <w:p w14:paraId="76881485">
      <w:pPr>
        <w:snapToGrid w:val="0"/>
        <w:spacing w:line="360" w:lineRule="auto"/>
        <w:ind w:firstLine="420" w:firstLineChars="200"/>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6.如有多分标，按分标分别提供开标一览表，</w:t>
      </w:r>
      <w:r>
        <w:rPr>
          <w:rFonts w:hint="eastAsia" w:asciiTheme="majorEastAsia" w:hAnsiTheme="majorEastAsia" w:eastAsiaTheme="majorEastAsia"/>
          <w:b/>
          <w:color w:val="auto"/>
          <w:szCs w:val="21"/>
          <w:highlight w:val="none"/>
        </w:rPr>
        <w:t>否则投标无效。</w:t>
      </w:r>
    </w:p>
    <w:p w14:paraId="7F4E28CC">
      <w:pPr>
        <w:pStyle w:val="20"/>
        <w:rPr>
          <w:rFonts w:hint="eastAsia" w:asciiTheme="majorEastAsia" w:hAnsiTheme="majorEastAsia" w:eastAsiaTheme="majorEastAsia"/>
          <w:color w:val="auto"/>
          <w:sz w:val="21"/>
          <w:szCs w:val="21"/>
          <w:highlight w:val="none"/>
        </w:rPr>
      </w:pPr>
    </w:p>
    <w:p w14:paraId="3631DC76">
      <w:pPr>
        <w:snapToGrid w:val="0"/>
        <w:spacing w:line="360" w:lineRule="auto"/>
        <w:ind w:left="-2" w:leftChars="-1" w:right="-817" w:rightChars="-389"/>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法定代表人（或负责人）或者委托代理人（签字或电子签名）： </w:t>
      </w:r>
    </w:p>
    <w:p w14:paraId="708963EF">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72ECD63A">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日期：    年   月   日</w:t>
      </w:r>
    </w:p>
    <w:p w14:paraId="53E8D9EA">
      <w:pPr>
        <w:rPr>
          <w:rFonts w:hint="eastAsia" w:asciiTheme="majorEastAsia" w:hAnsiTheme="majorEastAsia" w:eastAsiaTheme="majorEastAsia"/>
          <w:b/>
          <w:color w:val="auto"/>
          <w:sz w:val="28"/>
          <w:szCs w:val="28"/>
          <w:highlight w:val="none"/>
        </w:rPr>
      </w:pPr>
      <w:r>
        <w:rPr>
          <w:rFonts w:asciiTheme="majorEastAsia" w:hAnsiTheme="majorEastAsia" w:eastAsiaTheme="majorEastAsia"/>
          <w:b/>
          <w:bCs/>
          <w:color w:val="auto"/>
          <w:sz w:val="24"/>
          <w:highlight w:val="none"/>
        </w:rPr>
        <w:br w:type="page"/>
      </w:r>
      <w:bookmarkStart w:id="159" w:name="_Toc19686837"/>
      <w:r>
        <w:rPr>
          <w:rFonts w:hint="eastAsia" w:asciiTheme="majorEastAsia" w:hAnsiTheme="majorEastAsia" w:eastAsiaTheme="majorEastAsia"/>
          <w:b/>
          <w:color w:val="auto"/>
          <w:sz w:val="28"/>
          <w:szCs w:val="28"/>
          <w:highlight w:val="none"/>
        </w:rPr>
        <w:t>二、资格证明文件格式</w:t>
      </w:r>
      <w:bookmarkEnd w:id="157"/>
      <w:bookmarkEnd w:id="158"/>
      <w:bookmarkEnd w:id="159"/>
    </w:p>
    <w:p w14:paraId="68CC070E">
      <w:pPr>
        <w:numPr>
          <w:ilvl w:val="2"/>
          <w:numId w:val="13"/>
        </w:numPr>
        <w:snapToGrid w:val="0"/>
        <w:spacing w:before="120" w:beforeLines="50" w:after="50" w:line="360" w:lineRule="auto"/>
        <w:ind w:left="0" w:firstLine="0"/>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资格证明文件封面格式： </w:t>
      </w:r>
    </w:p>
    <w:p w14:paraId="198DE3D5">
      <w:pPr>
        <w:snapToGrid w:val="0"/>
        <w:spacing w:before="120" w:beforeLines="50" w:after="50"/>
        <w:jc w:val="center"/>
        <w:rPr>
          <w:rFonts w:hint="eastAsia" w:asciiTheme="majorEastAsia" w:hAnsiTheme="majorEastAsia" w:eastAsiaTheme="majorEastAsia"/>
          <w:bCs/>
          <w:color w:val="auto"/>
          <w:sz w:val="48"/>
          <w:szCs w:val="48"/>
          <w:highlight w:val="none"/>
        </w:rPr>
      </w:pPr>
    </w:p>
    <w:p w14:paraId="5B8A108E">
      <w:pPr>
        <w:snapToGrid w:val="0"/>
        <w:spacing w:before="120" w:beforeLines="50" w:after="50"/>
        <w:jc w:val="center"/>
        <w:rPr>
          <w:rFonts w:hint="eastAsia" w:asciiTheme="majorEastAsia" w:hAnsiTheme="majorEastAsia" w:eastAsiaTheme="majorEastAsia"/>
          <w:bCs/>
          <w:color w:val="auto"/>
          <w:sz w:val="48"/>
          <w:szCs w:val="48"/>
          <w:highlight w:val="none"/>
        </w:rPr>
      </w:pPr>
      <w:r>
        <w:rPr>
          <w:rFonts w:hint="eastAsia" w:asciiTheme="majorEastAsia" w:hAnsiTheme="majorEastAsia" w:eastAsiaTheme="majorEastAsia"/>
          <w:bCs/>
          <w:color w:val="auto"/>
          <w:sz w:val="48"/>
          <w:szCs w:val="48"/>
          <w:highlight w:val="none"/>
        </w:rPr>
        <w:t>电子投标文件</w:t>
      </w:r>
    </w:p>
    <w:p w14:paraId="2C36ED25">
      <w:pPr>
        <w:pStyle w:val="20"/>
        <w:rPr>
          <w:rFonts w:hint="eastAsia" w:asciiTheme="majorEastAsia" w:hAnsiTheme="majorEastAsia" w:eastAsiaTheme="majorEastAsia"/>
          <w:color w:val="auto"/>
          <w:highlight w:val="none"/>
        </w:rPr>
      </w:pPr>
    </w:p>
    <w:p w14:paraId="39F166B5">
      <w:pPr>
        <w:snapToGrid w:val="0"/>
        <w:spacing w:before="120" w:beforeLines="50" w:after="50"/>
        <w:jc w:val="center"/>
        <w:rPr>
          <w:rFonts w:hint="eastAsia" w:asciiTheme="majorEastAsia" w:hAnsiTheme="majorEastAsia" w:eastAsiaTheme="majorEastAsia"/>
          <w:b/>
          <w:color w:val="auto"/>
          <w:sz w:val="24"/>
          <w:szCs w:val="20"/>
          <w:highlight w:val="none"/>
        </w:rPr>
      </w:pPr>
      <w:r>
        <w:rPr>
          <w:rFonts w:hint="eastAsia" w:asciiTheme="majorEastAsia" w:hAnsiTheme="majorEastAsia" w:eastAsiaTheme="majorEastAsia"/>
          <w:b/>
          <w:color w:val="auto"/>
          <w:sz w:val="32"/>
          <w:szCs w:val="32"/>
          <w:highlight w:val="none"/>
        </w:rPr>
        <w:t>资格证明文件</w:t>
      </w:r>
    </w:p>
    <w:p w14:paraId="1F15F131">
      <w:pPr>
        <w:snapToGrid w:val="0"/>
        <w:spacing w:before="120" w:beforeLines="50" w:after="50"/>
        <w:rPr>
          <w:rFonts w:hint="eastAsia" w:asciiTheme="majorEastAsia" w:hAnsiTheme="majorEastAsia" w:eastAsiaTheme="majorEastAsia"/>
          <w:bCs/>
          <w:color w:val="auto"/>
          <w:sz w:val="24"/>
          <w:szCs w:val="20"/>
          <w:highlight w:val="none"/>
        </w:rPr>
      </w:pPr>
    </w:p>
    <w:p w14:paraId="23EA5464">
      <w:pPr>
        <w:snapToGrid w:val="0"/>
        <w:spacing w:before="120" w:beforeLines="50" w:after="50"/>
        <w:rPr>
          <w:rFonts w:hint="eastAsia" w:asciiTheme="majorEastAsia" w:hAnsiTheme="majorEastAsia" w:eastAsiaTheme="majorEastAsia"/>
          <w:bCs/>
          <w:color w:val="auto"/>
          <w:sz w:val="24"/>
          <w:szCs w:val="20"/>
          <w:highlight w:val="none"/>
        </w:rPr>
      </w:pPr>
    </w:p>
    <w:p w14:paraId="01129206">
      <w:pPr>
        <w:snapToGrid w:val="0"/>
        <w:spacing w:before="120" w:beforeLines="50" w:after="50"/>
        <w:rPr>
          <w:rFonts w:hint="eastAsia" w:asciiTheme="majorEastAsia" w:hAnsiTheme="majorEastAsia" w:eastAsiaTheme="majorEastAsia"/>
          <w:bCs/>
          <w:color w:val="auto"/>
          <w:sz w:val="24"/>
          <w:szCs w:val="20"/>
          <w:highlight w:val="none"/>
        </w:rPr>
      </w:pPr>
    </w:p>
    <w:p w14:paraId="1D36D0FB">
      <w:pPr>
        <w:snapToGrid w:val="0"/>
        <w:spacing w:before="120" w:beforeLines="50" w:after="50"/>
        <w:rPr>
          <w:rFonts w:hint="eastAsia" w:asciiTheme="majorEastAsia" w:hAnsiTheme="majorEastAsia" w:eastAsiaTheme="majorEastAsia"/>
          <w:bCs/>
          <w:color w:val="auto"/>
          <w:sz w:val="24"/>
          <w:szCs w:val="20"/>
          <w:highlight w:val="none"/>
        </w:rPr>
      </w:pPr>
    </w:p>
    <w:p w14:paraId="459B3259">
      <w:pPr>
        <w:snapToGrid w:val="0"/>
        <w:spacing w:before="120" w:beforeLines="50" w:after="50"/>
        <w:rPr>
          <w:rFonts w:hint="eastAsia" w:asciiTheme="majorEastAsia" w:hAnsiTheme="majorEastAsia" w:eastAsiaTheme="majorEastAsia"/>
          <w:bCs/>
          <w:color w:val="auto"/>
          <w:sz w:val="24"/>
          <w:szCs w:val="20"/>
          <w:highlight w:val="none"/>
        </w:rPr>
      </w:pPr>
    </w:p>
    <w:p w14:paraId="6BC97FD2">
      <w:pPr>
        <w:snapToGrid w:val="0"/>
        <w:spacing w:before="120" w:beforeLines="50" w:after="50"/>
        <w:rPr>
          <w:rFonts w:hint="eastAsia" w:asciiTheme="majorEastAsia" w:hAnsiTheme="majorEastAsia" w:eastAsiaTheme="majorEastAsia"/>
          <w:bCs/>
          <w:color w:val="auto"/>
          <w:sz w:val="24"/>
          <w:szCs w:val="20"/>
          <w:highlight w:val="none"/>
        </w:rPr>
      </w:pPr>
    </w:p>
    <w:p w14:paraId="4020A476">
      <w:pPr>
        <w:snapToGrid w:val="0"/>
        <w:spacing w:before="120" w:beforeLines="50" w:after="50"/>
        <w:rPr>
          <w:rFonts w:hint="eastAsia" w:asciiTheme="majorEastAsia" w:hAnsiTheme="majorEastAsia" w:eastAsiaTheme="majorEastAsia"/>
          <w:bCs/>
          <w:color w:val="auto"/>
          <w:sz w:val="24"/>
          <w:szCs w:val="20"/>
          <w:highlight w:val="none"/>
        </w:rPr>
      </w:pPr>
    </w:p>
    <w:p w14:paraId="11D4C2D4">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项目名称：</w:t>
      </w:r>
    </w:p>
    <w:p w14:paraId="44EAF996">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p>
    <w:p w14:paraId="3E142284">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项目编号：</w:t>
      </w:r>
    </w:p>
    <w:p w14:paraId="5CA223C3">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r>
        <w:rPr>
          <w:rFonts w:hint="eastAsia" w:asciiTheme="majorEastAsia" w:hAnsiTheme="majorEastAsia" w:eastAsiaTheme="majorEastAsia"/>
          <w:bCs/>
          <w:color w:val="auto"/>
          <w:sz w:val="24"/>
          <w:highlight w:val="none"/>
        </w:rPr>
        <w:t xml:space="preserve"> </w:t>
      </w:r>
    </w:p>
    <w:p w14:paraId="4EEBC375">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1449F721">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p>
    <w:p w14:paraId="2F6CE87D">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r>
        <w:rPr>
          <w:rFonts w:hint="eastAsia" w:asciiTheme="majorEastAsia" w:hAnsiTheme="majorEastAsia" w:eastAsiaTheme="majorEastAsia"/>
          <w:bCs/>
          <w:color w:val="auto"/>
          <w:sz w:val="24"/>
          <w:szCs w:val="24"/>
          <w:highlight w:val="none"/>
        </w:rPr>
        <w:t>投标人名称：</w:t>
      </w:r>
    </w:p>
    <w:p w14:paraId="7D2C4AA3">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p>
    <w:p w14:paraId="02D1FD2D">
      <w:pPr>
        <w:pStyle w:val="8"/>
        <w:snapToGrid w:val="0"/>
        <w:spacing w:before="50" w:after="50"/>
        <w:ind w:firstLine="960" w:firstLineChars="400"/>
        <w:rPr>
          <w:rFonts w:hint="eastAsia" w:asciiTheme="majorEastAsia" w:hAnsiTheme="majorEastAsia" w:eastAsiaTheme="majorEastAsia"/>
          <w:bCs/>
          <w:color w:val="auto"/>
          <w:sz w:val="24"/>
          <w:szCs w:val="24"/>
          <w:highlight w:val="none"/>
        </w:rPr>
      </w:pPr>
    </w:p>
    <w:p w14:paraId="7408D0DF">
      <w:pPr>
        <w:snapToGrid w:val="0"/>
        <w:spacing w:before="120" w:beforeLines="50" w:after="50"/>
        <w:ind w:firstLine="645"/>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年  月  日</w:t>
      </w:r>
    </w:p>
    <w:p w14:paraId="6264800E">
      <w:pPr>
        <w:snapToGrid w:val="0"/>
        <w:spacing w:before="120" w:beforeLines="50" w:after="50"/>
        <w:rPr>
          <w:rFonts w:hint="eastAsia" w:asciiTheme="majorEastAsia" w:hAnsiTheme="majorEastAsia" w:eastAsiaTheme="majorEastAsia"/>
          <w:color w:val="auto"/>
          <w:sz w:val="24"/>
          <w:szCs w:val="20"/>
          <w:highlight w:val="none"/>
        </w:rPr>
      </w:pPr>
      <w:r>
        <w:rPr>
          <w:rFonts w:asciiTheme="majorEastAsia" w:hAnsiTheme="majorEastAsia" w:eastAsiaTheme="majorEastAsia"/>
          <w:color w:val="auto"/>
          <w:sz w:val="24"/>
          <w:szCs w:val="20"/>
          <w:highlight w:val="none"/>
        </w:rPr>
        <w:t xml:space="preserve"> </w:t>
      </w:r>
    </w:p>
    <w:p w14:paraId="5358CB40">
      <w:pPr>
        <w:snapToGrid w:val="0"/>
        <w:spacing w:before="120" w:beforeLines="50" w:after="50"/>
        <w:rPr>
          <w:rFonts w:hint="eastAsia" w:asciiTheme="majorEastAsia" w:hAnsiTheme="majorEastAsia" w:eastAsiaTheme="majorEastAsia"/>
          <w:color w:val="auto"/>
          <w:sz w:val="24"/>
          <w:szCs w:val="20"/>
          <w:highlight w:val="none"/>
        </w:rPr>
      </w:pPr>
    </w:p>
    <w:p w14:paraId="246BF9CF">
      <w:pPr>
        <w:numPr>
          <w:ilvl w:val="2"/>
          <w:numId w:val="13"/>
        </w:numPr>
        <w:snapToGrid w:val="0"/>
        <w:spacing w:before="120" w:beforeLines="50" w:after="50" w:line="360" w:lineRule="auto"/>
        <w:ind w:left="0" w:firstLine="0"/>
        <w:jc w:val="left"/>
        <w:rPr>
          <w:rFonts w:hint="eastAsia" w:asciiTheme="majorEastAsia" w:hAnsiTheme="majorEastAsia" w:eastAsiaTheme="majorEastAsia"/>
          <w:color w:val="auto"/>
          <w:sz w:val="24"/>
          <w:szCs w:val="20"/>
          <w:highlight w:val="none"/>
        </w:rPr>
      </w:pPr>
      <w:r>
        <w:rPr>
          <w:rFonts w:asciiTheme="majorEastAsia" w:hAnsiTheme="majorEastAsia" w:eastAsiaTheme="majorEastAsia"/>
          <w:b/>
          <w:bCs/>
          <w:color w:val="auto"/>
          <w:sz w:val="24"/>
          <w:highlight w:val="none"/>
        </w:rPr>
        <w:br w:type="page"/>
      </w:r>
      <w:r>
        <w:rPr>
          <w:rFonts w:hint="eastAsia" w:asciiTheme="majorEastAsia" w:hAnsiTheme="majorEastAsia" w:eastAsiaTheme="majorEastAsia"/>
          <w:b/>
          <w:bCs/>
          <w:color w:val="auto"/>
          <w:sz w:val="24"/>
          <w:highlight w:val="none"/>
        </w:rPr>
        <w:t>资格证明文件目录</w:t>
      </w:r>
    </w:p>
    <w:p w14:paraId="70B75571">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4187C498">
      <w:pPr>
        <w:snapToGrid w:val="0"/>
        <w:spacing w:before="50" w:after="120" w:afterLines="50"/>
        <w:jc w:val="left"/>
        <w:rPr>
          <w:rFonts w:hint="eastAsia" w:asciiTheme="majorEastAsia" w:hAnsiTheme="majorEastAsia" w:eastAsiaTheme="majorEastAsia"/>
          <w:color w:val="auto"/>
          <w:sz w:val="24"/>
          <w:highlight w:val="none"/>
        </w:rPr>
      </w:pPr>
    </w:p>
    <w:p w14:paraId="31E4ADC3">
      <w:pPr>
        <w:snapToGrid w:val="0"/>
        <w:spacing w:before="50" w:after="120" w:afterLines="50"/>
        <w:jc w:val="left"/>
        <w:rPr>
          <w:rFonts w:hint="eastAsia" w:asciiTheme="majorEastAsia" w:hAnsiTheme="majorEastAsia" w:eastAsiaTheme="majorEastAsia"/>
          <w:color w:val="auto"/>
          <w:sz w:val="24"/>
          <w:highlight w:val="none"/>
        </w:rPr>
      </w:pPr>
    </w:p>
    <w:p w14:paraId="1E9F8D4D">
      <w:pPr>
        <w:numPr>
          <w:ilvl w:val="2"/>
          <w:numId w:val="13"/>
        </w:numPr>
        <w:snapToGrid w:val="0"/>
        <w:spacing w:before="120" w:beforeLines="50" w:after="50"/>
        <w:ind w:left="0" w:firstLine="0"/>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8"/>
          <w:szCs w:val="28"/>
          <w:highlight w:val="none"/>
        </w:rPr>
        <w:t>投标人直接控股、管理关系信息表</w:t>
      </w:r>
    </w:p>
    <w:p w14:paraId="55163113">
      <w:pPr>
        <w:snapToGrid w:val="0"/>
        <w:spacing w:before="50" w:after="120" w:afterLines="50"/>
        <w:jc w:val="center"/>
        <w:rPr>
          <w:rFonts w:hint="eastAsia" w:asciiTheme="majorEastAsia" w:hAnsiTheme="majorEastAsia" w:eastAsiaTheme="majorEastAsia"/>
          <w:b/>
          <w:color w:val="auto"/>
          <w:sz w:val="28"/>
          <w:szCs w:val="28"/>
          <w:highlight w:val="none"/>
        </w:rPr>
      </w:pPr>
    </w:p>
    <w:p w14:paraId="04E74532">
      <w:pPr>
        <w:snapToGrid w:val="0"/>
        <w:spacing w:before="50" w:after="120" w:afterLines="50" w:line="360" w:lineRule="auto"/>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投标人直接控股股东信息表</w:t>
      </w:r>
    </w:p>
    <w:tbl>
      <w:tblPr>
        <w:tblStyle w:val="50"/>
        <w:tblW w:w="0" w:type="auto"/>
        <w:jc w:val="center"/>
        <w:shd w:val="clear" w:color="auto" w:fill="FBFBFB"/>
        <w:tblLayout w:type="fixed"/>
        <w:tblCellMar>
          <w:top w:w="0" w:type="dxa"/>
          <w:left w:w="0" w:type="dxa"/>
          <w:bottom w:w="0" w:type="dxa"/>
          <w:right w:w="0" w:type="dxa"/>
        </w:tblCellMar>
      </w:tblPr>
      <w:tblGrid>
        <w:gridCol w:w="828"/>
        <w:gridCol w:w="2269"/>
        <w:gridCol w:w="1239"/>
        <w:gridCol w:w="4006"/>
        <w:gridCol w:w="1134"/>
      </w:tblGrid>
      <w:tr w14:paraId="727956B3">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399FDC">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1B1372">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45707C">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出资比例</w:t>
            </w: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FD784D">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身份证号码或者统一社会信用代码</w:t>
            </w: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57CD58">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备注</w:t>
            </w:r>
          </w:p>
        </w:tc>
      </w:tr>
      <w:tr w14:paraId="0D868713">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F7B9975">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CA49FE">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110E6">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DCA76B">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DFC544E">
            <w:pPr>
              <w:spacing w:line="360" w:lineRule="auto"/>
              <w:jc w:val="center"/>
              <w:rPr>
                <w:rFonts w:hint="eastAsia" w:cs="宋体" w:asciiTheme="majorEastAsia" w:hAnsiTheme="majorEastAsia" w:eastAsiaTheme="majorEastAsia"/>
                <w:color w:val="auto"/>
                <w:kern w:val="0"/>
                <w:szCs w:val="21"/>
                <w:highlight w:val="none"/>
              </w:rPr>
            </w:pPr>
          </w:p>
        </w:tc>
      </w:tr>
      <w:tr w14:paraId="7005691B">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9623AB">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37B637">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BC02E1A">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4BADD1">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6628F2">
            <w:pPr>
              <w:spacing w:line="360" w:lineRule="auto"/>
              <w:jc w:val="center"/>
              <w:rPr>
                <w:rFonts w:hint="eastAsia" w:cs="宋体" w:asciiTheme="majorEastAsia" w:hAnsiTheme="majorEastAsia" w:eastAsiaTheme="majorEastAsia"/>
                <w:color w:val="auto"/>
                <w:kern w:val="0"/>
                <w:szCs w:val="21"/>
                <w:highlight w:val="none"/>
              </w:rPr>
            </w:pPr>
          </w:p>
        </w:tc>
      </w:tr>
      <w:tr w14:paraId="029D27D1">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7CAEB5">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D8E032">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32B05E4">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19785">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B4ABD56">
            <w:pPr>
              <w:spacing w:line="360" w:lineRule="auto"/>
              <w:jc w:val="center"/>
              <w:rPr>
                <w:rFonts w:hint="eastAsia" w:cs="宋体" w:asciiTheme="majorEastAsia" w:hAnsiTheme="majorEastAsia" w:eastAsiaTheme="majorEastAsia"/>
                <w:color w:val="auto"/>
                <w:kern w:val="0"/>
                <w:szCs w:val="21"/>
                <w:highlight w:val="none"/>
              </w:rPr>
            </w:pPr>
          </w:p>
        </w:tc>
      </w:tr>
      <w:tr w14:paraId="772448F4">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59C044">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8A3D14">
            <w:pPr>
              <w:spacing w:line="360" w:lineRule="auto"/>
              <w:jc w:val="center"/>
              <w:rPr>
                <w:rFonts w:hint="eastAsia" w:cs="宋体" w:asciiTheme="majorEastAsia" w:hAnsiTheme="majorEastAsia" w:eastAsiaTheme="majorEastAsia"/>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CBB77F">
            <w:pPr>
              <w:spacing w:line="360" w:lineRule="auto"/>
              <w:jc w:val="center"/>
              <w:rPr>
                <w:rFonts w:hint="eastAsia" w:cs="宋体" w:asciiTheme="majorEastAsia" w:hAnsiTheme="majorEastAsia" w:eastAsiaTheme="majorEastAsia"/>
                <w:color w:val="auto"/>
                <w:kern w:val="0"/>
                <w:szCs w:val="21"/>
                <w:highlight w:val="none"/>
              </w:rPr>
            </w:pPr>
          </w:p>
        </w:tc>
        <w:tc>
          <w:tcPr>
            <w:tcW w:w="400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263D94">
            <w:pPr>
              <w:spacing w:line="360" w:lineRule="auto"/>
              <w:jc w:val="center"/>
              <w:rPr>
                <w:rFonts w:hint="eastAsia" w:cs="宋体" w:asciiTheme="majorEastAsia" w:hAnsiTheme="majorEastAsia" w:eastAsiaTheme="majorEastAsia"/>
                <w:color w:val="auto"/>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B5C68D">
            <w:pPr>
              <w:spacing w:line="360" w:lineRule="auto"/>
              <w:jc w:val="center"/>
              <w:rPr>
                <w:rFonts w:hint="eastAsia" w:cs="宋体" w:asciiTheme="majorEastAsia" w:hAnsiTheme="majorEastAsia" w:eastAsiaTheme="majorEastAsia"/>
                <w:color w:val="auto"/>
                <w:kern w:val="0"/>
                <w:szCs w:val="21"/>
                <w:highlight w:val="none"/>
              </w:rPr>
            </w:pPr>
          </w:p>
        </w:tc>
      </w:tr>
    </w:tbl>
    <w:p w14:paraId="3377F400">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p>
    <w:p w14:paraId="55D5F2CF">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69352A4">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2.本表所指的控股关系仅限于直接控股关系，不包括间接的控股关系。公司实际控制人与公司之间的关系不属于本表所指的直接控股关系。</w:t>
      </w:r>
    </w:p>
    <w:p w14:paraId="0A615293">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3.供应商不存在直接控股股东的，则在“</w:t>
      </w:r>
      <w:r>
        <w:rPr>
          <w:rFonts w:hint="eastAsia" w:cs="宋体" w:asciiTheme="majorEastAsia" w:hAnsiTheme="majorEastAsia" w:eastAsiaTheme="majorEastAsia"/>
          <w:b/>
          <w:bCs/>
          <w:color w:val="auto"/>
          <w:kern w:val="0"/>
          <w:szCs w:val="21"/>
          <w:highlight w:val="none"/>
        </w:rPr>
        <w:t>直接控股股东名称</w:t>
      </w:r>
      <w:r>
        <w:rPr>
          <w:rFonts w:hint="eastAsia" w:asciiTheme="majorEastAsia" w:hAnsiTheme="majorEastAsia" w:eastAsiaTheme="majorEastAsia"/>
          <w:color w:val="auto"/>
          <w:szCs w:val="21"/>
          <w:highlight w:val="none"/>
        </w:rPr>
        <w:t>”中填“无”。</w:t>
      </w:r>
    </w:p>
    <w:p w14:paraId="1CD237BF">
      <w:pPr>
        <w:snapToGrid w:val="0"/>
        <w:spacing w:line="360" w:lineRule="auto"/>
        <w:jc w:val="left"/>
        <w:rPr>
          <w:rFonts w:hint="eastAsia" w:asciiTheme="majorEastAsia" w:hAnsiTheme="majorEastAsia" w:eastAsiaTheme="majorEastAsia"/>
          <w:color w:val="auto"/>
          <w:szCs w:val="21"/>
          <w:highlight w:val="none"/>
        </w:rPr>
      </w:pPr>
    </w:p>
    <w:p w14:paraId="77ED6F86">
      <w:pPr>
        <w:snapToGrid w:val="0"/>
        <w:spacing w:line="360" w:lineRule="auto"/>
        <w:jc w:val="left"/>
        <w:rPr>
          <w:rFonts w:hint="eastAsia" w:asciiTheme="majorEastAsia" w:hAnsiTheme="majorEastAsia" w:eastAsiaTheme="majorEastAsia"/>
          <w:color w:val="auto"/>
          <w:szCs w:val="21"/>
          <w:highlight w:val="none"/>
        </w:rPr>
      </w:pPr>
    </w:p>
    <w:p w14:paraId="49AA78EE">
      <w:pPr>
        <w:snapToGrid w:val="0"/>
        <w:spacing w:line="360" w:lineRule="auto"/>
        <w:jc w:val="left"/>
        <w:rPr>
          <w:rFonts w:hint="eastAsia" w:asciiTheme="majorEastAsia" w:hAnsiTheme="majorEastAsia" w:eastAsiaTheme="majorEastAsia"/>
          <w:color w:val="auto"/>
          <w:szCs w:val="21"/>
          <w:highlight w:val="none"/>
        </w:rPr>
      </w:pPr>
    </w:p>
    <w:p w14:paraId="3351585B">
      <w:pPr>
        <w:snapToGrid w:val="0"/>
        <w:spacing w:line="360" w:lineRule="auto"/>
        <w:ind w:left="-2" w:leftChars="-1" w:right="-817" w:rightChars="-389"/>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法定代表人（或负责人）或者委托代理人（签字或电子签名）： </w:t>
      </w:r>
    </w:p>
    <w:p w14:paraId="2234CDAB">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6B0EDBDF">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日期：    年   月   日</w:t>
      </w:r>
    </w:p>
    <w:p w14:paraId="729BE591">
      <w:pPr>
        <w:snapToGrid w:val="0"/>
        <w:jc w:val="center"/>
        <w:rPr>
          <w:rFonts w:hint="eastAsia" w:asciiTheme="majorEastAsia" w:hAnsiTheme="majorEastAsia" w:eastAsiaTheme="majorEastAsia"/>
          <w:b/>
          <w:color w:val="auto"/>
          <w:sz w:val="28"/>
          <w:szCs w:val="28"/>
          <w:highlight w:val="none"/>
        </w:rPr>
      </w:pPr>
    </w:p>
    <w:p w14:paraId="2C60CBCC">
      <w:pPr>
        <w:snapToGrid w:val="0"/>
        <w:spacing w:line="360" w:lineRule="auto"/>
        <w:jc w:val="center"/>
        <w:rPr>
          <w:rFonts w:hint="eastAsia" w:asciiTheme="majorEastAsia" w:hAnsiTheme="majorEastAsia" w:eastAsiaTheme="majorEastAsia"/>
          <w:b/>
          <w:color w:val="auto"/>
          <w:sz w:val="32"/>
          <w:szCs w:val="32"/>
          <w:highlight w:val="none"/>
        </w:rPr>
      </w:pPr>
      <w:r>
        <w:rPr>
          <w:rFonts w:asciiTheme="majorEastAsia" w:hAnsiTheme="majorEastAsia" w:eastAsiaTheme="majorEastAsia"/>
          <w:b/>
          <w:color w:val="auto"/>
          <w:sz w:val="32"/>
          <w:szCs w:val="32"/>
          <w:highlight w:val="none"/>
        </w:rPr>
        <w:br w:type="page"/>
      </w:r>
    </w:p>
    <w:p w14:paraId="43AB7FCC">
      <w:pPr>
        <w:snapToGrid w:val="0"/>
        <w:spacing w:line="360" w:lineRule="auto"/>
        <w:jc w:val="center"/>
        <w:rPr>
          <w:rFonts w:hint="eastAsia" w:asciiTheme="majorEastAsia" w:hAnsiTheme="majorEastAsia" w:eastAsiaTheme="majorEastAsia"/>
          <w:b/>
          <w:color w:val="auto"/>
          <w:sz w:val="32"/>
          <w:szCs w:val="32"/>
          <w:highlight w:val="none"/>
        </w:rPr>
      </w:pPr>
    </w:p>
    <w:p w14:paraId="7DF669D8">
      <w:pPr>
        <w:snapToGrid w:val="0"/>
        <w:spacing w:line="360" w:lineRule="auto"/>
        <w:jc w:val="center"/>
        <w:rPr>
          <w:rFonts w:hint="eastAsia" w:asciiTheme="majorEastAsia" w:hAnsiTheme="majorEastAsia" w:eastAsiaTheme="majorEastAsia"/>
          <w:color w:val="auto"/>
          <w:sz w:val="32"/>
          <w:szCs w:val="32"/>
          <w:highlight w:val="none"/>
        </w:rPr>
      </w:pPr>
      <w:r>
        <w:rPr>
          <w:rFonts w:hint="eastAsia" w:asciiTheme="majorEastAsia" w:hAnsiTheme="majorEastAsia" w:eastAsiaTheme="majorEastAsia"/>
          <w:b/>
          <w:color w:val="auto"/>
          <w:sz w:val="32"/>
          <w:szCs w:val="32"/>
          <w:highlight w:val="none"/>
        </w:rPr>
        <w:t>投标人直接管理关系信息表</w:t>
      </w:r>
    </w:p>
    <w:tbl>
      <w:tblPr>
        <w:tblStyle w:val="50"/>
        <w:tblW w:w="0" w:type="auto"/>
        <w:tblInd w:w="0" w:type="dxa"/>
        <w:tblLayout w:type="fixed"/>
        <w:tblCellMar>
          <w:top w:w="0" w:type="dxa"/>
          <w:left w:w="0" w:type="dxa"/>
          <w:bottom w:w="0" w:type="dxa"/>
          <w:right w:w="0" w:type="dxa"/>
        </w:tblCellMar>
      </w:tblPr>
      <w:tblGrid>
        <w:gridCol w:w="1005"/>
        <w:gridCol w:w="2659"/>
        <w:gridCol w:w="3924"/>
        <w:gridCol w:w="2064"/>
      </w:tblGrid>
      <w:tr w14:paraId="0BF15826">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3406E8C">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E5EE9E">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001666">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6ACBAE">
            <w:pPr>
              <w:spacing w:line="360" w:lineRule="auto"/>
              <w:jc w:val="center"/>
              <w:rPr>
                <w:rFonts w:hint="eastAsia"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备注</w:t>
            </w:r>
          </w:p>
        </w:tc>
      </w:tr>
      <w:tr w14:paraId="34931A8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41A59E">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1099EC">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4324E1">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1427E2">
            <w:pPr>
              <w:spacing w:line="360" w:lineRule="auto"/>
              <w:jc w:val="center"/>
              <w:rPr>
                <w:rFonts w:hint="eastAsia" w:cs="宋体" w:asciiTheme="majorEastAsia" w:hAnsiTheme="majorEastAsia" w:eastAsiaTheme="majorEastAsia"/>
                <w:color w:val="auto"/>
                <w:kern w:val="0"/>
                <w:szCs w:val="21"/>
                <w:highlight w:val="none"/>
              </w:rPr>
            </w:pPr>
          </w:p>
        </w:tc>
      </w:tr>
      <w:tr w14:paraId="1733DF6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B27FAF">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CA2B8F">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1011E2">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AE7746">
            <w:pPr>
              <w:spacing w:line="360" w:lineRule="auto"/>
              <w:jc w:val="center"/>
              <w:rPr>
                <w:rFonts w:hint="eastAsia" w:cs="宋体" w:asciiTheme="majorEastAsia" w:hAnsiTheme="majorEastAsia" w:eastAsiaTheme="majorEastAsia"/>
                <w:color w:val="auto"/>
                <w:kern w:val="0"/>
                <w:szCs w:val="21"/>
                <w:highlight w:val="none"/>
              </w:rPr>
            </w:pPr>
          </w:p>
        </w:tc>
      </w:tr>
      <w:tr w14:paraId="286D570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CE57A2">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914712">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D08299">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39977B6">
            <w:pPr>
              <w:spacing w:line="360" w:lineRule="auto"/>
              <w:jc w:val="center"/>
              <w:rPr>
                <w:rFonts w:hint="eastAsia" w:cs="宋体" w:asciiTheme="majorEastAsia" w:hAnsiTheme="majorEastAsia" w:eastAsiaTheme="majorEastAsia"/>
                <w:color w:val="auto"/>
                <w:kern w:val="0"/>
                <w:szCs w:val="21"/>
                <w:highlight w:val="none"/>
              </w:rPr>
            </w:pPr>
          </w:p>
        </w:tc>
      </w:tr>
      <w:tr w14:paraId="420850A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CA5D9E">
            <w:pPr>
              <w:spacing w:line="360" w:lineRule="auto"/>
              <w:jc w:val="center"/>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567056">
            <w:pPr>
              <w:spacing w:line="360" w:lineRule="auto"/>
              <w:jc w:val="center"/>
              <w:rPr>
                <w:rFonts w:hint="eastAsia" w:cs="宋体" w:asciiTheme="majorEastAsia" w:hAnsiTheme="majorEastAsia" w:eastAsiaTheme="majorEastAsia"/>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2465F4">
            <w:pPr>
              <w:spacing w:line="360" w:lineRule="auto"/>
              <w:jc w:val="center"/>
              <w:rPr>
                <w:rFonts w:hint="eastAsia" w:cs="宋体" w:asciiTheme="majorEastAsia" w:hAnsiTheme="majorEastAsia" w:eastAsiaTheme="majorEastAsia"/>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F2DC03">
            <w:pPr>
              <w:spacing w:line="360" w:lineRule="auto"/>
              <w:jc w:val="center"/>
              <w:rPr>
                <w:rFonts w:hint="eastAsia" w:cs="宋体" w:asciiTheme="majorEastAsia" w:hAnsiTheme="majorEastAsia" w:eastAsiaTheme="majorEastAsia"/>
                <w:color w:val="auto"/>
                <w:kern w:val="0"/>
                <w:szCs w:val="21"/>
                <w:highlight w:val="none"/>
              </w:rPr>
            </w:pPr>
          </w:p>
        </w:tc>
      </w:tr>
    </w:tbl>
    <w:p w14:paraId="386BDA30">
      <w:pPr>
        <w:snapToGrid w:val="0"/>
        <w:spacing w:line="360" w:lineRule="auto"/>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p>
    <w:p w14:paraId="0C73E98A">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1.管理关系：是指不具有出资持股关系的其他单位之间存在的管理与被管理关系，如一些上下级关系的事业单位和团体组织。</w:t>
      </w:r>
    </w:p>
    <w:p w14:paraId="25A44017">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w:t>
      </w:r>
      <w:r>
        <w:rPr>
          <w:rFonts w:hint="eastAsia" w:asciiTheme="majorEastAsia" w:hAnsiTheme="majorEastAsia" w:eastAsiaTheme="majorEastAsia"/>
          <w:color w:val="auto"/>
          <w:spacing w:val="-6"/>
          <w:szCs w:val="21"/>
          <w:highlight w:val="none"/>
        </w:rPr>
        <w:t>本表所指的管理关系仅限于直接管理关系，不包括间接的管理关系。</w:t>
      </w:r>
    </w:p>
    <w:p w14:paraId="53B9144D">
      <w:pPr>
        <w:snapToGrid w:val="0"/>
        <w:spacing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3.供应商不存在直接管理关系的，则在“</w:t>
      </w:r>
      <w:r>
        <w:rPr>
          <w:rFonts w:hint="eastAsia" w:cs="宋体" w:asciiTheme="majorEastAsia" w:hAnsiTheme="majorEastAsia" w:eastAsiaTheme="majorEastAsia"/>
          <w:b/>
          <w:bCs/>
          <w:color w:val="auto"/>
          <w:kern w:val="0"/>
          <w:szCs w:val="21"/>
          <w:highlight w:val="none"/>
        </w:rPr>
        <w:t>直接管理关系单位名称</w:t>
      </w:r>
      <w:r>
        <w:rPr>
          <w:rFonts w:hint="eastAsia" w:asciiTheme="majorEastAsia" w:hAnsiTheme="majorEastAsia" w:eastAsiaTheme="majorEastAsia"/>
          <w:color w:val="auto"/>
          <w:szCs w:val="21"/>
          <w:highlight w:val="none"/>
        </w:rPr>
        <w:t>”中填“无”。</w:t>
      </w:r>
    </w:p>
    <w:p w14:paraId="17B495C1">
      <w:pPr>
        <w:snapToGrid w:val="0"/>
        <w:spacing w:line="360" w:lineRule="auto"/>
        <w:jc w:val="left"/>
        <w:rPr>
          <w:rFonts w:hint="eastAsia" w:asciiTheme="majorEastAsia" w:hAnsiTheme="majorEastAsia" w:eastAsiaTheme="majorEastAsia"/>
          <w:color w:val="auto"/>
          <w:szCs w:val="21"/>
          <w:highlight w:val="none"/>
        </w:rPr>
      </w:pPr>
    </w:p>
    <w:p w14:paraId="2490C8C1">
      <w:pPr>
        <w:snapToGrid w:val="0"/>
        <w:spacing w:line="360" w:lineRule="auto"/>
        <w:jc w:val="left"/>
        <w:rPr>
          <w:rFonts w:hint="eastAsia" w:asciiTheme="majorEastAsia" w:hAnsiTheme="majorEastAsia" w:eastAsiaTheme="majorEastAsia"/>
          <w:color w:val="auto"/>
          <w:szCs w:val="21"/>
          <w:highlight w:val="none"/>
        </w:rPr>
      </w:pPr>
    </w:p>
    <w:p w14:paraId="4653EC44">
      <w:pPr>
        <w:snapToGrid w:val="0"/>
        <w:spacing w:line="360" w:lineRule="auto"/>
        <w:jc w:val="left"/>
        <w:rPr>
          <w:rFonts w:hint="eastAsia" w:asciiTheme="majorEastAsia" w:hAnsiTheme="majorEastAsia" w:eastAsiaTheme="majorEastAsia"/>
          <w:color w:val="auto"/>
          <w:szCs w:val="21"/>
          <w:highlight w:val="none"/>
        </w:rPr>
      </w:pPr>
    </w:p>
    <w:p w14:paraId="5735A1D4">
      <w:pPr>
        <w:snapToGrid w:val="0"/>
        <w:spacing w:line="360" w:lineRule="auto"/>
        <w:jc w:val="left"/>
        <w:rPr>
          <w:rFonts w:hint="eastAsia" w:asciiTheme="majorEastAsia" w:hAnsiTheme="majorEastAsia" w:eastAsiaTheme="majorEastAsia"/>
          <w:color w:val="auto"/>
          <w:szCs w:val="21"/>
          <w:highlight w:val="none"/>
        </w:rPr>
      </w:pPr>
    </w:p>
    <w:p w14:paraId="11B1FCF9">
      <w:pPr>
        <w:snapToGrid w:val="0"/>
        <w:spacing w:line="360" w:lineRule="auto"/>
        <w:ind w:left="-2" w:leftChars="-1" w:right="-817" w:rightChars="-389"/>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法定代表人（或负责人）或者委托代理人（签字或电子签名）： </w:t>
      </w:r>
    </w:p>
    <w:p w14:paraId="547E3259">
      <w:pPr>
        <w:snapToGrid w:val="0"/>
        <w:spacing w:line="360" w:lineRule="auto"/>
        <w:ind w:left="-6" w:leftChars="-15" w:right="-817" w:rightChars="-389" w:hanging="25" w:hangingChars="12"/>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26EFE208">
      <w:pPr>
        <w:snapToGrid w:val="0"/>
        <w:spacing w:line="360" w:lineRule="auto"/>
        <w:ind w:right="480" w:firstLine="210" w:firstLineChars="1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日期：    年   月   日</w:t>
      </w:r>
    </w:p>
    <w:p w14:paraId="4B86FC26">
      <w:pPr>
        <w:snapToGrid w:val="0"/>
        <w:spacing w:before="120" w:beforeLines="50" w:after="50"/>
        <w:jc w:val="left"/>
        <w:rPr>
          <w:rFonts w:hint="eastAsia" w:asciiTheme="majorEastAsia" w:hAnsiTheme="majorEastAsia" w:eastAsiaTheme="majorEastAsia"/>
          <w:b/>
          <w:color w:val="auto"/>
          <w:sz w:val="24"/>
          <w:szCs w:val="20"/>
          <w:highlight w:val="none"/>
        </w:rPr>
      </w:pPr>
    </w:p>
    <w:p w14:paraId="460055F9">
      <w:pPr>
        <w:numPr>
          <w:ilvl w:val="2"/>
          <w:numId w:val="13"/>
        </w:numPr>
        <w:snapToGrid w:val="0"/>
        <w:spacing w:before="120" w:beforeLines="50" w:after="50"/>
        <w:ind w:left="0" w:firstLine="0"/>
        <w:jc w:val="left"/>
        <w:rPr>
          <w:rFonts w:hint="eastAsia" w:asciiTheme="majorEastAsia" w:hAnsiTheme="majorEastAsia" w:eastAsiaTheme="majorEastAsia"/>
          <w:b/>
          <w:color w:val="auto"/>
          <w:sz w:val="24"/>
          <w:szCs w:val="20"/>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投标声明</w:t>
      </w:r>
    </w:p>
    <w:p w14:paraId="6FD7940F">
      <w:pPr>
        <w:snapToGrid w:val="0"/>
        <w:spacing w:before="50" w:after="120" w:afterLines="50"/>
        <w:jc w:val="left"/>
        <w:rPr>
          <w:rFonts w:hint="eastAsia" w:asciiTheme="majorEastAsia" w:hAnsiTheme="majorEastAsia" w:eastAsiaTheme="majorEastAsia"/>
          <w:color w:val="auto"/>
          <w:highlight w:val="none"/>
        </w:rPr>
      </w:pPr>
    </w:p>
    <w:p w14:paraId="332C790E">
      <w:pPr>
        <w:snapToGrid w:val="0"/>
        <w:spacing w:before="50" w:after="120" w:afterLines="50"/>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投标声明</w:t>
      </w:r>
    </w:p>
    <w:p w14:paraId="231D179B">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（采购人名称）：</w:t>
      </w:r>
    </w:p>
    <w:p w14:paraId="1AAACD34">
      <w:pPr>
        <w:spacing w:line="400" w:lineRule="exact"/>
        <w:ind w:firstLine="457" w:firstLineChars="218"/>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我方参加贵单位组织</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项目（项目编号：</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）的政府采购活动。我方在此郑重声明：</w:t>
      </w:r>
    </w:p>
    <w:p w14:paraId="60417A6D">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87767C5">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2.我方不是为本次采购项目提供整体设计、规范编制或者项目管理、监理、检测等服务的供应商。</w:t>
      </w:r>
    </w:p>
    <w:p w14:paraId="47E7BFD3">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 我方承诺符合《中华人民共和国政府采购法》第二十二条规定：</w:t>
      </w:r>
    </w:p>
    <w:p w14:paraId="5751C434">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（一）具有独立承担民事责任的能力；</w:t>
      </w:r>
    </w:p>
    <w:p w14:paraId="054BF76C">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（二）具有良好的商业信誉和健全的财务会计制度；</w:t>
      </w:r>
    </w:p>
    <w:p w14:paraId="3EE07649">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（三）具有履行合同所必需的设备和专业技术能力；</w:t>
      </w:r>
    </w:p>
    <w:p w14:paraId="04098A8B">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（四）有依法缴纳税收和社会保障资金的良好记录；</w:t>
      </w:r>
    </w:p>
    <w:p w14:paraId="35F20001">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（五）参加政府采购活动前三年内，在经营活动中没有重大违法记录；</w:t>
      </w:r>
    </w:p>
    <w:p w14:paraId="769A7EEF">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（六）法律、行政法规规定的其他条件。</w:t>
      </w:r>
    </w:p>
    <w:p w14:paraId="280E9793">
      <w:pPr>
        <w:spacing w:line="40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4.以上事项如有虚假或者隐瞒，我方愿意承担一切后果，并不再寻求任何旨在减轻或者免除法律责任的辩解。</w:t>
      </w:r>
    </w:p>
    <w:p w14:paraId="3B5AFBEB">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特此承诺。</w:t>
      </w:r>
    </w:p>
    <w:p w14:paraId="2F46C5B1">
      <w:pPr>
        <w:spacing w:line="400" w:lineRule="exact"/>
        <w:ind w:firstLine="2940" w:firstLineChars="1400"/>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法定代表人（或负责人）（签字或电子签名）：</w:t>
      </w:r>
      <w:r>
        <w:rPr>
          <w:rFonts w:hint="eastAsia" w:asciiTheme="majorEastAsia" w:hAnsiTheme="majorEastAsia" w:eastAsiaTheme="majorEastAsia"/>
          <w:color w:val="auto"/>
          <w:szCs w:val="21"/>
          <w:highlight w:val="none"/>
          <w:u w:val="single"/>
        </w:rPr>
        <w:t xml:space="preserve">             </w:t>
      </w:r>
    </w:p>
    <w:p w14:paraId="1E29C997">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r>
        <w:rPr>
          <w:rFonts w:hint="eastAsia" w:asciiTheme="majorEastAsia" w:hAnsiTheme="majorEastAsia" w:eastAsiaTheme="majorEastAsia"/>
          <w:color w:val="auto"/>
          <w:szCs w:val="21"/>
          <w:highlight w:val="none"/>
          <w:u w:val="single"/>
        </w:rPr>
        <w:t xml:space="preserve">                 </w:t>
      </w:r>
    </w:p>
    <w:p w14:paraId="523F0772">
      <w:pPr>
        <w:spacing w:line="40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年    月    日</w:t>
      </w:r>
    </w:p>
    <w:p w14:paraId="3D2FCBBA">
      <w:pPr>
        <w:spacing w:line="440" w:lineRule="exact"/>
        <w:contextualSpacing/>
        <w:rPr>
          <w:rFonts w:hint="eastAsia" w:asciiTheme="majorEastAsia" w:hAnsiTheme="majorEastAsia" w:eastAsiaTheme="majorEastAsia"/>
          <w:b/>
          <w:color w:val="auto"/>
          <w:szCs w:val="21"/>
          <w:highlight w:val="none"/>
        </w:rPr>
      </w:pPr>
      <w:bookmarkStart w:id="160" w:name="_Toc19686838"/>
      <w:r>
        <w:rPr>
          <w:rFonts w:hint="eastAsia" w:asciiTheme="majorEastAsia" w:hAnsiTheme="majorEastAsia" w:eastAsiaTheme="majorEastAsia"/>
          <w:b/>
          <w:color w:val="auto"/>
          <w:szCs w:val="21"/>
          <w:highlight w:val="none"/>
        </w:rPr>
        <w:t>注：1.如为联合体投标，盖章处须加盖联合体牵头人电子签章并由联合体各方法定代表人（或负责人）分别签字或者电子签名，否则投标无效。</w:t>
      </w:r>
    </w:p>
    <w:p w14:paraId="31A1E4F2">
      <w:pPr>
        <w:spacing w:line="440" w:lineRule="exact"/>
        <w:contextualSpacing/>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2</w:t>
      </w:r>
      <w:r>
        <w:rPr>
          <w:rFonts w:hint="eastAsia" w:cs="仿宋_GB2312" w:asciiTheme="majorEastAsia" w:hAnsiTheme="majorEastAsia" w:eastAsiaTheme="majorEastAsia"/>
          <w:color w:val="auto"/>
          <w:szCs w:val="21"/>
          <w:highlight w:val="none"/>
        </w:rPr>
        <w:t>.法定代表人（或负责人）必须在授权委托书上亲笔签字或者盖章</w:t>
      </w:r>
      <w:r>
        <w:rPr>
          <w:rFonts w:hint="eastAsia" w:asciiTheme="majorEastAsia" w:hAnsiTheme="majorEastAsia" w:eastAsiaTheme="majorEastAsia"/>
          <w:color w:val="auto"/>
          <w:szCs w:val="21"/>
          <w:highlight w:val="none"/>
        </w:rPr>
        <w:t>或者电子签名</w:t>
      </w:r>
      <w:r>
        <w:rPr>
          <w:rFonts w:hint="eastAsia" w:cs="仿宋_GB2312" w:asciiTheme="majorEastAsia" w:hAnsiTheme="majorEastAsia" w:eastAsiaTheme="majorEastAsia"/>
          <w:color w:val="auto"/>
          <w:szCs w:val="21"/>
          <w:highlight w:val="none"/>
        </w:rPr>
        <w:t>，</w:t>
      </w:r>
      <w:r>
        <w:rPr>
          <w:rFonts w:hint="eastAsia" w:cs="仿宋_GB2312" w:asciiTheme="majorEastAsia" w:hAnsiTheme="majorEastAsia" w:eastAsiaTheme="majorEastAsia"/>
          <w:b/>
          <w:bCs/>
          <w:color w:val="auto"/>
          <w:szCs w:val="21"/>
          <w:highlight w:val="none"/>
        </w:rPr>
        <w:t>否则按无效投标处理</w:t>
      </w:r>
      <w:r>
        <w:rPr>
          <w:rFonts w:hint="eastAsia" w:cs="仿宋_GB2312" w:asciiTheme="majorEastAsia" w:hAnsiTheme="majorEastAsia" w:eastAsiaTheme="majorEastAsia"/>
          <w:color w:val="auto"/>
          <w:szCs w:val="21"/>
          <w:highlight w:val="none"/>
        </w:rPr>
        <w:t>；</w:t>
      </w:r>
    </w:p>
    <w:p w14:paraId="748C953A">
      <w:pPr>
        <w:rPr>
          <w:rFonts w:hint="eastAsia"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r>
        <w:rPr>
          <w:rFonts w:hint="eastAsia" w:asciiTheme="majorEastAsia" w:hAnsiTheme="majorEastAsia" w:eastAsiaTheme="majorEastAsia"/>
          <w:b/>
          <w:color w:val="auto"/>
          <w:sz w:val="28"/>
          <w:szCs w:val="28"/>
          <w:highlight w:val="none"/>
        </w:rPr>
        <w:t>三、商务文件格式</w:t>
      </w:r>
      <w:bookmarkEnd w:id="160"/>
    </w:p>
    <w:p w14:paraId="48C6F22E">
      <w:pPr>
        <w:snapToGrid w:val="0"/>
        <w:spacing w:before="120" w:beforeLines="50" w:after="50" w:line="360" w:lineRule="auto"/>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1.商务文件封面格式： </w:t>
      </w:r>
    </w:p>
    <w:p w14:paraId="6C34034B">
      <w:pPr>
        <w:snapToGrid w:val="0"/>
        <w:spacing w:before="120" w:beforeLines="50" w:after="50"/>
        <w:jc w:val="center"/>
        <w:rPr>
          <w:rFonts w:hint="eastAsia" w:asciiTheme="majorEastAsia" w:hAnsiTheme="majorEastAsia" w:eastAsiaTheme="majorEastAsia"/>
          <w:bCs/>
          <w:color w:val="auto"/>
          <w:sz w:val="48"/>
          <w:szCs w:val="48"/>
          <w:highlight w:val="none"/>
        </w:rPr>
      </w:pPr>
    </w:p>
    <w:p w14:paraId="3BC7866C">
      <w:pPr>
        <w:snapToGrid w:val="0"/>
        <w:spacing w:before="120" w:beforeLines="50" w:after="50"/>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bCs/>
          <w:color w:val="auto"/>
          <w:sz w:val="48"/>
          <w:szCs w:val="48"/>
          <w:highlight w:val="none"/>
        </w:rPr>
        <w:t>电子投标文件</w:t>
      </w:r>
    </w:p>
    <w:p w14:paraId="53BEC260">
      <w:pPr>
        <w:snapToGrid w:val="0"/>
        <w:spacing w:before="120" w:beforeLines="50" w:after="50"/>
        <w:jc w:val="center"/>
        <w:rPr>
          <w:rFonts w:hint="eastAsia" w:cs="方正小标宋简体" w:asciiTheme="majorEastAsia" w:hAnsiTheme="majorEastAsia" w:eastAsiaTheme="majorEastAsia"/>
          <w:bCs/>
          <w:color w:val="auto"/>
          <w:sz w:val="44"/>
          <w:szCs w:val="44"/>
          <w:highlight w:val="none"/>
        </w:rPr>
      </w:pPr>
    </w:p>
    <w:p w14:paraId="6C959A3C">
      <w:pPr>
        <w:snapToGrid w:val="0"/>
        <w:spacing w:before="120" w:beforeLines="50" w:after="50"/>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商  务  文  件</w:t>
      </w:r>
    </w:p>
    <w:p w14:paraId="7CD5947F">
      <w:pPr>
        <w:snapToGrid w:val="0"/>
        <w:spacing w:before="120" w:beforeLines="50" w:after="50"/>
        <w:rPr>
          <w:rFonts w:hint="eastAsia" w:asciiTheme="majorEastAsia" w:hAnsiTheme="majorEastAsia" w:eastAsiaTheme="majorEastAsia"/>
          <w:bCs/>
          <w:color w:val="auto"/>
          <w:sz w:val="24"/>
          <w:szCs w:val="20"/>
          <w:highlight w:val="none"/>
        </w:rPr>
      </w:pPr>
    </w:p>
    <w:p w14:paraId="1E9B98A2">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项目名称：</w:t>
      </w:r>
    </w:p>
    <w:p w14:paraId="75F01A32">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p>
    <w:p w14:paraId="4F822D73">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项目编号：</w:t>
      </w:r>
    </w:p>
    <w:p w14:paraId="68E603DA">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r>
        <w:rPr>
          <w:rFonts w:hint="eastAsia" w:asciiTheme="majorEastAsia" w:hAnsiTheme="majorEastAsia" w:eastAsiaTheme="majorEastAsia"/>
          <w:bCs/>
          <w:color w:val="auto"/>
          <w:sz w:val="24"/>
          <w:highlight w:val="none"/>
        </w:rPr>
        <w:t xml:space="preserve"> </w:t>
      </w:r>
    </w:p>
    <w:p w14:paraId="0991EED4">
      <w:pPr>
        <w:snapToGrid w:val="0"/>
        <w:spacing w:before="120" w:beforeLines="50" w:after="50"/>
        <w:ind w:firstLine="540" w:firstLineChars="225"/>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71BAC34F">
      <w:pPr>
        <w:snapToGrid w:val="0"/>
        <w:spacing w:before="120" w:beforeLines="50" w:after="50"/>
        <w:ind w:firstLine="540" w:firstLineChars="225"/>
        <w:rPr>
          <w:rFonts w:hint="eastAsia" w:asciiTheme="majorEastAsia" w:hAnsiTheme="majorEastAsia" w:eastAsiaTheme="majorEastAsia"/>
          <w:bCs/>
          <w:color w:val="auto"/>
          <w:sz w:val="24"/>
          <w:szCs w:val="20"/>
          <w:highlight w:val="none"/>
        </w:rPr>
      </w:pPr>
    </w:p>
    <w:p w14:paraId="4D3FF96D">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r>
        <w:rPr>
          <w:rFonts w:hint="eastAsia" w:asciiTheme="majorEastAsia" w:hAnsiTheme="majorEastAsia" w:eastAsiaTheme="majorEastAsia"/>
          <w:bCs/>
          <w:color w:val="auto"/>
          <w:sz w:val="24"/>
          <w:szCs w:val="24"/>
          <w:highlight w:val="none"/>
        </w:rPr>
        <w:t>投标人名称：</w:t>
      </w:r>
    </w:p>
    <w:p w14:paraId="2D9494ED">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p>
    <w:p w14:paraId="338727E8">
      <w:pPr>
        <w:pStyle w:val="8"/>
        <w:snapToGrid w:val="0"/>
        <w:spacing w:before="50" w:after="50"/>
        <w:ind w:firstLine="540" w:firstLineChars="225"/>
        <w:rPr>
          <w:rFonts w:hint="eastAsia" w:asciiTheme="majorEastAsia" w:hAnsiTheme="majorEastAsia" w:eastAsiaTheme="majorEastAsia"/>
          <w:bCs/>
          <w:color w:val="auto"/>
          <w:sz w:val="24"/>
          <w:szCs w:val="24"/>
          <w:highlight w:val="none"/>
        </w:rPr>
      </w:pPr>
      <w:r>
        <w:rPr>
          <w:rFonts w:hint="eastAsia" w:asciiTheme="majorEastAsia" w:hAnsiTheme="majorEastAsia" w:eastAsiaTheme="majorEastAsia"/>
          <w:bCs/>
          <w:color w:val="auto"/>
          <w:sz w:val="24"/>
          <w:szCs w:val="24"/>
          <w:highlight w:val="none"/>
        </w:rPr>
        <w:t>投标人地址：</w:t>
      </w:r>
    </w:p>
    <w:p w14:paraId="1219AEFD">
      <w:pPr>
        <w:pStyle w:val="8"/>
        <w:snapToGrid w:val="0"/>
        <w:spacing w:before="50" w:after="50"/>
        <w:ind w:firstLine="960" w:firstLineChars="400"/>
        <w:rPr>
          <w:rFonts w:hint="eastAsia" w:asciiTheme="majorEastAsia" w:hAnsiTheme="majorEastAsia" w:eastAsiaTheme="majorEastAsia"/>
          <w:bCs/>
          <w:color w:val="auto"/>
          <w:sz w:val="24"/>
          <w:szCs w:val="24"/>
          <w:highlight w:val="none"/>
        </w:rPr>
      </w:pPr>
    </w:p>
    <w:p w14:paraId="1A099FF6">
      <w:pPr>
        <w:snapToGrid w:val="0"/>
        <w:spacing w:before="120" w:beforeLines="50" w:after="50"/>
        <w:ind w:firstLine="645"/>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p w14:paraId="3C61F536">
      <w:pPr>
        <w:snapToGrid w:val="0"/>
        <w:spacing w:before="120" w:beforeLines="50" w:after="50"/>
        <w:rPr>
          <w:rFonts w:hint="eastAsia" w:asciiTheme="majorEastAsia" w:hAnsiTheme="majorEastAsia" w:eastAsiaTheme="majorEastAsia"/>
          <w:color w:val="auto"/>
          <w:sz w:val="24"/>
          <w:szCs w:val="20"/>
          <w:highlight w:val="none"/>
        </w:rPr>
      </w:pPr>
      <w:r>
        <w:rPr>
          <w:rFonts w:asciiTheme="majorEastAsia" w:hAnsiTheme="majorEastAsia" w:eastAsiaTheme="majorEastAsia"/>
          <w:color w:val="auto"/>
          <w:sz w:val="24"/>
          <w:szCs w:val="20"/>
          <w:highlight w:val="none"/>
        </w:rPr>
        <w:t xml:space="preserve"> </w:t>
      </w:r>
    </w:p>
    <w:p w14:paraId="78B073CF">
      <w:pPr>
        <w:snapToGrid w:val="0"/>
        <w:spacing w:line="360" w:lineRule="auto"/>
        <w:jc w:val="left"/>
        <w:rPr>
          <w:rFonts w:hint="eastAsia" w:asciiTheme="majorEastAsia" w:hAnsiTheme="majorEastAsia" w:eastAsiaTheme="majorEastAsia"/>
          <w:b/>
          <w:color w:val="auto"/>
          <w:sz w:val="24"/>
          <w:highlight w:val="none"/>
        </w:rPr>
      </w:pPr>
      <w:r>
        <w:rPr>
          <w:rFonts w:asciiTheme="majorEastAsia" w:hAnsiTheme="majorEastAsia" w:eastAsiaTheme="majorEastAsia"/>
          <w:color w:val="auto"/>
          <w:sz w:val="24"/>
          <w:szCs w:val="20"/>
          <w:highlight w:val="none"/>
        </w:rPr>
        <w:br w:type="page"/>
      </w:r>
      <w:r>
        <w:rPr>
          <w:rFonts w:hint="eastAsia" w:asciiTheme="majorEastAsia" w:hAnsiTheme="majorEastAsia" w:eastAsiaTheme="majorEastAsia"/>
          <w:b/>
          <w:color w:val="auto"/>
          <w:sz w:val="24"/>
          <w:highlight w:val="none"/>
        </w:rPr>
        <w:t>2.商务文件目录</w:t>
      </w:r>
    </w:p>
    <w:p w14:paraId="52FC59F2">
      <w:pPr>
        <w:snapToGrid w:val="0"/>
        <w:spacing w:before="50" w:after="120" w:afterLines="50" w:line="360" w:lineRule="auto"/>
        <w:ind w:firstLine="420" w:firstLineChars="200"/>
        <w:jc w:val="left"/>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4E2D4036">
      <w:pPr>
        <w:snapToGrid w:val="0"/>
        <w:spacing w:before="50" w:after="120" w:afterLines="50"/>
        <w:jc w:val="left"/>
        <w:rPr>
          <w:rFonts w:hint="eastAsia" w:asciiTheme="majorEastAsia" w:hAnsiTheme="majorEastAsia" w:eastAsiaTheme="majorEastAsia"/>
          <w:color w:val="auto"/>
          <w:highlight w:val="none"/>
        </w:rPr>
      </w:pPr>
    </w:p>
    <w:p w14:paraId="22A59B71">
      <w:pPr>
        <w:snapToGrid w:val="0"/>
        <w:spacing w:before="120" w:beforeLines="50" w:after="50"/>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3.投标人参加本项目无围标串标行为的承诺</w:t>
      </w:r>
    </w:p>
    <w:p w14:paraId="6177EADF">
      <w:pPr>
        <w:snapToGrid w:val="0"/>
        <w:spacing w:before="120" w:beforeLines="50" w:after="50"/>
        <w:jc w:val="left"/>
        <w:rPr>
          <w:rFonts w:hint="eastAsia" w:asciiTheme="majorEastAsia" w:hAnsiTheme="majorEastAsia" w:eastAsiaTheme="majorEastAsia"/>
          <w:b/>
          <w:color w:val="auto"/>
          <w:sz w:val="24"/>
          <w:highlight w:val="none"/>
        </w:rPr>
      </w:pPr>
    </w:p>
    <w:p w14:paraId="17A99BC6">
      <w:pPr>
        <w:spacing w:line="360" w:lineRule="auto"/>
        <w:ind w:left="420"/>
        <w:contextualSpacing/>
        <w:jc w:val="center"/>
        <w:rPr>
          <w:rFonts w:hint="eastAsia" w:asciiTheme="majorEastAsia" w:hAnsiTheme="majorEastAsia" w:eastAsiaTheme="majorEastAsia"/>
          <w:b/>
          <w:color w:val="auto"/>
          <w:sz w:val="24"/>
          <w:highlight w:val="none"/>
        </w:rPr>
      </w:pPr>
      <w:r>
        <w:rPr>
          <w:rFonts w:hint="eastAsia" w:cs="方正小标宋简体" w:asciiTheme="majorEastAsia" w:hAnsiTheme="majorEastAsia" w:eastAsiaTheme="majorEastAsia"/>
          <w:bCs/>
          <w:color w:val="auto"/>
          <w:spacing w:val="-11"/>
          <w:sz w:val="44"/>
          <w:szCs w:val="44"/>
          <w:highlight w:val="none"/>
        </w:rPr>
        <w:t>投标人参加本项目无围标串标行为的承诺函</w:t>
      </w:r>
    </w:p>
    <w:p w14:paraId="6B18F0F1">
      <w:pPr>
        <w:spacing w:line="440" w:lineRule="exact"/>
        <w:contextualSpacing/>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一、我方承诺无下列相互串通投标的情形：</w:t>
      </w:r>
    </w:p>
    <w:p w14:paraId="251277FD">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1.不同投标人的投标文件由同一单位或者个人编制；</w:t>
      </w:r>
    </w:p>
    <w:p w14:paraId="21D73036">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2.不同投标人委托同一单位或者个人办理投标事宜；</w:t>
      </w:r>
    </w:p>
    <w:p w14:paraId="5FF27705">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3.不同的投标人的投标文件载明的项目管理员为同一个人；</w:t>
      </w:r>
    </w:p>
    <w:p w14:paraId="244C4677">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4.不同投标人的投标文件异常一致或者投标报价呈规律性差异；</w:t>
      </w:r>
    </w:p>
    <w:p w14:paraId="3227D4B2">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5.不同投标人的投标文件相互混装；</w:t>
      </w:r>
    </w:p>
    <w:p w14:paraId="05ABD427">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6.不同投标人的投标保证金从同一单位或者个人账户转出。</w:t>
      </w:r>
    </w:p>
    <w:p w14:paraId="55DAD93F">
      <w:pPr>
        <w:spacing w:line="440" w:lineRule="exact"/>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b/>
          <w:color w:val="auto"/>
          <w:szCs w:val="21"/>
          <w:highlight w:val="none"/>
        </w:rPr>
        <w:t>二、我方承诺无下列恶意串通的情形：</w:t>
      </w:r>
    </w:p>
    <w:p w14:paraId="09EDB927">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1.投标人直接或者间接从采购人或者采购代理机构处获得其他投标人的相关信息并修改其投标文件或者响应文件；</w:t>
      </w:r>
    </w:p>
    <w:p w14:paraId="0DF29EC4">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2.投标人按照采购人或者采购代理机构的授意撤换、修改投标文件或者响应文件；</w:t>
      </w:r>
    </w:p>
    <w:p w14:paraId="12421529">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3.投标人之间协商报价、技术方案等投标文件或者响应文件的实质性内容；</w:t>
      </w:r>
    </w:p>
    <w:p w14:paraId="0FD1E8E2">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4.属于同一集团、协会、商会等组织成员的投标人按照该组织要求协同参加政府采购活动；</w:t>
      </w:r>
    </w:p>
    <w:p w14:paraId="79CB55E8">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0E62323F">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6.投标人之间商定部分投标人放弃参加政府采购活动或者放弃中标；</w:t>
      </w:r>
    </w:p>
    <w:p w14:paraId="67CBC580">
      <w:pPr>
        <w:spacing w:line="440" w:lineRule="exact"/>
        <w:ind w:firstLine="411" w:firstLineChars="196"/>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7.投标人与采购人或者采购代理机构之间、投标人相互之间，为谋求特定投标人中标或者排斥其他投标人的其他串通行为。</w:t>
      </w:r>
    </w:p>
    <w:p w14:paraId="289C4261">
      <w:pPr>
        <w:spacing w:line="440" w:lineRule="exact"/>
        <w:ind w:firstLine="413" w:firstLineChars="196"/>
        <w:contextualSpacing/>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b/>
          <w:color w:val="auto"/>
          <w:szCs w:val="21"/>
          <w:highlight w:val="none"/>
        </w:rPr>
        <w:t>以上情形一经核查属实，我方愿意承担一切后果，并不再寻求任何旨在减轻或者免除法律责任的辩解。</w:t>
      </w:r>
    </w:p>
    <w:p w14:paraId="1C7DD7AC">
      <w:pPr>
        <w:pStyle w:val="27"/>
        <w:spacing w:line="440" w:lineRule="exact"/>
        <w:ind w:firstLine="5985" w:firstLineChars="2850"/>
        <w:contextualSpacing/>
        <w:rPr>
          <w:rFonts w:hint="eastAsia" w:asciiTheme="majorEastAsia" w:hAnsiTheme="majorEastAsia" w:eastAsiaTheme="majorEastAsia"/>
          <w:color w:val="auto"/>
          <w:sz w:val="21"/>
          <w:highlight w:val="none"/>
        </w:rPr>
      </w:pPr>
    </w:p>
    <w:p w14:paraId="4E7DA228">
      <w:pPr>
        <w:pStyle w:val="27"/>
        <w:spacing w:line="440" w:lineRule="exact"/>
        <w:contextualSpacing/>
        <w:jc w:val="center"/>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 </w:t>
      </w:r>
      <w:r>
        <w:rPr>
          <w:rFonts w:asciiTheme="majorEastAsia" w:hAnsiTheme="majorEastAsia" w:eastAsiaTheme="majorEastAsia"/>
          <w:color w:val="auto"/>
          <w:sz w:val="21"/>
          <w:highlight w:val="none"/>
        </w:rPr>
        <w:t xml:space="preserve">                                   </w:t>
      </w:r>
      <w:r>
        <w:rPr>
          <w:rFonts w:hint="eastAsia" w:asciiTheme="majorEastAsia" w:hAnsiTheme="majorEastAsia" w:eastAsiaTheme="majorEastAsia"/>
          <w:color w:val="auto"/>
          <w:sz w:val="21"/>
          <w:highlight w:val="none"/>
        </w:rPr>
        <w:t>投标人名称（电子签章）</w:t>
      </w:r>
    </w:p>
    <w:p w14:paraId="7145317C">
      <w:pPr>
        <w:pStyle w:val="27"/>
        <w:spacing w:line="440" w:lineRule="exact"/>
        <w:contextualSpacing/>
        <w:rPr>
          <w:rFonts w:hint="eastAsia" w:asciiTheme="majorEastAsia" w:hAnsiTheme="majorEastAsia" w:eastAsiaTheme="majorEastAsia"/>
          <w:color w:val="auto"/>
          <w:sz w:val="21"/>
          <w:highlight w:val="none"/>
        </w:rPr>
        <w:sectPr>
          <w:pgSz w:w="11906" w:h="16838"/>
          <w:pgMar w:top="1134" w:right="1332" w:bottom="1134" w:left="1332" w:header="851" w:footer="992" w:gutter="0"/>
          <w:cols w:space="0" w:num="1"/>
          <w:titlePg/>
          <w:docGrid w:linePitch="312" w:charSpace="0"/>
        </w:sectPr>
      </w:pPr>
      <w:r>
        <w:rPr>
          <w:rFonts w:hint="eastAsia" w:asciiTheme="majorEastAsia" w:hAnsiTheme="majorEastAsia" w:eastAsiaTheme="majorEastAsia"/>
          <w:color w:val="auto"/>
          <w:sz w:val="21"/>
          <w:highlight w:val="none"/>
        </w:rPr>
        <w:t xml:space="preserve">                                                   </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年</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月</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color w:val="auto"/>
          <w:sz w:val="21"/>
          <w:highlight w:val="none"/>
        </w:rPr>
        <w:t>日</w:t>
      </w:r>
    </w:p>
    <w:p w14:paraId="313916D2">
      <w:pPr>
        <w:snapToGrid w:val="0"/>
        <w:spacing w:before="120" w:beforeLines="50" w:after="50"/>
        <w:jc w:val="left"/>
        <w:rPr>
          <w:rFonts w:hint="eastAsia" w:asciiTheme="majorEastAsia" w:hAnsiTheme="majorEastAsia" w:eastAsiaTheme="majorEastAsia"/>
          <w:b/>
          <w:color w:val="auto"/>
          <w:sz w:val="24"/>
          <w:szCs w:val="20"/>
          <w:highlight w:val="none"/>
        </w:rPr>
      </w:pPr>
      <w:r>
        <w:rPr>
          <w:rFonts w:hint="eastAsia" w:asciiTheme="majorEastAsia" w:hAnsiTheme="majorEastAsia" w:eastAsiaTheme="majorEastAsia"/>
          <w:b/>
          <w:color w:val="auto"/>
          <w:sz w:val="24"/>
          <w:highlight w:val="none"/>
        </w:rPr>
        <w:t>4.法定代表人（或负责人）身份证明</w:t>
      </w:r>
    </w:p>
    <w:p w14:paraId="28733E8D">
      <w:pPr>
        <w:spacing w:before="240" w:beforeLines="100" w:after="120" w:afterLines="50"/>
        <w:ind w:left="540"/>
        <w:jc w:val="center"/>
        <w:rPr>
          <w:rFonts w:hint="eastAsia" w:asciiTheme="majorEastAsia" w:hAnsiTheme="majorEastAsia" w:eastAsiaTheme="majorEastAsia"/>
          <w:b/>
          <w:color w:val="auto"/>
          <w:sz w:val="32"/>
          <w:szCs w:val="32"/>
          <w:highlight w:val="none"/>
        </w:rPr>
      </w:pPr>
    </w:p>
    <w:p w14:paraId="04A0B0A1">
      <w:pPr>
        <w:spacing w:before="240" w:beforeLines="100" w:after="120" w:afterLines="50"/>
        <w:ind w:left="540"/>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法定代表人（或负责人）身份证明</w:t>
      </w:r>
    </w:p>
    <w:p w14:paraId="35B495CA">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 标 人：</w:t>
      </w:r>
      <w:r>
        <w:rPr>
          <w:rFonts w:hint="eastAsia" w:asciiTheme="majorEastAsia" w:hAnsiTheme="majorEastAsia" w:eastAsiaTheme="majorEastAsia"/>
          <w:color w:val="auto"/>
          <w:szCs w:val="21"/>
          <w:highlight w:val="none"/>
          <w:u w:val="single"/>
        </w:rPr>
        <w:t xml:space="preserve">                                                        </w:t>
      </w:r>
    </w:p>
    <w:p w14:paraId="7BB95B6B">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地    址：</w:t>
      </w:r>
      <w:r>
        <w:rPr>
          <w:rFonts w:hint="eastAsia" w:asciiTheme="majorEastAsia" w:hAnsiTheme="majorEastAsia" w:eastAsiaTheme="majorEastAsia"/>
          <w:color w:val="auto"/>
          <w:szCs w:val="21"/>
          <w:highlight w:val="none"/>
          <w:u w:val="single"/>
        </w:rPr>
        <w:t xml:space="preserve">                                                        </w:t>
      </w:r>
    </w:p>
    <w:p w14:paraId="3DFCA591">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姓    名：</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性      别：</w:t>
      </w:r>
      <w:r>
        <w:rPr>
          <w:rFonts w:hint="eastAsia" w:asciiTheme="majorEastAsia" w:hAnsiTheme="majorEastAsia" w:eastAsiaTheme="majorEastAsia"/>
          <w:color w:val="auto"/>
          <w:szCs w:val="21"/>
          <w:highlight w:val="none"/>
          <w:u w:val="single"/>
        </w:rPr>
        <w:t xml:space="preserve">                </w:t>
      </w:r>
    </w:p>
    <w:p w14:paraId="32C6FABD">
      <w:pPr>
        <w:spacing w:line="500" w:lineRule="exact"/>
        <w:ind w:left="540"/>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年    龄：</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职      务：</w:t>
      </w:r>
      <w:r>
        <w:rPr>
          <w:rFonts w:hint="eastAsia" w:asciiTheme="majorEastAsia" w:hAnsiTheme="majorEastAsia" w:eastAsiaTheme="majorEastAsia"/>
          <w:color w:val="auto"/>
          <w:szCs w:val="21"/>
          <w:highlight w:val="none"/>
          <w:u w:val="single"/>
        </w:rPr>
        <w:t xml:space="preserve">                </w:t>
      </w:r>
    </w:p>
    <w:p w14:paraId="096F1F4B">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身份证号码：</w:t>
      </w:r>
      <w:r>
        <w:rPr>
          <w:rFonts w:hint="eastAsia" w:asciiTheme="majorEastAsia" w:hAnsiTheme="majorEastAsia" w:eastAsiaTheme="majorEastAsia"/>
          <w:color w:val="auto"/>
          <w:szCs w:val="21"/>
          <w:highlight w:val="none"/>
          <w:u w:val="single"/>
        </w:rPr>
        <w:t xml:space="preserve">                                 </w:t>
      </w:r>
    </w:p>
    <w:p w14:paraId="701830DB">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系</w:t>
      </w:r>
      <w:r>
        <w:rPr>
          <w:rFonts w:hint="eastAsia" w:asciiTheme="majorEastAsia" w:hAnsiTheme="majorEastAsia" w:eastAsiaTheme="majorEastAsia"/>
          <w:color w:val="auto"/>
          <w:szCs w:val="21"/>
          <w:highlight w:val="none"/>
          <w:u w:val="single"/>
        </w:rPr>
        <w:t xml:space="preserve">            （投标人名称）              </w:t>
      </w:r>
      <w:r>
        <w:rPr>
          <w:rFonts w:hint="eastAsia" w:asciiTheme="majorEastAsia" w:hAnsiTheme="majorEastAsia" w:eastAsiaTheme="majorEastAsia"/>
          <w:color w:val="auto"/>
          <w:szCs w:val="21"/>
          <w:highlight w:val="none"/>
        </w:rPr>
        <w:t>的法定代表人（或负责人）。</w:t>
      </w:r>
    </w:p>
    <w:p w14:paraId="3D85A713">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特此证明。</w:t>
      </w:r>
    </w:p>
    <w:p w14:paraId="276AD083">
      <w:pPr>
        <w:spacing w:line="500" w:lineRule="exact"/>
        <w:ind w:left="540"/>
        <w:rPr>
          <w:rFonts w:hint="eastAsia" w:asciiTheme="majorEastAsia" w:hAnsiTheme="majorEastAsia" w:eastAsiaTheme="majorEastAsia"/>
          <w:color w:val="auto"/>
          <w:szCs w:val="21"/>
          <w:highlight w:val="none"/>
        </w:rPr>
      </w:pPr>
    </w:p>
    <w:p w14:paraId="0E9C64BC">
      <w:pPr>
        <w:spacing w:line="500" w:lineRule="exact"/>
        <w:ind w:left="540"/>
        <w:rPr>
          <w:rFonts w:hint="eastAsia" w:asciiTheme="majorEastAsia" w:hAnsiTheme="majorEastAsia" w:eastAsiaTheme="majorEastAsia"/>
          <w:color w:val="auto"/>
          <w:szCs w:val="21"/>
          <w:highlight w:val="none"/>
        </w:rPr>
      </w:pPr>
    </w:p>
    <w:p w14:paraId="022EF634">
      <w:pPr>
        <w:spacing w:line="500" w:lineRule="exact"/>
        <w:ind w:left="54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附件：法定代表人（或负责人）有效身份证正反面复印件</w:t>
      </w:r>
    </w:p>
    <w:p w14:paraId="78F6D0C5">
      <w:pPr>
        <w:spacing w:line="500" w:lineRule="exact"/>
        <w:ind w:left="540"/>
        <w:rPr>
          <w:rFonts w:hint="eastAsia" w:asciiTheme="majorEastAsia" w:hAnsiTheme="majorEastAsia" w:eastAsiaTheme="majorEastAsia"/>
          <w:color w:val="auto"/>
          <w:szCs w:val="21"/>
          <w:highlight w:val="none"/>
        </w:rPr>
      </w:pPr>
    </w:p>
    <w:p w14:paraId="7D71A7BD">
      <w:pPr>
        <w:spacing w:line="500" w:lineRule="exact"/>
        <w:ind w:left="540"/>
        <w:jc w:val="righ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投标人名称（电子签章）</w:t>
      </w:r>
    </w:p>
    <w:p w14:paraId="62341940">
      <w:pPr>
        <w:spacing w:line="500" w:lineRule="exact"/>
        <w:ind w:left="540"/>
        <w:jc w:val="right"/>
        <w:rPr>
          <w:rFonts w:hint="eastAsia" w:asciiTheme="majorEastAsia" w:hAnsiTheme="majorEastAsia" w:eastAsiaTheme="majorEastAsia"/>
          <w:color w:val="auto"/>
          <w:szCs w:val="21"/>
          <w:highlight w:val="none"/>
        </w:rPr>
      </w:pPr>
    </w:p>
    <w:p w14:paraId="66F7504D">
      <w:pPr>
        <w:snapToGrid w:val="0"/>
        <w:spacing w:before="120" w:beforeLines="50" w:after="50"/>
        <w:ind w:left="540"/>
        <w:jc w:val="righ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年</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月</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日</w:t>
      </w:r>
    </w:p>
    <w:p w14:paraId="017C1AC4">
      <w:pPr>
        <w:snapToGrid w:val="0"/>
        <w:spacing w:before="120" w:beforeLines="50" w:after="50"/>
        <w:jc w:val="center"/>
        <w:rPr>
          <w:rFonts w:hint="eastAsia" w:asciiTheme="majorEastAsia" w:hAnsiTheme="majorEastAsia" w:eastAsiaTheme="majorEastAsia"/>
          <w:b/>
          <w:color w:val="auto"/>
          <w:szCs w:val="21"/>
          <w:highlight w:val="none"/>
        </w:rPr>
      </w:pPr>
    </w:p>
    <w:p w14:paraId="10C986E6">
      <w:pPr>
        <w:snapToGrid w:val="0"/>
        <w:spacing w:before="120" w:beforeLines="50" w:after="50"/>
        <w:jc w:val="left"/>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注：自然人投标的无需提供</w:t>
      </w:r>
    </w:p>
    <w:p w14:paraId="02CA0945">
      <w:pPr>
        <w:snapToGrid w:val="0"/>
        <w:spacing w:before="120" w:beforeLines="50" w:after="50"/>
        <w:jc w:val="left"/>
        <w:rPr>
          <w:rFonts w:hint="eastAsia" w:asciiTheme="majorEastAsia" w:hAnsiTheme="majorEastAsia" w:eastAsiaTheme="majorEastAsia"/>
          <w:b/>
          <w:color w:val="auto"/>
          <w:sz w:val="24"/>
          <w:szCs w:val="20"/>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5.授权委托书格式</w:t>
      </w:r>
    </w:p>
    <w:p w14:paraId="08679CC9">
      <w:pPr>
        <w:spacing w:line="360" w:lineRule="auto"/>
        <w:contextualSpacing/>
        <w:jc w:val="center"/>
        <w:rPr>
          <w:rFonts w:hint="eastAsia" w:cs="方正小标宋简体" w:asciiTheme="majorEastAsia" w:hAnsiTheme="majorEastAsia" w:eastAsiaTheme="majorEastAsia"/>
          <w:bCs/>
          <w:color w:val="auto"/>
          <w:sz w:val="44"/>
          <w:szCs w:val="44"/>
          <w:highlight w:val="none"/>
        </w:rPr>
      </w:pPr>
      <w:r>
        <w:rPr>
          <w:rFonts w:hint="eastAsia" w:cs="方正小标宋简体" w:asciiTheme="majorEastAsia" w:hAnsiTheme="majorEastAsia" w:eastAsiaTheme="majorEastAsia"/>
          <w:bCs/>
          <w:color w:val="auto"/>
          <w:sz w:val="44"/>
          <w:szCs w:val="44"/>
          <w:highlight w:val="none"/>
        </w:rPr>
        <w:t>授权委托书</w:t>
      </w:r>
    </w:p>
    <w:p w14:paraId="18B51C08">
      <w:pPr>
        <w:spacing w:line="360" w:lineRule="auto"/>
        <w:contextualSpacing/>
        <w:jc w:val="center"/>
        <w:rPr>
          <w:rFonts w:hint="eastAsia" w:cs="方正小标宋简体" w:asciiTheme="majorEastAsia" w:hAnsiTheme="majorEastAsia" w:eastAsiaTheme="majorEastAsia"/>
          <w:bCs/>
          <w:color w:val="auto"/>
          <w:sz w:val="32"/>
          <w:szCs w:val="32"/>
          <w:highlight w:val="none"/>
        </w:rPr>
      </w:pPr>
      <w:r>
        <w:rPr>
          <w:rFonts w:hint="eastAsia" w:cs="方正小标宋简体" w:asciiTheme="majorEastAsia" w:hAnsiTheme="majorEastAsia" w:eastAsiaTheme="majorEastAsia"/>
          <w:bCs/>
          <w:color w:val="auto"/>
          <w:sz w:val="32"/>
          <w:szCs w:val="32"/>
          <w:highlight w:val="none"/>
        </w:rPr>
        <w:t>（非联合体投标格式）</w:t>
      </w:r>
    </w:p>
    <w:p w14:paraId="6F0A8320">
      <w:pPr>
        <w:spacing w:line="360" w:lineRule="auto"/>
        <w:contextualSpacing/>
        <w:jc w:val="center"/>
        <w:rPr>
          <w:rFonts w:hint="eastAsia" w:cs="方正小标宋简体" w:asciiTheme="majorEastAsia" w:hAnsiTheme="majorEastAsia" w:eastAsiaTheme="majorEastAsia"/>
          <w:bCs/>
          <w:color w:val="auto"/>
          <w:sz w:val="24"/>
          <w:highlight w:val="none"/>
        </w:rPr>
      </w:pPr>
      <w:r>
        <w:rPr>
          <w:rFonts w:hint="eastAsia" w:cs="方正小标宋简体" w:asciiTheme="majorEastAsia" w:hAnsiTheme="majorEastAsia" w:eastAsiaTheme="majorEastAsia"/>
          <w:bCs/>
          <w:color w:val="auto"/>
          <w:sz w:val="32"/>
          <w:szCs w:val="32"/>
          <w:highlight w:val="none"/>
        </w:rPr>
        <w:t>（如有委托时）</w:t>
      </w:r>
    </w:p>
    <w:p w14:paraId="0EF4EE5C">
      <w:pPr>
        <w:spacing w:line="440" w:lineRule="exact"/>
        <w:contextualSpacing/>
        <w:jc w:val="center"/>
        <w:rPr>
          <w:rFonts w:hint="eastAsia" w:asciiTheme="majorEastAsia" w:hAnsiTheme="majorEastAsia" w:eastAsiaTheme="majorEastAsia"/>
          <w:b/>
          <w:color w:val="auto"/>
          <w:sz w:val="24"/>
          <w:highlight w:val="none"/>
        </w:rPr>
      </w:pPr>
    </w:p>
    <w:p w14:paraId="328F575E">
      <w:pPr>
        <w:spacing w:line="440" w:lineRule="exact"/>
        <w:contextualSpacing/>
        <w:rPr>
          <w:rFonts w:hint="eastAsia" w:asciiTheme="majorEastAsia" w:hAnsiTheme="majorEastAsia" w:eastAsiaTheme="majorEastAsia"/>
          <w:b/>
          <w:bCs/>
          <w:color w:val="auto"/>
          <w:szCs w:val="21"/>
          <w:highlight w:val="none"/>
        </w:rPr>
      </w:pPr>
      <w:r>
        <w:rPr>
          <w:rFonts w:hint="eastAsia" w:asciiTheme="majorEastAsia" w:hAnsiTheme="majorEastAsia" w:eastAsiaTheme="majorEastAsia"/>
          <w:bCs/>
          <w:color w:val="auto"/>
          <w:szCs w:val="21"/>
          <w:highlight w:val="none"/>
        </w:rPr>
        <w:t>致：</w:t>
      </w:r>
      <w:r>
        <w:rPr>
          <w:rFonts w:hint="eastAsia" w:asciiTheme="majorEastAsia" w:hAnsiTheme="majorEastAsia" w:eastAsiaTheme="majorEastAsia"/>
          <w:color w:val="auto"/>
          <w:szCs w:val="21"/>
          <w:highlight w:val="none"/>
          <w:u w:val="single"/>
        </w:rPr>
        <w:t>采购人名称</w:t>
      </w:r>
      <w:r>
        <w:rPr>
          <w:rFonts w:hint="eastAsia" w:asciiTheme="majorEastAsia" w:hAnsiTheme="majorEastAsia" w:eastAsiaTheme="majorEastAsia"/>
          <w:color w:val="auto"/>
          <w:szCs w:val="21"/>
          <w:highlight w:val="none"/>
        </w:rPr>
        <w:t>：</w:t>
      </w:r>
    </w:p>
    <w:p w14:paraId="4F200808">
      <w:pPr>
        <w:spacing w:line="440" w:lineRule="exact"/>
        <w:ind w:firstLine="495" w:firstLineChars="236"/>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我</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（姓名）系</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（投标人名称）的法定代表人（或负责人），现授权委托</w:t>
      </w:r>
      <w:r>
        <w:rPr>
          <w:rFonts w:hint="eastAsia" w:asciiTheme="majorEastAsia" w:hAnsiTheme="majorEastAsia" w:eastAsiaTheme="majorEastAsia"/>
          <w:color w:val="auto"/>
          <w:szCs w:val="21"/>
          <w:highlight w:val="none"/>
          <w:u w:val="single"/>
        </w:rPr>
        <w:t xml:space="preserve">              （姓名）</w:t>
      </w:r>
      <w:r>
        <w:rPr>
          <w:rFonts w:hint="eastAsia" w:asciiTheme="majorEastAsia" w:hAnsiTheme="majorEastAsia" w:eastAsiaTheme="majorEastAsia"/>
          <w:color w:val="auto"/>
          <w:szCs w:val="21"/>
          <w:highlight w:val="none"/>
        </w:rPr>
        <w:t>以我方的名义参加</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项目的投标活动，并代表我方全权办理针对上述项目的所有采购程序和环节的具体事务和签署相关文件。</w:t>
      </w:r>
    </w:p>
    <w:p w14:paraId="74859D30">
      <w:pPr>
        <w:spacing w:line="44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我方对委托代理人的签字或者电子签名事项负全部责任。</w:t>
      </w:r>
    </w:p>
    <w:p w14:paraId="3F7BD60F">
      <w:pPr>
        <w:spacing w:line="44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u w:val="single"/>
        </w:rPr>
        <w:t>本授权书自签署之日起生效，在撤销授权的书面通知以前，本授权书一直有效。委托代理人在授权书有效期内签署的所有文件不因授权的撤销而失效。</w:t>
      </w:r>
    </w:p>
    <w:p w14:paraId="691CEE3E">
      <w:pPr>
        <w:spacing w:line="44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委托代理人无转委托权，特此委托。</w:t>
      </w:r>
    </w:p>
    <w:p w14:paraId="44FB4781">
      <w:pPr>
        <w:spacing w:line="440" w:lineRule="exact"/>
        <w:ind w:firstLine="480"/>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附：法定代表人（或负责人）身份证明及委托代理人有效身份证正反面复印件</w:t>
      </w:r>
    </w:p>
    <w:p w14:paraId="0429A6A2">
      <w:pPr>
        <w:spacing w:line="440" w:lineRule="exact"/>
        <w:contextualSpacing/>
        <w:rPr>
          <w:rFonts w:hint="eastAsia" w:asciiTheme="majorEastAsia" w:hAnsiTheme="majorEastAsia" w:eastAsiaTheme="majorEastAsia"/>
          <w:color w:val="auto"/>
          <w:szCs w:val="21"/>
          <w:highlight w:val="none"/>
        </w:rPr>
      </w:pPr>
    </w:p>
    <w:p w14:paraId="42DCF1A7">
      <w:pPr>
        <w:spacing w:line="44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委托代理人（签字或电子签名）：</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w:t>
      </w:r>
    </w:p>
    <w:p w14:paraId="41AF337D">
      <w:pPr>
        <w:spacing w:line="440" w:lineRule="exact"/>
        <w:contextualSpacing/>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委托代理人身份证号码：</w:t>
      </w:r>
      <w:r>
        <w:rPr>
          <w:rFonts w:hint="eastAsia" w:asciiTheme="majorEastAsia" w:hAnsiTheme="majorEastAsia" w:eastAsiaTheme="majorEastAsia"/>
          <w:color w:val="auto"/>
          <w:szCs w:val="21"/>
          <w:highlight w:val="none"/>
          <w:u w:val="single"/>
        </w:rPr>
        <w:t xml:space="preserve">                             </w:t>
      </w:r>
    </w:p>
    <w:p w14:paraId="4F9CDDC4">
      <w:pPr>
        <w:spacing w:line="440" w:lineRule="exact"/>
        <w:contextualSpacing/>
        <w:rPr>
          <w:rFonts w:hint="eastAsia" w:asciiTheme="majorEastAsia" w:hAnsiTheme="majorEastAsia" w:eastAsiaTheme="majorEastAsia"/>
          <w:color w:val="auto"/>
          <w:szCs w:val="21"/>
          <w:highlight w:val="none"/>
          <w:u w:val="single"/>
        </w:rPr>
      </w:pPr>
      <w:r>
        <w:rPr>
          <w:rFonts w:hint="eastAsia" w:asciiTheme="majorEastAsia" w:hAnsiTheme="majorEastAsia" w:eastAsiaTheme="majorEastAsia"/>
          <w:color w:val="auto"/>
          <w:szCs w:val="21"/>
          <w:highlight w:val="none"/>
        </w:rPr>
        <w:t>法定代表人（或负责人）（签字或电子签名）：</w:t>
      </w:r>
      <w:r>
        <w:rPr>
          <w:rFonts w:hint="eastAsia" w:asciiTheme="majorEastAsia" w:hAnsiTheme="majorEastAsia" w:eastAsiaTheme="majorEastAsia"/>
          <w:color w:val="auto"/>
          <w:szCs w:val="21"/>
          <w:highlight w:val="none"/>
          <w:u w:val="single"/>
        </w:rPr>
        <w:t xml:space="preserve">              </w:t>
      </w:r>
    </w:p>
    <w:p w14:paraId="22A9594D">
      <w:pPr>
        <w:spacing w:line="440" w:lineRule="exact"/>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w:t>
      </w:r>
    </w:p>
    <w:p w14:paraId="5C50C091">
      <w:pPr>
        <w:spacing w:line="440" w:lineRule="exact"/>
        <w:contextualSpacing/>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投标人名称（电子签章）：</w:t>
      </w:r>
    </w:p>
    <w:p w14:paraId="05953682">
      <w:pPr>
        <w:spacing w:line="440" w:lineRule="exact"/>
        <w:contextualSpacing/>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年    月    日</w:t>
      </w:r>
    </w:p>
    <w:p w14:paraId="0BF7AA92">
      <w:pPr>
        <w:spacing w:line="440" w:lineRule="exact"/>
        <w:contextualSpacing/>
        <w:rPr>
          <w:rFonts w:hint="eastAsia" w:cs="仿宋_GB2312"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注：1.</w:t>
      </w:r>
      <w:bookmarkStart w:id="161" w:name="_Hlk65851555"/>
      <w:bookmarkStart w:id="162" w:name="_Hlk65851620"/>
      <w:r>
        <w:rPr>
          <w:rFonts w:hint="eastAsia" w:cs="仿宋_GB2312" w:asciiTheme="majorEastAsia" w:hAnsiTheme="majorEastAsia" w:eastAsiaTheme="majorEastAsia"/>
          <w:color w:val="auto"/>
          <w:szCs w:val="21"/>
          <w:highlight w:val="none"/>
        </w:rPr>
        <w:t>法定代表人（或负责人）必须在授权委托书上亲笔签字或者盖章</w:t>
      </w:r>
      <w:r>
        <w:rPr>
          <w:rFonts w:hint="eastAsia" w:asciiTheme="majorEastAsia" w:hAnsiTheme="majorEastAsia" w:eastAsiaTheme="majorEastAsia"/>
          <w:color w:val="auto"/>
          <w:szCs w:val="21"/>
          <w:highlight w:val="none"/>
        </w:rPr>
        <w:t>或者电子签名</w:t>
      </w:r>
      <w:r>
        <w:rPr>
          <w:rFonts w:hint="eastAsia" w:cs="仿宋_GB2312" w:asciiTheme="majorEastAsia" w:hAnsiTheme="majorEastAsia" w:eastAsiaTheme="majorEastAsia"/>
          <w:color w:val="auto"/>
          <w:szCs w:val="21"/>
          <w:highlight w:val="none"/>
        </w:rPr>
        <w:t>，</w:t>
      </w:r>
      <w:bookmarkEnd w:id="161"/>
      <w:r>
        <w:rPr>
          <w:rFonts w:hint="eastAsia" w:cs="仿宋_GB2312" w:asciiTheme="majorEastAsia" w:hAnsiTheme="majorEastAsia" w:eastAsiaTheme="majorEastAsia"/>
          <w:color w:val="auto"/>
          <w:szCs w:val="21"/>
          <w:highlight w:val="none"/>
        </w:rPr>
        <w:t>委托代理人必须在授权委托书上亲笔签字</w:t>
      </w:r>
      <w:r>
        <w:rPr>
          <w:rFonts w:hint="eastAsia" w:asciiTheme="majorEastAsia" w:hAnsiTheme="majorEastAsia" w:eastAsiaTheme="majorEastAsia"/>
          <w:color w:val="auto"/>
          <w:szCs w:val="21"/>
          <w:highlight w:val="none"/>
        </w:rPr>
        <w:t>或者电子签名</w:t>
      </w:r>
      <w:r>
        <w:rPr>
          <w:rFonts w:hint="eastAsia" w:cs="仿宋_GB2312" w:asciiTheme="majorEastAsia" w:hAnsiTheme="majorEastAsia" w:eastAsiaTheme="majorEastAsia"/>
          <w:color w:val="auto"/>
          <w:szCs w:val="21"/>
          <w:highlight w:val="none"/>
        </w:rPr>
        <w:t>，</w:t>
      </w:r>
      <w:r>
        <w:rPr>
          <w:rFonts w:hint="eastAsia" w:cs="仿宋_GB2312" w:asciiTheme="majorEastAsia" w:hAnsiTheme="majorEastAsia" w:eastAsiaTheme="majorEastAsia"/>
          <w:b/>
          <w:bCs/>
          <w:color w:val="auto"/>
          <w:szCs w:val="21"/>
          <w:highlight w:val="none"/>
        </w:rPr>
        <w:t>否则按无效投标处理</w:t>
      </w:r>
      <w:r>
        <w:rPr>
          <w:rFonts w:hint="eastAsia" w:cs="仿宋_GB2312" w:asciiTheme="majorEastAsia" w:hAnsiTheme="majorEastAsia" w:eastAsiaTheme="majorEastAsia"/>
          <w:color w:val="auto"/>
          <w:szCs w:val="21"/>
          <w:highlight w:val="none"/>
        </w:rPr>
        <w:t>；</w:t>
      </w:r>
      <w:bookmarkEnd w:id="162"/>
    </w:p>
    <w:p w14:paraId="15D214BD">
      <w:pPr>
        <w:spacing w:line="440" w:lineRule="exact"/>
        <w:ind w:firstLine="420" w:firstLineChars="200"/>
        <w:contextualSpacing/>
        <w:jc w:val="left"/>
        <w:rPr>
          <w:rFonts w:hint="eastAsia"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2.法人、其他组织投标时“我方”是指“我单位”，自然人投标时“我方”是指“本人”。</w:t>
      </w:r>
    </w:p>
    <w:p w14:paraId="4216B453">
      <w:pPr>
        <w:rPr>
          <w:rFonts w:hint="eastAsia"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br w:type="page"/>
      </w:r>
    </w:p>
    <w:p w14:paraId="1024B862">
      <w:pPr>
        <w:rPr>
          <w:rFonts w:hint="eastAsia" w:asciiTheme="majorEastAsia" w:hAnsiTheme="majorEastAsia" w:eastAsiaTheme="majorEastAsia"/>
          <w:b/>
          <w:color w:val="auto"/>
          <w:sz w:val="24"/>
          <w:szCs w:val="20"/>
          <w:highlight w:val="none"/>
        </w:rPr>
      </w:pPr>
      <w:r>
        <w:rPr>
          <w:rFonts w:hint="eastAsia" w:asciiTheme="majorEastAsia" w:hAnsiTheme="majorEastAsia" w:eastAsiaTheme="majorEastAsia"/>
          <w:b/>
          <w:color w:val="auto"/>
          <w:sz w:val="24"/>
          <w:highlight w:val="none"/>
        </w:rPr>
        <w:t>6.商务要求偏离表格式（注：按项目需求表具体项目修改）</w:t>
      </w:r>
    </w:p>
    <w:p w14:paraId="6734DE66">
      <w:pPr>
        <w:pStyle w:val="27"/>
        <w:rPr>
          <w:rFonts w:hint="eastAsia" w:asciiTheme="majorEastAsia" w:hAnsiTheme="majorEastAsia" w:eastAsiaTheme="majorEastAsia"/>
          <w:b/>
          <w:color w:val="auto"/>
          <w:sz w:val="24"/>
          <w:highlight w:val="none"/>
        </w:rPr>
      </w:pPr>
    </w:p>
    <w:p w14:paraId="54BD38EE">
      <w:pPr>
        <w:pStyle w:val="27"/>
        <w:jc w:val="center"/>
        <w:rPr>
          <w:rFonts w:hint="eastAsia" w:asciiTheme="majorEastAsia" w:hAnsiTheme="majorEastAsia" w:eastAsiaTheme="majorEastAsia"/>
          <w:color w:val="auto"/>
          <w:sz w:val="32"/>
          <w:szCs w:val="32"/>
          <w:highlight w:val="none"/>
        </w:rPr>
      </w:pPr>
      <w:r>
        <w:rPr>
          <w:rFonts w:hint="eastAsia" w:asciiTheme="majorEastAsia" w:hAnsiTheme="majorEastAsia" w:eastAsiaTheme="majorEastAsia"/>
          <w:b/>
          <w:color w:val="auto"/>
          <w:sz w:val="32"/>
          <w:szCs w:val="32"/>
          <w:highlight w:val="none"/>
        </w:rPr>
        <w:t>商务要求偏离表</w:t>
      </w:r>
    </w:p>
    <w:p w14:paraId="2BA5DD6D">
      <w:pPr>
        <w:snapToGrid w:val="0"/>
        <w:spacing w:before="5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52"/>
        <w:gridCol w:w="2662"/>
        <w:gridCol w:w="1701"/>
        <w:gridCol w:w="1326"/>
      </w:tblGrid>
      <w:tr w14:paraId="37839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952" w:type="dxa"/>
            <w:tcBorders>
              <w:top w:val="single" w:color="auto" w:sz="4" w:space="0"/>
              <w:left w:val="single" w:color="auto" w:sz="4" w:space="0"/>
              <w:bottom w:val="single" w:color="auto" w:sz="4" w:space="0"/>
              <w:right w:val="single" w:color="auto" w:sz="4" w:space="0"/>
            </w:tcBorders>
          </w:tcPr>
          <w:p w14:paraId="37770832">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项目</w:t>
            </w:r>
          </w:p>
        </w:tc>
        <w:tc>
          <w:tcPr>
            <w:tcW w:w="2662" w:type="dxa"/>
            <w:tcBorders>
              <w:top w:val="single" w:color="auto" w:sz="4" w:space="0"/>
              <w:left w:val="single" w:color="auto" w:sz="4" w:space="0"/>
              <w:bottom w:val="single" w:color="auto" w:sz="4" w:space="0"/>
              <w:right w:val="single" w:color="auto" w:sz="4" w:space="0"/>
            </w:tcBorders>
          </w:tcPr>
          <w:p w14:paraId="7A8F78F4">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招标文件商务要求</w:t>
            </w:r>
          </w:p>
        </w:tc>
        <w:tc>
          <w:tcPr>
            <w:tcW w:w="1701" w:type="dxa"/>
            <w:tcBorders>
              <w:top w:val="single" w:color="auto" w:sz="4" w:space="0"/>
              <w:left w:val="single" w:color="auto" w:sz="4" w:space="0"/>
              <w:bottom w:val="single" w:color="auto" w:sz="4" w:space="0"/>
              <w:right w:val="single" w:color="auto" w:sz="4" w:space="0"/>
            </w:tcBorders>
          </w:tcPr>
          <w:p w14:paraId="4A4D76D8">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投标人的承诺</w:t>
            </w:r>
          </w:p>
        </w:tc>
        <w:tc>
          <w:tcPr>
            <w:tcW w:w="1326" w:type="dxa"/>
            <w:tcBorders>
              <w:top w:val="single" w:color="auto" w:sz="4" w:space="0"/>
              <w:left w:val="single" w:color="auto" w:sz="4" w:space="0"/>
              <w:bottom w:val="single" w:color="auto" w:sz="4" w:space="0"/>
              <w:right w:val="single" w:color="auto" w:sz="4" w:space="0"/>
            </w:tcBorders>
          </w:tcPr>
          <w:p w14:paraId="4999C54F">
            <w:pPr>
              <w:snapToGrid w:val="0"/>
              <w:spacing w:before="120" w:before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偏离说明</w:t>
            </w:r>
          </w:p>
        </w:tc>
      </w:tr>
      <w:tr w14:paraId="1AC46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441AD99A">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08F245CD">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3A5C773D">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54694AC3">
            <w:pPr>
              <w:snapToGrid w:val="0"/>
              <w:spacing w:line="400" w:lineRule="exact"/>
              <w:jc w:val="center"/>
              <w:rPr>
                <w:rFonts w:hint="eastAsia" w:asciiTheme="majorEastAsia" w:hAnsiTheme="majorEastAsia" w:eastAsiaTheme="majorEastAsia"/>
                <w:color w:val="auto"/>
                <w:szCs w:val="21"/>
                <w:highlight w:val="none"/>
              </w:rPr>
            </w:pPr>
          </w:p>
        </w:tc>
      </w:tr>
      <w:tr w14:paraId="2B029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24FB7F92">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6B938C84">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3FB89144">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11B2740F">
            <w:pPr>
              <w:snapToGrid w:val="0"/>
              <w:spacing w:line="400" w:lineRule="exact"/>
              <w:jc w:val="center"/>
              <w:rPr>
                <w:rFonts w:hint="eastAsia" w:asciiTheme="majorEastAsia" w:hAnsiTheme="majorEastAsia" w:eastAsiaTheme="majorEastAsia"/>
                <w:color w:val="auto"/>
                <w:szCs w:val="21"/>
                <w:highlight w:val="none"/>
              </w:rPr>
            </w:pPr>
          </w:p>
        </w:tc>
      </w:tr>
      <w:tr w14:paraId="2E583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EC338F2">
            <w:pPr>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7A6DBC73">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36C609F4">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1DBD2916">
            <w:pPr>
              <w:snapToGrid w:val="0"/>
              <w:spacing w:line="400" w:lineRule="exact"/>
              <w:ind w:left="43"/>
              <w:jc w:val="center"/>
              <w:rPr>
                <w:rFonts w:hint="eastAsia" w:asciiTheme="majorEastAsia" w:hAnsiTheme="majorEastAsia" w:eastAsiaTheme="majorEastAsia"/>
                <w:color w:val="auto"/>
                <w:szCs w:val="21"/>
                <w:highlight w:val="none"/>
              </w:rPr>
            </w:pPr>
          </w:p>
        </w:tc>
      </w:tr>
      <w:tr w14:paraId="31236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1667C7BF">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200052F1">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653446D5">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4B662B66">
            <w:pPr>
              <w:snapToGrid w:val="0"/>
              <w:spacing w:line="400" w:lineRule="exact"/>
              <w:ind w:left="43"/>
              <w:jc w:val="center"/>
              <w:rPr>
                <w:rFonts w:hint="eastAsia" w:asciiTheme="majorEastAsia" w:hAnsiTheme="majorEastAsia" w:eastAsiaTheme="majorEastAsia"/>
                <w:color w:val="auto"/>
                <w:szCs w:val="21"/>
                <w:highlight w:val="none"/>
              </w:rPr>
            </w:pPr>
          </w:p>
        </w:tc>
      </w:tr>
      <w:tr w14:paraId="200E1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E0EEDBB">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02DD672A">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6BD0BC67">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480BCD69">
            <w:pPr>
              <w:snapToGrid w:val="0"/>
              <w:spacing w:line="400" w:lineRule="exact"/>
              <w:ind w:left="43"/>
              <w:jc w:val="center"/>
              <w:rPr>
                <w:rFonts w:hint="eastAsia" w:asciiTheme="majorEastAsia" w:hAnsiTheme="majorEastAsia" w:eastAsiaTheme="majorEastAsia"/>
                <w:color w:val="auto"/>
                <w:szCs w:val="21"/>
                <w:highlight w:val="none"/>
              </w:rPr>
            </w:pPr>
          </w:p>
        </w:tc>
      </w:tr>
      <w:tr w14:paraId="5835B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A3BFC56">
            <w:pPr>
              <w:snapToGrid w:val="0"/>
              <w:spacing w:line="400" w:lineRule="exact"/>
              <w:jc w:val="center"/>
              <w:rPr>
                <w:rFonts w:hint="eastAsia" w:cs="宋体"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16D569F5">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5AB4BB61">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50630CB7">
            <w:pPr>
              <w:snapToGrid w:val="0"/>
              <w:spacing w:line="400" w:lineRule="exact"/>
              <w:ind w:left="43"/>
              <w:jc w:val="center"/>
              <w:rPr>
                <w:rFonts w:hint="eastAsia" w:asciiTheme="majorEastAsia" w:hAnsiTheme="majorEastAsia" w:eastAsiaTheme="majorEastAsia"/>
                <w:color w:val="auto"/>
                <w:szCs w:val="21"/>
                <w:highlight w:val="none"/>
              </w:rPr>
            </w:pPr>
          </w:p>
        </w:tc>
      </w:tr>
      <w:tr w14:paraId="73FC8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2551918">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545E5BD6">
            <w:pPr>
              <w:snapToGrid w:val="0"/>
              <w:spacing w:line="400" w:lineRule="exact"/>
              <w:rPr>
                <w:rFonts w:hint="eastAsia" w:asciiTheme="majorEastAsia" w:hAnsiTheme="majorEastAsia" w:eastAsiaTheme="majorEastAsia"/>
                <w:color w:val="auto"/>
                <w:szCs w:val="21"/>
                <w:highlight w:val="none"/>
                <w:u w:val="single"/>
              </w:rPr>
            </w:pPr>
          </w:p>
        </w:tc>
        <w:tc>
          <w:tcPr>
            <w:tcW w:w="1701" w:type="dxa"/>
            <w:tcBorders>
              <w:top w:val="single" w:color="auto" w:sz="4" w:space="0"/>
              <w:left w:val="single" w:color="auto" w:sz="4" w:space="0"/>
              <w:bottom w:val="single" w:color="auto" w:sz="4" w:space="0"/>
              <w:right w:val="single" w:color="auto" w:sz="4" w:space="0"/>
            </w:tcBorders>
          </w:tcPr>
          <w:p w14:paraId="2F38C719">
            <w:pPr>
              <w:snapToGrid w:val="0"/>
              <w:spacing w:line="400" w:lineRule="exact"/>
              <w:ind w:left="43"/>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2AA79E1E">
            <w:pPr>
              <w:snapToGrid w:val="0"/>
              <w:spacing w:line="400" w:lineRule="exact"/>
              <w:ind w:left="43"/>
              <w:jc w:val="center"/>
              <w:rPr>
                <w:rFonts w:hint="eastAsia" w:asciiTheme="majorEastAsia" w:hAnsiTheme="majorEastAsia" w:eastAsiaTheme="majorEastAsia"/>
                <w:color w:val="auto"/>
                <w:szCs w:val="21"/>
                <w:highlight w:val="none"/>
              </w:rPr>
            </w:pPr>
          </w:p>
        </w:tc>
      </w:tr>
      <w:tr w14:paraId="35E07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08EBE38B">
            <w:pPr>
              <w:snapToGrid w:val="0"/>
              <w:spacing w:line="400" w:lineRule="exact"/>
              <w:jc w:val="center"/>
              <w:rPr>
                <w:rFonts w:hint="eastAsia"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34E20289">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45F64C9C">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3A56DCE3">
            <w:pPr>
              <w:snapToGrid w:val="0"/>
              <w:spacing w:line="400" w:lineRule="exact"/>
              <w:jc w:val="center"/>
              <w:rPr>
                <w:rFonts w:hint="eastAsia" w:asciiTheme="majorEastAsia" w:hAnsiTheme="majorEastAsia" w:eastAsiaTheme="majorEastAsia"/>
                <w:color w:val="auto"/>
                <w:szCs w:val="21"/>
                <w:highlight w:val="none"/>
              </w:rPr>
            </w:pPr>
          </w:p>
        </w:tc>
      </w:tr>
      <w:tr w14:paraId="721D48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56F245AF">
            <w:pPr>
              <w:snapToGrid w:val="0"/>
              <w:spacing w:line="400" w:lineRule="exact"/>
              <w:jc w:val="center"/>
              <w:rPr>
                <w:rFonts w:hint="eastAsia" w:cs="宋体" w:asciiTheme="majorEastAsia" w:hAnsiTheme="majorEastAsia" w:eastAsiaTheme="majorEastAsia"/>
                <w:color w:val="auto"/>
                <w:szCs w:val="21"/>
                <w:highlight w:val="none"/>
              </w:rPr>
            </w:pPr>
          </w:p>
        </w:tc>
        <w:tc>
          <w:tcPr>
            <w:tcW w:w="2662" w:type="dxa"/>
            <w:tcBorders>
              <w:top w:val="single" w:color="auto" w:sz="4" w:space="0"/>
              <w:left w:val="single" w:color="auto" w:sz="4" w:space="0"/>
              <w:bottom w:val="single" w:color="auto" w:sz="4" w:space="0"/>
              <w:right w:val="single" w:color="auto" w:sz="4" w:space="0"/>
            </w:tcBorders>
          </w:tcPr>
          <w:p w14:paraId="742593BE">
            <w:pPr>
              <w:snapToGrid w:val="0"/>
              <w:spacing w:line="400" w:lineRule="exact"/>
              <w:jc w:val="center"/>
              <w:rPr>
                <w:rFonts w:hint="eastAsia" w:asciiTheme="majorEastAsia" w:hAnsiTheme="majorEastAsia" w:eastAsiaTheme="maj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tcPr>
          <w:p w14:paraId="5C56E3F4">
            <w:pPr>
              <w:snapToGrid w:val="0"/>
              <w:spacing w:line="400" w:lineRule="exact"/>
              <w:jc w:val="center"/>
              <w:rPr>
                <w:rFonts w:hint="eastAsia" w:asciiTheme="majorEastAsia" w:hAnsiTheme="majorEastAsia" w:eastAsiaTheme="majorEastAsia"/>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tcPr>
          <w:p w14:paraId="1F6D6961">
            <w:pPr>
              <w:snapToGrid w:val="0"/>
              <w:spacing w:line="400" w:lineRule="exact"/>
              <w:jc w:val="center"/>
              <w:rPr>
                <w:rFonts w:hint="eastAsia" w:asciiTheme="majorEastAsia" w:hAnsiTheme="majorEastAsia" w:eastAsiaTheme="majorEastAsia"/>
                <w:color w:val="auto"/>
                <w:szCs w:val="21"/>
                <w:highlight w:val="none"/>
              </w:rPr>
            </w:pPr>
          </w:p>
        </w:tc>
      </w:tr>
      <w:tr w14:paraId="09604A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52" w:type="dxa"/>
            <w:tcBorders>
              <w:top w:val="single" w:color="auto" w:sz="4" w:space="0"/>
              <w:left w:val="single" w:color="auto" w:sz="4" w:space="0"/>
              <w:bottom w:val="single" w:color="auto" w:sz="4" w:space="0"/>
              <w:right w:val="single" w:color="auto" w:sz="4" w:space="0"/>
            </w:tcBorders>
            <w:vAlign w:val="center"/>
          </w:tcPr>
          <w:p w14:paraId="79858E78">
            <w:pPr>
              <w:snapToGrid w:val="0"/>
              <w:spacing w:line="400" w:lineRule="exact"/>
              <w:jc w:val="center"/>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c>
          <w:tcPr>
            <w:tcW w:w="2662" w:type="dxa"/>
            <w:tcBorders>
              <w:top w:val="single" w:color="auto" w:sz="4" w:space="0"/>
              <w:left w:val="single" w:color="auto" w:sz="4" w:space="0"/>
              <w:bottom w:val="single" w:color="auto" w:sz="4" w:space="0"/>
              <w:right w:val="single" w:color="auto" w:sz="4" w:space="0"/>
            </w:tcBorders>
          </w:tcPr>
          <w:p w14:paraId="4C149235">
            <w:pPr>
              <w:snapToGrid w:val="0"/>
              <w:spacing w:line="400" w:lineRule="exact"/>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c>
          <w:tcPr>
            <w:tcW w:w="1701" w:type="dxa"/>
            <w:tcBorders>
              <w:top w:val="single" w:color="auto" w:sz="4" w:space="0"/>
              <w:left w:val="single" w:color="auto" w:sz="4" w:space="0"/>
              <w:bottom w:val="single" w:color="auto" w:sz="4" w:space="0"/>
              <w:right w:val="single" w:color="auto" w:sz="4" w:space="0"/>
            </w:tcBorders>
          </w:tcPr>
          <w:p w14:paraId="028AEC40">
            <w:pPr>
              <w:snapToGrid w:val="0"/>
              <w:spacing w:line="400" w:lineRule="exact"/>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c>
          <w:tcPr>
            <w:tcW w:w="1326" w:type="dxa"/>
            <w:tcBorders>
              <w:top w:val="single" w:color="auto" w:sz="4" w:space="0"/>
              <w:left w:val="single" w:color="auto" w:sz="4" w:space="0"/>
              <w:bottom w:val="single" w:color="auto" w:sz="4" w:space="0"/>
              <w:right w:val="single" w:color="auto" w:sz="4" w:space="0"/>
            </w:tcBorders>
          </w:tcPr>
          <w:p w14:paraId="6F7FBB92">
            <w:pPr>
              <w:snapToGrid w:val="0"/>
              <w:spacing w:line="400" w:lineRule="exact"/>
              <w:jc w:val="center"/>
              <w:rPr>
                <w:rFonts w:hint="eastAsia"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w:t>
            </w:r>
          </w:p>
        </w:tc>
      </w:tr>
    </w:tbl>
    <w:p w14:paraId="4FB3D467">
      <w:pPr>
        <w:pStyle w:val="19"/>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注：</w:t>
      </w:r>
    </w:p>
    <w:p w14:paraId="65DC54D9">
      <w:pPr>
        <w:pStyle w:val="21"/>
        <w:spacing w:line="520" w:lineRule="exact"/>
        <w:ind w:firstLine="0" w:firstLineChars="0"/>
        <w:rPr>
          <w:rFonts w:hint="eastAsia" w:cs="仿宋_GB2312"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1. 说明：应对照招标文件“第二章 采购需求”中的商务要求逐条作明确的投标响应，并作出偏离说明。</w:t>
      </w:r>
    </w:p>
    <w:p w14:paraId="7074BBEB">
      <w:pPr>
        <w:pStyle w:val="19"/>
        <w:rPr>
          <w:rFonts w:hint="eastAsia" w:asciiTheme="majorEastAsia" w:hAnsiTheme="majorEastAsia" w:eastAsiaTheme="majorEastAsia"/>
          <w:b w:val="0"/>
          <w:bCs w:val="0"/>
          <w:color w:val="auto"/>
          <w:sz w:val="21"/>
          <w:szCs w:val="21"/>
          <w:highlight w:val="none"/>
        </w:rPr>
      </w:pPr>
      <w:r>
        <w:rPr>
          <w:rFonts w:asciiTheme="majorEastAsia" w:hAnsiTheme="majorEastAsia" w:eastAsiaTheme="majorEastAsia"/>
          <w:b w:val="0"/>
          <w:bCs w:val="0"/>
          <w:color w:val="auto"/>
          <w:sz w:val="21"/>
          <w:szCs w:val="21"/>
          <w:highlight w:val="none"/>
        </w:rPr>
        <w:t>2.</w:t>
      </w:r>
      <w:r>
        <w:rPr>
          <w:rFonts w:hint="eastAsia" w:asciiTheme="majorEastAsia" w:hAnsiTheme="majorEastAsia" w:eastAsiaTheme="majorEastAsia"/>
          <w:b w:val="0"/>
          <w:bCs w:val="0"/>
          <w:color w:val="auto"/>
          <w:sz w:val="21"/>
          <w:szCs w:val="21"/>
          <w:highlight w:val="none"/>
        </w:rPr>
        <w:t>投标人应根据自身的承诺，对照招标文件要求在“偏离说明”中注明“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”或者“</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”。既不属于“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”也不属于“</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”即为“</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w:t>
      </w:r>
    </w:p>
    <w:p w14:paraId="6A45D4E2">
      <w:pPr>
        <w:pStyle w:val="19"/>
        <w:rPr>
          <w:rFonts w:hint="eastAsia" w:asciiTheme="majorEastAsia" w:hAnsiTheme="majorEastAsia" w:eastAsiaTheme="majorEastAsia"/>
          <w:b w:val="0"/>
          <w:bCs w:val="0"/>
          <w:color w:val="auto"/>
          <w:sz w:val="21"/>
          <w:szCs w:val="21"/>
          <w:highlight w:val="none"/>
        </w:rPr>
      </w:pPr>
      <w:r>
        <w:rPr>
          <w:rFonts w:hint="eastAsia" w:asciiTheme="majorEastAsia" w:hAnsiTheme="majorEastAsia" w:eastAsiaTheme="majorEastAsia"/>
          <w:b w:val="0"/>
          <w:bCs w:val="0"/>
          <w:color w:val="auto"/>
          <w:sz w:val="21"/>
          <w:szCs w:val="21"/>
          <w:highlight w:val="none"/>
        </w:rPr>
        <w:t>3.不按照要求填写承诺内容的或者仅填写“满足或者响应”的，均按无效投标处理。</w:t>
      </w:r>
    </w:p>
    <w:p w14:paraId="547E203C">
      <w:pPr>
        <w:snapToGrid w:val="0"/>
        <w:spacing w:before="50" w:after="50"/>
        <w:rPr>
          <w:rFonts w:hint="eastAsia" w:asciiTheme="majorEastAsia" w:hAnsiTheme="majorEastAsia" w:eastAsiaTheme="majorEastAsia"/>
          <w:color w:val="auto"/>
          <w:szCs w:val="21"/>
          <w:highlight w:val="none"/>
        </w:rPr>
      </w:pPr>
    </w:p>
    <w:p w14:paraId="37787CF6">
      <w:pPr>
        <w:snapToGrid w:val="0"/>
        <w:spacing w:before="50" w:after="50"/>
        <w:rPr>
          <w:rFonts w:hint="eastAsia" w:asciiTheme="majorEastAsia" w:hAnsiTheme="majorEastAsia" w:eastAsiaTheme="majorEastAsia"/>
          <w:color w:val="auto"/>
          <w:szCs w:val="21"/>
          <w:highlight w:val="none"/>
        </w:rPr>
      </w:pPr>
    </w:p>
    <w:p w14:paraId="43B3FB5B">
      <w:pPr>
        <w:snapToGrid w:val="0"/>
        <w:spacing w:before="50" w:after="50"/>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3A6A104C">
      <w:pPr>
        <w:snapToGrid w:val="0"/>
        <w:spacing w:before="120" w:beforeLines="50"/>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62F2286B">
      <w:pPr>
        <w:snapToGrid w:val="0"/>
        <w:spacing w:before="120" w:beforeLines="5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6FAA30C6">
      <w:pPr>
        <w:snapToGrid w:val="0"/>
        <w:spacing w:before="120" w:beforeLines="50" w:after="50"/>
        <w:jc w:val="left"/>
        <w:rPr>
          <w:rFonts w:hint="eastAsia" w:asciiTheme="majorEastAsia" w:hAnsiTheme="majorEastAsia" w:eastAsiaTheme="majorEastAsia"/>
          <w:b/>
          <w:color w:val="auto"/>
          <w:sz w:val="24"/>
          <w:highlight w:val="none"/>
        </w:rPr>
        <w:sectPr>
          <w:pgSz w:w="11906" w:h="16838"/>
          <w:pgMar w:top="1134" w:right="1332" w:bottom="1134" w:left="1332" w:header="851" w:footer="992" w:gutter="0"/>
          <w:cols w:space="0" w:num="1"/>
          <w:titlePg/>
          <w:docGrid w:linePitch="312" w:charSpace="0"/>
        </w:sectPr>
      </w:pPr>
    </w:p>
    <w:p w14:paraId="1CA7C186">
      <w:pPr>
        <w:snapToGrid w:val="0"/>
        <w:spacing w:before="120" w:beforeLines="50" w:after="50"/>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7.投标人业绩证明材料</w:t>
      </w:r>
    </w:p>
    <w:p w14:paraId="4D273EC2">
      <w:pPr>
        <w:pStyle w:val="37"/>
        <w:snapToGrid w:val="0"/>
        <w:ind w:left="480" w:hanging="480"/>
        <w:rPr>
          <w:rFonts w:hint="eastAsia" w:asciiTheme="majorEastAsia" w:hAnsiTheme="majorEastAsia" w:eastAsiaTheme="majorEastAsia"/>
          <w:color w:val="auto"/>
          <w:sz w:val="24"/>
          <w:highlight w:val="none"/>
        </w:rPr>
      </w:pPr>
    </w:p>
    <w:p w14:paraId="75072481">
      <w:pPr>
        <w:pStyle w:val="37"/>
        <w:snapToGrid w:val="0"/>
        <w:ind w:left="420" w:hanging="42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 xml:space="preserve">投标人业绩情况一览表格式： </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6"/>
        <w:gridCol w:w="1930"/>
        <w:gridCol w:w="1930"/>
        <w:gridCol w:w="3113"/>
      </w:tblGrid>
      <w:tr w14:paraId="6F176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2326" w:type="dxa"/>
            <w:vMerge w:val="restart"/>
            <w:tcBorders>
              <w:top w:val="single" w:color="auto" w:sz="4" w:space="0"/>
              <w:left w:val="single" w:color="auto" w:sz="4" w:space="0"/>
              <w:bottom w:val="single" w:color="auto" w:sz="4" w:space="0"/>
              <w:right w:val="single" w:color="auto" w:sz="4" w:space="0"/>
            </w:tcBorders>
            <w:vAlign w:val="center"/>
          </w:tcPr>
          <w:p w14:paraId="381CB35D">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采购人名称</w:t>
            </w:r>
          </w:p>
        </w:tc>
        <w:tc>
          <w:tcPr>
            <w:tcW w:w="1930" w:type="dxa"/>
            <w:vMerge w:val="restart"/>
            <w:tcBorders>
              <w:top w:val="single" w:color="auto" w:sz="4" w:space="0"/>
              <w:left w:val="single" w:color="auto" w:sz="4" w:space="0"/>
              <w:bottom w:val="single" w:color="auto" w:sz="4" w:space="0"/>
              <w:right w:val="single" w:color="auto" w:sz="4" w:space="0"/>
            </w:tcBorders>
            <w:vAlign w:val="center"/>
          </w:tcPr>
          <w:p w14:paraId="5A777958">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项目名称</w:t>
            </w:r>
          </w:p>
        </w:tc>
        <w:tc>
          <w:tcPr>
            <w:tcW w:w="1930" w:type="dxa"/>
            <w:vMerge w:val="restart"/>
            <w:tcBorders>
              <w:top w:val="single" w:color="auto" w:sz="4" w:space="0"/>
              <w:left w:val="single" w:color="auto" w:sz="4" w:space="0"/>
              <w:bottom w:val="single" w:color="auto" w:sz="4" w:space="0"/>
              <w:right w:val="single" w:color="auto" w:sz="4" w:space="0"/>
            </w:tcBorders>
            <w:vAlign w:val="center"/>
          </w:tcPr>
          <w:p w14:paraId="5976DEBA">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合同金额</w:t>
            </w:r>
          </w:p>
          <w:p w14:paraId="07A5F203">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（万元）</w:t>
            </w:r>
          </w:p>
        </w:tc>
        <w:tc>
          <w:tcPr>
            <w:tcW w:w="3113" w:type="dxa"/>
            <w:vMerge w:val="restart"/>
            <w:tcBorders>
              <w:top w:val="single" w:color="auto" w:sz="4" w:space="0"/>
              <w:left w:val="single" w:color="auto" w:sz="4" w:space="0"/>
              <w:bottom w:val="single" w:color="auto" w:sz="4" w:space="0"/>
              <w:right w:val="single" w:color="auto" w:sz="4" w:space="0"/>
            </w:tcBorders>
            <w:vAlign w:val="center"/>
          </w:tcPr>
          <w:p w14:paraId="49AED1CC">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采购人联系人及</w:t>
            </w:r>
          </w:p>
          <w:p w14:paraId="6A3321C5">
            <w:pPr>
              <w:snapToGrid w:val="0"/>
              <w:spacing w:line="240" w:lineRule="exact"/>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联系电话</w:t>
            </w:r>
          </w:p>
        </w:tc>
      </w:tr>
      <w:tr w14:paraId="2EFDB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jc w:val="center"/>
        </w:trPr>
        <w:tc>
          <w:tcPr>
            <w:tcW w:w="2326" w:type="dxa"/>
            <w:vMerge w:val="continue"/>
            <w:tcBorders>
              <w:top w:val="single" w:color="auto" w:sz="4" w:space="0"/>
              <w:left w:val="single" w:color="auto" w:sz="4" w:space="0"/>
              <w:bottom w:val="single" w:color="auto" w:sz="4" w:space="0"/>
              <w:right w:val="single" w:color="auto" w:sz="4" w:space="0"/>
            </w:tcBorders>
            <w:vAlign w:val="center"/>
          </w:tcPr>
          <w:p w14:paraId="204C54B1">
            <w:pPr>
              <w:jc w:val="left"/>
              <w:rPr>
                <w:rFonts w:hint="eastAsia" w:asciiTheme="majorEastAsia" w:hAnsiTheme="majorEastAsia" w:eastAsiaTheme="majorEastAsia"/>
                <w:color w:val="auto"/>
                <w:szCs w:val="21"/>
                <w:highlight w:val="none"/>
              </w:rPr>
            </w:pPr>
          </w:p>
        </w:tc>
        <w:tc>
          <w:tcPr>
            <w:tcW w:w="1930" w:type="dxa"/>
            <w:vMerge w:val="continue"/>
            <w:tcBorders>
              <w:top w:val="single" w:color="auto" w:sz="4" w:space="0"/>
              <w:left w:val="single" w:color="auto" w:sz="4" w:space="0"/>
              <w:bottom w:val="single" w:color="auto" w:sz="4" w:space="0"/>
              <w:right w:val="single" w:color="auto" w:sz="4" w:space="0"/>
            </w:tcBorders>
            <w:vAlign w:val="center"/>
          </w:tcPr>
          <w:p w14:paraId="51807028">
            <w:pPr>
              <w:jc w:val="left"/>
              <w:rPr>
                <w:rFonts w:hint="eastAsia" w:asciiTheme="majorEastAsia" w:hAnsiTheme="majorEastAsia" w:eastAsiaTheme="majorEastAsia"/>
                <w:color w:val="auto"/>
                <w:szCs w:val="21"/>
                <w:highlight w:val="none"/>
              </w:rPr>
            </w:pPr>
          </w:p>
        </w:tc>
        <w:tc>
          <w:tcPr>
            <w:tcW w:w="1930" w:type="dxa"/>
            <w:vMerge w:val="continue"/>
            <w:tcBorders>
              <w:top w:val="single" w:color="auto" w:sz="4" w:space="0"/>
              <w:left w:val="single" w:color="auto" w:sz="4" w:space="0"/>
              <w:bottom w:val="single" w:color="auto" w:sz="4" w:space="0"/>
              <w:right w:val="single" w:color="auto" w:sz="4" w:space="0"/>
            </w:tcBorders>
            <w:vAlign w:val="center"/>
          </w:tcPr>
          <w:p w14:paraId="61ADE92E">
            <w:pPr>
              <w:jc w:val="left"/>
              <w:rPr>
                <w:rFonts w:hint="eastAsia" w:asciiTheme="majorEastAsia" w:hAnsiTheme="majorEastAsia" w:eastAsiaTheme="majorEastAsia"/>
                <w:color w:val="auto"/>
                <w:szCs w:val="21"/>
                <w:highlight w:val="none"/>
              </w:rPr>
            </w:pPr>
          </w:p>
        </w:tc>
        <w:tc>
          <w:tcPr>
            <w:tcW w:w="3113" w:type="dxa"/>
            <w:vMerge w:val="continue"/>
            <w:tcBorders>
              <w:top w:val="single" w:color="auto" w:sz="4" w:space="0"/>
              <w:left w:val="single" w:color="auto" w:sz="4" w:space="0"/>
              <w:bottom w:val="single" w:color="auto" w:sz="4" w:space="0"/>
              <w:right w:val="single" w:color="auto" w:sz="4" w:space="0"/>
            </w:tcBorders>
            <w:vAlign w:val="center"/>
          </w:tcPr>
          <w:p w14:paraId="0D983955">
            <w:pPr>
              <w:jc w:val="left"/>
              <w:rPr>
                <w:rFonts w:hint="eastAsia" w:asciiTheme="majorEastAsia" w:hAnsiTheme="majorEastAsia" w:eastAsiaTheme="majorEastAsia"/>
                <w:color w:val="auto"/>
                <w:szCs w:val="21"/>
                <w:highlight w:val="none"/>
              </w:rPr>
            </w:pPr>
          </w:p>
        </w:tc>
      </w:tr>
      <w:tr w14:paraId="5717C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2326" w:type="dxa"/>
            <w:tcBorders>
              <w:top w:val="single" w:color="auto" w:sz="4" w:space="0"/>
              <w:left w:val="single" w:color="auto" w:sz="4" w:space="0"/>
              <w:bottom w:val="single" w:color="auto" w:sz="4" w:space="0"/>
              <w:right w:val="single" w:color="auto" w:sz="4" w:space="0"/>
            </w:tcBorders>
          </w:tcPr>
          <w:p w14:paraId="518E7D12">
            <w:pPr>
              <w:snapToGrid w:val="0"/>
              <w:spacing w:line="24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1361CABB">
            <w:pPr>
              <w:snapToGrid w:val="0"/>
              <w:spacing w:line="24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25BFE612">
            <w:pPr>
              <w:snapToGrid w:val="0"/>
              <w:spacing w:line="24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4EDAD1F9">
            <w:pPr>
              <w:snapToGrid w:val="0"/>
              <w:spacing w:line="240" w:lineRule="exact"/>
              <w:jc w:val="left"/>
              <w:rPr>
                <w:rFonts w:hint="eastAsia" w:asciiTheme="majorEastAsia" w:hAnsiTheme="majorEastAsia" w:eastAsiaTheme="majorEastAsia"/>
                <w:color w:val="auto"/>
                <w:szCs w:val="21"/>
                <w:highlight w:val="none"/>
              </w:rPr>
            </w:pPr>
          </w:p>
        </w:tc>
      </w:tr>
      <w:tr w14:paraId="7C931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326" w:type="dxa"/>
            <w:tcBorders>
              <w:top w:val="single" w:color="auto" w:sz="4" w:space="0"/>
              <w:left w:val="single" w:color="auto" w:sz="4" w:space="0"/>
              <w:bottom w:val="single" w:color="auto" w:sz="4" w:space="0"/>
              <w:right w:val="single" w:color="auto" w:sz="4" w:space="0"/>
            </w:tcBorders>
          </w:tcPr>
          <w:p w14:paraId="78276A2B">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2511772F">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6AED242B">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6594A1AF">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r w14:paraId="7B7E5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2326" w:type="dxa"/>
            <w:tcBorders>
              <w:top w:val="single" w:color="auto" w:sz="4" w:space="0"/>
              <w:left w:val="single" w:color="auto" w:sz="4" w:space="0"/>
              <w:bottom w:val="single" w:color="auto" w:sz="4" w:space="0"/>
              <w:right w:val="single" w:color="auto" w:sz="4" w:space="0"/>
            </w:tcBorders>
          </w:tcPr>
          <w:p w14:paraId="60A19BC6">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3F966625">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053AC51A">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32B0A340">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r w14:paraId="26ECD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326" w:type="dxa"/>
            <w:tcBorders>
              <w:top w:val="single" w:color="auto" w:sz="4" w:space="0"/>
              <w:left w:val="single" w:color="auto" w:sz="4" w:space="0"/>
              <w:bottom w:val="single" w:color="auto" w:sz="4" w:space="0"/>
              <w:right w:val="single" w:color="auto" w:sz="4" w:space="0"/>
            </w:tcBorders>
          </w:tcPr>
          <w:p w14:paraId="33C9B88D">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370B3EC0">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63734F71">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11E8C0F7">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r w14:paraId="3A7C66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2326" w:type="dxa"/>
            <w:tcBorders>
              <w:top w:val="single" w:color="auto" w:sz="4" w:space="0"/>
              <w:left w:val="single" w:color="auto" w:sz="4" w:space="0"/>
              <w:bottom w:val="single" w:color="auto" w:sz="4" w:space="0"/>
              <w:right w:val="single" w:color="auto" w:sz="4" w:space="0"/>
            </w:tcBorders>
          </w:tcPr>
          <w:p w14:paraId="279B07D4">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5669B501">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1930" w:type="dxa"/>
            <w:tcBorders>
              <w:top w:val="single" w:color="auto" w:sz="4" w:space="0"/>
              <w:left w:val="single" w:color="auto" w:sz="4" w:space="0"/>
              <w:bottom w:val="single" w:color="auto" w:sz="4" w:space="0"/>
              <w:right w:val="single" w:color="auto" w:sz="4" w:space="0"/>
            </w:tcBorders>
          </w:tcPr>
          <w:p w14:paraId="5170E288">
            <w:pPr>
              <w:snapToGrid w:val="0"/>
              <w:spacing w:before="50" w:after="120" w:afterLines="50" w:line="400" w:lineRule="exact"/>
              <w:jc w:val="left"/>
              <w:rPr>
                <w:rFonts w:hint="eastAsia" w:asciiTheme="majorEastAsia" w:hAnsiTheme="majorEastAsia" w:eastAsiaTheme="majorEastAsia"/>
                <w:color w:val="auto"/>
                <w:szCs w:val="21"/>
                <w:highlight w:val="none"/>
              </w:rPr>
            </w:pPr>
          </w:p>
        </w:tc>
        <w:tc>
          <w:tcPr>
            <w:tcW w:w="3113" w:type="dxa"/>
            <w:tcBorders>
              <w:top w:val="single" w:color="auto" w:sz="4" w:space="0"/>
              <w:left w:val="single" w:color="auto" w:sz="4" w:space="0"/>
              <w:bottom w:val="single" w:color="auto" w:sz="4" w:space="0"/>
              <w:right w:val="single" w:color="auto" w:sz="4" w:space="0"/>
            </w:tcBorders>
          </w:tcPr>
          <w:p w14:paraId="4AA560B6">
            <w:pPr>
              <w:snapToGrid w:val="0"/>
              <w:spacing w:before="50" w:after="120" w:afterLines="50" w:line="400" w:lineRule="exact"/>
              <w:jc w:val="left"/>
              <w:rPr>
                <w:rFonts w:hint="eastAsia" w:asciiTheme="majorEastAsia" w:hAnsiTheme="majorEastAsia" w:eastAsiaTheme="majorEastAsia"/>
                <w:color w:val="auto"/>
                <w:szCs w:val="21"/>
                <w:highlight w:val="none"/>
              </w:rPr>
            </w:pPr>
          </w:p>
        </w:tc>
      </w:tr>
    </w:tbl>
    <w:p w14:paraId="5292B07B">
      <w:pPr>
        <w:pStyle w:val="16"/>
        <w:spacing w:before="0" w:after="0" w:line="360" w:lineRule="auto"/>
        <w:contextualSpacing/>
        <w:rPr>
          <w:rFonts w:hint="eastAsia" w:asciiTheme="majorEastAsia" w:hAnsiTheme="majorEastAsia" w:eastAsiaTheme="majorEastAsia"/>
          <w:color w:val="auto"/>
          <w:sz w:val="21"/>
          <w:szCs w:val="21"/>
          <w:highlight w:val="none"/>
        </w:rPr>
      </w:pPr>
    </w:p>
    <w:p w14:paraId="5EBDC64D">
      <w:pPr>
        <w:pStyle w:val="16"/>
        <w:spacing w:before="0" w:after="0" w:line="360" w:lineRule="auto"/>
        <w:contextualSpacing/>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注：投标人根据评标标准具体要求附业绩证明材料。</w:t>
      </w:r>
    </w:p>
    <w:p w14:paraId="6BA96CEB">
      <w:pPr>
        <w:pStyle w:val="16"/>
        <w:spacing w:before="0" w:after="0" w:line="360" w:lineRule="auto"/>
        <w:contextualSpacing/>
        <w:jc w:val="left"/>
        <w:rPr>
          <w:rFonts w:hint="eastAsia" w:asciiTheme="majorEastAsia" w:hAnsiTheme="majorEastAsia" w:eastAsiaTheme="majorEastAsia"/>
          <w:color w:val="auto"/>
          <w:sz w:val="21"/>
          <w:szCs w:val="21"/>
          <w:highlight w:val="none"/>
        </w:rPr>
      </w:pPr>
    </w:p>
    <w:p w14:paraId="60889487">
      <w:pPr>
        <w:pStyle w:val="16"/>
        <w:spacing w:before="0" w:after="0" w:line="360" w:lineRule="auto"/>
        <w:contextualSpacing/>
        <w:jc w:val="left"/>
        <w:rPr>
          <w:rFonts w:hint="eastAsia" w:asciiTheme="majorEastAsia" w:hAnsiTheme="majorEastAsia" w:eastAsiaTheme="majorEastAsia"/>
          <w:color w:val="auto"/>
          <w:sz w:val="21"/>
          <w:szCs w:val="21"/>
          <w:highlight w:val="none"/>
        </w:rPr>
      </w:pPr>
    </w:p>
    <w:p w14:paraId="58C40B32">
      <w:pPr>
        <w:pStyle w:val="16"/>
        <w:spacing w:before="0" w:after="0" w:line="360" w:lineRule="auto"/>
        <w:contextualSpacing/>
        <w:jc w:val="left"/>
        <w:rPr>
          <w:rFonts w:hint="eastAsia" w:asciiTheme="majorEastAsia" w:hAnsiTheme="majorEastAsia" w:eastAsiaTheme="majorEastAsia"/>
          <w:color w:val="auto"/>
          <w:sz w:val="21"/>
          <w:szCs w:val="21"/>
          <w:highlight w:val="none"/>
          <w:u w:val="single"/>
        </w:rPr>
      </w:pPr>
      <w:r>
        <w:rPr>
          <w:rFonts w:hint="eastAsia" w:asciiTheme="majorEastAsia" w:hAnsiTheme="majorEastAsia" w:eastAsiaTheme="majorEastAsia"/>
          <w:color w:val="auto"/>
          <w:sz w:val="21"/>
          <w:szCs w:val="21"/>
          <w:highlight w:val="none"/>
        </w:rPr>
        <w:t>法定代表人（或负责人）或者委托代理人（签字或电子签名）：</w:t>
      </w:r>
      <w:r>
        <w:rPr>
          <w:rFonts w:hint="eastAsia" w:asciiTheme="majorEastAsia" w:hAnsiTheme="majorEastAsia" w:eastAsiaTheme="majorEastAsia"/>
          <w:color w:val="auto"/>
          <w:sz w:val="21"/>
          <w:szCs w:val="21"/>
          <w:highlight w:val="none"/>
          <w:u w:val="single"/>
        </w:rPr>
        <w:t>　　　　　</w:t>
      </w:r>
    </w:p>
    <w:p w14:paraId="1845CA80">
      <w:pPr>
        <w:spacing w:line="360" w:lineRule="auto"/>
        <w:ind w:right="480"/>
        <w:contextualSpacing/>
        <w:jc w:val="left"/>
        <w:rPr>
          <w:rFonts w:hint="eastAsia" w:asciiTheme="majorEastAsia" w:hAnsiTheme="majorEastAsia" w:eastAsiaTheme="majorEastAsia"/>
          <w:color w:val="auto"/>
          <w:szCs w:val="21"/>
          <w:highlight w:val="none"/>
        </w:rPr>
      </w:pPr>
      <w:r>
        <w:rPr>
          <w:rFonts w:hint="eastAsia" w:cs="Arial" w:asciiTheme="majorEastAsia" w:hAnsiTheme="majorEastAsia" w:eastAsiaTheme="majorEastAsia"/>
          <w:color w:val="auto"/>
          <w:szCs w:val="21"/>
          <w:highlight w:val="none"/>
        </w:rPr>
        <w:t xml:space="preserve">投标人名称（电子签章）： </w:t>
      </w:r>
      <w:r>
        <w:rPr>
          <w:rFonts w:hint="eastAsia" w:asciiTheme="majorEastAsia" w:hAnsiTheme="majorEastAsia" w:eastAsiaTheme="majorEastAsia"/>
          <w:color w:val="auto"/>
          <w:szCs w:val="21"/>
          <w:highlight w:val="none"/>
          <w:u w:val="single"/>
        </w:rPr>
        <w:t xml:space="preserve">                </w:t>
      </w:r>
      <w:r>
        <w:rPr>
          <w:rFonts w:hint="eastAsia" w:asciiTheme="majorEastAsia" w:hAnsiTheme="majorEastAsia" w:eastAsiaTheme="majorEastAsia"/>
          <w:color w:val="auto"/>
          <w:szCs w:val="21"/>
          <w:highlight w:val="none"/>
        </w:rPr>
        <w:t xml:space="preserve">                                                              年    月    日</w:t>
      </w:r>
    </w:p>
    <w:p w14:paraId="48B60640">
      <w:pPr>
        <w:snapToGrid w:val="0"/>
        <w:spacing w:before="50"/>
        <w:ind w:firstLine="480" w:firstLineChars="200"/>
        <w:jc w:val="left"/>
        <w:rPr>
          <w:rFonts w:hint="eastAsia" w:asciiTheme="majorEastAsia" w:hAnsiTheme="majorEastAsia" w:eastAsiaTheme="majorEastAsia"/>
          <w:color w:val="auto"/>
          <w:sz w:val="24"/>
          <w:szCs w:val="20"/>
          <w:highlight w:val="none"/>
        </w:rPr>
      </w:pPr>
    </w:p>
    <w:p w14:paraId="289F9DDF">
      <w:pPr>
        <w:snapToGrid w:val="0"/>
        <w:spacing w:before="50"/>
        <w:jc w:val="left"/>
        <w:rPr>
          <w:rFonts w:hint="eastAsia" w:asciiTheme="majorEastAsia" w:hAnsiTheme="majorEastAsia" w:eastAsiaTheme="majorEastAsia"/>
          <w:color w:val="auto"/>
          <w:sz w:val="24"/>
          <w:highlight w:val="none"/>
        </w:rPr>
      </w:pPr>
    </w:p>
    <w:p w14:paraId="130BCC57">
      <w:pPr>
        <w:snapToGrid w:val="0"/>
        <w:spacing w:before="120" w:beforeLines="50"/>
        <w:rPr>
          <w:rFonts w:hint="eastAsia" w:asciiTheme="majorEastAsia" w:hAnsiTheme="majorEastAsia" w:eastAsiaTheme="majorEastAsia"/>
          <w:color w:val="auto"/>
          <w:sz w:val="24"/>
          <w:szCs w:val="20"/>
          <w:highlight w:val="none"/>
        </w:rPr>
        <w:sectPr>
          <w:pgSz w:w="11906" w:h="16838"/>
          <w:pgMar w:top="1134" w:right="1332" w:bottom="1134" w:left="1332" w:header="851" w:footer="992" w:gutter="0"/>
          <w:cols w:space="0" w:num="1"/>
          <w:titlePg/>
          <w:docGrid w:linePitch="312" w:charSpace="0"/>
        </w:sectPr>
      </w:pPr>
    </w:p>
    <w:p w14:paraId="5227360B">
      <w:pPr>
        <w:rPr>
          <w:rFonts w:hint="eastAsia"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四、技术文件格式</w:t>
      </w:r>
    </w:p>
    <w:p w14:paraId="2A4FD83C">
      <w:pPr>
        <w:snapToGrid w:val="0"/>
        <w:spacing w:before="120" w:beforeLines="50" w:after="50"/>
        <w:ind w:left="142"/>
        <w:jc w:val="left"/>
        <w:rPr>
          <w:rFonts w:hint="eastAsia"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1. 技术文件封面格式： </w:t>
      </w:r>
    </w:p>
    <w:p w14:paraId="14CFD7F1">
      <w:pPr>
        <w:snapToGrid w:val="0"/>
        <w:spacing w:before="120" w:beforeLines="50" w:after="50" w:line="360" w:lineRule="auto"/>
        <w:ind w:left="142"/>
        <w:jc w:val="center"/>
        <w:rPr>
          <w:rFonts w:hint="eastAsia" w:asciiTheme="majorEastAsia" w:hAnsiTheme="majorEastAsia" w:eastAsiaTheme="majorEastAsia"/>
          <w:bCs/>
          <w:color w:val="auto"/>
          <w:sz w:val="48"/>
          <w:szCs w:val="48"/>
          <w:highlight w:val="none"/>
        </w:rPr>
      </w:pPr>
      <w:r>
        <w:rPr>
          <w:rFonts w:hint="eastAsia" w:asciiTheme="majorEastAsia" w:hAnsiTheme="majorEastAsia" w:eastAsiaTheme="majorEastAsia"/>
          <w:bCs/>
          <w:color w:val="auto"/>
          <w:sz w:val="48"/>
          <w:szCs w:val="48"/>
          <w:highlight w:val="none"/>
        </w:rPr>
        <w:t>电子投标文件</w:t>
      </w:r>
    </w:p>
    <w:p w14:paraId="267A3BF8">
      <w:pPr>
        <w:snapToGrid w:val="0"/>
        <w:spacing w:before="120" w:beforeLines="50" w:after="50"/>
        <w:jc w:val="center"/>
        <w:rPr>
          <w:rFonts w:hint="eastAsia" w:asciiTheme="majorEastAsia" w:hAnsiTheme="majorEastAsia" w:eastAsiaTheme="majorEastAsia"/>
          <w:b/>
          <w:bCs/>
          <w:color w:val="auto"/>
          <w:sz w:val="32"/>
          <w:szCs w:val="32"/>
          <w:highlight w:val="none"/>
        </w:rPr>
      </w:pPr>
      <w:r>
        <w:rPr>
          <w:rFonts w:hint="eastAsia" w:asciiTheme="majorEastAsia" w:hAnsiTheme="majorEastAsia" w:eastAsiaTheme="majorEastAsia"/>
          <w:b/>
          <w:bCs/>
          <w:color w:val="auto"/>
          <w:sz w:val="32"/>
          <w:szCs w:val="32"/>
          <w:highlight w:val="none"/>
        </w:rPr>
        <w:t>技术文件</w:t>
      </w:r>
    </w:p>
    <w:p w14:paraId="195B52AB">
      <w:pPr>
        <w:snapToGrid w:val="0"/>
        <w:spacing w:before="120" w:beforeLines="50" w:after="50"/>
        <w:rPr>
          <w:rFonts w:hint="eastAsia" w:asciiTheme="majorEastAsia" w:hAnsiTheme="majorEastAsia" w:eastAsiaTheme="majorEastAsia"/>
          <w:bCs/>
          <w:color w:val="auto"/>
          <w:sz w:val="24"/>
          <w:szCs w:val="20"/>
          <w:highlight w:val="none"/>
        </w:rPr>
      </w:pPr>
    </w:p>
    <w:p w14:paraId="4B90CB1F">
      <w:pPr>
        <w:snapToGrid w:val="0"/>
        <w:spacing w:before="120" w:beforeLines="50" w:after="50" w:line="400" w:lineRule="exact"/>
        <w:ind w:firstLine="360" w:firstLineChars="150"/>
        <w:rPr>
          <w:rFonts w:hint="eastAsia" w:asciiTheme="majorEastAsia" w:hAnsiTheme="majorEastAsia" w:eastAsiaTheme="majorEastAsia"/>
          <w:bCs/>
          <w:color w:val="auto"/>
          <w:sz w:val="24"/>
          <w:szCs w:val="20"/>
          <w:highlight w:val="none"/>
        </w:rPr>
      </w:pPr>
      <w:r>
        <w:rPr>
          <w:rFonts w:hint="eastAsia" w:asciiTheme="majorEastAsia" w:hAnsiTheme="majorEastAsia" w:eastAsiaTheme="majorEastAsia"/>
          <w:bCs/>
          <w:color w:val="auto"/>
          <w:sz w:val="24"/>
          <w:highlight w:val="none"/>
        </w:rPr>
        <w:t xml:space="preserve">项目名称： </w:t>
      </w:r>
    </w:p>
    <w:p w14:paraId="0CC0ED03">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 xml:space="preserve">项目编号： </w:t>
      </w:r>
    </w:p>
    <w:p w14:paraId="4264B706">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所投分标：无，则写“/”</w:t>
      </w:r>
    </w:p>
    <w:p w14:paraId="725664B3">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投标人名称：</w:t>
      </w:r>
    </w:p>
    <w:p w14:paraId="3B0C4472">
      <w:pPr>
        <w:snapToGrid w:val="0"/>
        <w:spacing w:before="120" w:beforeLines="50" w:after="50" w:line="400" w:lineRule="exact"/>
        <w:ind w:firstLine="360" w:firstLineChars="150"/>
        <w:rPr>
          <w:rFonts w:hint="eastAsia"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投标人地址：</w:t>
      </w:r>
    </w:p>
    <w:p w14:paraId="5A2AB301">
      <w:pPr>
        <w:snapToGrid w:val="0"/>
        <w:spacing w:before="120" w:beforeLines="50" w:after="50"/>
        <w:ind w:firstLine="645"/>
        <w:jc w:val="center"/>
        <w:rPr>
          <w:rFonts w:hint="eastAsia"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年    月    日</w:t>
      </w:r>
    </w:p>
    <w:p w14:paraId="4707E6DF">
      <w:pPr>
        <w:snapToGrid w:val="0"/>
        <w:spacing w:before="120" w:beforeLines="50" w:after="50"/>
        <w:ind w:firstLine="645"/>
        <w:jc w:val="center"/>
        <w:rPr>
          <w:rFonts w:hint="eastAsia" w:asciiTheme="majorEastAsia" w:hAnsiTheme="majorEastAsia" w:eastAsiaTheme="majorEastAsia"/>
          <w:color w:val="auto"/>
          <w:sz w:val="24"/>
          <w:szCs w:val="20"/>
          <w:highlight w:val="none"/>
        </w:rPr>
      </w:pPr>
    </w:p>
    <w:p w14:paraId="2229A9DA">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bCs/>
          <w:color w:val="auto"/>
          <w:sz w:val="24"/>
          <w:highlight w:val="none"/>
        </w:rPr>
        <w:br w:type="page"/>
      </w:r>
      <w:r>
        <w:rPr>
          <w:rFonts w:hint="eastAsia" w:asciiTheme="majorEastAsia" w:hAnsiTheme="majorEastAsia" w:eastAsiaTheme="majorEastAsia"/>
          <w:b/>
          <w:color w:val="auto"/>
          <w:sz w:val="24"/>
          <w:highlight w:val="none"/>
        </w:rPr>
        <w:t>2.技术文件目录</w:t>
      </w:r>
    </w:p>
    <w:p w14:paraId="7A0409A2">
      <w:pPr>
        <w:snapToGrid w:val="0"/>
        <w:spacing w:before="50" w:after="120" w:afterLines="50" w:line="360" w:lineRule="auto"/>
        <w:ind w:firstLine="420" w:firstLineChars="200"/>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根据招标文件规定及投标人提供的材料自行编写目录。</w:t>
      </w:r>
    </w:p>
    <w:p w14:paraId="565076AA">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3. 设备性能配置清单格式</w:t>
      </w:r>
    </w:p>
    <w:p w14:paraId="59072182">
      <w:pPr>
        <w:snapToGrid w:val="0"/>
        <w:spacing w:before="120" w:beforeLines="50" w:after="50"/>
        <w:ind w:left="142"/>
        <w:jc w:val="left"/>
        <w:rPr>
          <w:rFonts w:hint="eastAsia" w:asciiTheme="majorEastAsia" w:hAnsiTheme="majorEastAsia" w:eastAsiaTheme="majorEastAsia"/>
          <w:b/>
          <w:color w:val="auto"/>
          <w:sz w:val="24"/>
          <w:highlight w:val="none"/>
        </w:rPr>
      </w:pPr>
    </w:p>
    <w:p w14:paraId="3285D88C">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设备性能配置清单</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2"/>
        <w:gridCol w:w="1269"/>
        <w:gridCol w:w="819"/>
        <w:gridCol w:w="912"/>
        <w:gridCol w:w="1820"/>
        <w:gridCol w:w="1269"/>
        <w:gridCol w:w="751"/>
        <w:gridCol w:w="1524"/>
      </w:tblGrid>
      <w:tr w14:paraId="209B01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694AAD5C">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序号</w:t>
            </w:r>
          </w:p>
        </w:tc>
        <w:tc>
          <w:tcPr>
            <w:tcW w:w="1269" w:type="dxa"/>
            <w:tcBorders>
              <w:top w:val="single" w:color="auto" w:sz="4" w:space="0"/>
              <w:left w:val="single" w:color="auto" w:sz="4" w:space="0"/>
              <w:bottom w:val="single" w:color="auto" w:sz="4" w:space="0"/>
              <w:right w:val="single" w:color="auto" w:sz="4" w:space="0"/>
            </w:tcBorders>
            <w:vAlign w:val="center"/>
          </w:tcPr>
          <w:p w14:paraId="15F974AC">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标的名称</w:t>
            </w:r>
          </w:p>
        </w:tc>
        <w:tc>
          <w:tcPr>
            <w:tcW w:w="819" w:type="dxa"/>
            <w:tcBorders>
              <w:top w:val="single" w:color="auto" w:sz="4" w:space="0"/>
              <w:left w:val="single" w:color="auto" w:sz="4" w:space="0"/>
              <w:bottom w:val="single" w:color="auto" w:sz="4" w:space="0"/>
              <w:right w:val="single" w:color="auto" w:sz="4" w:space="0"/>
            </w:tcBorders>
            <w:vAlign w:val="center"/>
          </w:tcPr>
          <w:p w14:paraId="2E4AB201">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数量及单位</w:t>
            </w:r>
          </w:p>
        </w:tc>
        <w:tc>
          <w:tcPr>
            <w:tcW w:w="912" w:type="dxa"/>
            <w:tcBorders>
              <w:top w:val="single" w:color="auto" w:sz="4" w:space="0"/>
              <w:left w:val="single" w:color="auto" w:sz="4" w:space="0"/>
              <w:bottom w:val="single" w:color="auto" w:sz="4" w:space="0"/>
              <w:right w:val="single" w:color="auto" w:sz="4" w:space="0"/>
            </w:tcBorders>
            <w:vAlign w:val="center"/>
          </w:tcPr>
          <w:p w14:paraId="23780BCC">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品牌</w:t>
            </w:r>
          </w:p>
        </w:tc>
        <w:tc>
          <w:tcPr>
            <w:tcW w:w="1820" w:type="dxa"/>
            <w:tcBorders>
              <w:top w:val="single" w:color="auto" w:sz="4" w:space="0"/>
              <w:left w:val="single" w:color="auto" w:sz="4" w:space="0"/>
              <w:bottom w:val="single" w:color="auto" w:sz="4" w:space="0"/>
              <w:right w:val="single" w:color="auto" w:sz="4" w:space="0"/>
            </w:tcBorders>
          </w:tcPr>
          <w:p w14:paraId="691626DA">
            <w:pPr>
              <w:snapToGrid w:val="0"/>
              <w:spacing w:before="50" w:after="50"/>
              <w:jc w:val="center"/>
              <w:rPr>
                <w:rFonts w:hint="eastAsia" w:asciiTheme="majorEastAsia" w:hAnsiTheme="majorEastAsia" w:eastAsiaTheme="majorEastAsia"/>
                <w:color w:val="auto"/>
                <w:szCs w:val="21"/>
                <w:highlight w:val="none"/>
              </w:rPr>
            </w:pPr>
          </w:p>
          <w:p w14:paraId="25FE0CBF">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规格型号</w:t>
            </w:r>
          </w:p>
        </w:tc>
        <w:tc>
          <w:tcPr>
            <w:tcW w:w="1269" w:type="dxa"/>
            <w:tcBorders>
              <w:top w:val="single" w:color="auto" w:sz="4" w:space="0"/>
              <w:left w:val="single" w:color="auto" w:sz="4" w:space="0"/>
              <w:bottom w:val="single" w:color="auto" w:sz="4" w:space="0"/>
              <w:right w:val="single" w:color="auto" w:sz="4" w:space="0"/>
            </w:tcBorders>
            <w:vAlign w:val="center"/>
          </w:tcPr>
          <w:p w14:paraId="193DEA9D">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生产厂家</w:t>
            </w:r>
          </w:p>
        </w:tc>
        <w:tc>
          <w:tcPr>
            <w:tcW w:w="751" w:type="dxa"/>
            <w:tcBorders>
              <w:top w:val="single" w:color="auto" w:sz="4" w:space="0"/>
              <w:left w:val="single" w:color="auto" w:sz="4" w:space="0"/>
              <w:bottom w:val="single" w:color="auto" w:sz="4" w:space="0"/>
              <w:right w:val="single" w:color="auto" w:sz="4" w:space="0"/>
            </w:tcBorders>
            <w:vAlign w:val="center"/>
          </w:tcPr>
          <w:p w14:paraId="14A44E6F">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国别</w:t>
            </w:r>
          </w:p>
        </w:tc>
        <w:tc>
          <w:tcPr>
            <w:tcW w:w="1524" w:type="dxa"/>
            <w:tcBorders>
              <w:top w:val="single" w:color="auto" w:sz="4" w:space="0"/>
              <w:left w:val="single" w:color="auto" w:sz="4" w:space="0"/>
              <w:bottom w:val="single" w:color="auto" w:sz="4" w:space="0"/>
              <w:right w:val="single" w:color="auto" w:sz="4" w:space="0"/>
            </w:tcBorders>
            <w:vAlign w:val="center"/>
          </w:tcPr>
          <w:p w14:paraId="31095F05">
            <w:pPr>
              <w:snapToGrid w:val="0"/>
              <w:spacing w:before="50" w:after="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参数性能、指标及配置</w:t>
            </w:r>
          </w:p>
        </w:tc>
      </w:tr>
      <w:tr w14:paraId="3C088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0D8E9F0B">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4C66D0C5">
            <w:pPr>
              <w:snapToGrid w:val="0"/>
              <w:spacing w:before="50" w:after="50"/>
              <w:jc w:val="center"/>
              <w:rPr>
                <w:rFonts w:hint="eastAsia" w:asciiTheme="majorEastAsia" w:hAnsiTheme="majorEastAsia" w:eastAsiaTheme="majorEastAsia"/>
                <w:color w:val="auto"/>
                <w:szCs w:val="21"/>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14:paraId="7DC16A0B">
            <w:pPr>
              <w:snapToGrid w:val="0"/>
              <w:spacing w:before="50" w:after="50"/>
              <w:jc w:val="center"/>
              <w:rPr>
                <w:rFonts w:hint="eastAsia" w:asciiTheme="majorEastAsia" w:hAnsiTheme="majorEastAsia" w:eastAsiaTheme="majorEastAsia"/>
                <w:color w:val="auto"/>
                <w:szCs w:val="21"/>
                <w:highlight w:val="none"/>
              </w:rPr>
            </w:pPr>
          </w:p>
        </w:tc>
        <w:tc>
          <w:tcPr>
            <w:tcW w:w="912" w:type="dxa"/>
            <w:tcBorders>
              <w:top w:val="single" w:color="auto" w:sz="4" w:space="0"/>
              <w:left w:val="single" w:color="auto" w:sz="4" w:space="0"/>
              <w:bottom w:val="single" w:color="auto" w:sz="4" w:space="0"/>
              <w:right w:val="single" w:color="auto" w:sz="4" w:space="0"/>
            </w:tcBorders>
            <w:vAlign w:val="center"/>
          </w:tcPr>
          <w:p w14:paraId="282F487E">
            <w:pPr>
              <w:snapToGrid w:val="0"/>
              <w:spacing w:before="50" w:after="50"/>
              <w:jc w:val="center"/>
              <w:rPr>
                <w:rFonts w:hint="eastAsia" w:asciiTheme="majorEastAsia" w:hAnsiTheme="majorEastAsia" w:eastAsiaTheme="majorEastAsia"/>
                <w:color w:val="auto"/>
                <w:szCs w:val="21"/>
                <w:highlight w:val="none"/>
              </w:rPr>
            </w:pPr>
          </w:p>
        </w:tc>
        <w:tc>
          <w:tcPr>
            <w:tcW w:w="1820" w:type="dxa"/>
            <w:tcBorders>
              <w:top w:val="single" w:color="auto" w:sz="4" w:space="0"/>
              <w:left w:val="single" w:color="auto" w:sz="4" w:space="0"/>
              <w:bottom w:val="single" w:color="auto" w:sz="4" w:space="0"/>
              <w:right w:val="single" w:color="auto" w:sz="4" w:space="0"/>
            </w:tcBorders>
          </w:tcPr>
          <w:p w14:paraId="0410D042">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66A77B4D">
            <w:pPr>
              <w:snapToGrid w:val="0"/>
              <w:spacing w:before="50" w:after="50"/>
              <w:jc w:val="center"/>
              <w:rPr>
                <w:rFonts w:hint="eastAsia" w:asciiTheme="majorEastAsia" w:hAnsiTheme="majorEastAsia" w:eastAsiaTheme="majorEastAsia"/>
                <w:color w:val="auto"/>
                <w:szCs w:val="21"/>
                <w:highlight w:val="none"/>
              </w:rPr>
            </w:pPr>
          </w:p>
        </w:tc>
        <w:tc>
          <w:tcPr>
            <w:tcW w:w="751" w:type="dxa"/>
            <w:tcBorders>
              <w:top w:val="single" w:color="auto" w:sz="4" w:space="0"/>
              <w:left w:val="single" w:color="auto" w:sz="4" w:space="0"/>
              <w:bottom w:val="single" w:color="auto" w:sz="4" w:space="0"/>
              <w:right w:val="single" w:color="auto" w:sz="4" w:space="0"/>
            </w:tcBorders>
            <w:vAlign w:val="center"/>
          </w:tcPr>
          <w:p w14:paraId="4CA50CA4">
            <w:pPr>
              <w:snapToGrid w:val="0"/>
              <w:spacing w:before="50" w:after="50"/>
              <w:jc w:val="center"/>
              <w:rPr>
                <w:rFonts w:hint="eastAsia" w:asciiTheme="majorEastAsia" w:hAnsiTheme="majorEastAsia" w:eastAsiaTheme="majorEastAsia"/>
                <w:color w:val="auto"/>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17E3EE33">
            <w:pPr>
              <w:snapToGrid w:val="0"/>
              <w:spacing w:before="50" w:after="50"/>
              <w:jc w:val="center"/>
              <w:rPr>
                <w:rFonts w:hint="eastAsia" w:asciiTheme="majorEastAsia" w:hAnsiTheme="majorEastAsia" w:eastAsiaTheme="majorEastAsia"/>
                <w:color w:val="auto"/>
                <w:szCs w:val="21"/>
                <w:highlight w:val="none"/>
              </w:rPr>
            </w:pPr>
          </w:p>
        </w:tc>
      </w:tr>
      <w:tr w14:paraId="47F05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214F375E">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373A382E">
            <w:pPr>
              <w:snapToGrid w:val="0"/>
              <w:spacing w:before="50" w:after="50"/>
              <w:jc w:val="center"/>
              <w:rPr>
                <w:rFonts w:hint="eastAsia" w:asciiTheme="majorEastAsia" w:hAnsiTheme="majorEastAsia" w:eastAsiaTheme="majorEastAsia"/>
                <w:color w:val="auto"/>
                <w:szCs w:val="21"/>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14:paraId="7D31C941">
            <w:pPr>
              <w:snapToGrid w:val="0"/>
              <w:spacing w:before="50" w:after="50"/>
              <w:jc w:val="center"/>
              <w:rPr>
                <w:rFonts w:hint="eastAsia" w:asciiTheme="majorEastAsia" w:hAnsiTheme="majorEastAsia" w:eastAsiaTheme="majorEastAsia"/>
                <w:color w:val="auto"/>
                <w:szCs w:val="21"/>
                <w:highlight w:val="none"/>
              </w:rPr>
            </w:pPr>
          </w:p>
        </w:tc>
        <w:tc>
          <w:tcPr>
            <w:tcW w:w="912" w:type="dxa"/>
            <w:tcBorders>
              <w:top w:val="single" w:color="auto" w:sz="4" w:space="0"/>
              <w:left w:val="single" w:color="auto" w:sz="4" w:space="0"/>
              <w:bottom w:val="single" w:color="auto" w:sz="4" w:space="0"/>
              <w:right w:val="single" w:color="auto" w:sz="4" w:space="0"/>
            </w:tcBorders>
            <w:vAlign w:val="center"/>
          </w:tcPr>
          <w:p w14:paraId="338804DC">
            <w:pPr>
              <w:snapToGrid w:val="0"/>
              <w:spacing w:before="50" w:after="50"/>
              <w:jc w:val="center"/>
              <w:rPr>
                <w:rFonts w:hint="eastAsia" w:asciiTheme="majorEastAsia" w:hAnsiTheme="majorEastAsia" w:eastAsiaTheme="majorEastAsia"/>
                <w:color w:val="auto"/>
                <w:szCs w:val="21"/>
                <w:highlight w:val="none"/>
              </w:rPr>
            </w:pPr>
          </w:p>
        </w:tc>
        <w:tc>
          <w:tcPr>
            <w:tcW w:w="1820" w:type="dxa"/>
            <w:tcBorders>
              <w:top w:val="single" w:color="auto" w:sz="4" w:space="0"/>
              <w:left w:val="single" w:color="auto" w:sz="4" w:space="0"/>
              <w:bottom w:val="single" w:color="auto" w:sz="4" w:space="0"/>
              <w:right w:val="single" w:color="auto" w:sz="4" w:space="0"/>
            </w:tcBorders>
          </w:tcPr>
          <w:p w14:paraId="4A890467">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552020A5">
            <w:pPr>
              <w:snapToGrid w:val="0"/>
              <w:spacing w:before="50" w:after="50"/>
              <w:jc w:val="center"/>
              <w:rPr>
                <w:rFonts w:hint="eastAsia" w:asciiTheme="majorEastAsia" w:hAnsiTheme="majorEastAsia" w:eastAsiaTheme="majorEastAsia"/>
                <w:color w:val="auto"/>
                <w:szCs w:val="21"/>
                <w:highlight w:val="none"/>
              </w:rPr>
            </w:pPr>
          </w:p>
        </w:tc>
        <w:tc>
          <w:tcPr>
            <w:tcW w:w="751" w:type="dxa"/>
            <w:tcBorders>
              <w:top w:val="single" w:color="auto" w:sz="4" w:space="0"/>
              <w:left w:val="single" w:color="auto" w:sz="4" w:space="0"/>
              <w:bottom w:val="single" w:color="auto" w:sz="4" w:space="0"/>
              <w:right w:val="single" w:color="auto" w:sz="4" w:space="0"/>
            </w:tcBorders>
            <w:vAlign w:val="center"/>
          </w:tcPr>
          <w:p w14:paraId="6A9A3A2F">
            <w:pPr>
              <w:snapToGrid w:val="0"/>
              <w:spacing w:before="50" w:after="50"/>
              <w:jc w:val="center"/>
              <w:rPr>
                <w:rFonts w:hint="eastAsia" w:asciiTheme="majorEastAsia" w:hAnsiTheme="majorEastAsia" w:eastAsiaTheme="majorEastAsia"/>
                <w:color w:val="auto"/>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017313F5">
            <w:pPr>
              <w:snapToGrid w:val="0"/>
              <w:spacing w:before="50" w:after="50"/>
              <w:jc w:val="center"/>
              <w:rPr>
                <w:rFonts w:hint="eastAsia" w:asciiTheme="majorEastAsia" w:hAnsiTheme="majorEastAsia" w:eastAsiaTheme="majorEastAsia"/>
                <w:color w:val="auto"/>
                <w:szCs w:val="21"/>
                <w:highlight w:val="none"/>
              </w:rPr>
            </w:pPr>
          </w:p>
        </w:tc>
      </w:tr>
      <w:tr w14:paraId="598399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4D7EBF40">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54FB81F1">
            <w:pPr>
              <w:snapToGrid w:val="0"/>
              <w:spacing w:before="50" w:after="50"/>
              <w:jc w:val="center"/>
              <w:rPr>
                <w:rFonts w:hint="eastAsia" w:asciiTheme="majorEastAsia" w:hAnsiTheme="majorEastAsia" w:eastAsiaTheme="majorEastAsia"/>
                <w:color w:val="auto"/>
                <w:szCs w:val="21"/>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14:paraId="48E39F58">
            <w:pPr>
              <w:snapToGrid w:val="0"/>
              <w:spacing w:before="50" w:after="50"/>
              <w:jc w:val="center"/>
              <w:rPr>
                <w:rFonts w:hint="eastAsia" w:asciiTheme="majorEastAsia" w:hAnsiTheme="majorEastAsia" w:eastAsiaTheme="majorEastAsia"/>
                <w:color w:val="auto"/>
                <w:szCs w:val="21"/>
                <w:highlight w:val="none"/>
              </w:rPr>
            </w:pPr>
          </w:p>
        </w:tc>
        <w:tc>
          <w:tcPr>
            <w:tcW w:w="912" w:type="dxa"/>
            <w:tcBorders>
              <w:top w:val="single" w:color="auto" w:sz="4" w:space="0"/>
              <w:left w:val="single" w:color="auto" w:sz="4" w:space="0"/>
              <w:bottom w:val="single" w:color="auto" w:sz="4" w:space="0"/>
              <w:right w:val="single" w:color="auto" w:sz="4" w:space="0"/>
            </w:tcBorders>
            <w:vAlign w:val="center"/>
          </w:tcPr>
          <w:p w14:paraId="34CF3ED3">
            <w:pPr>
              <w:snapToGrid w:val="0"/>
              <w:spacing w:before="50" w:after="50"/>
              <w:jc w:val="center"/>
              <w:rPr>
                <w:rFonts w:hint="eastAsia" w:asciiTheme="majorEastAsia" w:hAnsiTheme="majorEastAsia" w:eastAsiaTheme="majorEastAsia"/>
                <w:color w:val="auto"/>
                <w:szCs w:val="21"/>
                <w:highlight w:val="none"/>
              </w:rPr>
            </w:pPr>
          </w:p>
        </w:tc>
        <w:tc>
          <w:tcPr>
            <w:tcW w:w="1820" w:type="dxa"/>
            <w:tcBorders>
              <w:top w:val="single" w:color="auto" w:sz="4" w:space="0"/>
              <w:left w:val="single" w:color="auto" w:sz="4" w:space="0"/>
              <w:bottom w:val="single" w:color="auto" w:sz="4" w:space="0"/>
              <w:right w:val="single" w:color="auto" w:sz="4" w:space="0"/>
            </w:tcBorders>
          </w:tcPr>
          <w:p w14:paraId="5CF45F22">
            <w:pPr>
              <w:snapToGrid w:val="0"/>
              <w:spacing w:before="50" w:after="50"/>
              <w:jc w:val="center"/>
              <w:rPr>
                <w:rFonts w:hint="eastAsia" w:asciiTheme="majorEastAsia" w:hAnsiTheme="majorEastAsia" w:eastAsiaTheme="majorEastAsia"/>
                <w:color w:val="auto"/>
                <w:szCs w:val="21"/>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30C5EF96">
            <w:pPr>
              <w:snapToGrid w:val="0"/>
              <w:spacing w:before="50" w:after="50"/>
              <w:jc w:val="center"/>
              <w:rPr>
                <w:rFonts w:hint="eastAsia" w:asciiTheme="majorEastAsia" w:hAnsiTheme="majorEastAsia" w:eastAsiaTheme="majorEastAsia"/>
                <w:color w:val="auto"/>
                <w:szCs w:val="21"/>
                <w:highlight w:val="none"/>
              </w:rPr>
            </w:pPr>
          </w:p>
        </w:tc>
        <w:tc>
          <w:tcPr>
            <w:tcW w:w="751" w:type="dxa"/>
            <w:tcBorders>
              <w:top w:val="single" w:color="auto" w:sz="4" w:space="0"/>
              <w:left w:val="single" w:color="auto" w:sz="4" w:space="0"/>
              <w:bottom w:val="single" w:color="auto" w:sz="4" w:space="0"/>
              <w:right w:val="single" w:color="auto" w:sz="4" w:space="0"/>
            </w:tcBorders>
            <w:vAlign w:val="center"/>
          </w:tcPr>
          <w:p w14:paraId="73DB6A4E">
            <w:pPr>
              <w:snapToGrid w:val="0"/>
              <w:spacing w:before="50" w:after="50"/>
              <w:jc w:val="center"/>
              <w:rPr>
                <w:rFonts w:hint="eastAsia" w:asciiTheme="majorEastAsia" w:hAnsiTheme="majorEastAsia" w:eastAsiaTheme="majorEastAsia"/>
                <w:color w:val="auto"/>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47867873">
            <w:pPr>
              <w:snapToGrid w:val="0"/>
              <w:spacing w:before="50" w:after="50"/>
              <w:jc w:val="center"/>
              <w:rPr>
                <w:rFonts w:hint="eastAsia" w:asciiTheme="majorEastAsia" w:hAnsiTheme="majorEastAsia" w:eastAsiaTheme="majorEastAsia"/>
                <w:color w:val="auto"/>
                <w:szCs w:val="21"/>
                <w:highlight w:val="none"/>
              </w:rPr>
            </w:pPr>
          </w:p>
        </w:tc>
      </w:tr>
    </w:tbl>
    <w:p w14:paraId="519F9ACA">
      <w:pPr>
        <w:spacing w:line="360" w:lineRule="auto"/>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备注：</w:t>
      </w:r>
    </w:p>
    <w:p w14:paraId="34432D96">
      <w:pPr>
        <w:spacing w:line="360" w:lineRule="auto"/>
        <w:ind w:firstLine="420" w:firstLineChars="200"/>
        <w:contextualSpacing/>
        <w:rPr>
          <w:rFonts w:hint="eastAsia" w:asciiTheme="majorEastAsia" w:hAnsiTheme="majorEastAsia" w:eastAsiaTheme="majorEastAsia"/>
          <w:b/>
          <w:color w:val="auto"/>
          <w:szCs w:val="21"/>
          <w:highlight w:val="none"/>
        </w:rPr>
      </w:pPr>
      <w:r>
        <w:rPr>
          <w:rFonts w:hint="eastAsia" w:asciiTheme="majorEastAsia" w:hAnsiTheme="majorEastAsia" w:eastAsiaTheme="majorEastAsia"/>
          <w:color w:val="auto"/>
          <w:szCs w:val="21"/>
          <w:highlight w:val="none"/>
        </w:rPr>
        <w:t>以上设备性能配置清单中“标的名称、数量及单位、品牌、规格型号、生产厂家、国别、参数性能、指标及配置”必须如实填写完整，品牌、规格型号没有则填无，填写有缺漏</w:t>
      </w:r>
      <w:r>
        <w:rPr>
          <w:rFonts w:hint="eastAsia" w:asciiTheme="majorEastAsia" w:hAnsiTheme="majorEastAsia" w:eastAsiaTheme="majorEastAsia"/>
          <w:bCs/>
          <w:color w:val="auto"/>
          <w:szCs w:val="21"/>
          <w:highlight w:val="none"/>
        </w:rPr>
        <w:t>的，</w:t>
      </w:r>
      <w:r>
        <w:rPr>
          <w:rFonts w:hint="eastAsia" w:asciiTheme="majorEastAsia" w:hAnsiTheme="majorEastAsia" w:eastAsiaTheme="majorEastAsia"/>
          <w:b/>
          <w:color w:val="auto"/>
          <w:szCs w:val="21"/>
          <w:highlight w:val="none"/>
        </w:rPr>
        <w:t>作无效投标处理。</w:t>
      </w:r>
      <w:r>
        <w:rPr>
          <w:rFonts w:hint="eastAsia" w:asciiTheme="majorEastAsia" w:hAnsiTheme="majorEastAsia" w:eastAsiaTheme="majorEastAsia"/>
          <w:color w:val="auto"/>
          <w:szCs w:val="21"/>
          <w:highlight w:val="none"/>
        </w:rPr>
        <w:t>标的名称、数量及单位、品牌必须与“开标一览表”一致，</w:t>
      </w:r>
      <w:r>
        <w:rPr>
          <w:rFonts w:hint="eastAsia" w:asciiTheme="majorEastAsia" w:hAnsiTheme="majorEastAsia" w:eastAsiaTheme="majorEastAsia"/>
          <w:b/>
          <w:color w:val="auto"/>
          <w:szCs w:val="21"/>
          <w:highlight w:val="none"/>
        </w:rPr>
        <w:t>否则按无效投标处理。</w:t>
      </w:r>
    </w:p>
    <w:p w14:paraId="41726D6B">
      <w:pPr>
        <w:spacing w:line="360" w:lineRule="auto"/>
        <w:ind w:firstLine="420" w:firstLineChars="200"/>
        <w:contextualSpacing/>
        <w:rPr>
          <w:rFonts w:hint="eastAsia" w:asciiTheme="majorEastAsia" w:hAnsiTheme="majorEastAsia" w:eastAsiaTheme="majorEastAsia"/>
          <w:color w:val="auto"/>
          <w:szCs w:val="21"/>
          <w:highlight w:val="none"/>
        </w:rPr>
      </w:pPr>
    </w:p>
    <w:p w14:paraId="4C15B3BE">
      <w:pPr>
        <w:spacing w:line="360" w:lineRule="auto"/>
        <w:contextualSpacing/>
        <w:rPr>
          <w:rFonts w:hint="eastAsia" w:asciiTheme="majorEastAsia" w:hAnsiTheme="majorEastAsia" w:eastAsiaTheme="majorEastAsia"/>
          <w:color w:val="auto"/>
          <w:szCs w:val="21"/>
          <w:highlight w:val="none"/>
        </w:rPr>
      </w:pPr>
    </w:p>
    <w:p w14:paraId="4536D6EC">
      <w:pPr>
        <w:spacing w:line="360" w:lineRule="auto"/>
        <w:contextualSpacing/>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32B0C1B6">
      <w:pPr>
        <w:spacing w:line="360" w:lineRule="auto"/>
        <w:contextualSpacing/>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4F27D69E">
      <w:pPr>
        <w:spacing w:line="360" w:lineRule="auto"/>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3AB8FEC4">
      <w:pPr>
        <w:snapToGrid w:val="0"/>
        <w:spacing w:before="50" w:after="120" w:afterLines="50"/>
        <w:jc w:val="left"/>
        <w:rPr>
          <w:rFonts w:hint="eastAsia" w:asciiTheme="majorEastAsia" w:hAnsiTheme="majorEastAsia" w:eastAsiaTheme="majorEastAsia"/>
          <w:color w:val="auto"/>
          <w:szCs w:val="21"/>
          <w:highlight w:val="none"/>
        </w:rPr>
      </w:pPr>
    </w:p>
    <w:p w14:paraId="12DC33C9">
      <w:pPr>
        <w:snapToGrid w:val="0"/>
        <w:spacing w:before="50" w:after="120" w:afterLines="50"/>
        <w:jc w:val="left"/>
        <w:rPr>
          <w:rFonts w:hint="eastAsia" w:asciiTheme="majorEastAsia" w:hAnsiTheme="majorEastAsia" w:eastAsiaTheme="majorEastAsia"/>
          <w:color w:val="auto"/>
          <w:sz w:val="24"/>
          <w:szCs w:val="20"/>
          <w:highlight w:val="none"/>
        </w:rPr>
      </w:pPr>
    </w:p>
    <w:p w14:paraId="08D51B20">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4. 技术要求偏离表格式</w:t>
      </w:r>
    </w:p>
    <w:p w14:paraId="486F0D96">
      <w:pPr>
        <w:snapToGrid w:val="0"/>
        <w:spacing w:before="120" w:beforeLines="50" w:after="50"/>
        <w:ind w:left="142"/>
        <w:jc w:val="left"/>
        <w:rPr>
          <w:rFonts w:hint="eastAsia" w:asciiTheme="majorEastAsia" w:hAnsiTheme="majorEastAsia" w:eastAsiaTheme="majorEastAsia"/>
          <w:b/>
          <w:color w:val="auto"/>
          <w:sz w:val="24"/>
          <w:highlight w:val="none"/>
        </w:rPr>
      </w:pPr>
    </w:p>
    <w:p w14:paraId="56BC015B">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技术要求偏离表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2001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3E5931D5">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项号</w:t>
            </w:r>
          </w:p>
        </w:tc>
        <w:tc>
          <w:tcPr>
            <w:tcW w:w="2143" w:type="dxa"/>
            <w:vAlign w:val="center"/>
          </w:tcPr>
          <w:p w14:paraId="689C4926">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标的名称</w:t>
            </w:r>
          </w:p>
        </w:tc>
        <w:tc>
          <w:tcPr>
            <w:tcW w:w="1834" w:type="dxa"/>
            <w:vAlign w:val="center"/>
          </w:tcPr>
          <w:p w14:paraId="4527019C">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技术要求</w:t>
            </w:r>
          </w:p>
        </w:tc>
        <w:tc>
          <w:tcPr>
            <w:tcW w:w="2181" w:type="dxa"/>
            <w:vAlign w:val="center"/>
          </w:tcPr>
          <w:p w14:paraId="10EA6844">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投标响应</w:t>
            </w:r>
          </w:p>
        </w:tc>
        <w:tc>
          <w:tcPr>
            <w:tcW w:w="1934" w:type="dxa"/>
            <w:vAlign w:val="center"/>
          </w:tcPr>
          <w:p w14:paraId="59FD897A">
            <w:pPr>
              <w:pStyle w:val="27"/>
              <w:spacing w:line="400" w:lineRule="exact"/>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偏离说明</w:t>
            </w:r>
          </w:p>
        </w:tc>
      </w:tr>
      <w:tr w14:paraId="0EB7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258873A">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2143" w:type="dxa"/>
            <w:vAlign w:val="center"/>
          </w:tcPr>
          <w:p w14:paraId="2D1F9CA5">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1834" w:type="dxa"/>
            <w:vAlign w:val="center"/>
          </w:tcPr>
          <w:p w14:paraId="5EEABDFB">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2181" w:type="dxa"/>
            <w:vAlign w:val="center"/>
          </w:tcPr>
          <w:p w14:paraId="3D507E81">
            <w:pPr>
              <w:pStyle w:val="27"/>
              <w:spacing w:line="600" w:lineRule="exact"/>
              <w:jc w:val="center"/>
              <w:rPr>
                <w:rFonts w:hint="eastAsia" w:cs="Courier New" w:asciiTheme="majorEastAsia" w:hAnsiTheme="majorEastAsia" w:eastAsiaTheme="majorEastAsia"/>
                <w:color w:val="auto"/>
                <w:kern w:val="2"/>
                <w:sz w:val="21"/>
                <w:highlight w:val="none"/>
              </w:rPr>
            </w:pPr>
          </w:p>
        </w:tc>
        <w:tc>
          <w:tcPr>
            <w:tcW w:w="1934" w:type="dxa"/>
            <w:vAlign w:val="center"/>
          </w:tcPr>
          <w:p w14:paraId="32814262">
            <w:pPr>
              <w:pStyle w:val="27"/>
              <w:spacing w:line="600" w:lineRule="exact"/>
              <w:jc w:val="center"/>
              <w:rPr>
                <w:rFonts w:hint="eastAsia" w:cs="Courier New" w:asciiTheme="majorEastAsia" w:hAnsiTheme="majorEastAsia" w:eastAsiaTheme="majorEastAsia"/>
                <w:color w:val="auto"/>
                <w:kern w:val="2"/>
                <w:sz w:val="21"/>
                <w:highlight w:val="none"/>
              </w:rPr>
            </w:pPr>
          </w:p>
        </w:tc>
      </w:tr>
      <w:tr w14:paraId="0F82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DFA325B">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7E1834E5">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35ECE943">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46D06488">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4AEB29C3">
            <w:pPr>
              <w:pStyle w:val="27"/>
              <w:spacing w:line="600" w:lineRule="exact"/>
              <w:rPr>
                <w:rFonts w:hint="eastAsia" w:cs="Courier New" w:asciiTheme="majorEastAsia" w:hAnsiTheme="majorEastAsia" w:eastAsiaTheme="majorEastAsia"/>
                <w:color w:val="auto"/>
                <w:kern w:val="2"/>
                <w:sz w:val="21"/>
                <w:highlight w:val="none"/>
              </w:rPr>
            </w:pPr>
          </w:p>
        </w:tc>
      </w:tr>
      <w:tr w14:paraId="2EF9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4DC6736">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740FCEA7">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292AFC4E">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7D9C61E7">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29BA2E0E">
            <w:pPr>
              <w:pStyle w:val="27"/>
              <w:spacing w:line="600" w:lineRule="exact"/>
              <w:rPr>
                <w:rFonts w:hint="eastAsia" w:cs="Courier New" w:asciiTheme="majorEastAsia" w:hAnsiTheme="majorEastAsia" w:eastAsiaTheme="majorEastAsia"/>
                <w:color w:val="auto"/>
                <w:kern w:val="2"/>
                <w:sz w:val="21"/>
                <w:highlight w:val="none"/>
              </w:rPr>
            </w:pPr>
          </w:p>
        </w:tc>
      </w:tr>
      <w:tr w14:paraId="2309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C7F12A7">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2BDA4E10">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04A2A4A4">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5F214843">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25B66822">
            <w:pPr>
              <w:pStyle w:val="27"/>
              <w:spacing w:line="600" w:lineRule="exact"/>
              <w:rPr>
                <w:rFonts w:hint="eastAsia" w:cs="Courier New" w:asciiTheme="majorEastAsia" w:hAnsiTheme="majorEastAsia" w:eastAsiaTheme="majorEastAsia"/>
                <w:color w:val="auto"/>
                <w:kern w:val="2"/>
                <w:sz w:val="21"/>
                <w:highlight w:val="none"/>
              </w:rPr>
            </w:pPr>
          </w:p>
        </w:tc>
      </w:tr>
      <w:tr w14:paraId="117E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F2871BA">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2254BB4A">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384A4813">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40BCD8B6">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0B88E83E">
            <w:pPr>
              <w:pStyle w:val="27"/>
              <w:spacing w:line="600" w:lineRule="exact"/>
              <w:rPr>
                <w:rFonts w:hint="eastAsia" w:cs="Courier New" w:asciiTheme="majorEastAsia" w:hAnsiTheme="majorEastAsia" w:eastAsiaTheme="majorEastAsia"/>
                <w:color w:val="auto"/>
                <w:kern w:val="2"/>
                <w:sz w:val="21"/>
                <w:highlight w:val="none"/>
              </w:rPr>
            </w:pPr>
          </w:p>
        </w:tc>
      </w:tr>
      <w:tr w14:paraId="40A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48C846D">
            <w:pPr>
              <w:pStyle w:val="27"/>
              <w:spacing w:line="600" w:lineRule="exact"/>
              <w:rPr>
                <w:rFonts w:hint="eastAsia" w:cs="Courier New" w:asciiTheme="majorEastAsia" w:hAnsiTheme="majorEastAsia" w:eastAsiaTheme="majorEastAsia"/>
                <w:color w:val="auto"/>
                <w:kern w:val="2"/>
                <w:sz w:val="21"/>
                <w:highlight w:val="none"/>
              </w:rPr>
            </w:pPr>
          </w:p>
        </w:tc>
        <w:tc>
          <w:tcPr>
            <w:tcW w:w="2143" w:type="dxa"/>
          </w:tcPr>
          <w:p w14:paraId="36552AE3">
            <w:pPr>
              <w:pStyle w:val="27"/>
              <w:spacing w:line="600" w:lineRule="exact"/>
              <w:rPr>
                <w:rFonts w:hint="eastAsia" w:cs="Courier New" w:asciiTheme="majorEastAsia" w:hAnsiTheme="majorEastAsia" w:eastAsiaTheme="majorEastAsia"/>
                <w:color w:val="auto"/>
                <w:kern w:val="2"/>
                <w:sz w:val="21"/>
                <w:highlight w:val="none"/>
              </w:rPr>
            </w:pPr>
          </w:p>
        </w:tc>
        <w:tc>
          <w:tcPr>
            <w:tcW w:w="1834" w:type="dxa"/>
          </w:tcPr>
          <w:p w14:paraId="10914875">
            <w:pPr>
              <w:pStyle w:val="27"/>
              <w:spacing w:line="600" w:lineRule="exact"/>
              <w:rPr>
                <w:rFonts w:hint="eastAsia" w:cs="Courier New" w:asciiTheme="majorEastAsia" w:hAnsiTheme="majorEastAsia" w:eastAsiaTheme="majorEastAsia"/>
                <w:color w:val="auto"/>
                <w:kern w:val="2"/>
                <w:sz w:val="21"/>
                <w:highlight w:val="none"/>
              </w:rPr>
            </w:pPr>
          </w:p>
        </w:tc>
        <w:tc>
          <w:tcPr>
            <w:tcW w:w="2181" w:type="dxa"/>
          </w:tcPr>
          <w:p w14:paraId="19454770">
            <w:pPr>
              <w:pStyle w:val="27"/>
              <w:spacing w:line="600" w:lineRule="exact"/>
              <w:rPr>
                <w:rFonts w:hint="eastAsia" w:cs="Courier New" w:asciiTheme="majorEastAsia" w:hAnsiTheme="majorEastAsia" w:eastAsiaTheme="majorEastAsia"/>
                <w:color w:val="auto"/>
                <w:kern w:val="2"/>
                <w:sz w:val="21"/>
                <w:highlight w:val="none"/>
              </w:rPr>
            </w:pPr>
          </w:p>
        </w:tc>
        <w:tc>
          <w:tcPr>
            <w:tcW w:w="1934" w:type="dxa"/>
          </w:tcPr>
          <w:p w14:paraId="042F5C44">
            <w:pPr>
              <w:pStyle w:val="27"/>
              <w:spacing w:line="600" w:lineRule="exact"/>
              <w:rPr>
                <w:rFonts w:hint="eastAsia" w:cs="Courier New" w:asciiTheme="majorEastAsia" w:hAnsiTheme="majorEastAsia" w:eastAsiaTheme="majorEastAsia"/>
                <w:color w:val="auto"/>
                <w:kern w:val="2"/>
                <w:sz w:val="21"/>
                <w:highlight w:val="none"/>
              </w:rPr>
            </w:pPr>
          </w:p>
        </w:tc>
      </w:tr>
    </w:tbl>
    <w:p w14:paraId="11119FC0">
      <w:pPr>
        <w:pStyle w:val="19"/>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注：</w:t>
      </w:r>
    </w:p>
    <w:p w14:paraId="467CE184">
      <w:pPr>
        <w:pStyle w:val="21"/>
        <w:spacing w:line="360" w:lineRule="auto"/>
        <w:ind w:firstLine="0" w:firstLineChars="0"/>
        <w:rPr>
          <w:rFonts w:hint="eastAsia" w:cs="仿宋_GB2312"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1. 说明：应对照招标文件“第二章 采购需求”中的“技术要求”逐条作明确的投标响应，并作出偏离说明。</w:t>
      </w:r>
    </w:p>
    <w:p w14:paraId="39BD41F1">
      <w:pPr>
        <w:pStyle w:val="19"/>
        <w:spacing w:line="360" w:lineRule="auto"/>
        <w:rPr>
          <w:rFonts w:hint="eastAsia" w:asciiTheme="majorEastAsia" w:hAnsiTheme="majorEastAsia" w:eastAsiaTheme="majorEastAsia"/>
          <w:b w:val="0"/>
          <w:bCs w:val="0"/>
          <w:color w:val="auto"/>
          <w:sz w:val="21"/>
          <w:szCs w:val="21"/>
          <w:highlight w:val="none"/>
        </w:rPr>
      </w:pPr>
      <w:r>
        <w:rPr>
          <w:rFonts w:asciiTheme="majorEastAsia" w:hAnsiTheme="majorEastAsia" w:eastAsiaTheme="majorEastAsia"/>
          <w:b w:val="0"/>
          <w:bCs w:val="0"/>
          <w:color w:val="auto"/>
          <w:sz w:val="21"/>
          <w:szCs w:val="21"/>
          <w:highlight w:val="none"/>
        </w:rPr>
        <w:t>2.</w:t>
      </w:r>
      <w:r>
        <w:rPr>
          <w:rFonts w:hint="eastAsia" w:asciiTheme="majorEastAsia" w:hAnsiTheme="majorEastAsia" w:eastAsiaTheme="majorEastAsia"/>
          <w:b w:val="0"/>
          <w:bCs w:val="0"/>
          <w:color w:val="auto"/>
          <w:sz w:val="21"/>
          <w:szCs w:val="21"/>
          <w:highlight w:val="none"/>
        </w:rPr>
        <w:t>投标人根据投标货物的性能指标，对照招标文件技术要求，在“偏离说明”中注明“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”或者“</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”。既不属于“</w:t>
      </w:r>
      <w:r>
        <w:rPr>
          <w:rFonts w:hint="eastAsia" w:asciiTheme="majorEastAsia" w:hAnsiTheme="majorEastAsia" w:eastAsiaTheme="majorEastAsia"/>
          <w:color w:val="auto"/>
          <w:sz w:val="21"/>
          <w:szCs w:val="21"/>
          <w:highlight w:val="none"/>
        </w:rPr>
        <w:t>正偏离</w:t>
      </w:r>
      <w:r>
        <w:rPr>
          <w:rFonts w:hint="eastAsia" w:asciiTheme="majorEastAsia" w:hAnsiTheme="majorEastAsia" w:eastAsiaTheme="majorEastAsia"/>
          <w:b w:val="0"/>
          <w:bCs w:val="0"/>
          <w:color w:val="auto"/>
          <w:sz w:val="21"/>
          <w:szCs w:val="21"/>
          <w:highlight w:val="none"/>
        </w:rPr>
        <w:t>”也不属于“</w:t>
      </w:r>
      <w:r>
        <w:rPr>
          <w:rFonts w:hint="eastAsia" w:asciiTheme="majorEastAsia" w:hAnsiTheme="majorEastAsia" w:eastAsiaTheme="majorEastAsia"/>
          <w:color w:val="auto"/>
          <w:sz w:val="21"/>
          <w:szCs w:val="21"/>
          <w:highlight w:val="none"/>
        </w:rPr>
        <w:t>负偏离</w:t>
      </w:r>
      <w:r>
        <w:rPr>
          <w:rFonts w:hint="eastAsia" w:asciiTheme="majorEastAsia" w:hAnsiTheme="majorEastAsia" w:eastAsiaTheme="majorEastAsia"/>
          <w:b w:val="0"/>
          <w:bCs w:val="0"/>
          <w:color w:val="auto"/>
          <w:sz w:val="21"/>
          <w:szCs w:val="21"/>
          <w:highlight w:val="none"/>
        </w:rPr>
        <w:t>”即为“</w:t>
      </w:r>
      <w:r>
        <w:rPr>
          <w:rFonts w:hint="eastAsia" w:asciiTheme="majorEastAsia" w:hAnsiTheme="majorEastAsia" w:eastAsiaTheme="majorEastAsia"/>
          <w:color w:val="auto"/>
          <w:sz w:val="21"/>
          <w:szCs w:val="21"/>
          <w:highlight w:val="none"/>
        </w:rPr>
        <w:t>无偏离</w:t>
      </w:r>
      <w:r>
        <w:rPr>
          <w:rFonts w:hint="eastAsia" w:asciiTheme="majorEastAsia" w:hAnsiTheme="majorEastAsia" w:eastAsiaTheme="majorEastAsia"/>
          <w:b w:val="0"/>
          <w:bCs w:val="0"/>
          <w:color w:val="auto"/>
          <w:sz w:val="21"/>
          <w:szCs w:val="21"/>
          <w:highlight w:val="none"/>
        </w:rPr>
        <w:t>”。</w:t>
      </w:r>
    </w:p>
    <w:p w14:paraId="40618F6A">
      <w:pPr>
        <w:pStyle w:val="21"/>
        <w:spacing w:line="360" w:lineRule="auto"/>
        <w:ind w:firstLine="0" w:firstLineChars="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3.如技术要求偏离表中的投标响应与佐证材料不一致的，以佐证材料为准。</w:t>
      </w:r>
    </w:p>
    <w:p w14:paraId="4227A246">
      <w:pPr>
        <w:pStyle w:val="21"/>
        <w:spacing w:line="360" w:lineRule="auto"/>
        <w:ind w:firstLine="0" w:firstLineChars="0"/>
        <w:rPr>
          <w:rFonts w:hint="eastAsia" w:asciiTheme="majorEastAsia" w:hAnsiTheme="majorEastAsia" w:eastAsiaTheme="majorEastAsia"/>
          <w:color w:val="auto"/>
          <w:sz w:val="21"/>
          <w:szCs w:val="21"/>
          <w:highlight w:val="none"/>
        </w:rPr>
      </w:pPr>
      <w:r>
        <w:rPr>
          <w:rFonts w:hint="eastAsia" w:asciiTheme="majorEastAsia" w:hAnsiTheme="majorEastAsia" w:eastAsiaTheme="majorEastAsia"/>
          <w:color w:val="auto"/>
          <w:sz w:val="21"/>
          <w:szCs w:val="21"/>
          <w:highlight w:val="none"/>
        </w:rPr>
        <w:t>4.不按照要求填写响应内容的或者仅填写“满足或者响应”的，均按无效投标处理。</w:t>
      </w:r>
    </w:p>
    <w:p w14:paraId="7E94993B">
      <w:pPr>
        <w:snapToGrid w:val="0"/>
        <w:spacing w:before="50" w:after="50" w:line="360" w:lineRule="auto"/>
        <w:rPr>
          <w:rFonts w:hint="eastAsia" w:asciiTheme="majorEastAsia" w:hAnsiTheme="majorEastAsia" w:eastAsiaTheme="majorEastAsia"/>
          <w:color w:val="auto"/>
          <w:szCs w:val="21"/>
          <w:highlight w:val="none"/>
        </w:rPr>
      </w:pPr>
    </w:p>
    <w:p w14:paraId="69125FA6">
      <w:pPr>
        <w:snapToGrid w:val="0"/>
        <w:spacing w:before="50" w:after="50" w:line="360" w:lineRule="auto"/>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666AA124">
      <w:pPr>
        <w:snapToGrid w:val="0"/>
        <w:spacing w:before="50" w:after="50" w:line="360" w:lineRule="auto"/>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5C52095C">
      <w:pPr>
        <w:snapToGrid w:val="0"/>
        <w:spacing w:before="50" w:after="50" w:line="360" w:lineRule="auto"/>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45C4E4CD">
      <w:pPr>
        <w:snapToGrid w:val="0"/>
        <w:spacing w:before="50" w:after="50" w:line="360" w:lineRule="auto"/>
        <w:rPr>
          <w:rFonts w:hint="eastAsia" w:asciiTheme="majorEastAsia" w:hAnsiTheme="majorEastAsia" w:eastAsiaTheme="majorEastAsia"/>
          <w:color w:val="auto"/>
          <w:sz w:val="24"/>
          <w:szCs w:val="20"/>
          <w:highlight w:val="none"/>
        </w:rPr>
      </w:pPr>
    </w:p>
    <w:p w14:paraId="3D48E48A">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5. 项目实施人员一览表格式</w:t>
      </w:r>
    </w:p>
    <w:p w14:paraId="18CDA8A4">
      <w:pPr>
        <w:snapToGrid w:val="0"/>
        <w:spacing w:before="120" w:beforeLines="50" w:after="50"/>
        <w:ind w:left="142"/>
        <w:jc w:val="left"/>
        <w:rPr>
          <w:rFonts w:hint="eastAsia" w:asciiTheme="majorEastAsia" w:hAnsiTheme="majorEastAsia" w:eastAsiaTheme="majorEastAsia"/>
          <w:b/>
          <w:color w:val="auto"/>
          <w:sz w:val="24"/>
          <w:highlight w:val="none"/>
        </w:rPr>
      </w:pPr>
    </w:p>
    <w:p w14:paraId="4EEAA856">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项目实施人员一览表</w:t>
      </w:r>
    </w:p>
    <w:p w14:paraId="65553397">
      <w:pPr>
        <w:pStyle w:val="61"/>
        <w:rPr>
          <w:color w:val="auto"/>
          <w:highlight w:val="none"/>
        </w:rPr>
      </w:pPr>
    </w:p>
    <w:tbl>
      <w:tblPr>
        <w:tblStyle w:val="50"/>
        <w:tblW w:w="9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824"/>
        <w:gridCol w:w="1977"/>
        <w:gridCol w:w="1651"/>
        <w:gridCol w:w="1974"/>
        <w:gridCol w:w="1978"/>
      </w:tblGrid>
      <w:tr w14:paraId="3BE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949" w:type="dxa"/>
            <w:vAlign w:val="center"/>
          </w:tcPr>
          <w:p w14:paraId="5B61C9B5">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highlight w:val="none"/>
              </w:rPr>
              <w:t xml:space="preserve"> </w:t>
            </w:r>
            <w:r>
              <w:rPr>
                <w:rFonts w:hint="eastAsia" w:asciiTheme="majorEastAsia" w:hAnsiTheme="majorEastAsia" w:eastAsiaTheme="majorEastAsia"/>
                <w:color w:val="auto"/>
                <w:szCs w:val="21"/>
                <w:highlight w:val="none"/>
              </w:rPr>
              <w:t>姓名</w:t>
            </w:r>
          </w:p>
        </w:tc>
        <w:tc>
          <w:tcPr>
            <w:tcW w:w="824" w:type="dxa"/>
            <w:vAlign w:val="center"/>
          </w:tcPr>
          <w:p w14:paraId="46FA6C7B">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职务</w:t>
            </w:r>
          </w:p>
        </w:tc>
        <w:tc>
          <w:tcPr>
            <w:tcW w:w="1977" w:type="dxa"/>
            <w:vAlign w:val="center"/>
          </w:tcPr>
          <w:p w14:paraId="112FCC35">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专业技术资格（职称）或者职业资格或者执业资格证或者其他证书</w:t>
            </w:r>
          </w:p>
        </w:tc>
        <w:tc>
          <w:tcPr>
            <w:tcW w:w="1651" w:type="dxa"/>
            <w:vAlign w:val="center"/>
          </w:tcPr>
          <w:p w14:paraId="32F86C1E">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证书编号</w:t>
            </w:r>
          </w:p>
        </w:tc>
        <w:tc>
          <w:tcPr>
            <w:tcW w:w="1974" w:type="dxa"/>
            <w:vAlign w:val="center"/>
          </w:tcPr>
          <w:p w14:paraId="17768D15">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参加本单位</w:t>
            </w:r>
          </w:p>
          <w:p w14:paraId="236065D9">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工作时间</w:t>
            </w:r>
          </w:p>
        </w:tc>
        <w:tc>
          <w:tcPr>
            <w:tcW w:w="1978" w:type="dxa"/>
            <w:vAlign w:val="center"/>
          </w:tcPr>
          <w:p w14:paraId="33BEEC0F">
            <w:pPr>
              <w:snapToGrid w:val="0"/>
              <w:spacing w:before="50" w:after="120" w:afterLines="50"/>
              <w:jc w:val="center"/>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劳动合同编号</w:t>
            </w:r>
          </w:p>
        </w:tc>
      </w:tr>
      <w:tr w14:paraId="0B80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49" w:type="dxa"/>
            <w:vAlign w:val="center"/>
          </w:tcPr>
          <w:p w14:paraId="4A89EE61">
            <w:pPr>
              <w:snapToGrid w:val="0"/>
              <w:spacing w:before="50" w:after="120" w:afterLines="50"/>
              <w:jc w:val="center"/>
              <w:rPr>
                <w:rFonts w:hint="eastAsia" w:asciiTheme="majorEastAsia" w:hAnsiTheme="majorEastAsia" w:eastAsiaTheme="majorEastAsia"/>
                <w:color w:val="auto"/>
                <w:szCs w:val="21"/>
                <w:highlight w:val="none"/>
              </w:rPr>
            </w:pPr>
          </w:p>
        </w:tc>
        <w:tc>
          <w:tcPr>
            <w:tcW w:w="824" w:type="dxa"/>
            <w:vAlign w:val="center"/>
          </w:tcPr>
          <w:p w14:paraId="1DC3C963">
            <w:pPr>
              <w:snapToGrid w:val="0"/>
              <w:spacing w:before="50" w:after="120" w:afterLines="50"/>
              <w:jc w:val="center"/>
              <w:rPr>
                <w:rFonts w:hint="eastAsia" w:asciiTheme="majorEastAsia" w:hAnsiTheme="majorEastAsia" w:eastAsiaTheme="majorEastAsia"/>
                <w:color w:val="auto"/>
                <w:szCs w:val="21"/>
                <w:highlight w:val="none"/>
              </w:rPr>
            </w:pPr>
          </w:p>
        </w:tc>
        <w:tc>
          <w:tcPr>
            <w:tcW w:w="1977" w:type="dxa"/>
            <w:vAlign w:val="center"/>
          </w:tcPr>
          <w:p w14:paraId="3CC81029">
            <w:pPr>
              <w:snapToGrid w:val="0"/>
              <w:spacing w:before="50" w:after="120" w:afterLines="50"/>
              <w:jc w:val="center"/>
              <w:rPr>
                <w:rFonts w:hint="eastAsia" w:asciiTheme="majorEastAsia" w:hAnsiTheme="majorEastAsia" w:eastAsiaTheme="majorEastAsia"/>
                <w:color w:val="auto"/>
                <w:szCs w:val="21"/>
                <w:highlight w:val="none"/>
              </w:rPr>
            </w:pPr>
          </w:p>
        </w:tc>
        <w:tc>
          <w:tcPr>
            <w:tcW w:w="1651" w:type="dxa"/>
            <w:vAlign w:val="center"/>
          </w:tcPr>
          <w:p w14:paraId="1905181D">
            <w:pPr>
              <w:snapToGrid w:val="0"/>
              <w:spacing w:before="50" w:after="120" w:afterLines="50"/>
              <w:jc w:val="center"/>
              <w:rPr>
                <w:rFonts w:hint="eastAsia" w:asciiTheme="majorEastAsia" w:hAnsiTheme="majorEastAsia" w:eastAsiaTheme="majorEastAsia"/>
                <w:color w:val="auto"/>
                <w:szCs w:val="21"/>
                <w:highlight w:val="none"/>
              </w:rPr>
            </w:pPr>
          </w:p>
        </w:tc>
        <w:tc>
          <w:tcPr>
            <w:tcW w:w="1974" w:type="dxa"/>
            <w:vAlign w:val="center"/>
          </w:tcPr>
          <w:p w14:paraId="1650A43F">
            <w:pPr>
              <w:snapToGrid w:val="0"/>
              <w:spacing w:before="50" w:after="120" w:afterLines="50"/>
              <w:jc w:val="center"/>
              <w:rPr>
                <w:rFonts w:hint="eastAsia" w:asciiTheme="majorEastAsia" w:hAnsiTheme="majorEastAsia" w:eastAsiaTheme="majorEastAsia"/>
                <w:color w:val="auto"/>
                <w:szCs w:val="21"/>
                <w:highlight w:val="none"/>
              </w:rPr>
            </w:pPr>
          </w:p>
        </w:tc>
        <w:tc>
          <w:tcPr>
            <w:tcW w:w="1978" w:type="dxa"/>
            <w:vAlign w:val="center"/>
          </w:tcPr>
          <w:p w14:paraId="39FE177E">
            <w:pPr>
              <w:snapToGrid w:val="0"/>
              <w:spacing w:before="50" w:after="120" w:afterLines="50"/>
              <w:jc w:val="center"/>
              <w:rPr>
                <w:rFonts w:hint="eastAsia" w:asciiTheme="majorEastAsia" w:hAnsiTheme="majorEastAsia" w:eastAsiaTheme="majorEastAsia"/>
                <w:color w:val="auto"/>
                <w:szCs w:val="21"/>
                <w:highlight w:val="none"/>
              </w:rPr>
            </w:pPr>
          </w:p>
        </w:tc>
      </w:tr>
      <w:tr w14:paraId="42FC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49" w:type="dxa"/>
            <w:vAlign w:val="center"/>
          </w:tcPr>
          <w:p w14:paraId="2230870C">
            <w:pPr>
              <w:snapToGrid w:val="0"/>
              <w:spacing w:before="50" w:after="120" w:afterLines="50"/>
              <w:jc w:val="center"/>
              <w:rPr>
                <w:rFonts w:hint="eastAsia" w:asciiTheme="majorEastAsia" w:hAnsiTheme="majorEastAsia" w:eastAsiaTheme="majorEastAsia"/>
                <w:color w:val="auto"/>
                <w:szCs w:val="21"/>
                <w:highlight w:val="none"/>
              </w:rPr>
            </w:pPr>
          </w:p>
        </w:tc>
        <w:tc>
          <w:tcPr>
            <w:tcW w:w="824" w:type="dxa"/>
            <w:vAlign w:val="center"/>
          </w:tcPr>
          <w:p w14:paraId="00628A73">
            <w:pPr>
              <w:snapToGrid w:val="0"/>
              <w:spacing w:before="50" w:after="120" w:afterLines="50"/>
              <w:jc w:val="center"/>
              <w:rPr>
                <w:rFonts w:hint="eastAsia" w:asciiTheme="majorEastAsia" w:hAnsiTheme="majorEastAsia" w:eastAsiaTheme="majorEastAsia"/>
                <w:color w:val="auto"/>
                <w:szCs w:val="21"/>
                <w:highlight w:val="none"/>
              </w:rPr>
            </w:pPr>
          </w:p>
        </w:tc>
        <w:tc>
          <w:tcPr>
            <w:tcW w:w="1977" w:type="dxa"/>
            <w:vAlign w:val="center"/>
          </w:tcPr>
          <w:p w14:paraId="723395CA">
            <w:pPr>
              <w:snapToGrid w:val="0"/>
              <w:spacing w:before="50" w:after="120" w:afterLines="50"/>
              <w:jc w:val="center"/>
              <w:rPr>
                <w:rFonts w:hint="eastAsia" w:asciiTheme="majorEastAsia" w:hAnsiTheme="majorEastAsia" w:eastAsiaTheme="majorEastAsia"/>
                <w:color w:val="auto"/>
                <w:szCs w:val="21"/>
                <w:highlight w:val="none"/>
              </w:rPr>
            </w:pPr>
          </w:p>
        </w:tc>
        <w:tc>
          <w:tcPr>
            <w:tcW w:w="1651" w:type="dxa"/>
            <w:vAlign w:val="center"/>
          </w:tcPr>
          <w:p w14:paraId="139202EA">
            <w:pPr>
              <w:snapToGrid w:val="0"/>
              <w:spacing w:before="50" w:after="120" w:afterLines="50"/>
              <w:jc w:val="center"/>
              <w:rPr>
                <w:rFonts w:hint="eastAsia" w:asciiTheme="majorEastAsia" w:hAnsiTheme="majorEastAsia" w:eastAsiaTheme="majorEastAsia"/>
                <w:color w:val="auto"/>
                <w:szCs w:val="21"/>
                <w:highlight w:val="none"/>
              </w:rPr>
            </w:pPr>
          </w:p>
        </w:tc>
        <w:tc>
          <w:tcPr>
            <w:tcW w:w="1974" w:type="dxa"/>
            <w:vAlign w:val="center"/>
          </w:tcPr>
          <w:p w14:paraId="635E3E9D">
            <w:pPr>
              <w:snapToGrid w:val="0"/>
              <w:spacing w:before="50" w:after="120" w:afterLines="50"/>
              <w:jc w:val="center"/>
              <w:rPr>
                <w:rFonts w:hint="eastAsia" w:asciiTheme="majorEastAsia" w:hAnsiTheme="majorEastAsia" w:eastAsiaTheme="majorEastAsia"/>
                <w:color w:val="auto"/>
                <w:szCs w:val="21"/>
                <w:highlight w:val="none"/>
              </w:rPr>
            </w:pPr>
          </w:p>
        </w:tc>
        <w:tc>
          <w:tcPr>
            <w:tcW w:w="1978" w:type="dxa"/>
            <w:vAlign w:val="center"/>
          </w:tcPr>
          <w:p w14:paraId="39A26445">
            <w:pPr>
              <w:snapToGrid w:val="0"/>
              <w:spacing w:before="50" w:after="120" w:afterLines="50"/>
              <w:jc w:val="center"/>
              <w:rPr>
                <w:rFonts w:hint="eastAsia" w:asciiTheme="majorEastAsia" w:hAnsiTheme="majorEastAsia" w:eastAsiaTheme="majorEastAsia"/>
                <w:color w:val="auto"/>
                <w:szCs w:val="21"/>
                <w:highlight w:val="none"/>
              </w:rPr>
            </w:pPr>
          </w:p>
        </w:tc>
      </w:tr>
      <w:tr w14:paraId="0524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49" w:type="dxa"/>
            <w:vAlign w:val="center"/>
          </w:tcPr>
          <w:p w14:paraId="009F9979">
            <w:pPr>
              <w:snapToGrid w:val="0"/>
              <w:spacing w:before="50" w:after="120" w:afterLines="50"/>
              <w:jc w:val="center"/>
              <w:rPr>
                <w:rFonts w:hint="eastAsia" w:asciiTheme="majorEastAsia" w:hAnsiTheme="majorEastAsia" w:eastAsiaTheme="majorEastAsia"/>
                <w:color w:val="auto"/>
                <w:szCs w:val="21"/>
                <w:highlight w:val="none"/>
              </w:rPr>
            </w:pPr>
          </w:p>
        </w:tc>
        <w:tc>
          <w:tcPr>
            <w:tcW w:w="824" w:type="dxa"/>
            <w:vAlign w:val="center"/>
          </w:tcPr>
          <w:p w14:paraId="1FC42F22">
            <w:pPr>
              <w:snapToGrid w:val="0"/>
              <w:spacing w:before="50" w:after="120" w:afterLines="50"/>
              <w:jc w:val="center"/>
              <w:rPr>
                <w:rFonts w:hint="eastAsia" w:asciiTheme="majorEastAsia" w:hAnsiTheme="majorEastAsia" w:eastAsiaTheme="majorEastAsia"/>
                <w:color w:val="auto"/>
                <w:szCs w:val="21"/>
                <w:highlight w:val="none"/>
              </w:rPr>
            </w:pPr>
          </w:p>
        </w:tc>
        <w:tc>
          <w:tcPr>
            <w:tcW w:w="1977" w:type="dxa"/>
            <w:vAlign w:val="center"/>
          </w:tcPr>
          <w:p w14:paraId="07CFAB3D">
            <w:pPr>
              <w:snapToGrid w:val="0"/>
              <w:spacing w:before="50" w:after="120" w:afterLines="50"/>
              <w:jc w:val="center"/>
              <w:rPr>
                <w:rFonts w:hint="eastAsia" w:asciiTheme="majorEastAsia" w:hAnsiTheme="majorEastAsia" w:eastAsiaTheme="majorEastAsia"/>
                <w:color w:val="auto"/>
                <w:szCs w:val="21"/>
                <w:highlight w:val="none"/>
              </w:rPr>
            </w:pPr>
          </w:p>
        </w:tc>
        <w:tc>
          <w:tcPr>
            <w:tcW w:w="1651" w:type="dxa"/>
            <w:vAlign w:val="center"/>
          </w:tcPr>
          <w:p w14:paraId="09449AC5">
            <w:pPr>
              <w:snapToGrid w:val="0"/>
              <w:spacing w:before="50" w:after="120" w:afterLines="50"/>
              <w:jc w:val="center"/>
              <w:rPr>
                <w:rFonts w:hint="eastAsia" w:asciiTheme="majorEastAsia" w:hAnsiTheme="majorEastAsia" w:eastAsiaTheme="majorEastAsia"/>
                <w:color w:val="auto"/>
                <w:szCs w:val="21"/>
                <w:highlight w:val="none"/>
              </w:rPr>
            </w:pPr>
          </w:p>
        </w:tc>
        <w:tc>
          <w:tcPr>
            <w:tcW w:w="1974" w:type="dxa"/>
            <w:vAlign w:val="center"/>
          </w:tcPr>
          <w:p w14:paraId="4825DF2C">
            <w:pPr>
              <w:snapToGrid w:val="0"/>
              <w:spacing w:before="50" w:after="120" w:afterLines="50"/>
              <w:jc w:val="center"/>
              <w:rPr>
                <w:rFonts w:hint="eastAsia" w:asciiTheme="majorEastAsia" w:hAnsiTheme="majorEastAsia" w:eastAsiaTheme="majorEastAsia"/>
                <w:color w:val="auto"/>
                <w:szCs w:val="21"/>
                <w:highlight w:val="none"/>
              </w:rPr>
            </w:pPr>
          </w:p>
        </w:tc>
        <w:tc>
          <w:tcPr>
            <w:tcW w:w="1978" w:type="dxa"/>
            <w:vAlign w:val="center"/>
          </w:tcPr>
          <w:p w14:paraId="58E59907">
            <w:pPr>
              <w:snapToGrid w:val="0"/>
              <w:spacing w:before="50" w:after="120" w:afterLines="50"/>
              <w:jc w:val="center"/>
              <w:rPr>
                <w:rFonts w:hint="eastAsia" w:asciiTheme="majorEastAsia" w:hAnsiTheme="majorEastAsia" w:eastAsiaTheme="majorEastAsia"/>
                <w:color w:val="auto"/>
                <w:szCs w:val="21"/>
                <w:highlight w:val="none"/>
              </w:rPr>
            </w:pPr>
          </w:p>
        </w:tc>
      </w:tr>
    </w:tbl>
    <w:p w14:paraId="5BC52ECC">
      <w:pPr>
        <w:snapToGrid w:val="0"/>
        <w:spacing w:before="50" w:after="120" w:afterLines="50"/>
        <w:jc w:val="left"/>
        <w:rPr>
          <w:rFonts w:hint="eastAsia" w:asciiTheme="majorEastAsia" w:hAnsiTheme="majorEastAsia" w:eastAsiaTheme="majorEastAsia"/>
          <w:color w:val="auto"/>
          <w:szCs w:val="21"/>
          <w:highlight w:val="none"/>
        </w:rPr>
      </w:pPr>
    </w:p>
    <w:p w14:paraId="5415BBF2">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w:t>
      </w:r>
    </w:p>
    <w:p w14:paraId="6B0F6FAA">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1</w:t>
      </w:r>
      <w:r>
        <w:rPr>
          <w:rFonts w:asciiTheme="majorEastAsia" w:hAnsiTheme="majorEastAsia" w:eastAsiaTheme="majorEastAsia"/>
          <w:color w:val="auto"/>
          <w:szCs w:val="21"/>
          <w:highlight w:val="none"/>
        </w:rPr>
        <w:t>.</w:t>
      </w:r>
      <w:r>
        <w:rPr>
          <w:rFonts w:hint="eastAsia" w:asciiTheme="majorEastAsia" w:hAnsiTheme="majorEastAsia" w:eastAsiaTheme="majorEastAsia"/>
          <w:color w:val="auto"/>
          <w:szCs w:val="21"/>
          <w:highlight w:val="none"/>
        </w:rPr>
        <w:t>在填写时，如本表格不适合投标单位的实际情况，可根据本表格式自行制表填写。</w:t>
      </w:r>
    </w:p>
    <w:p w14:paraId="45DB56D7">
      <w:pPr>
        <w:spacing w:line="360" w:lineRule="auto"/>
        <w:contextualSpacing/>
        <w:jc w:val="left"/>
        <w:rPr>
          <w:rFonts w:hint="eastAsia" w:asciiTheme="majorEastAsia" w:hAnsiTheme="majorEastAsia" w:eastAsiaTheme="majorEastAsia"/>
          <w:color w:val="auto"/>
          <w:szCs w:val="21"/>
          <w:highlight w:val="none"/>
        </w:rPr>
      </w:pPr>
      <w:r>
        <w:rPr>
          <w:rFonts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rPr>
        <w:t>投标人应当附本表所列证书的复印件并加盖投标人公章。</w:t>
      </w:r>
    </w:p>
    <w:p w14:paraId="0ABBCD98">
      <w:pPr>
        <w:spacing w:line="360" w:lineRule="auto"/>
        <w:contextualSpacing/>
        <w:jc w:val="left"/>
        <w:rPr>
          <w:rFonts w:hint="eastAsia" w:asciiTheme="majorEastAsia" w:hAnsiTheme="majorEastAsia" w:eastAsiaTheme="majorEastAsia"/>
          <w:color w:val="auto"/>
          <w:szCs w:val="21"/>
          <w:highlight w:val="none"/>
        </w:rPr>
      </w:pPr>
    </w:p>
    <w:p w14:paraId="7C962D90">
      <w:pPr>
        <w:spacing w:line="360" w:lineRule="auto"/>
        <w:contextualSpacing/>
        <w:jc w:val="left"/>
        <w:rPr>
          <w:rFonts w:hint="eastAsia" w:asciiTheme="majorEastAsia" w:hAnsiTheme="majorEastAsia" w:eastAsiaTheme="majorEastAsia"/>
          <w:color w:val="auto"/>
          <w:szCs w:val="21"/>
          <w:highlight w:val="none"/>
        </w:rPr>
      </w:pPr>
    </w:p>
    <w:p w14:paraId="761395EA">
      <w:pPr>
        <w:spacing w:line="360" w:lineRule="auto"/>
        <w:contextualSpacing/>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62F0D55F">
      <w:pPr>
        <w:spacing w:line="360" w:lineRule="auto"/>
        <w:contextualSpacing/>
        <w:jc w:val="left"/>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75286C14">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29F8BC7C">
      <w:pPr>
        <w:snapToGrid w:val="0"/>
        <w:spacing w:before="50" w:after="120" w:afterLines="50"/>
        <w:jc w:val="left"/>
        <w:rPr>
          <w:rFonts w:hint="eastAsia" w:asciiTheme="majorEastAsia" w:hAnsiTheme="majorEastAsia" w:eastAsiaTheme="majorEastAsia"/>
          <w:color w:val="auto"/>
          <w:sz w:val="24"/>
          <w:szCs w:val="20"/>
          <w:highlight w:val="none"/>
        </w:rPr>
      </w:pPr>
    </w:p>
    <w:p w14:paraId="419E45E0">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br w:type="page"/>
      </w:r>
      <w:r>
        <w:rPr>
          <w:rFonts w:hint="eastAsia" w:asciiTheme="majorEastAsia" w:hAnsiTheme="majorEastAsia" w:eastAsiaTheme="majorEastAsia"/>
          <w:b/>
          <w:color w:val="auto"/>
          <w:sz w:val="24"/>
          <w:highlight w:val="none"/>
        </w:rPr>
        <w:t>6. 选配件、专用耗材、售后服务优惠表格式（注：按项目需求表具体项目修改）</w:t>
      </w:r>
    </w:p>
    <w:p w14:paraId="78E83B14">
      <w:pPr>
        <w:snapToGrid w:val="0"/>
        <w:spacing w:before="120" w:beforeLines="50" w:after="50"/>
        <w:ind w:left="142"/>
        <w:jc w:val="left"/>
        <w:rPr>
          <w:rFonts w:hint="eastAsia" w:asciiTheme="majorEastAsia" w:hAnsiTheme="majorEastAsia" w:eastAsiaTheme="majorEastAsia"/>
          <w:b/>
          <w:color w:val="auto"/>
          <w:sz w:val="24"/>
          <w:highlight w:val="none"/>
        </w:rPr>
      </w:pPr>
    </w:p>
    <w:p w14:paraId="69A1997F">
      <w:pPr>
        <w:snapToGrid w:val="0"/>
        <w:spacing w:before="120" w:beforeLines="50" w:after="50"/>
        <w:ind w:left="142"/>
        <w:jc w:val="center"/>
        <w:rPr>
          <w:rFonts w:hint="eastAsia" w:asciiTheme="majorEastAsia" w:hAnsiTheme="majorEastAsia" w:eastAsiaTheme="majorEastAsia"/>
          <w:b/>
          <w:color w:val="auto"/>
          <w:sz w:val="32"/>
          <w:szCs w:val="32"/>
          <w:highlight w:val="none"/>
        </w:rPr>
      </w:pPr>
      <w:r>
        <w:rPr>
          <w:rFonts w:hint="eastAsia" w:asciiTheme="majorEastAsia" w:hAnsiTheme="majorEastAsia" w:eastAsiaTheme="majorEastAsia"/>
          <w:b/>
          <w:color w:val="auto"/>
          <w:sz w:val="32"/>
          <w:szCs w:val="32"/>
          <w:highlight w:val="none"/>
        </w:rPr>
        <w:t>选配件、专用耗材、售后服务优惠表</w:t>
      </w:r>
    </w:p>
    <w:p w14:paraId="79D7605A">
      <w:pPr>
        <w:pStyle w:val="61"/>
        <w:rPr>
          <w:color w:val="auto"/>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2751"/>
        <w:gridCol w:w="1467"/>
        <w:gridCol w:w="1467"/>
        <w:gridCol w:w="2384"/>
      </w:tblGrid>
      <w:tr w14:paraId="40FD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749" w:type="dxa"/>
            <w:tcMar>
              <w:top w:w="15" w:type="dxa"/>
              <w:left w:w="15" w:type="dxa"/>
              <w:bottom w:w="0" w:type="dxa"/>
              <w:right w:w="15" w:type="dxa"/>
            </w:tcMar>
            <w:vAlign w:val="center"/>
          </w:tcPr>
          <w:p w14:paraId="128CF7DF">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asciiTheme="majorEastAsia" w:hAnsiTheme="majorEastAsia" w:eastAsiaTheme="majorEastAsia"/>
                <w:color w:val="auto"/>
                <w:sz w:val="21"/>
                <w:highlight w:val="none"/>
              </w:rPr>
              <w:t xml:space="preserve"> </w:t>
            </w:r>
            <w:r>
              <w:rPr>
                <w:rFonts w:hint="eastAsia" w:cs="Courier New" w:asciiTheme="majorEastAsia" w:hAnsiTheme="majorEastAsia" w:eastAsiaTheme="majorEastAsia"/>
                <w:color w:val="auto"/>
                <w:kern w:val="2"/>
                <w:sz w:val="21"/>
                <w:highlight w:val="none"/>
              </w:rPr>
              <w:t>序号</w:t>
            </w:r>
          </w:p>
        </w:tc>
        <w:tc>
          <w:tcPr>
            <w:tcW w:w="2751" w:type="dxa"/>
            <w:vAlign w:val="center"/>
          </w:tcPr>
          <w:p w14:paraId="64A5CDE3">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优惠内容</w:t>
            </w:r>
          </w:p>
        </w:tc>
        <w:tc>
          <w:tcPr>
            <w:tcW w:w="1467" w:type="dxa"/>
            <w:vAlign w:val="center"/>
          </w:tcPr>
          <w:p w14:paraId="527BA26B">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适用机型</w:t>
            </w:r>
          </w:p>
        </w:tc>
        <w:tc>
          <w:tcPr>
            <w:tcW w:w="1467" w:type="dxa"/>
            <w:tcMar>
              <w:top w:w="15" w:type="dxa"/>
              <w:left w:w="15" w:type="dxa"/>
              <w:bottom w:w="0" w:type="dxa"/>
              <w:right w:w="15" w:type="dxa"/>
            </w:tcMar>
            <w:vAlign w:val="center"/>
          </w:tcPr>
          <w:p w14:paraId="2EBB18B3">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单价</w:t>
            </w:r>
          </w:p>
        </w:tc>
        <w:tc>
          <w:tcPr>
            <w:tcW w:w="2384" w:type="dxa"/>
            <w:vAlign w:val="center"/>
          </w:tcPr>
          <w:p w14:paraId="046A67DC">
            <w:pPr>
              <w:pStyle w:val="27"/>
              <w:snapToGrid w:val="0"/>
              <w:spacing w:before="295" w:after="295"/>
              <w:jc w:val="center"/>
              <w:rPr>
                <w:rFonts w:hint="eastAsia" w:cs="Courier New" w:asciiTheme="majorEastAsia" w:hAnsiTheme="majorEastAsia" w:eastAsiaTheme="majorEastAsia"/>
                <w:color w:val="auto"/>
                <w:kern w:val="2"/>
                <w:sz w:val="21"/>
                <w:highlight w:val="none"/>
              </w:rPr>
            </w:pPr>
            <w:r>
              <w:rPr>
                <w:rFonts w:hint="eastAsia" w:cs="Courier New" w:asciiTheme="majorEastAsia" w:hAnsiTheme="majorEastAsia" w:eastAsiaTheme="majorEastAsia"/>
                <w:color w:val="auto"/>
                <w:kern w:val="2"/>
                <w:sz w:val="21"/>
                <w:highlight w:val="none"/>
              </w:rPr>
              <w:t>比市场价优惠率</w:t>
            </w:r>
          </w:p>
        </w:tc>
      </w:tr>
      <w:tr w14:paraId="5C01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749" w:type="dxa"/>
            <w:tcMar>
              <w:top w:w="15" w:type="dxa"/>
              <w:left w:w="15" w:type="dxa"/>
              <w:bottom w:w="0" w:type="dxa"/>
              <w:right w:w="15" w:type="dxa"/>
            </w:tcMar>
            <w:vAlign w:val="center"/>
          </w:tcPr>
          <w:p w14:paraId="5483AA60">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1</w:t>
            </w:r>
          </w:p>
        </w:tc>
        <w:tc>
          <w:tcPr>
            <w:tcW w:w="2751" w:type="dxa"/>
            <w:vAlign w:val="center"/>
          </w:tcPr>
          <w:p w14:paraId="12557182">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vAlign w:val="center"/>
          </w:tcPr>
          <w:p w14:paraId="5AC9D31D">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tcMar>
              <w:top w:w="15" w:type="dxa"/>
              <w:left w:w="15" w:type="dxa"/>
              <w:bottom w:w="0" w:type="dxa"/>
              <w:right w:w="15" w:type="dxa"/>
            </w:tcMar>
            <w:vAlign w:val="center"/>
          </w:tcPr>
          <w:p w14:paraId="008C7B57">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2384" w:type="dxa"/>
            <w:vAlign w:val="center"/>
          </w:tcPr>
          <w:p w14:paraId="6A39D55B">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 xml:space="preserve"> </w:t>
            </w:r>
            <w:r>
              <w:rPr>
                <w:rFonts w:hint="eastAsia" w:asciiTheme="majorEastAsia" w:hAnsiTheme="majorEastAsia" w:eastAsiaTheme="majorEastAsia"/>
                <w:color w:val="auto"/>
                <w:kern w:val="2"/>
                <w:sz w:val="21"/>
                <w:highlight w:val="none"/>
                <w:u w:val="single"/>
              </w:rPr>
              <w:t xml:space="preserve">           </w:t>
            </w:r>
            <w:r>
              <w:rPr>
                <w:rFonts w:hint="eastAsia" w:asciiTheme="majorEastAsia" w:hAnsiTheme="majorEastAsia" w:eastAsiaTheme="majorEastAsia"/>
                <w:color w:val="auto"/>
                <w:kern w:val="2"/>
                <w:sz w:val="21"/>
                <w:highlight w:val="none"/>
              </w:rPr>
              <w:t>%</w:t>
            </w:r>
          </w:p>
        </w:tc>
      </w:tr>
      <w:tr w14:paraId="7F16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749" w:type="dxa"/>
            <w:tcMar>
              <w:top w:w="15" w:type="dxa"/>
              <w:left w:w="15" w:type="dxa"/>
              <w:bottom w:w="0" w:type="dxa"/>
              <w:right w:w="15" w:type="dxa"/>
            </w:tcMar>
            <w:vAlign w:val="center"/>
          </w:tcPr>
          <w:p w14:paraId="5FB6C50F">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2</w:t>
            </w:r>
          </w:p>
        </w:tc>
        <w:tc>
          <w:tcPr>
            <w:tcW w:w="2751" w:type="dxa"/>
            <w:vAlign w:val="center"/>
          </w:tcPr>
          <w:p w14:paraId="5D728B19">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vAlign w:val="center"/>
          </w:tcPr>
          <w:p w14:paraId="4D9BA13E">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tcMar>
              <w:top w:w="15" w:type="dxa"/>
              <w:left w:w="15" w:type="dxa"/>
              <w:bottom w:w="0" w:type="dxa"/>
              <w:right w:w="15" w:type="dxa"/>
            </w:tcMar>
            <w:vAlign w:val="center"/>
          </w:tcPr>
          <w:p w14:paraId="2355D76F">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2384" w:type="dxa"/>
            <w:vAlign w:val="center"/>
          </w:tcPr>
          <w:p w14:paraId="5E3CFDE9">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 xml:space="preserve"> </w:t>
            </w:r>
            <w:r>
              <w:rPr>
                <w:rFonts w:hint="eastAsia" w:asciiTheme="majorEastAsia" w:hAnsiTheme="majorEastAsia" w:eastAsiaTheme="majorEastAsia"/>
                <w:color w:val="auto"/>
                <w:kern w:val="2"/>
                <w:sz w:val="21"/>
                <w:highlight w:val="none"/>
                <w:u w:val="single"/>
              </w:rPr>
              <w:t xml:space="preserve">           </w:t>
            </w:r>
            <w:r>
              <w:rPr>
                <w:rFonts w:hint="eastAsia" w:asciiTheme="majorEastAsia" w:hAnsiTheme="majorEastAsia" w:eastAsiaTheme="majorEastAsia"/>
                <w:color w:val="auto"/>
                <w:kern w:val="2"/>
                <w:sz w:val="21"/>
                <w:highlight w:val="none"/>
              </w:rPr>
              <w:t>%</w:t>
            </w:r>
          </w:p>
        </w:tc>
      </w:tr>
      <w:tr w14:paraId="0F3E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749" w:type="dxa"/>
            <w:tcMar>
              <w:top w:w="15" w:type="dxa"/>
              <w:left w:w="15" w:type="dxa"/>
              <w:bottom w:w="0" w:type="dxa"/>
              <w:right w:w="15" w:type="dxa"/>
            </w:tcMar>
            <w:vAlign w:val="center"/>
          </w:tcPr>
          <w:p w14:paraId="454323AE">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3</w:t>
            </w:r>
          </w:p>
        </w:tc>
        <w:tc>
          <w:tcPr>
            <w:tcW w:w="2751" w:type="dxa"/>
            <w:vAlign w:val="center"/>
          </w:tcPr>
          <w:p w14:paraId="0C9D267F">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vAlign w:val="center"/>
          </w:tcPr>
          <w:p w14:paraId="72BBA025">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1467" w:type="dxa"/>
            <w:tcMar>
              <w:top w:w="15" w:type="dxa"/>
              <w:left w:w="15" w:type="dxa"/>
              <w:bottom w:w="0" w:type="dxa"/>
              <w:right w:w="15" w:type="dxa"/>
            </w:tcMar>
            <w:vAlign w:val="center"/>
          </w:tcPr>
          <w:p w14:paraId="62533A74">
            <w:pPr>
              <w:pStyle w:val="27"/>
              <w:snapToGrid w:val="0"/>
              <w:spacing w:before="295" w:after="295"/>
              <w:jc w:val="center"/>
              <w:rPr>
                <w:rFonts w:hint="eastAsia" w:asciiTheme="majorEastAsia" w:hAnsiTheme="majorEastAsia" w:eastAsiaTheme="majorEastAsia"/>
                <w:color w:val="auto"/>
                <w:kern w:val="2"/>
                <w:sz w:val="21"/>
                <w:highlight w:val="none"/>
              </w:rPr>
            </w:pPr>
          </w:p>
        </w:tc>
        <w:tc>
          <w:tcPr>
            <w:tcW w:w="2384" w:type="dxa"/>
            <w:vAlign w:val="center"/>
          </w:tcPr>
          <w:p w14:paraId="4D214AC8">
            <w:pPr>
              <w:pStyle w:val="27"/>
              <w:snapToGrid w:val="0"/>
              <w:spacing w:before="295" w:after="295"/>
              <w:jc w:val="center"/>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 xml:space="preserve"> </w:t>
            </w:r>
            <w:r>
              <w:rPr>
                <w:rFonts w:hint="eastAsia" w:asciiTheme="majorEastAsia" w:hAnsiTheme="majorEastAsia" w:eastAsiaTheme="majorEastAsia"/>
                <w:color w:val="auto"/>
                <w:kern w:val="2"/>
                <w:sz w:val="21"/>
                <w:highlight w:val="none"/>
                <w:u w:val="single"/>
              </w:rPr>
              <w:t xml:space="preserve">           </w:t>
            </w:r>
            <w:r>
              <w:rPr>
                <w:rFonts w:hint="eastAsia" w:asciiTheme="majorEastAsia" w:hAnsiTheme="majorEastAsia" w:eastAsiaTheme="majorEastAsia"/>
                <w:color w:val="auto"/>
                <w:kern w:val="2"/>
                <w:sz w:val="21"/>
                <w:highlight w:val="none"/>
              </w:rPr>
              <w:t>%</w:t>
            </w:r>
          </w:p>
        </w:tc>
      </w:tr>
    </w:tbl>
    <w:p w14:paraId="2359DF42">
      <w:pPr>
        <w:spacing w:line="360" w:lineRule="auto"/>
        <w:contextualSpacing/>
        <w:rPr>
          <w:rFonts w:hint="eastAsia" w:asciiTheme="majorEastAsia" w:hAnsiTheme="majorEastAsia" w:eastAsiaTheme="majorEastAsia"/>
          <w:color w:val="auto"/>
          <w:szCs w:val="21"/>
          <w:highlight w:val="none"/>
        </w:rPr>
      </w:pPr>
    </w:p>
    <w:p w14:paraId="2AC06AC0">
      <w:pPr>
        <w:pStyle w:val="61"/>
        <w:rPr>
          <w:color w:val="auto"/>
          <w:highlight w:val="none"/>
        </w:rPr>
      </w:pPr>
    </w:p>
    <w:p w14:paraId="1DCB24AA">
      <w:pPr>
        <w:spacing w:line="360" w:lineRule="auto"/>
        <w:contextualSpacing/>
        <w:rPr>
          <w:rFonts w:hint="eastAsia" w:asciiTheme="majorEastAsia" w:hAnsiTheme="majorEastAsia" w:eastAsiaTheme="majorEastAsia"/>
          <w:color w:val="auto"/>
          <w:spacing w:val="20"/>
          <w:szCs w:val="21"/>
          <w:highlight w:val="none"/>
          <w:u w:val="single"/>
        </w:rPr>
      </w:pPr>
      <w:r>
        <w:rPr>
          <w:rFonts w:hint="eastAsia" w:asciiTheme="majorEastAsia" w:hAnsiTheme="majorEastAsia" w:eastAsiaTheme="majorEastAsia"/>
          <w:color w:val="auto"/>
          <w:szCs w:val="21"/>
          <w:highlight w:val="none"/>
        </w:rPr>
        <w:t>法定代表人（或负责人）或者委托代理人（签字或电子签名）</w:t>
      </w:r>
      <w:r>
        <w:rPr>
          <w:rFonts w:hint="eastAsia" w:asciiTheme="majorEastAsia" w:hAnsiTheme="majorEastAsia" w:eastAsiaTheme="majorEastAsia"/>
          <w:color w:val="auto"/>
          <w:spacing w:val="20"/>
          <w:szCs w:val="21"/>
          <w:highlight w:val="none"/>
        </w:rPr>
        <w:t>：</w:t>
      </w:r>
      <w:r>
        <w:rPr>
          <w:rFonts w:hint="eastAsia" w:asciiTheme="majorEastAsia" w:hAnsiTheme="majorEastAsia" w:eastAsiaTheme="majorEastAsia"/>
          <w:color w:val="auto"/>
          <w:spacing w:val="20"/>
          <w:szCs w:val="21"/>
          <w:highlight w:val="none"/>
          <w:u w:val="single"/>
        </w:rPr>
        <w:t xml:space="preserve">        </w:t>
      </w:r>
    </w:p>
    <w:p w14:paraId="7AD887CC">
      <w:pPr>
        <w:spacing w:line="360" w:lineRule="auto"/>
        <w:contextualSpacing/>
        <w:jc w:val="left"/>
        <w:rPr>
          <w:rFonts w:hint="eastAsia" w:asciiTheme="majorEastAsia" w:hAnsiTheme="majorEastAsia" w:eastAsiaTheme="majorEastAsia"/>
          <w:color w:val="auto"/>
          <w:spacing w:val="20"/>
          <w:szCs w:val="21"/>
          <w:highlight w:val="none"/>
        </w:rPr>
      </w:pPr>
      <w:r>
        <w:rPr>
          <w:rFonts w:hint="eastAsia" w:asciiTheme="majorEastAsia" w:hAnsiTheme="majorEastAsia" w:eastAsiaTheme="majorEastAsia"/>
          <w:color w:val="auto"/>
          <w:spacing w:val="20"/>
          <w:szCs w:val="21"/>
          <w:highlight w:val="none"/>
        </w:rPr>
        <w:t>投标人名称（电子签章）：</w:t>
      </w:r>
      <w:r>
        <w:rPr>
          <w:rFonts w:hint="eastAsia" w:asciiTheme="majorEastAsia" w:hAnsiTheme="majorEastAsia" w:eastAsiaTheme="majorEastAsia"/>
          <w:color w:val="auto"/>
          <w:spacing w:val="20"/>
          <w:szCs w:val="21"/>
          <w:highlight w:val="none"/>
          <w:u w:val="single"/>
        </w:rPr>
        <w:t xml:space="preserve">            </w:t>
      </w:r>
      <w:r>
        <w:rPr>
          <w:rFonts w:hint="eastAsia" w:asciiTheme="majorEastAsia" w:hAnsiTheme="majorEastAsia" w:eastAsiaTheme="majorEastAsia"/>
          <w:color w:val="auto"/>
          <w:spacing w:val="20"/>
          <w:szCs w:val="21"/>
          <w:highlight w:val="none"/>
        </w:rPr>
        <w:t xml:space="preserve">              </w:t>
      </w:r>
    </w:p>
    <w:p w14:paraId="48AA80B1">
      <w:pPr>
        <w:spacing w:line="360" w:lineRule="auto"/>
        <w:contextualSpacing/>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pacing w:val="20"/>
          <w:szCs w:val="21"/>
          <w:highlight w:val="none"/>
        </w:rPr>
        <w:t>日 期：</w:t>
      </w:r>
      <w:r>
        <w:rPr>
          <w:rFonts w:hint="eastAsia" w:asciiTheme="majorEastAsia" w:hAnsiTheme="majorEastAsia" w:eastAsiaTheme="majorEastAsia"/>
          <w:color w:val="auto"/>
          <w:spacing w:val="20"/>
          <w:szCs w:val="21"/>
          <w:highlight w:val="none"/>
          <w:u w:val="single"/>
        </w:rPr>
        <w:t xml:space="preserve">            </w:t>
      </w:r>
    </w:p>
    <w:p w14:paraId="06E70831">
      <w:pPr>
        <w:snapToGrid w:val="0"/>
        <w:spacing w:before="50" w:after="120" w:afterLines="50"/>
        <w:jc w:val="left"/>
        <w:rPr>
          <w:rFonts w:hint="eastAsia" w:asciiTheme="majorEastAsia" w:hAnsiTheme="majorEastAsia" w:eastAsiaTheme="majorEastAsia"/>
          <w:color w:val="auto"/>
          <w:sz w:val="24"/>
          <w:szCs w:val="20"/>
          <w:highlight w:val="none"/>
        </w:rPr>
      </w:pPr>
    </w:p>
    <w:p w14:paraId="790B9DCF">
      <w:pPr>
        <w:rPr>
          <w:rFonts w:hint="eastAsia" w:asciiTheme="majorEastAsia" w:hAnsiTheme="majorEastAsia" w:eastAsiaTheme="majorEastAsia"/>
          <w:b/>
          <w:color w:val="auto"/>
          <w:sz w:val="28"/>
          <w:szCs w:val="28"/>
          <w:highlight w:val="none"/>
        </w:rPr>
      </w:pPr>
      <w:r>
        <w:rPr>
          <w:rFonts w:asciiTheme="majorEastAsia" w:hAnsiTheme="majorEastAsia" w:eastAsiaTheme="majorEastAsia"/>
          <w:b/>
          <w:bCs/>
          <w:color w:val="auto"/>
          <w:sz w:val="24"/>
          <w:highlight w:val="none"/>
        </w:rPr>
        <w:br w:type="page"/>
      </w:r>
      <w:r>
        <w:rPr>
          <w:rFonts w:hint="eastAsia" w:asciiTheme="majorEastAsia" w:hAnsiTheme="majorEastAsia" w:eastAsiaTheme="majorEastAsia"/>
          <w:b/>
          <w:color w:val="auto"/>
          <w:sz w:val="28"/>
          <w:szCs w:val="28"/>
          <w:highlight w:val="none"/>
        </w:rPr>
        <w:t>五、其他文书、文件格式</w:t>
      </w:r>
    </w:p>
    <w:p w14:paraId="4D162E2A">
      <w:pPr>
        <w:snapToGrid w:val="0"/>
        <w:spacing w:before="120" w:beforeLines="50" w:after="50"/>
        <w:jc w:val="left"/>
        <w:rPr>
          <w:rFonts w:hint="eastAsia" w:asciiTheme="majorEastAsia" w:hAnsiTheme="majorEastAsia" w:eastAsiaTheme="majorEastAsia"/>
          <w:color w:val="auto"/>
          <w:highlight w:val="none"/>
        </w:rPr>
      </w:pPr>
      <w:r>
        <w:rPr>
          <w:rFonts w:hint="eastAsia" w:asciiTheme="majorEastAsia" w:hAnsiTheme="majorEastAsia" w:eastAsiaTheme="majorEastAsia"/>
          <w:b/>
          <w:color w:val="auto"/>
          <w:sz w:val="24"/>
          <w:highlight w:val="none"/>
        </w:rPr>
        <w:t>1.中小企业声明函格式</w:t>
      </w:r>
    </w:p>
    <w:p w14:paraId="40FCA4E9">
      <w:pPr>
        <w:rPr>
          <w:rFonts w:hint="eastAsia" w:asciiTheme="majorEastAsia" w:hAnsiTheme="majorEastAsia" w:eastAsiaTheme="majorEastAsia"/>
          <w:color w:val="auto"/>
          <w:highlight w:val="none"/>
        </w:rPr>
      </w:pPr>
    </w:p>
    <w:p w14:paraId="17656044">
      <w:pPr>
        <w:jc w:val="center"/>
        <w:rPr>
          <w:rFonts w:hint="eastAsia" w:cs="方正小标宋简体" w:asciiTheme="majorEastAsia" w:hAnsiTheme="majorEastAsia" w:eastAsiaTheme="majorEastAsia"/>
          <w:color w:val="auto"/>
          <w:sz w:val="44"/>
          <w:szCs w:val="44"/>
          <w:highlight w:val="none"/>
        </w:rPr>
      </w:pPr>
      <w:r>
        <w:rPr>
          <w:rFonts w:hint="eastAsia" w:cs="方正小标宋简体" w:asciiTheme="majorEastAsia" w:hAnsiTheme="majorEastAsia" w:eastAsiaTheme="majorEastAsia"/>
          <w:color w:val="auto"/>
          <w:sz w:val="44"/>
          <w:szCs w:val="44"/>
          <w:highlight w:val="none"/>
        </w:rPr>
        <w:t>中小企业声明函（货物）</w:t>
      </w:r>
    </w:p>
    <w:p w14:paraId="77BB8CE2">
      <w:pPr>
        <w:spacing w:before="2" w:line="500" w:lineRule="exact"/>
        <w:rPr>
          <w:rFonts w:hint="eastAsia" w:cs="宋体" w:asciiTheme="majorEastAsia" w:hAnsiTheme="majorEastAsia" w:eastAsiaTheme="majorEastAsia"/>
          <w:b/>
          <w:bCs/>
          <w:color w:val="auto"/>
          <w:sz w:val="27"/>
          <w:szCs w:val="27"/>
          <w:highlight w:val="none"/>
        </w:rPr>
      </w:pPr>
    </w:p>
    <w:p w14:paraId="209B278E">
      <w:pPr>
        <w:pStyle w:val="20"/>
        <w:spacing w:line="360" w:lineRule="auto"/>
        <w:ind w:left="-426" w:leftChars="-203" w:right="142" w:firstLine="420" w:firstLineChars="200"/>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本公司（联合体）郑重声明，根据《政府采购促进中小企业发展管理办法》（财库﹝2020﹞46号）的规定，本公司（联合体）参加</w:t>
      </w:r>
      <w:r>
        <w:rPr>
          <w:rFonts w:asciiTheme="majorEastAsia" w:hAnsiTheme="majorEastAsia" w:eastAsiaTheme="majorEastAsia"/>
          <w:color w:val="auto"/>
          <w:kern w:val="24"/>
          <w:sz w:val="21"/>
          <w:szCs w:val="21"/>
          <w:highlight w:val="none"/>
          <w:u w:val="single"/>
        </w:rPr>
        <w:t>（单位名称）</w:t>
      </w:r>
      <w:r>
        <w:rPr>
          <w:rFonts w:asciiTheme="majorEastAsia" w:hAnsiTheme="majorEastAsia" w:eastAsiaTheme="majorEastAsia"/>
          <w:color w:val="auto"/>
          <w:kern w:val="24"/>
          <w:sz w:val="21"/>
          <w:szCs w:val="21"/>
          <w:highlight w:val="none"/>
        </w:rPr>
        <w:t>的</w:t>
      </w:r>
      <w:r>
        <w:rPr>
          <w:rFonts w:asciiTheme="majorEastAsia" w:hAnsiTheme="majorEastAsia" w:eastAsiaTheme="majorEastAsia"/>
          <w:color w:val="auto"/>
          <w:kern w:val="24"/>
          <w:sz w:val="21"/>
          <w:szCs w:val="21"/>
          <w:highlight w:val="none"/>
          <w:u w:val="single"/>
        </w:rPr>
        <w:t>（项目名称）</w:t>
      </w:r>
      <w:r>
        <w:rPr>
          <w:rFonts w:asciiTheme="majorEastAsia" w:hAnsiTheme="majorEastAsia" w:eastAsiaTheme="majorEastAsia"/>
          <w:color w:val="auto"/>
          <w:kern w:val="24"/>
          <w:sz w:val="21"/>
          <w:szCs w:val="21"/>
          <w:highlight w:val="none"/>
        </w:rPr>
        <w:t>采购活动，提供的货物全部由符合政策要求的中小企业制造。相关企业（含联合体中的中小企业、签订分包意向协议的中小企业）的具体情况如下：</w:t>
      </w:r>
    </w:p>
    <w:p w14:paraId="0F8E49DF">
      <w:pPr>
        <w:tabs>
          <w:tab w:val="left" w:pos="1384"/>
          <w:tab w:val="left" w:pos="4562"/>
          <w:tab w:val="left" w:pos="6803"/>
        </w:tabs>
        <w:spacing w:line="360" w:lineRule="auto"/>
        <w:ind w:left="-426" w:right="-58" w:firstLine="655"/>
        <w:contextualSpacing/>
        <w:rPr>
          <w:rFonts w:hint="eastAsia" w:asciiTheme="majorEastAsia" w:hAnsiTheme="majorEastAsia" w:eastAsiaTheme="majorEastAsia"/>
          <w:color w:val="auto"/>
          <w:kern w:val="24"/>
          <w:szCs w:val="21"/>
          <w:highlight w:val="none"/>
        </w:rPr>
      </w:pPr>
      <w:r>
        <w:rPr>
          <w:rFonts w:asciiTheme="majorEastAsia" w:hAnsiTheme="majorEastAsia" w:eastAsiaTheme="majorEastAsia"/>
          <w:color w:val="auto"/>
          <w:kern w:val="24"/>
          <w:szCs w:val="21"/>
          <w:highlight w:val="none"/>
        </w:rPr>
        <w:t>1.</w:t>
      </w:r>
      <w:r>
        <w:rPr>
          <w:rFonts w:asciiTheme="majorEastAsia" w:hAnsiTheme="majorEastAsia" w:eastAsiaTheme="majorEastAsia"/>
          <w:color w:val="auto"/>
          <w:kern w:val="24"/>
          <w:szCs w:val="21"/>
          <w:highlight w:val="none"/>
          <w:u w:val="single"/>
        </w:rPr>
        <w:t>（标的名称）</w:t>
      </w:r>
      <w:r>
        <w:rPr>
          <w:rFonts w:asciiTheme="majorEastAsia" w:hAnsiTheme="majorEastAsia" w:eastAsiaTheme="majorEastAsia"/>
          <w:color w:val="auto"/>
          <w:kern w:val="24"/>
          <w:szCs w:val="21"/>
          <w:highlight w:val="none"/>
        </w:rPr>
        <w:t>，属于</w:t>
      </w:r>
      <w:r>
        <w:rPr>
          <w:rFonts w:asciiTheme="majorEastAsia" w:hAnsiTheme="majorEastAsia" w:eastAsiaTheme="majorEastAsia"/>
          <w:color w:val="auto"/>
          <w:kern w:val="24"/>
          <w:szCs w:val="21"/>
          <w:highlight w:val="none"/>
          <w:u w:val="single"/>
        </w:rPr>
        <w:t>（采购文件中明确的所属行业）</w:t>
      </w:r>
      <w:r>
        <w:rPr>
          <w:rFonts w:asciiTheme="majorEastAsia" w:hAnsiTheme="majorEastAsia" w:eastAsiaTheme="majorEastAsia"/>
          <w:color w:val="auto"/>
          <w:kern w:val="24"/>
          <w:szCs w:val="21"/>
          <w:highlight w:val="none"/>
        </w:rPr>
        <w:t>行业；制造商为</w:t>
      </w:r>
      <w:r>
        <w:rPr>
          <w:rFonts w:asciiTheme="majorEastAsia" w:hAnsiTheme="majorEastAsia" w:eastAsiaTheme="majorEastAsia"/>
          <w:color w:val="auto"/>
          <w:kern w:val="24"/>
          <w:szCs w:val="21"/>
          <w:highlight w:val="none"/>
          <w:u w:val="single"/>
        </w:rPr>
        <w:t>（企业名称）</w:t>
      </w:r>
      <w:r>
        <w:rPr>
          <w:rFonts w:asciiTheme="majorEastAsia" w:hAnsiTheme="majorEastAsia" w:eastAsiaTheme="majorEastAsia"/>
          <w:color w:val="auto"/>
          <w:kern w:val="24"/>
          <w:szCs w:val="21"/>
          <w:highlight w:val="none"/>
        </w:rPr>
        <w:t>，从业人员</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人，营业收入为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万元，资产总额为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万元，属于</w:t>
      </w:r>
      <w:r>
        <w:rPr>
          <w:rFonts w:asciiTheme="majorEastAsia" w:hAnsiTheme="majorEastAsia" w:eastAsiaTheme="majorEastAsia"/>
          <w:color w:val="auto"/>
          <w:kern w:val="24"/>
          <w:szCs w:val="21"/>
          <w:highlight w:val="none"/>
          <w:u w:val="single"/>
        </w:rPr>
        <w:t>（中型企业、小型企业、微型企业）</w:t>
      </w:r>
      <w:r>
        <w:rPr>
          <w:rFonts w:asciiTheme="majorEastAsia" w:hAnsiTheme="majorEastAsia" w:eastAsiaTheme="majorEastAsia"/>
          <w:color w:val="auto"/>
          <w:kern w:val="24"/>
          <w:szCs w:val="21"/>
          <w:highlight w:val="none"/>
        </w:rPr>
        <w:t>；</w:t>
      </w:r>
    </w:p>
    <w:p w14:paraId="79E6CA26">
      <w:pPr>
        <w:tabs>
          <w:tab w:val="left" w:pos="1065"/>
          <w:tab w:val="left" w:pos="6477"/>
        </w:tabs>
        <w:spacing w:line="360" w:lineRule="auto"/>
        <w:ind w:left="-426" w:right="-58" w:firstLine="655"/>
        <w:contextualSpacing/>
        <w:rPr>
          <w:rFonts w:hint="eastAsia" w:asciiTheme="majorEastAsia" w:hAnsiTheme="majorEastAsia" w:eastAsiaTheme="majorEastAsia"/>
          <w:color w:val="auto"/>
          <w:kern w:val="24"/>
          <w:szCs w:val="21"/>
          <w:highlight w:val="none"/>
        </w:rPr>
      </w:pPr>
      <w:r>
        <w:rPr>
          <w:rFonts w:asciiTheme="majorEastAsia" w:hAnsiTheme="majorEastAsia" w:eastAsiaTheme="majorEastAsia"/>
          <w:color w:val="auto"/>
          <w:kern w:val="24"/>
          <w:szCs w:val="21"/>
          <w:highlight w:val="none"/>
        </w:rPr>
        <w:t>2.</w:t>
      </w:r>
      <w:r>
        <w:rPr>
          <w:rFonts w:asciiTheme="majorEastAsia" w:hAnsiTheme="majorEastAsia" w:eastAsiaTheme="majorEastAsia"/>
          <w:color w:val="auto"/>
          <w:kern w:val="24"/>
          <w:szCs w:val="21"/>
          <w:highlight w:val="none"/>
          <w:u w:val="single"/>
        </w:rPr>
        <w:t>（标的名称）</w:t>
      </w:r>
      <w:r>
        <w:rPr>
          <w:rFonts w:asciiTheme="majorEastAsia" w:hAnsiTheme="majorEastAsia" w:eastAsiaTheme="majorEastAsia"/>
          <w:color w:val="auto"/>
          <w:kern w:val="24"/>
          <w:szCs w:val="21"/>
          <w:highlight w:val="none"/>
        </w:rPr>
        <w:t>，属于</w:t>
      </w:r>
      <w:r>
        <w:rPr>
          <w:rFonts w:asciiTheme="majorEastAsia" w:hAnsiTheme="majorEastAsia" w:eastAsiaTheme="majorEastAsia"/>
          <w:color w:val="auto"/>
          <w:kern w:val="24"/>
          <w:szCs w:val="21"/>
          <w:highlight w:val="none"/>
          <w:u w:val="single"/>
        </w:rPr>
        <w:t>（采购文件中明确的所属行业）</w:t>
      </w:r>
      <w:r>
        <w:rPr>
          <w:rFonts w:asciiTheme="majorEastAsia" w:hAnsiTheme="majorEastAsia" w:eastAsiaTheme="majorEastAsia"/>
          <w:color w:val="auto"/>
          <w:kern w:val="24"/>
          <w:szCs w:val="21"/>
          <w:highlight w:val="none"/>
        </w:rPr>
        <w:t>行业；制造商为</w:t>
      </w:r>
      <w:r>
        <w:rPr>
          <w:rFonts w:asciiTheme="majorEastAsia" w:hAnsiTheme="majorEastAsia" w:eastAsiaTheme="majorEastAsia"/>
          <w:color w:val="auto"/>
          <w:kern w:val="24"/>
          <w:szCs w:val="21"/>
          <w:highlight w:val="none"/>
          <w:u w:val="single"/>
        </w:rPr>
        <w:t>（企业名称）</w:t>
      </w:r>
      <w:r>
        <w:rPr>
          <w:rFonts w:asciiTheme="majorEastAsia" w:hAnsiTheme="majorEastAsia" w:eastAsiaTheme="majorEastAsia"/>
          <w:color w:val="auto"/>
          <w:kern w:val="24"/>
          <w:szCs w:val="21"/>
          <w:highlight w:val="none"/>
        </w:rPr>
        <w:t>，从业人员</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人，营业收入为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万元，资产总额为</w:t>
      </w:r>
      <w:r>
        <w:rPr>
          <w:rFonts w:hint="eastAsia"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u w:val="single"/>
        </w:rPr>
        <w:t xml:space="preserve">     </w:t>
      </w:r>
      <w:r>
        <w:rPr>
          <w:rFonts w:asciiTheme="majorEastAsia" w:hAnsiTheme="majorEastAsia" w:eastAsiaTheme="majorEastAsia"/>
          <w:color w:val="auto"/>
          <w:kern w:val="24"/>
          <w:szCs w:val="21"/>
          <w:highlight w:val="none"/>
        </w:rPr>
        <w:t>万元，属于</w:t>
      </w:r>
      <w:r>
        <w:rPr>
          <w:rFonts w:asciiTheme="majorEastAsia" w:hAnsiTheme="majorEastAsia" w:eastAsiaTheme="majorEastAsia"/>
          <w:color w:val="auto"/>
          <w:kern w:val="24"/>
          <w:szCs w:val="21"/>
          <w:highlight w:val="none"/>
          <w:u w:val="single"/>
        </w:rPr>
        <w:t>（中型企业、小型企业、微型企业）</w:t>
      </w:r>
      <w:r>
        <w:rPr>
          <w:rFonts w:asciiTheme="majorEastAsia" w:hAnsiTheme="majorEastAsia" w:eastAsiaTheme="majorEastAsia"/>
          <w:color w:val="auto"/>
          <w:kern w:val="24"/>
          <w:szCs w:val="21"/>
          <w:highlight w:val="none"/>
        </w:rPr>
        <w:t>；</w:t>
      </w:r>
    </w:p>
    <w:p w14:paraId="2A3482E5">
      <w:pPr>
        <w:pStyle w:val="20"/>
        <w:spacing w:line="360" w:lineRule="auto"/>
        <w:ind w:left="142" w:right="142"/>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 xml:space="preserve">…… </w:t>
      </w:r>
    </w:p>
    <w:p w14:paraId="69610BAA">
      <w:pPr>
        <w:pStyle w:val="20"/>
        <w:spacing w:line="360" w:lineRule="auto"/>
        <w:ind w:left="-405" w:leftChars="-193" w:right="142" w:firstLine="396" w:firstLineChars="189"/>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以上企业，不属于大企业的分支机构，不存在控股股东为大企业的情形，也不存在与大企业的负责人为同一人的情形。</w:t>
      </w:r>
    </w:p>
    <w:p w14:paraId="1BE6D199">
      <w:pPr>
        <w:pStyle w:val="20"/>
        <w:spacing w:line="360" w:lineRule="auto"/>
        <w:ind w:left="-426" w:right="142" w:firstLine="567"/>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本企业对上述声明内容的真实性负责。如有虚假，将依法承担相应责任。</w:t>
      </w:r>
    </w:p>
    <w:p w14:paraId="0589DC6D">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p>
    <w:p w14:paraId="24E872B8">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企业名称（</w:t>
      </w:r>
      <w:r>
        <w:rPr>
          <w:rFonts w:hint="eastAsia" w:asciiTheme="majorEastAsia" w:hAnsiTheme="majorEastAsia" w:eastAsiaTheme="majorEastAsia"/>
          <w:color w:val="auto"/>
          <w:kern w:val="24"/>
          <w:sz w:val="21"/>
          <w:szCs w:val="21"/>
          <w:highlight w:val="none"/>
        </w:rPr>
        <w:t>电子签章</w:t>
      </w:r>
      <w:r>
        <w:rPr>
          <w:rFonts w:asciiTheme="majorEastAsia" w:hAnsiTheme="majorEastAsia" w:eastAsiaTheme="majorEastAsia"/>
          <w:color w:val="auto"/>
          <w:kern w:val="24"/>
          <w:sz w:val="21"/>
          <w:szCs w:val="21"/>
          <w:highlight w:val="none"/>
        </w:rPr>
        <w:t xml:space="preserve">）： </w:t>
      </w:r>
    </w:p>
    <w:p w14:paraId="5C61F428">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r>
        <w:rPr>
          <w:rFonts w:asciiTheme="majorEastAsia" w:hAnsiTheme="majorEastAsia" w:eastAsiaTheme="majorEastAsia"/>
          <w:color w:val="auto"/>
          <w:kern w:val="24"/>
          <w:sz w:val="21"/>
          <w:szCs w:val="21"/>
          <w:highlight w:val="none"/>
        </w:rPr>
        <w:t>日</w:t>
      </w:r>
      <w:r>
        <w:rPr>
          <w:rFonts w:hint="eastAsia" w:asciiTheme="majorEastAsia" w:hAnsiTheme="majorEastAsia" w:eastAsiaTheme="majorEastAsia"/>
          <w:color w:val="auto"/>
          <w:kern w:val="24"/>
          <w:sz w:val="21"/>
          <w:szCs w:val="21"/>
          <w:highlight w:val="none"/>
        </w:rPr>
        <w:t xml:space="preserve"> </w:t>
      </w:r>
      <w:r>
        <w:rPr>
          <w:rFonts w:asciiTheme="majorEastAsia" w:hAnsiTheme="majorEastAsia" w:eastAsiaTheme="majorEastAsia"/>
          <w:color w:val="auto"/>
          <w:kern w:val="24"/>
          <w:sz w:val="21"/>
          <w:szCs w:val="21"/>
          <w:highlight w:val="none"/>
        </w:rPr>
        <w:t>期：</w:t>
      </w:r>
    </w:p>
    <w:p w14:paraId="13830394">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p>
    <w:p w14:paraId="3A13D0E1">
      <w:pPr>
        <w:pStyle w:val="20"/>
        <w:spacing w:line="360" w:lineRule="auto"/>
        <w:ind w:left="3960" w:right="1808"/>
        <w:contextualSpacing/>
        <w:rPr>
          <w:rFonts w:hint="eastAsia" w:asciiTheme="majorEastAsia" w:hAnsiTheme="majorEastAsia" w:eastAsiaTheme="majorEastAsia"/>
          <w:color w:val="auto"/>
          <w:kern w:val="24"/>
          <w:sz w:val="21"/>
          <w:szCs w:val="21"/>
          <w:highlight w:val="none"/>
        </w:rPr>
      </w:pPr>
    </w:p>
    <w:p w14:paraId="348EDA8C">
      <w:pPr>
        <w:pStyle w:val="20"/>
        <w:spacing w:line="360" w:lineRule="auto"/>
        <w:ind w:left="-426" w:right="142" w:firstLine="567"/>
        <w:contextualSpacing/>
        <w:rPr>
          <w:rFonts w:hint="eastAsia" w:asciiTheme="majorEastAsia" w:hAnsiTheme="majorEastAsia" w:eastAsiaTheme="majorEastAsia"/>
          <w:color w:val="auto"/>
          <w:kern w:val="24"/>
          <w:sz w:val="21"/>
          <w:szCs w:val="21"/>
          <w:highlight w:val="none"/>
        </w:rPr>
      </w:pPr>
      <w:r>
        <w:rPr>
          <w:rFonts w:hint="eastAsia" w:asciiTheme="majorEastAsia" w:hAnsiTheme="majorEastAsia" w:eastAsiaTheme="majorEastAsia"/>
          <w:color w:val="auto"/>
          <w:kern w:val="24"/>
          <w:sz w:val="21"/>
          <w:szCs w:val="21"/>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7A127D9E">
      <w:pPr>
        <w:snapToGrid w:val="0"/>
        <w:spacing w:before="120" w:beforeLines="50" w:after="50"/>
        <w:ind w:left="142"/>
        <w:jc w:val="left"/>
        <w:rPr>
          <w:rFonts w:hint="eastAsia" w:asciiTheme="majorEastAsia" w:hAnsiTheme="majorEastAsia" w:eastAsiaTheme="majorEastAsia"/>
          <w:b/>
          <w:color w:val="auto"/>
          <w:sz w:val="24"/>
          <w:highlight w:val="none"/>
        </w:rPr>
      </w:pPr>
      <w:r>
        <w:rPr>
          <w:rFonts w:asciiTheme="majorEastAsia" w:hAnsiTheme="majorEastAsia" w:eastAsiaTheme="majorEastAsia"/>
          <w:b/>
          <w:color w:val="auto"/>
          <w:szCs w:val="21"/>
          <w:highlight w:val="none"/>
        </w:rPr>
        <w:br w:type="page"/>
      </w:r>
      <w:r>
        <w:rPr>
          <w:rFonts w:hint="eastAsia" w:asciiTheme="majorEastAsia" w:hAnsiTheme="majorEastAsia" w:eastAsiaTheme="majorEastAsia"/>
          <w:b/>
          <w:color w:val="auto"/>
          <w:sz w:val="24"/>
          <w:highlight w:val="none"/>
        </w:rPr>
        <w:t>2.残疾人福利性单位声明函格式</w:t>
      </w:r>
    </w:p>
    <w:p w14:paraId="462D2422">
      <w:pPr>
        <w:spacing w:line="588" w:lineRule="exact"/>
        <w:jc w:val="center"/>
        <w:rPr>
          <w:rFonts w:hint="eastAsia" w:asciiTheme="majorEastAsia" w:hAnsiTheme="majorEastAsia" w:eastAsiaTheme="majorEastAsia"/>
          <w:b/>
          <w:color w:val="auto"/>
          <w:spacing w:val="6"/>
          <w:sz w:val="32"/>
          <w:szCs w:val="32"/>
          <w:highlight w:val="none"/>
        </w:rPr>
      </w:pPr>
    </w:p>
    <w:p w14:paraId="7DFE748E">
      <w:pPr>
        <w:spacing w:line="588" w:lineRule="exact"/>
        <w:jc w:val="center"/>
        <w:rPr>
          <w:rFonts w:hint="eastAsia" w:cs="方正小标宋简体" w:asciiTheme="majorEastAsia" w:hAnsiTheme="majorEastAsia" w:eastAsiaTheme="majorEastAsia"/>
          <w:bCs/>
          <w:color w:val="auto"/>
          <w:spacing w:val="6"/>
          <w:sz w:val="44"/>
          <w:szCs w:val="44"/>
          <w:highlight w:val="none"/>
        </w:rPr>
      </w:pPr>
      <w:r>
        <w:rPr>
          <w:rFonts w:hint="eastAsia" w:cs="方正小标宋简体" w:asciiTheme="majorEastAsia" w:hAnsiTheme="majorEastAsia" w:eastAsiaTheme="majorEastAsia"/>
          <w:bCs/>
          <w:color w:val="auto"/>
          <w:spacing w:val="6"/>
          <w:sz w:val="44"/>
          <w:szCs w:val="44"/>
          <w:highlight w:val="none"/>
        </w:rPr>
        <w:t>残疾人福利性单位声明函</w:t>
      </w:r>
    </w:p>
    <w:p w14:paraId="69163866">
      <w:pPr>
        <w:spacing w:line="360" w:lineRule="auto"/>
        <w:contextualSpacing/>
        <w:rPr>
          <w:rFonts w:hint="eastAsia" w:asciiTheme="majorEastAsia" w:hAnsiTheme="majorEastAsia" w:eastAsiaTheme="majorEastAsia"/>
          <w:bCs/>
          <w:color w:val="auto"/>
          <w:spacing w:val="6"/>
          <w:sz w:val="30"/>
          <w:szCs w:val="30"/>
          <w:highlight w:val="none"/>
        </w:rPr>
      </w:pPr>
    </w:p>
    <w:p w14:paraId="27E3399C">
      <w:pPr>
        <w:spacing w:line="360" w:lineRule="auto"/>
        <w:ind w:firstLine="444" w:firstLineChars="200"/>
        <w:contextualSpacing/>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本单位郑重声明，根据《财政部 民政部 中国残疾人联合会关于促进残疾人就业政府采购政策的通知》（财库</w:t>
      </w:r>
      <w:r>
        <w:rPr>
          <w:rFonts w:hint="eastAsia" w:asciiTheme="majorEastAsia" w:hAnsiTheme="majorEastAsia" w:eastAsiaTheme="majorEastAsia"/>
          <w:color w:val="auto"/>
          <w:szCs w:val="21"/>
          <w:highlight w:val="none"/>
        </w:rPr>
        <w:t>〔2017〕 141</w:t>
      </w:r>
      <w:r>
        <w:rPr>
          <w:rFonts w:hint="eastAsia" w:asciiTheme="majorEastAsia" w:hAnsiTheme="majorEastAsia" w:eastAsiaTheme="majorEastAsia"/>
          <w:color w:val="auto"/>
          <w:spacing w:val="6"/>
          <w:szCs w:val="21"/>
          <w:highlight w:val="none"/>
        </w:rPr>
        <w:t>号）的规定，本单位为符合条件的残疾人福利性单位，且本单位参加______单位的______项目采购活动提供本单位制造的货物（由本单位承担工程/提供服务），或者提供其他残</w:t>
      </w:r>
      <w:r>
        <w:rPr>
          <w:rFonts w:hint="eastAsia" w:asciiTheme="majorEastAsia" w:hAnsiTheme="majorEastAsia" w:eastAsiaTheme="majorEastAsia"/>
          <w:color w:val="auto"/>
          <w:spacing w:val="-6"/>
          <w:szCs w:val="21"/>
          <w:highlight w:val="none"/>
        </w:rPr>
        <w:t>疾人福利性单位制造的货物（不包括使用非残疾人福利性单位注册商标的货物）。</w:t>
      </w:r>
    </w:p>
    <w:p w14:paraId="67BD6E75">
      <w:pPr>
        <w:spacing w:line="360" w:lineRule="auto"/>
        <w:ind w:firstLine="444" w:firstLineChars="200"/>
        <w:contextualSpacing/>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本单位对上述声明的真实性负责。如有虚假，将依法承担相应责任。</w:t>
      </w:r>
    </w:p>
    <w:p w14:paraId="30B5D389">
      <w:pPr>
        <w:spacing w:line="360" w:lineRule="auto"/>
        <w:ind w:firstLine="444" w:firstLineChars="200"/>
        <w:contextualSpacing/>
        <w:rPr>
          <w:rFonts w:hint="eastAsia" w:asciiTheme="majorEastAsia" w:hAnsiTheme="majorEastAsia" w:eastAsiaTheme="majorEastAsia"/>
          <w:color w:val="auto"/>
          <w:spacing w:val="6"/>
          <w:szCs w:val="21"/>
          <w:highlight w:val="none"/>
        </w:rPr>
      </w:pPr>
    </w:p>
    <w:p w14:paraId="314AD99C">
      <w:pPr>
        <w:spacing w:line="360" w:lineRule="auto"/>
        <w:ind w:firstLine="444" w:firstLineChars="200"/>
        <w:contextualSpacing/>
        <w:rPr>
          <w:rFonts w:hint="eastAsia" w:asciiTheme="majorEastAsia" w:hAnsiTheme="majorEastAsia" w:eastAsiaTheme="majorEastAsia"/>
          <w:color w:val="auto"/>
          <w:spacing w:val="6"/>
          <w:szCs w:val="21"/>
          <w:highlight w:val="none"/>
        </w:rPr>
      </w:pPr>
    </w:p>
    <w:p w14:paraId="17D9B914">
      <w:pPr>
        <w:tabs>
          <w:tab w:val="left" w:pos="4860"/>
        </w:tabs>
        <w:spacing w:line="360" w:lineRule="auto"/>
        <w:ind w:right="1560" w:firstLine="444" w:firstLineChars="200"/>
        <w:contextualSpacing/>
        <w:jc w:val="center"/>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单位名称（电子签章）：</w:t>
      </w:r>
    </w:p>
    <w:p w14:paraId="36824FBA">
      <w:pPr>
        <w:tabs>
          <w:tab w:val="left" w:pos="4860"/>
        </w:tabs>
        <w:spacing w:line="360" w:lineRule="auto"/>
        <w:ind w:right="1560" w:firstLine="444" w:firstLineChars="200"/>
        <w:contextualSpacing/>
        <w:jc w:val="center"/>
        <w:rPr>
          <w:rFonts w:hint="eastAsia" w:asciiTheme="majorEastAsia" w:hAnsiTheme="majorEastAsia" w:eastAsiaTheme="majorEastAsia"/>
          <w:color w:val="auto"/>
          <w:spacing w:val="6"/>
          <w:szCs w:val="21"/>
          <w:highlight w:val="none"/>
        </w:rPr>
      </w:pPr>
      <w:r>
        <w:rPr>
          <w:rFonts w:hint="eastAsia" w:asciiTheme="majorEastAsia" w:hAnsiTheme="majorEastAsia" w:eastAsiaTheme="majorEastAsia"/>
          <w:color w:val="auto"/>
          <w:spacing w:val="6"/>
          <w:szCs w:val="21"/>
          <w:highlight w:val="none"/>
        </w:rPr>
        <w:t>日  期：</w:t>
      </w:r>
    </w:p>
    <w:p w14:paraId="36CD0E97">
      <w:pPr>
        <w:spacing w:line="360" w:lineRule="auto"/>
        <w:contextualSpacing/>
        <w:rPr>
          <w:rFonts w:hint="eastAsia" w:asciiTheme="majorEastAsia" w:hAnsiTheme="majorEastAsia" w:eastAsiaTheme="majorEastAsia"/>
          <w:color w:val="auto"/>
          <w:szCs w:val="21"/>
          <w:highlight w:val="none"/>
        </w:rPr>
      </w:pPr>
    </w:p>
    <w:p w14:paraId="1AEE512F">
      <w:pPr>
        <w:spacing w:line="360" w:lineRule="auto"/>
        <w:contextualSpacing/>
        <w:rPr>
          <w:rFonts w:hint="eastAsia" w:asciiTheme="majorEastAsia" w:hAnsiTheme="majorEastAsia" w:eastAsiaTheme="majorEastAsia"/>
          <w:color w:val="auto"/>
          <w:sz w:val="24"/>
          <w:highlight w:val="none"/>
        </w:rPr>
      </w:pPr>
    </w:p>
    <w:p w14:paraId="72A68F56">
      <w:pPr>
        <w:spacing w:line="360" w:lineRule="auto"/>
        <w:contextualSpacing/>
        <w:rPr>
          <w:rFonts w:hint="eastAsia" w:asciiTheme="majorEastAsia" w:hAnsiTheme="majorEastAsia" w:eastAsiaTheme="majorEastAsia"/>
          <w:color w:val="auto"/>
          <w:sz w:val="24"/>
          <w:highlight w:val="none"/>
        </w:rPr>
      </w:pPr>
    </w:p>
    <w:p w14:paraId="52674199">
      <w:pPr>
        <w:spacing w:line="360" w:lineRule="auto"/>
        <w:contextualSpacing/>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1D6E4298">
      <w:pPr>
        <w:spacing w:line="360" w:lineRule="auto"/>
        <w:jc w:val="left"/>
        <w:rPr>
          <w:rFonts w:hint="eastAsia"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br w:type="page"/>
      </w:r>
      <w:r>
        <w:rPr>
          <w:rFonts w:hint="eastAsia" w:asciiTheme="majorEastAsia" w:hAnsiTheme="majorEastAsia" w:eastAsiaTheme="majorEastAsia"/>
          <w:b/>
          <w:color w:val="auto"/>
          <w:sz w:val="24"/>
          <w:highlight w:val="none"/>
        </w:rPr>
        <w:t>3.质疑函（格式）</w:t>
      </w:r>
    </w:p>
    <w:p w14:paraId="65A34777">
      <w:pPr>
        <w:spacing w:line="360" w:lineRule="auto"/>
        <w:jc w:val="center"/>
        <w:rPr>
          <w:rFonts w:hint="eastAsia" w:cs="方正小标宋简体" w:asciiTheme="majorEastAsia" w:hAnsiTheme="majorEastAsia" w:eastAsiaTheme="majorEastAsia"/>
          <w:color w:val="auto"/>
          <w:sz w:val="44"/>
          <w:szCs w:val="44"/>
          <w:highlight w:val="none"/>
        </w:rPr>
      </w:pPr>
      <w:r>
        <w:rPr>
          <w:rFonts w:hint="eastAsia" w:cs="方正小标宋简体" w:asciiTheme="majorEastAsia" w:hAnsiTheme="majorEastAsia" w:eastAsiaTheme="majorEastAsia"/>
          <w:color w:val="auto"/>
          <w:sz w:val="44"/>
          <w:szCs w:val="44"/>
          <w:highlight w:val="none"/>
        </w:rPr>
        <w:t>质疑函（格式）</w:t>
      </w:r>
    </w:p>
    <w:p w14:paraId="49D3640A">
      <w:pPr>
        <w:pStyle w:val="27"/>
        <w:snapToGrid w:val="0"/>
        <w:spacing w:line="360" w:lineRule="exact"/>
        <w:ind w:firstLine="422" w:firstLineChars="200"/>
        <w:rPr>
          <w:rFonts w:hint="eastAsia" w:asciiTheme="majorEastAsia" w:hAnsiTheme="majorEastAsia" w:eastAsiaTheme="majorEastAsia"/>
          <w:b/>
          <w:bCs/>
          <w:color w:val="auto"/>
          <w:sz w:val="21"/>
          <w:highlight w:val="none"/>
        </w:rPr>
      </w:pPr>
      <w:r>
        <w:rPr>
          <w:rFonts w:hint="eastAsia" w:asciiTheme="majorEastAsia" w:hAnsiTheme="majorEastAsia" w:eastAsiaTheme="majorEastAsia"/>
          <w:b/>
          <w:bCs/>
          <w:color w:val="auto"/>
          <w:sz w:val="21"/>
          <w:highlight w:val="none"/>
        </w:rPr>
        <w:t>一、质疑供应商基本信息：</w:t>
      </w:r>
    </w:p>
    <w:p w14:paraId="0AA85CAB">
      <w:pPr>
        <w:pStyle w:val="27"/>
        <w:snapToGrid w:val="0"/>
        <w:spacing w:line="360" w:lineRule="exact"/>
        <w:ind w:firstLine="420" w:firstLineChars="200"/>
        <w:rPr>
          <w:rFonts w:hint="eastAsia" w:asciiTheme="majorEastAsia" w:hAnsiTheme="majorEastAsia" w:eastAsiaTheme="majorEastAsia"/>
          <w:bCs/>
          <w:color w:val="auto"/>
          <w:sz w:val="21"/>
          <w:highlight w:val="none"/>
          <w:u w:val="single"/>
        </w:rPr>
      </w:pPr>
      <w:r>
        <w:rPr>
          <w:rFonts w:hint="eastAsia" w:asciiTheme="majorEastAsia" w:hAnsiTheme="majorEastAsia" w:eastAsiaTheme="majorEastAsia"/>
          <w:bCs/>
          <w:color w:val="auto"/>
          <w:sz w:val="21"/>
          <w:highlight w:val="none"/>
        </w:rPr>
        <w:t>质疑供应商：</w:t>
      </w:r>
      <w:r>
        <w:rPr>
          <w:rFonts w:hint="eastAsia" w:asciiTheme="majorEastAsia" w:hAnsiTheme="majorEastAsia" w:eastAsiaTheme="majorEastAsia"/>
          <w:bCs/>
          <w:color w:val="auto"/>
          <w:sz w:val="21"/>
          <w:highlight w:val="none"/>
          <w:u w:val="single"/>
        </w:rPr>
        <w:t xml:space="preserve">                                       </w:t>
      </w:r>
      <w:r>
        <w:rPr>
          <w:rFonts w:hint="eastAsia" w:asciiTheme="majorEastAsia" w:hAnsiTheme="majorEastAsia" w:eastAsiaTheme="majorEastAsia"/>
          <w:bCs/>
          <w:color w:val="auto"/>
          <w:sz w:val="21"/>
          <w:highlight w:val="none"/>
        </w:rPr>
        <w:t xml:space="preserve">                 </w:t>
      </w:r>
    </w:p>
    <w:p w14:paraId="080C6016">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地址</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asciiTheme="majorEastAsia" w:hAnsiTheme="majorEastAsia" w:eastAsiaTheme="majorEastAsia"/>
          <w:bCs/>
          <w:color w:val="auto"/>
          <w:sz w:val="21"/>
          <w:highlight w:val="none"/>
        </w:rPr>
        <w:t>邮编</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hint="eastAsia" w:asciiTheme="majorEastAsia" w:hAnsiTheme="majorEastAsia" w:eastAsiaTheme="majorEastAsia"/>
          <w:bCs/>
          <w:color w:val="auto"/>
          <w:sz w:val="21"/>
          <w:highlight w:val="none"/>
        </w:rPr>
        <w:t xml:space="preserve">                 </w:t>
      </w:r>
    </w:p>
    <w:p w14:paraId="1E341ED6">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联系人</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asciiTheme="majorEastAsia" w:hAnsiTheme="majorEastAsia" w:eastAsiaTheme="majorEastAsia"/>
          <w:bCs/>
          <w:color w:val="auto"/>
          <w:sz w:val="21"/>
          <w:highlight w:val="none"/>
        </w:rPr>
        <w:t>联系电话</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p>
    <w:p w14:paraId="420F189E">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hint="eastAsia" w:asciiTheme="majorEastAsia" w:hAnsiTheme="majorEastAsia" w:eastAsiaTheme="majorEastAsia"/>
          <w:bCs/>
          <w:color w:val="auto"/>
          <w:sz w:val="21"/>
          <w:highlight w:val="none"/>
        </w:rPr>
        <w:t>授权代表：</w:t>
      </w:r>
      <w:r>
        <w:rPr>
          <w:rFonts w:hint="eastAsia" w:asciiTheme="majorEastAsia" w:hAnsiTheme="majorEastAsia" w:eastAsiaTheme="majorEastAsia"/>
          <w:bCs/>
          <w:color w:val="auto"/>
          <w:sz w:val="21"/>
          <w:highlight w:val="none"/>
          <w:u w:val="single"/>
        </w:rPr>
        <w:t xml:space="preserve">                      </w:t>
      </w:r>
    </w:p>
    <w:p w14:paraId="4163716A">
      <w:pPr>
        <w:pStyle w:val="27"/>
        <w:snapToGrid w:val="0"/>
        <w:spacing w:line="360" w:lineRule="exact"/>
        <w:ind w:firstLine="420" w:firstLineChars="200"/>
        <w:rPr>
          <w:rFonts w:hint="eastAsia" w:asciiTheme="majorEastAsia" w:hAnsiTheme="majorEastAsia" w:eastAsiaTheme="majorEastAsia"/>
          <w:bCs/>
          <w:color w:val="auto"/>
          <w:sz w:val="21"/>
          <w:highlight w:val="none"/>
          <w:u w:val="single"/>
        </w:rPr>
      </w:pPr>
      <w:r>
        <w:rPr>
          <w:rFonts w:asciiTheme="majorEastAsia" w:hAnsiTheme="majorEastAsia" w:eastAsiaTheme="majorEastAsia"/>
          <w:bCs/>
          <w:color w:val="auto"/>
          <w:sz w:val="21"/>
          <w:highlight w:val="none"/>
        </w:rPr>
        <w:t>联系</w:t>
      </w:r>
      <w:r>
        <w:rPr>
          <w:rFonts w:hint="eastAsia" w:asciiTheme="majorEastAsia" w:hAnsiTheme="majorEastAsia" w:eastAsiaTheme="majorEastAsia"/>
          <w:bCs/>
          <w:color w:val="auto"/>
          <w:sz w:val="21"/>
          <w:highlight w:val="none"/>
        </w:rPr>
        <w:t>电话：</w:t>
      </w:r>
      <w:r>
        <w:rPr>
          <w:rFonts w:hint="eastAsia" w:asciiTheme="majorEastAsia" w:hAnsiTheme="majorEastAsia" w:eastAsiaTheme="majorEastAsia"/>
          <w:bCs/>
          <w:color w:val="auto"/>
          <w:sz w:val="21"/>
          <w:highlight w:val="none"/>
          <w:u w:val="single"/>
        </w:rPr>
        <w:t xml:space="preserve">                      </w:t>
      </w:r>
    </w:p>
    <w:p w14:paraId="448E37A2">
      <w:pPr>
        <w:pStyle w:val="27"/>
        <w:snapToGrid w:val="0"/>
        <w:spacing w:line="360" w:lineRule="exact"/>
        <w:ind w:firstLine="420" w:firstLineChars="200"/>
        <w:rPr>
          <w:rFonts w:hint="eastAsia" w:asciiTheme="majorEastAsia" w:hAnsiTheme="majorEastAsia" w:eastAsiaTheme="majorEastAsia"/>
          <w:bCs/>
          <w:color w:val="auto"/>
          <w:sz w:val="21"/>
          <w:highlight w:val="none"/>
        </w:rPr>
      </w:pPr>
      <w:r>
        <w:rPr>
          <w:rFonts w:asciiTheme="majorEastAsia" w:hAnsiTheme="majorEastAsia" w:eastAsiaTheme="majorEastAsia"/>
          <w:bCs/>
          <w:color w:val="auto"/>
          <w:sz w:val="21"/>
          <w:highlight w:val="none"/>
        </w:rPr>
        <w:t>地址</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asciiTheme="majorEastAsia" w:hAnsiTheme="majorEastAsia" w:eastAsiaTheme="majorEastAsia"/>
          <w:bCs/>
          <w:color w:val="auto"/>
          <w:sz w:val="21"/>
          <w:highlight w:val="none"/>
        </w:rPr>
        <w:t>邮编</w:t>
      </w:r>
      <w:r>
        <w:rPr>
          <w:rFonts w:hint="eastAsia" w:asciiTheme="majorEastAsia" w:hAnsiTheme="majorEastAsia" w:eastAsiaTheme="majorEastAsia"/>
          <w:bCs/>
          <w:color w:val="auto"/>
          <w:sz w:val="21"/>
          <w:highlight w:val="none"/>
        </w:rPr>
        <w:t>：</w:t>
      </w:r>
      <w:r>
        <w:rPr>
          <w:rFonts w:hint="eastAsia" w:asciiTheme="majorEastAsia" w:hAnsiTheme="majorEastAsia" w:eastAsiaTheme="majorEastAsia"/>
          <w:bCs/>
          <w:color w:val="auto"/>
          <w:sz w:val="21"/>
          <w:highlight w:val="none"/>
          <w:u w:val="single"/>
        </w:rPr>
        <w:t xml:space="preserve">                  </w:t>
      </w:r>
      <w:r>
        <w:rPr>
          <w:rFonts w:hint="eastAsia" w:asciiTheme="majorEastAsia" w:hAnsiTheme="majorEastAsia" w:eastAsiaTheme="majorEastAsia"/>
          <w:bCs/>
          <w:color w:val="auto"/>
          <w:sz w:val="21"/>
          <w:highlight w:val="none"/>
        </w:rPr>
        <w:t xml:space="preserve">     </w:t>
      </w:r>
    </w:p>
    <w:p w14:paraId="6F56E2B3">
      <w:pPr>
        <w:pStyle w:val="27"/>
        <w:snapToGrid w:val="0"/>
        <w:spacing w:line="360" w:lineRule="exact"/>
        <w:ind w:firstLine="422" w:firstLineChars="200"/>
        <w:rPr>
          <w:rFonts w:hint="eastAsia" w:asciiTheme="majorEastAsia" w:hAnsiTheme="majorEastAsia" w:eastAsiaTheme="majorEastAsia"/>
          <w:b/>
          <w:bCs/>
          <w:color w:val="auto"/>
          <w:sz w:val="21"/>
          <w:highlight w:val="none"/>
        </w:rPr>
      </w:pPr>
      <w:r>
        <w:rPr>
          <w:rFonts w:hint="eastAsia" w:asciiTheme="majorEastAsia" w:hAnsiTheme="majorEastAsia" w:eastAsiaTheme="majorEastAsia"/>
          <w:b/>
          <w:bCs/>
          <w:color w:val="auto"/>
          <w:sz w:val="21"/>
          <w:highlight w:val="none"/>
        </w:rPr>
        <w:t>二、质疑项目基本情况：</w:t>
      </w:r>
    </w:p>
    <w:p w14:paraId="5A3C1FA1">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bCs/>
          <w:color w:val="auto"/>
          <w:sz w:val="21"/>
          <w:highlight w:val="none"/>
        </w:rPr>
        <w:t>质疑</w:t>
      </w:r>
      <w:r>
        <w:rPr>
          <w:rFonts w:hint="eastAsia" w:asciiTheme="majorEastAsia" w:hAnsiTheme="majorEastAsia" w:eastAsiaTheme="majorEastAsia"/>
          <w:color w:val="auto"/>
          <w:sz w:val="21"/>
          <w:highlight w:val="none"/>
        </w:rPr>
        <w:t>项目的名称：</w:t>
      </w:r>
      <w:r>
        <w:rPr>
          <w:rFonts w:hint="eastAsia" w:asciiTheme="majorEastAsia" w:hAnsiTheme="majorEastAsia" w:eastAsiaTheme="majorEastAsia"/>
          <w:bCs/>
          <w:color w:val="auto"/>
          <w:sz w:val="21"/>
          <w:highlight w:val="none"/>
          <w:u w:val="single"/>
        </w:rPr>
        <w:t xml:space="preserve">                                     </w:t>
      </w:r>
    </w:p>
    <w:p w14:paraId="7F9001CB">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bCs/>
          <w:color w:val="auto"/>
          <w:sz w:val="21"/>
          <w:highlight w:val="none"/>
        </w:rPr>
        <w:t>质疑</w:t>
      </w:r>
      <w:r>
        <w:rPr>
          <w:rFonts w:hint="eastAsia" w:asciiTheme="majorEastAsia" w:hAnsiTheme="majorEastAsia" w:eastAsiaTheme="majorEastAsia"/>
          <w:color w:val="auto"/>
          <w:sz w:val="21"/>
          <w:highlight w:val="none"/>
        </w:rPr>
        <w:t>项目的编号：</w:t>
      </w:r>
      <w:r>
        <w:rPr>
          <w:rFonts w:hint="eastAsia" w:asciiTheme="majorEastAsia" w:hAnsiTheme="majorEastAsia" w:eastAsiaTheme="majorEastAsia"/>
          <w:bCs/>
          <w:color w:val="auto"/>
          <w:sz w:val="21"/>
          <w:highlight w:val="none"/>
          <w:u w:val="single"/>
        </w:rPr>
        <w:t xml:space="preserve">                                     </w:t>
      </w:r>
    </w:p>
    <w:p w14:paraId="7D1E2ABE">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采购人名称：</w:t>
      </w:r>
      <w:r>
        <w:rPr>
          <w:rFonts w:hint="eastAsia" w:asciiTheme="majorEastAsia" w:hAnsiTheme="majorEastAsia" w:eastAsiaTheme="majorEastAsia"/>
          <w:bCs/>
          <w:color w:val="auto"/>
          <w:sz w:val="21"/>
          <w:highlight w:val="none"/>
          <w:u w:val="single"/>
        </w:rPr>
        <w:t xml:space="preserve">                                         </w:t>
      </w:r>
    </w:p>
    <w:p w14:paraId="375B3FCE">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质疑事项：</w:t>
      </w:r>
    </w:p>
    <w:p w14:paraId="51727343">
      <w:pPr>
        <w:pStyle w:val="27"/>
        <w:spacing w:line="360" w:lineRule="exact"/>
        <w:ind w:firstLine="308" w:firstLineChars="14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□采购文件   采购文件获取日期：</w:t>
      </w:r>
      <w:r>
        <w:rPr>
          <w:rFonts w:hint="eastAsia" w:asciiTheme="majorEastAsia" w:hAnsiTheme="majorEastAsia" w:eastAsiaTheme="majorEastAsia"/>
          <w:bCs/>
          <w:color w:val="auto"/>
          <w:sz w:val="21"/>
          <w:highlight w:val="none"/>
          <w:u w:val="single"/>
        </w:rPr>
        <w:t xml:space="preserve">                                   </w:t>
      </w:r>
    </w:p>
    <w:p w14:paraId="2939BD87">
      <w:pPr>
        <w:pStyle w:val="27"/>
        <w:spacing w:line="360" w:lineRule="exact"/>
        <w:ind w:firstLine="308" w:firstLineChars="14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 xml:space="preserve">□采购过程   </w:t>
      </w:r>
    </w:p>
    <w:p w14:paraId="625B47AE">
      <w:pPr>
        <w:pStyle w:val="27"/>
        <w:spacing w:line="360" w:lineRule="exact"/>
        <w:ind w:firstLine="308" w:firstLineChars="147"/>
        <w:rPr>
          <w:rFonts w:hint="eastAsia" w:asciiTheme="majorEastAsia" w:hAnsiTheme="majorEastAsia" w:eastAsiaTheme="majorEastAsia"/>
          <w:bCs/>
          <w:color w:val="auto"/>
          <w:sz w:val="21"/>
          <w:highlight w:val="none"/>
          <w:u w:val="single"/>
        </w:rPr>
      </w:pPr>
      <w:r>
        <w:rPr>
          <w:rFonts w:hint="eastAsia" w:asciiTheme="majorEastAsia" w:hAnsiTheme="majorEastAsia" w:eastAsiaTheme="majorEastAsia"/>
          <w:color w:val="auto"/>
          <w:sz w:val="21"/>
          <w:highlight w:val="none"/>
        </w:rPr>
        <w:t xml:space="preserve">□采购结果   </w:t>
      </w:r>
    </w:p>
    <w:p w14:paraId="3B4B5AB4">
      <w:pPr>
        <w:pStyle w:val="27"/>
        <w:spacing w:line="360" w:lineRule="exact"/>
        <w:ind w:firstLine="413" w:firstLineChars="196"/>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三、质疑事项具体内容</w:t>
      </w:r>
    </w:p>
    <w:p w14:paraId="3256DAE0">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质疑事项1：</w:t>
      </w:r>
      <w:r>
        <w:rPr>
          <w:rFonts w:hint="eastAsia" w:asciiTheme="majorEastAsia" w:hAnsiTheme="majorEastAsia" w:eastAsiaTheme="majorEastAsia"/>
          <w:bCs/>
          <w:color w:val="auto"/>
          <w:sz w:val="21"/>
          <w:highlight w:val="none"/>
          <w:u w:val="single"/>
        </w:rPr>
        <w:t xml:space="preserve">                                                                    </w:t>
      </w:r>
    </w:p>
    <w:p w14:paraId="497749D8">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事实依据：</w:t>
      </w:r>
      <w:r>
        <w:rPr>
          <w:rFonts w:hint="eastAsia" w:asciiTheme="majorEastAsia" w:hAnsiTheme="majorEastAsia" w:eastAsiaTheme="majorEastAsia"/>
          <w:bCs/>
          <w:color w:val="auto"/>
          <w:sz w:val="21"/>
          <w:highlight w:val="none"/>
          <w:u w:val="single"/>
        </w:rPr>
        <w:t xml:space="preserve">                                                                      </w:t>
      </w:r>
    </w:p>
    <w:p w14:paraId="33B80FA7">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法律依据：</w:t>
      </w:r>
      <w:r>
        <w:rPr>
          <w:rFonts w:hint="eastAsia" w:asciiTheme="majorEastAsia" w:hAnsiTheme="majorEastAsia" w:eastAsiaTheme="majorEastAsia"/>
          <w:color w:val="auto"/>
          <w:sz w:val="21"/>
          <w:highlight w:val="none"/>
          <w:u w:val="single"/>
        </w:rPr>
        <w:t xml:space="preserve">                                                        </w:t>
      </w:r>
      <w:r>
        <w:rPr>
          <w:rFonts w:hint="eastAsia" w:asciiTheme="majorEastAsia" w:hAnsiTheme="majorEastAsia" w:eastAsiaTheme="majorEastAsia"/>
          <w:bCs/>
          <w:color w:val="auto"/>
          <w:sz w:val="21"/>
          <w:highlight w:val="none"/>
          <w:u w:val="single"/>
        </w:rPr>
        <w:t xml:space="preserve">               </w:t>
      </w:r>
    </w:p>
    <w:p w14:paraId="6F843F39">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质疑事项2</w:t>
      </w:r>
    </w:p>
    <w:p w14:paraId="44494B90">
      <w:pPr>
        <w:pStyle w:val="27"/>
        <w:spacing w:line="360" w:lineRule="exact"/>
        <w:ind w:firstLine="413" w:firstLineChars="197"/>
        <w:rPr>
          <w:rFonts w:hint="eastAsia" w:asciiTheme="majorEastAsia" w:hAnsiTheme="majorEastAsia" w:eastAsiaTheme="majorEastAsia"/>
          <w:color w:val="auto"/>
          <w:sz w:val="21"/>
          <w:highlight w:val="none"/>
        </w:rPr>
      </w:pPr>
      <w:r>
        <w:rPr>
          <w:rFonts w:asciiTheme="majorEastAsia" w:hAnsiTheme="majorEastAsia" w:eastAsiaTheme="majorEastAsia"/>
          <w:color w:val="auto"/>
          <w:sz w:val="21"/>
          <w:highlight w:val="none"/>
        </w:rPr>
        <w:t>……</w:t>
      </w:r>
    </w:p>
    <w:p w14:paraId="5E05F6B5">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四、与质疑事项相关的质疑请求：</w:t>
      </w:r>
    </w:p>
    <w:p w14:paraId="03B4229D">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请求：</w:t>
      </w:r>
      <w:r>
        <w:rPr>
          <w:rFonts w:hint="eastAsia" w:asciiTheme="majorEastAsia" w:hAnsiTheme="majorEastAsia" w:eastAsiaTheme="majorEastAsia"/>
          <w:bCs/>
          <w:color w:val="auto"/>
          <w:sz w:val="21"/>
          <w:highlight w:val="none"/>
          <w:u w:val="single"/>
        </w:rPr>
        <w:t xml:space="preserve">                                                                </w:t>
      </w:r>
    </w:p>
    <w:p w14:paraId="21F7F276">
      <w:pPr>
        <w:pStyle w:val="27"/>
        <w:spacing w:line="360" w:lineRule="exact"/>
        <w:ind w:firstLine="413" w:firstLineChars="197"/>
        <w:rPr>
          <w:rFonts w:hint="eastAsia" w:asciiTheme="majorEastAsia" w:hAnsiTheme="majorEastAsia" w:eastAsiaTheme="majorEastAsia"/>
          <w:color w:val="auto"/>
          <w:sz w:val="21"/>
          <w:highlight w:val="none"/>
        </w:rPr>
      </w:pPr>
      <w:r>
        <w:rPr>
          <w:rFonts w:hint="eastAsia" w:asciiTheme="majorEastAsia" w:hAnsiTheme="majorEastAsia" w:eastAsiaTheme="majorEastAsia"/>
          <w:color w:val="auto"/>
          <w:sz w:val="21"/>
          <w:highlight w:val="none"/>
        </w:rPr>
        <w:t>签字（签章）：                                       公章：</w:t>
      </w:r>
    </w:p>
    <w:p w14:paraId="1D1CFA5C">
      <w:pPr>
        <w:pStyle w:val="27"/>
        <w:spacing w:line="360" w:lineRule="exact"/>
        <w:ind w:firstLine="413" w:firstLineChars="197"/>
        <w:rPr>
          <w:rFonts w:hint="eastAsia" w:asciiTheme="majorEastAsia" w:hAnsiTheme="majorEastAsia" w:eastAsiaTheme="majorEastAsia"/>
          <w:b/>
          <w:color w:val="auto"/>
          <w:sz w:val="21"/>
          <w:highlight w:val="none"/>
        </w:rPr>
      </w:pPr>
      <w:r>
        <w:rPr>
          <w:rFonts w:hint="eastAsia" w:asciiTheme="majorEastAsia" w:hAnsiTheme="majorEastAsia" w:eastAsiaTheme="majorEastAsia"/>
          <w:color w:val="auto"/>
          <w:sz w:val="21"/>
          <w:highlight w:val="none"/>
        </w:rPr>
        <w:t>日期：</w:t>
      </w:r>
    </w:p>
    <w:p w14:paraId="499E9A63">
      <w:pPr>
        <w:pStyle w:val="27"/>
        <w:snapToGrid w:val="0"/>
        <w:spacing w:line="360" w:lineRule="exact"/>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说明：</w:t>
      </w:r>
    </w:p>
    <w:p w14:paraId="386ECB17">
      <w:pPr>
        <w:pStyle w:val="27"/>
        <w:spacing w:line="360" w:lineRule="exact"/>
        <w:ind w:firstLine="310" w:firstLineChars="147"/>
        <w:rPr>
          <w:rFonts w:hint="eastAsia" w:asciiTheme="majorEastAsia" w:hAnsiTheme="majorEastAsia" w:eastAsiaTheme="majorEastAsia"/>
          <w:b/>
          <w:bCs/>
          <w:color w:val="auto"/>
          <w:sz w:val="21"/>
          <w:highlight w:val="none"/>
        </w:rPr>
      </w:pPr>
      <w:r>
        <w:rPr>
          <w:rFonts w:hint="eastAsia" w:asciiTheme="majorEastAsia" w:hAnsiTheme="majorEastAsia" w:eastAsiaTheme="majorEastAsia"/>
          <w:b/>
          <w:color w:val="auto"/>
          <w:sz w:val="21"/>
          <w:highlight w:val="none"/>
        </w:rPr>
        <w:t>1.供应商提出质疑时，应提交质疑函和必要的证明材料</w:t>
      </w:r>
      <w:r>
        <w:rPr>
          <w:rFonts w:hint="eastAsia" w:asciiTheme="majorEastAsia" w:hAnsiTheme="majorEastAsia" w:eastAsiaTheme="majorEastAsia"/>
          <w:b/>
          <w:bCs/>
          <w:color w:val="auto"/>
          <w:sz w:val="21"/>
          <w:highlight w:val="none"/>
        </w:rPr>
        <w:t>。</w:t>
      </w:r>
    </w:p>
    <w:p w14:paraId="2FC7FDC7">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2B0FFF">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3.质疑函的质疑事项应具体、明确，并有必要的事实依据和法律依据。</w:t>
      </w:r>
    </w:p>
    <w:p w14:paraId="79EAE54F">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4.质疑函的质疑请求应与质疑事项相关。</w:t>
      </w:r>
    </w:p>
    <w:p w14:paraId="6EAFD3F4">
      <w:pPr>
        <w:pStyle w:val="27"/>
        <w:spacing w:line="360" w:lineRule="exact"/>
        <w:ind w:firstLine="310" w:firstLineChars="147"/>
        <w:rPr>
          <w:rFonts w:hint="eastAsia" w:asciiTheme="majorEastAsia" w:hAnsiTheme="majorEastAsia" w:eastAsiaTheme="majorEastAsia"/>
          <w:b/>
          <w:color w:val="auto"/>
          <w:sz w:val="21"/>
          <w:highlight w:val="none"/>
        </w:rPr>
      </w:pPr>
      <w:r>
        <w:rPr>
          <w:rFonts w:hint="eastAsia" w:asciiTheme="majorEastAsia" w:hAnsiTheme="majorEastAsia" w:eastAsiaTheme="majorEastAsia"/>
          <w:b/>
          <w:color w:val="auto"/>
          <w:sz w:val="21"/>
          <w:highlight w:val="none"/>
        </w:rPr>
        <w:t>5.质疑供应商为法人或者其他组织的，质疑函应由法定代表人（或负责人）、主要负责人，或者其授权代表签字或者盖章，并加盖公章。</w:t>
      </w:r>
    </w:p>
    <w:bookmarkEnd w:id="163"/>
    <w:sectPr>
      <w:footerReference r:id="rId12" w:type="first"/>
      <w:headerReference r:id="rId9" w:type="default"/>
      <w:footerReference r:id="rId10" w:type="default"/>
      <w:footerReference r:id="rId11" w:type="even"/>
      <w:pgSz w:w="11906" w:h="16838"/>
      <w:pgMar w:top="1134" w:right="1332" w:bottom="1134" w:left="1332"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_x000B__x000C_">
    <w:altName w:val="宋体"/>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0" w:usb3="00000000" w:csb0="2000019F" w:csb1="4F01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12C62">
    <w:pPr>
      <w:pStyle w:val="33"/>
      <w:framePr w:wrap="around" w:vAnchor="text" w:hAnchor="margin" w:xAlign="center" w:y="1"/>
      <w:rPr>
        <w:rStyle w:val="55"/>
      </w:rPr>
    </w:pPr>
    <w:r>
      <w:fldChar w:fldCharType="begin"/>
    </w:r>
    <w:r>
      <w:rPr>
        <w:rStyle w:val="55"/>
      </w:rPr>
      <w:instrText xml:space="preserve">PAGE  </w:instrText>
    </w:r>
    <w:r>
      <w:fldChar w:fldCharType="end"/>
    </w:r>
  </w:p>
  <w:p w14:paraId="2E8F9617">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F0D0C">
    <w:pPr>
      <w:pStyle w:val="33"/>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87777">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57518">
    <w:pPr>
      <w:pStyle w:val="33"/>
      <w:jc w:val="center"/>
    </w:pPr>
    <w:r>
      <w:fldChar w:fldCharType="begin"/>
    </w:r>
    <w:r>
      <w:instrText xml:space="preserve">PAGE   \* MERGEFORMAT</w:instrText>
    </w:r>
    <w:r>
      <w:fldChar w:fldCharType="separate"/>
    </w:r>
    <w:r>
      <w:rPr>
        <w:lang w:val="zh-CN"/>
      </w:rPr>
      <w:t>74</w:t>
    </w:r>
    <w:r>
      <w:fldChar w:fldCharType="end"/>
    </w:r>
  </w:p>
  <w:p w14:paraId="391A00E5">
    <w:pPr>
      <w:pStyle w:val="33"/>
      <w:ind w:right="36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1AD84">
    <w:pPr>
      <w:pStyle w:val="33"/>
      <w:jc w:val="center"/>
    </w:pPr>
    <w:r>
      <w:fldChar w:fldCharType="begin"/>
    </w:r>
    <w:r>
      <w:instrText xml:space="preserve"> PAGE   \* MERGEFORMAT </w:instrText>
    </w:r>
    <w:r>
      <w:fldChar w:fldCharType="separate"/>
    </w:r>
    <w:r>
      <w:rPr>
        <w:lang w:val="zh-CN"/>
      </w:rPr>
      <w:t>78</w:t>
    </w:r>
    <w:r>
      <w:fldChar w:fldCharType="end"/>
    </w:r>
  </w:p>
  <w:p w14:paraId="4822B927">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6985">
    <w:pPr>
      <w:pStyle w:val="33"/>
      <w:jc w:val="center"/>
    </w:pPr>
    <w:r>
      <w:fldChar w:fldCharType="begin"/>
    </w:r>
    <w:r>
      <w:instrText xml:space="preserve"> PAGE   \* MERGEFORMAT </w:instrText>
    </w:r>
    <w:r>
      <w:fldChar w:fldCharType="separate"/>
    </w:r>
    <w:r>
      <w:rPr>
        <w:lang w:val="zh-CN"/>
      </w:rPr>
      <w:t>121</w:t>
    </w:r>
    <w:r>
      <w:fldChar w:fldCharType="end"/>
    </w:r>
  </w:p>
  <w:p w14:paraId="7F3F645D">
    <w:pPr>
      <w:pStyle w:val="3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F2D21">
    <w:pPr>
      <w:pStyle w:val="33"/>
      <w:framePr w:wrap="around" w:vAnchor="text" w:hAnchor="margin" w:xAlign="center" w:y="1"/>
      <w:rPr>
        <w:rStyle w:val="55"/>
      </w:rPr>
    </w:pPr>
    <w:r>
      <w:fldChar w:fldCharType="begin"/>
    </w:r>
    <w:r>
      <w:rPr>
        <w:rStyle w:val="55"/>
      </w:rPr>
      <w:instrText xml:space="preserve">PAGE  </w:instrText>
    </w:r>
    <w:r>
      <w:fldChar w:fldCharType="end"/>
    </w:r>
  </w:p>
  <w:p w14:paraId="015B918B">
    <w:pPr>
      <w:pStyle w:val="3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C1214">
    <w:pPr>
      <w:pStyle w:val="33"/>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1765E">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BDABC">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BD96A"/>
    <w:multiLevelType w:val="multilevel"/>
    <w:tmpl w:val="8B3BD96A"/>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suff w:val="space"/>
      <w:lvlText w:val="%3."/>
      <w:lvlJc w:val="left"/>
      <w:pPr>
        <w:ind w:left="502" w:hanging="360"/>
      </w:pPr>
      <w:rPr>
        <w:rFonts w:hint="eastAsia"/>
        <w:sz w:val="24"/>
        <w:szCs w:val="24"/>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
    <w:nsid w:val="A5F99F65"/>
    <w:multiLevelType w:val="singleLevel"/>
    <w:tmpl w:val="A5F99F65"/>
    <w:lvl w:ilvl="0" w:tentative="0">
      <w:start w:val="5"/>
      <w:numFmt w:val="decimal"/>
      <w:suff w:val="nothing"/>
      <w:lvlText w:val="（%1）"/>
      <w:lvlJc w:val="left"/>
    </w:lvl>
  </w:abstractNum>
  <w:abstractNum w:abstractNumId="2">
    <w:nsid w:val="A7C42DFD"/>
    <w:multiLevelType w:val="singleLevel"/>
    <w:tmpl w:val="A7C42DFD"/>
    <w:lvl w:ilvl="0" w:tentative="0">
      <w:start w:val="15"/>
      <w:numFmt w:val="decimal"/>
      <w:suff w:val="nothing"/>
      <w:lvlText w:val="%1、"/>
      <w:lvlJc w:val="left"/>
    </w:lvl>
  </w:abstractNum>
  <w:abstractNum w:abstractNumId="3">
    <w:nsid w:val="DFCEC4DD"/>
    <w:multiLevelType w:val="singleLevel"/>
    <w:tmpl w:val="DFCEC4DD"/>
    <w:lvl w:ilvl="0" w:tentative="0">
      <w:start w:val="6"/>
      <w:numFmt w:val="decimal"/>
      <w:suff w:val="nothing"/>
      <w:lvlText w:val="（%1）"/>
      <w:lvlJc w:val="left"/>
    </w:lvl>
  </w:abstractNum>
  <w:abstractNum w:abstractNumId="4">
    <w:nsid w:val="FFFFFF7E"/>
    <w:multiLevelType w:val="singleLevel"/>
    <w:tmpl w:val="FFFFFF7E"/>
    <w:lvl w:ilvl="0" w:tentative="0">
      <w:start w:val="1"/>
      <w:numFmt w:val="decimal"/>
      <w:pStyle w:val="23"/>
      <w:lvlText w:val="%1."/>
      <w:lvlJc w:val="left"/>
      <w:pPr>
        <w:tabs>
          <w:tab w:val="left" w:pos="1200"/>
        </w:tabs>
        <w:ind w:left="1200" w:hanging="360"/>
      </w:pPr>
    </w:lvl>
  </w:abstractNum>
  <w:abstractNum w:abstractNumId="5">
    <w:nsid w:val="0DB5BE74"/>
    <w:multiLevelType w:val="singleLevel"/>
    <w:tmpl w:val="0DB5BE74"/>
    <w:lvl w:ilvl="0" w:tentative="0">
      <w:start w:val="19"/>
      <w:numFmt w:val="decimal"/>
      <w:suff w:val="nothing"/>
      <w:lvlText w:val="%1、"/>
      <w:lvlJc w:val="left"/>
    </w:lvl>
  </w:abstractNum>
  <w:abstractNum w:abstractNumId="6">
    <w:nsid w:val="17C4FC3F"/>
    <w:multiLevelType w:val="singleLevel"/>
    <w:tmpl w:val="17C4FC3F"/>
    <w:lvl w:ilvl="0" w:tentative="0">
      <w:start w:val="1"/>
      <w:numFmt w:val="decimal"/>
      <w:lvlText w:val="%1."/>
      <w:lvlJc w:val="left"/>
      <w:pPr>
        <w:tabs>
          <w:tab w:val="left" w:pos="312"/>
        </w:tabs>
      </w:pPr>
      <w:rPr>
        <w:rFonts w:hint="default"/>
        <w:color w:val="auto"/>
      </w:rPr>
    </w:lvl>
  </w:abstractNum>
  <w:abstractNum w:abstractNumId="7">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8">
    <w:nsid w:val="4C601917"/>
    <w:multiLevelType w:val="singleLevel"/>
    <w:tmpl w:val="4C601917"/>
    <w:lvl w:ilvl="0" w:tentative="0">
      <w:start w:val="1"/>
      <w:numFmt w:val="decimal"/>
      <w:suff w:val="nothing"/>
      <w:lvlText w:val="（%1）"/>
      <w:lvlJc w:val="left"/>
      <w:pPr>
        <w:ind w:left="-2"/>
      </w:pPr>
    </w:lvl>
  </w:abstractNum>
  <w:abstractNum w:abstractNumId="9">
    <w:nsid w:val="52594319"/>
    <w:multiLevelType w:val="singleLevel"/>
    <w:tmpl w:val="52594319"/>
    <w:lvl w:ilvl="0" w:tentative="0">
      <w:start w:val="2"/>
      <w:numFmt w:val="decimal"/>
      <w:suff w:val="nothing"/>
      <w:lvlText w:val="（%1）"/>
      <w:lvlJc w:val="left"/>
    </w:lvl>
  </w:abstractNum>
  <w:abstractNum w:abstractNumId="10">
    <w:nsid w:val="5FABD14B"/>
    <w:multiLevelType w:val="singleLevel"/>
    <w:tmpl w:val="5FABD14B"/>
    <w:lvl w:ilvl="0" w:tentative="0">
      <w:start w:val="1"/>
      <w:numFmt w:val="decimal"/>
      <w:suff w:val="nothing"/>
      <w:lvlText w:val="（%1）"/>
      <w:lvlJc w:val="left"/>
    </w:lvl>
  </w:abstractNum>
  <w:abstractNum w:abstractNumId="11">
    <w:nsid w:val="6A2A753B"/>
    <w:multiLevelType w:val="singleLevel"/>
    <w:tmpl w:val="6A2A753B"/>
    <w:lvl w:ilvl="0" w:tentative="0">
      <w:start w:val="19"/>
      <w:numFmt w:val="decimal"/>
      <w:suff w:val="nothing"/>
      <w:lvlText w:val="%1、"/>
      <w:lvlJc w:val="left"/>
    </w:lvl>
  </w:abstractNum>
  <w:abstractNum w:abstractNumId="12">
    <w:nsid w:val="6A428E0F"/>
    <w:multiLevelType w:val="singleLevel"/>
    <w:tmpl w:val="6A428E0F"/>
    <w:lvl w:ilvl="0" w:tentative="0">
      <w:start w:val="6"/>
      <w:numFmt w:val="decimal"/>
      <w:suff w:val="nothing"/>
      <w:lvlText w:val="%1、"/>
      <w:lvlJc w:val="left"/>
    </w:lvl>
  </w:abstractNum>
  <w:num w:numId="1">
    <w:abstractNumId w:val="7"/>
  </w:num>
  <w:num w:numId="2">
    <w:abstractNumId w:val="4"/>
  </w:num>
  <w:num w:numId="3">
    <w:abstractNumId w:val="6"/>
  </w:num>
  <w:num w:numId="4">
    <w:abstractNumId w:val="3"/>
  </w:num>
  <w:num w:numId="5">
    <w:abstractNumId w:val="9"/>
  </w:num>
  <w:num w:numId="6">
    <w:abstractNumId w:val="1"/>
  </w:num>
  <w:num w:numId="7">
    <w:abstractNumId w:val="5"/>
  </w:num>
  <w:num w:numId="8">
    <w:abstractNumId w:val="12"/>
  </w:num>
  <w:num w:numId="9">
    <w:abstractNumId w:val="2"/>
  </w:num>
  <w:num w:numId="10">
    <w:abstractNumId w:val="11"/>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0" w:hash="qiyl/IFD/rf2hCkxnVrcrl75oHA=" w:salt="SM3kJcW7xO5JgRQhkKZ9XA=="/>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wZTQxYjgzMDhjODgzM2MxNDAyM2ZlNzI0Y2Y4NDgifQ=="/>
    <w:docVar w:name="KSO_WPS_MARK_KEY" w:val="e814579a-5265-4428-ae59-e5318e80cd07"/>
  </w:docVars>
  <w:rsids>
    <w:rsidRoot w:val="00F9008B"/>
    <w:rsid w:val="0000010C"/>
    <w:rsid w:val="00000266"/>
    <w:rsid w:val="000004FE"/>
    <w:rsid w:val="00000FE0"/>
    <w:rsid w:val="00001068"/>
    <w:rsid w:val="0000114A"/>
    <w:rsid w:val="000011FA"/>
    <w:rsid w:val="00001731"/>
    <w:rsid w:val="00001C2D"/>
    <w:rsid w:val="00001C55"/>
    <w:rsid w:val="00001CA8"/>
    <w:rsid w:val="00001FAE"/>
    <w:rsid w:val="00002291"/>
    <w:rsid w:val="0000257D"/>
    <w:rsid w:val="00002DBF"/>
    <w:rsid w:val="00002EC0"/>
    <w:rsid w:val="00003224"/>
    <w:rsid w:val="000033F5"/>
    <w:rsid w:val="0000358C"/>
    <w:rsid w:val="00003BEF"/>
    <w:rsid w:val="00003D90"/>
    <w:rsid w:val="00004130"/>
    <w:rsid w:val="0000431F"/>
    <w:rsid w:val="00004634"/>
    <w:rsid w:val="0000494E"/>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3446"/>
    <w:rsid w:val="00013509"/>
    <w:rsid w:val="000135BC"/>
    <w:rsid w:val="000135DC"/>
    <w:rsid w:val="000136D6"/>
    <w:rsid w:val="00014085"/>
    <w:rsid w:val="00014D89"/>
    <w:rsid w:val="00014DD9"/>
    <w:rsid w:val="00014EE0"/>
    <w:rsid w:val="000151E4"/>
    <w:rsid w:val="00015577"/>
    <w:rsid w:val="000156E4"/>
    <w:rsid w:val="000159A7"/>
    <w:rsid w:val="00015FB8"/>
    <w:rsid w:val="0001609F"/>
    <w:rsid w:val="0001635B"/>
    <w:rsid w:val="00016549"/>
    <w:rsid w:val="00016814"/>
    <w:rsid w:val="00016BF7"/>
    <w:rsid w:val="000170A9"/>
    <w:rsid w:val="0001720C"/>
    <w:rsid w:val="0001767E"/>
    <w:rsid w:val="0001776D"/>
    <w:rsid w:val="00017F31"/>
    <w:rsid w:val="00020607"/>
    <w:rsid w:val="0002103A"/>
    <w:rsid w:val="000217E4"/>
    <w:rsid w:val="00021852"/>
    <w:rsid w:val="00021A12"/>
    <w:rsid w:val="00022524"/>
    <w:rsid w:val="00022622"/>
    <w:rsid w:val="0002316F"/>
    <w:rsid w:val="00023363"/>
    <w:rsid w:val="000235F3"/>
    <w:rsid w:val="00023644"/>
    <w:rsid w:val="00023712"/>
    <w:rsid w:val="00024E3C"/>
    <w:rsid w:val="00024EB0"/>
    <w:rsid w:val="0002646A"/>
    <w:rsid w:val="0002651D"/>
    <w:rsid w:val="00026CFD"/>
    <w:rsid w:val="00027C8B"/>
    <w:rsid w:val="00027CD9"/>
    <w:rsid w:val="00030242"/>
    <w:rsid w:val="00030B06"/>
    <w:rsid w:val="0003183A"/>
    <w:rsid w:val="00031CDC"/>
    <w:rsid w:val="000323D8"/>
    <w:rsid w:val="00032461"/>
    <w:rsid w:val="0003263B"/>
    <w:rsid w:val="0003282C"/>
    <w:rsid w:val="00032F6D"/>
    <w:rsid w:val="0003304A"/>
    <w:rsid w:val="0003317E"/>
    <w:rsid w:val="00033413"/>
    <w:rsid w:val="000337F3"/>
    <w:rsid w:val="00034B24"/>
    <w:rsid w:val="00034B74"/>
    <w:rsid w:val="00034C27"/>
    <w:rsid w:val="00034E2A"/>
    <w:rsid w:val="0003577F"/>
    <w:rsid w:val="00036466"/>
    <w:rsid w:val="0003675E"/>
    <w:rsid w:val="00037F87"/>
    <w:rsid w:val="00037FA2"/>
    <w:rsid w:val="000400D0"/>
    <w:rsid w:val="00040343"/>
    <w:rsid w:val="000425AC"/>
    <w:rsid w:val="00042F4A"/>
    <w:rsid w:val="00043AC8"/>
    <w:rsid w:val="00043BE5"/>
    <w:rsid w:val="00044003"/>
    <w:rsid w:val="00044527"/>
    <w:rsid w:val="00044897"/>
    <w:rsid w:val="00044ACF"/>
    <w:rsid w:val="00044FD5"/>
    <w:rsid w:val="000454F4"/>
    <w:rsid w:val="00045D1E"/>
    <w:rsid w:val="00045E69"/>
    <w:rsid w:val="00045EF4"/>
    <w:rsid w:val="00046547"/>
    <w:rsid w:val="000466D7"/>
    <w:rsid w:val="00046753"/>
    <w:rsid w:val="00047254"/>
    <w:rsid w:val="00047E41"/>
    <w:rsid w:val="0005022B"/>
    <w:rsid w:val="00050771"/>
    <w:rsid w:val="000509BA"/>
    <w:rsid w:val="000513F3"/>
    <w:rsid w:val="00052287"/>
    <w:rsid w:val="000522E0"/>
    <w:rsid w:val="00052358"/>
    <w:rsid w:val="000532F4"/>
    <w:rsid w:val="000535A9"/>
    <w:rsid w:val="000536AE"/>
    <w:rsid w:val="00053963"/>
    <w:rsid w:val="00054CD5"/>
    <w:rsid w:val="00054D03"/>
    <w:rsid w:val="000550AC"/>
    <w:rsid w:val="0005584D"/>
    <w:rsid w:val="00055CC3"/>
    <w:rsid w:val="00055CD8"/>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BD3"/>
    <w:rsid w:val="00061BDA"/>
    <w:rsid w:val="000621FE"/>
    <w:rsid w:val="00062B90"/>
    <w:rsid w:val="00062C70"/>
    <w:rsid w:val="00062DD0"/>
    <w:rsid w:val="00062E6F"/>
    <w:rsid w:val="000630C7"/>
    <w:rsid w:val="0006400F"/>
    <w:rsid w:val="000645DD"/>
    <w:rsid w:val="00064D7E"/>
    <w:rsid w:val="00064E35"/>
    <w:rsid w:val="00064F65"/>
    <w:rsid w:val="00064FD0"/>
    <w:rsid w:val="0006534A"/>
    <w:rsid w:val="00065A5D"/>
    <w:rsid w:val="00065BA2"/>
    <w:rsid w:val="000661CA"/>
    <w:rsid w:val="0006668D"/>
    <w:rsid w:val="00066896"/>
    <w:rsid w:val="00066FE3"/>
    <w:rsid w:val="00067002"/>
    <w:rsid w:val="00067993"/>
    <w:rsid w:val="00067B1C"/>
    <w:rsid w:val="00067CED"/>
    <w:rsid w:val="00067F66"/>
    <w:rsid w:val="0007041A"/>
    <w:rsid w:val="00070634"/>
    <w:rsid w:val="00070883"/>
    <w:rsid w:val="000708D1"/>
    <w:rsid w:val="00070C3F"/>
    <w:rsid w:val="0007102C"/>
    <w:rsid w:val="00071D68"/>
    <w:rsid w:val="00071FCE"/>
    <w:rsid w:val="00072661"/>
    <w:rsid w:val="00072CCC"/>
    <w:rsid w:val="00072E97"/>
    <w:rsid w:val="0007315D"/>
    <w:rsid w:val="00073549"/>
    <w:rsid w:val="0007483E"/>
    <w:rsid w:val="000751DB"/>
    <w:rsid w:val="0007542D"/>
    <w:rsid w:val="0007578F"/>
    <w:rsid w:val="00075E43"/>
    <w:rsid w:val="00077706"/>
    <w:rsid w:val="00077878"/>
    <w:rsid w:val="000804EF"/>
    <w:rsid w:val="000804FB"/>
    <w:rsid w:val="00080558"/>
    <w:rsid w:val="00080998"/>
    <w:rsid w:val="00081230"/>
    <w:rsid w:val="000814E2"/>
    <w:rsid w:val="000818C9"/>
    <w:rsid w:val="00081CBB"/>
    <w:rsid w:val="00081D42"/>
    <w:rsid w:val="000822EF"/>
    <w:rsid w:val="0008241E"/>
    <w:rsid w:val="000826F5"/>
    <w:rsid w:val="000829B1"/>
    <w:rsid w:val="00082AAB"/>
    <w:rsid w:val="0008307D"/>
    <w:rsid w:val="000831E9"/>
    <w:rsid w:val="000833BB"/>
    <w:rsid w:val="00084483"/>
    <w:rsid w:val="0008452D"/>
    <w:rsid w:val="0008467B"/>
    <w:rsid w:val="000850FA"/>
    <w:rsid w:val="000857A6"/>
    <w:rsid w:val="0008599A"/>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81C"/>
    <w:rsid w:val="00093B8B"/>
    <w:rsid w:val="0009411E"/>
    <w:rsid w:val="000951E7"/>
    <w:rsid w:val="000954F5"/>
    <w:rsid w:val="00095B82"/>
    <w:rsid w:val="00096098"/>
    <w:rsid w:val="000961B2"/>
    <w:rsid w:val="000969D9"/>
    <w:rsid w:val="000969ED"/>
    <w:rsid w:val="00096F37"/>
    <w:rsid w:val="00097FE5"/>
    <w:rsid w:val="000A0354"/>
    <w:rsid w:val="000A091F"/>
    <w:rsid w:val="000A0958"/>
    <w:rsid w:val="000A0A8E"/>
    <w:rsid w:val="000A0FCC"/>
    <w:rsid w:val="000A1033"/>
    <w:rsid w:val="000A2712"/>
    <w:rsid w:val="000A2877"/>
    <w:rsid w:val="000A3145"/>
    <w:rsid w:val="000A355D"/>
    <w:rsid w:val="000A35DA"/>
    <w:rsid w:val="000A371E"/>
    <w:rsid w:val="000A3DE5"/>
    <w:rsid w:val="000A4011"/>
    <w:rsid w:val="000A45D5"/>
    <w:rsid w:val="000A490E"/>
    <w:rsid w:val="000A529E"/>
    <w:rsid w:val="000A5B49"/>
    <w:rsid w:val="000A5FE5"/>
    <w:rsid w:val="000A6684"/>
    <w:rsid w:val="000A6F21"/>
    <w:rsid w:val="000A7194"/>
    <w:rsid w:val="000A7218"/>
    <w:rsid w:val="000A740A"/>
    <w:rsid w:val="000A7446"/>
    <w:rsid w:val="000A7E7F"/>
    <w:rsid w:val="000A7ECD"/>
    <w:rsid w:val="000B01AB"/>
    <w:rsid w:val="000B04DD"/>
    <w:rsid w:val="000B0F01"/>
    <w:rsid w:val="000B1346"/>
    <w:rsid w:val="000B1914"/>
    <w:rsid w:val="000B19DC"/>
    <w:rsid w:val="000B1CA2"/>
    <w:rsid w:val="000B202E"/>
    <w:rsid w:val="000B2293"/>
    <w:rsid w:val="000B24A4"/>
    <w:rsid w:val="000B255C"/>
    <w:rsid w:val="000B395E"/>
    <w:rsid w:val="000B39C3"/>
    <w:rsid w:val="000B3A00"/>
    <w:rsid w:val="000B4840"/>
    <w:rsid w:val="000B4D79"/>
    <w:rsid w:val="000B5272"/>
    <w:rsid w:val="000B5627"/>
    <w:rsid w:val="000B5671"/>
    <w:rsid w:val="000B6BF0"/>
    <w:rsid w:val="000B6CE8"/>
    <w:rsid w:val="000B7DAF"/>
    <w:rsid w:val="000C0091"/>
    <w:rsid w:val="000C0136"/>
    <w:rsid w:val="000C071C"/>
    <w:rsid w:val="000C0BB4"/>
    <w:rsid w:val="000C0BEE"/>
    <w:rsid w:val="000C0ED0"/>
    <w:rsid w:val="000C1CB9"/>
    <w:rsid w:val="000C1DFC"/>
    <w:rsid w:val="000C2159"/>
    <w:rsid w:val="000C21BB"/>
    <w:rsid w:val="000C289B"/>
    <w:rsid w:val="000C352F"/>
    <w:rsid w:val="000C36AB"/>
    <w:rsid w:val="000C3805"/>
    <w:rsid w:val="000C3F01"/>
    <w:rsid w:val="000C410D"/>
    <w:rsid w:val="000C420D"/>
    <w:rsid w:val="000C4773"/>
    <w:rsid w:val="000C4944"/>
    <w:rsid w:val="000C4E24"/>
    <w:rsid w:val="000C5C4A"/>
    <w:rsid w:val="000C5F01"/>
    <w:rsid w:val="000C5F95"/>
    <w:rsid w:val="000C63C4"/>
    <w:rsid w:val="000C66C1"/>
    <w:rsid w:val="000C6F0B"/>
    <w:rsid w:val="000C6F32"/>
    <w:rsid w:val="000C6FEF"/>
    <w:rsid w:val="000C778C"/>
    <w:rsid w:val="000C7833"/>
    <w:rsid w:val="000C7D9B"/>
    <w:rsid w:val="000C7E1B"/>
    <w:rsid w:val="000C7E73"/>
    <w:rsid w:val="000D001B"/>
    <w:rsid w:val="000D032C"/>
    <w:rsid w:val="000D0A45"/>
    <w:rsid w:val="000D136E"/>
    <w:rsid w:val="000D14AC"/>
    <w:rsid w:val="000D15BA"/>
    <w:rsid w:val="000D15BE"/>
    <w:rsid w:val="000D2BCC"/>
    <w:rsid w:val="000D2C9B"/>
    <w:rsid w:val="000D32CC"/>
    <w:rsid w:val="000D35FD"/>
    <w:rsid w:val="000D3D2D"/>
    <w:rsid w:val="000D3D99"/>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D08"/>
    <w:rsid w:val="000E4728"/>
    <w:rsid w:val="000E4D1F"/>
    <w:rsid w:val="000E5658"/>
    <w:rsid w:val="000E5698"/>
    <w:rsid w:val="000E5723"/>
    <w:rsid w:val="000E581B"/>
    <w:rsid w:val="000E64B2"/>
    <w:rsid w:val="000E65D2"/>
    <w:rsid w:val="000E6919"/>
    <w:rsid w:val="000E6B1B"/>
    <w:rsid w:val="000E6F0C"/>
    <w:rsid w:val="000E732D"/>
    <w:rsid w:val="000E7FA8"/>
    <w:rsid w:val="000F07ED"/>
    <w:rsid w:val="000F0CF2"/>
    <w:rsid w:val="000F1401"/>
    <w:rsid w:val="000F1A32"/>
    <w:rsid w:val="000F1CC2"/>
    <w:rsid w:val="000F1D15"/>
    <w:rsid w:val="000F270A"/>
    <w:rsid w:val="000F34C8"/>
    <w:rsid w:val="000F38BC"/>
    <w:rsid w:val="000F3E2A"/>
    <w:rsid w:val="000F4D26"/>
    <w:rsid w:val="000F5639"/>
    <w:rsid w:val="000F58A4"/>
    <w:rsid w:val="000F5F99"/>
    <w:rsid w:val="000F6833"/>
    <w:rsid w:val="000F6A24"/>
    <w:rsid w:val="000F7616"/>
    <w:rsid w:val="000F7DE9"/>
    <w:rsid w:val="000F7F7A"/>
    <w:rsid w:val="001002F4"/>
    <w:rsid w:val="001011FC"/>
    <w:rsid w:val="0010165F"/>
    <w:rsid w:val="00101E7C"/>
    <w:rsid w:val="001023DC"/>
    <w:rsid w:val="00102572"/>
    <w:rsid w:val="00102946"/>
    <w:rsid w:val="00102C9F"/>
    <w:rsid w:val="00102FBF"/>
    <w:rsid w:val="0010333D"/>
    <w:rsid w:val="0010372A"/>
    <w:rsid w:val="00103F41"/>
    <w:rsid w:val="00104662"/>
    <w:rsid w:val="00104F34"/>
    <w:rsid w:val="001053C5"/>
    <w:rsid w:val="001055AD"/>
    <w:rsid w:val="00105B3E"/>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16C"/>
    <w:rsid w:val="001153EF"/>
    <w:rsid w:val="00115D55"/>
    <w:rsid w:val="00115E45"/>
    <w:rsid w:val="00115F85"/>
    <w:rsid w:val="0011688E"/>
    <w:rsid w:val="00116ACD"/>
    <w:rsid w:val="0011718F"/>
    <w:rsid w:val="00117B7D"/>
    <w:rsid w:val="00117EFC"/>
    <w:rsid w:val="001205A8"/>
    <w:rsid w:val="00121766"/>
    <w:rsid w:val="00122A64"/>
    <w:rsid w:val="00123694"/>
    <w:rsid w:val="0012388A"/>
    <w:rsid w:val="0012388C"/>
    <w:rsid w:val="00123AFA"/>
    <w:rsid w:val="00123C8C"/>
    <w:rsid w:val="00123E8B"/>
    <w:rsid w:val="00124B43"/>
    <w:rsid w:val="00124DF8"/>
    <w:rsid w:val="001253EA"/>
    <w:rsid w:val="00125B99"/>
    <w:rsid w:val="00126160"/>
    <w:rsid w:val="00126DB5"/>
    <w:rsid w:val="00127178"/>
    <w:rsid w:val="00127F09"/>
    <w:rsid w:val="0013002A"/>
    <w:rsid w:val="0013085D"/>
    <w:rsid w:val="0013089C"/>
    <w:rsid w:val="00130A2D"/>
    <w:rsid w:val="00130F54"/>
    <w:rsid w:val="001310EE"/>
    <w:rsid w:val="00131888"/>
    <w:rsid w:val="00131F17"/>
    <w:rsid w:val="0013212F"/>
    <w:rsid w:val="001323F9"/>
    <w:rsid w:val="0013251F"/>
    <w:rsid w:val="00133088"/>
    <w:rsid w:val="0013321E"/>
    <w:rsid w:val="00133346"/>
    <w:rsid w:val="001335B1"/>
    <w:rsid w:val="00133B4E"/>
    <w:rsid w:val="0013410F"/>
    <w:rsid w:val="001346AF"/>
    <w:rsid w:val="00134990"/>
    <w:rsid w:val="00134FB4"/>
    <w:rsid w:val="001354D1"/>
    <w:rsid w:val="00135840"/>
    <w:rsid w:val="00135A0A"/>
    <w:rsid w:val="00135BB9"/>
    <w:rsid w:val="0013621D"/>
    <w:rsid w:val="00136354"/>
    <w:rsid w:val="00136674"/>
    <w:rsid w:val="00136B0E"/>
    <w:rsid w:val="00136C3B"/>
    <w:rsid w:val="001376AB"/>
    <w:rsid w:val="0013777C"/>
    <w:rsid w:val="00137D5F"/>
    <w:rsid w:val="00140082"/>
    <w:rsid w:val="00140175"/>
    <w:rsid w:val="00140757"/>
    <w:rsid w:val="00140D07"/>
    <w:rsid w:val="00141A3A"/>
    <w:rsid w:val="001423FA"/>
    <w:rsid w:val="001427B5"/>
    <w:rsid w:val="001428CF"/>
    <w:rsid w:val="00142D0C"/>
    <w:rsid w:val="00142E3C"/>
    <w:rsid w:val="00143387"/>
    <w:rsid w:val="00144013"/>
    <w:rsid w:val="001455C3"/>
    <w:rsid w:val="00145A17"/>
    <w:rsid w:val="00145BBE"/>
    <w:rsid w:val="001460B5"/>
    <w:rsid w:val="0014641F"/>
    <w:rsid w:val="001464A8"/>
    <w:rsid w:val="001467BB"/>
    <w:rsid w:val="00146CA8"/>
    <w:rsid w:val="0014723E"/>
    <w:rsid w:val="00147884"/>
    <w:rsid w:val="00150664"/>
    <w:rsid w:val="00150827"/>
    <w:rsid w:val="00150B0D"/>
    <w:rsid w:val="00150E10"/>
    <w:rsid w:val="00151A32"/>
    <w:rsid w:val="00151BDE"/>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A6C"/>
    <w:rsid w:val="00156B10"/>
    <w:rsid w:val="00157673"/>
    <w:rsid w:val="001576FE"/>
    <w:rsid w:val="00157823"/>
    <w:rsid w:val="0015790D"/>
    <w:rsid w:val="00157C5E"/>
    <w:rsid w:val="00157DD3"/>
    <w:rsid w:val="0016015A"/>
    <w:rsid w:val="0016020E"/>
    <w:rsid w:val="00160503"/>
    <w:rsid w:val="00160D7C"/>
    <w:rsid w:val="00160E30"/>
    <w:rsid w:val="0016106D"/>
    <w:rsid w:val="001612E1"/>
    <w:rsid w:val="001614DB"/>
    <w:rsid w:val="0016194E"/>
    <w:rsid w:val="0016236C"/>
    <w:rsid w:val="00162625"/>
    <w:rsid w:val="00162ECF"/>
    <w:rsid w:val="001630A8"/>
    <w:rsid w:val="00163826"/>
    <w:rsid w:val="00163943"/>
    <w:rsid w:val="00163BA1"/>
    <w:rsid w:val="00163DDF"/>
    <w:rsid w:val="00163F22"/>
    <w:rsid w:val="0016417B"/>
    <w:rsid w:val="0016470E"/>
    <w:rsid w:val="001649D3"/>
    <w:rsid w:val="00164E0A"/>
    <w:rsid w:val="001652D7"/>
    <w:rsid w:val="00165816"/>
    <w:rsid w:val="00165A5F"/>
    <w:rsid w:val="001661D0"/>
    <w:rsid w:val="00166223"/>
    <w:rsid w:val="0016793E"/>
    <w:rsid w:val="00167D4D"/>
    <w:rsid w:val="0017054C"/>
    <w:rsid w:val="00170635"/>
    <w:rsid w:val="0017070D"/>
    <w:rsid w:val="00170837"/>
    <w:rsid w:val="00171035"/>
    <w:rsid w:val="001713B7"/>
    <w:rsid w:val="00171ADB"/>
    <w:rsid w:val="00171E2C"/>
    <w:rsid w:val="00172029"/>
    <w:rsid w:val="001733A4"/>
    <w:rsid w:val="001735D4"/>
    <w:rsid w:val="00173AB9"/>
    <w:rsid w:val="00173EED"/>
    <w:rsid w:val="00174368"/>
    <w:rsid w:val="001744EA"/>
    <w:rsid w:val="00174D3A"/>
    <w:rsid w:val="00174D82"/>
    <w:rsid w:val="00174E44"/>
    <w:rsid w:val="00175053"/>
    <w:rsid w:val="001753B7"/>
    <w:rsid w:val="001757E7"/>
    <w:rsid w:val="00175873"/>
    <w:rsid w:val="00175C59"/>
    <w:rsid w:val="001760BC"/>
    <w:rsid w:val="0017627C"/>
    <w:rsid w:val="00176674"/>
    <w:rsid w:val="00176818"/>
    <w:rsid w:val="00176B82"/>
    <w:rsid w:val="00176E3B"/>
    <w:rsid w:val="00176ECB"/>
    <w:rsid w:val="0017752D"/>
    <w:rsid w:val="0017759F"/>
    <w:rsid w:val="00177832"/>
    <w:rsid w:val="0018057A"/>
    <w:rsid w:val="0018094E"/>
    <w:rsid w:val="00181178"/>
    <w:rsid w:val="0018119E"/>
    <w:rsid w:val="0018152C"/>
    <w:rsid w:val="00181A74"/>
    <w:rsid w:val="00181DBA"/>
    <w:rsid w:val="00181EEF"/>
    <w:rsid w:val="00181F3E"/>
    <w:rsid w:val="00182FE0"/>
    <w:rsid w:val="00183911"/>
    <w:rsid w:val="001845FB"/>
    <w:rsid w:val="00184FB1"/>
    <w:rsid w:val="001857FB"/>
    <w:rsid w:val="00185DA6"/>
    <w:rsid w:val="00185DB2"/>
    <w:rsid w:val="00185F64"/>
    <w:rsid w:val="00186096"/>
    <w:rsid w:val="001862FE"/>
    <w:rsid w:val="001866F1"/>
    <w:rsid w:val="00186E20"/>
    <w:rsid w:val="0018772E"/>
    <w:rsid w:val="00187A94"/>
    <w:rsid w:val="0019029E"/>
    <w:rsid w:val="00190804"/>
    <w:rsid w:val="0019088F"/>
    <w:rsid w:val="00190C51"/>
    <w:rsid w:val="0019170B"/>
    <w:rsid w:val="00193ACC"/>
    <w:rsid w:val="00193BFE"/>
    <w:rsid w:val="00195322"/>
    <w:rsid w:val="0019560E"/>
    <w:rsid w:val="001958E3"/>
    <w:rsid w:val="0019601B"/>
    <w:rsid w:val="00196048"/>
    <w:rsid w:val="00196A82"/>
    <w:rsid w:val="0019769B"/>
    <w:rsid w:val="001979B2"/>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027"/>
    <w:rsid w:val="001A46FB"/>
    <w:rsid w:val="001A4EA6"/>
    <w:rsid w:val="001A4EC9"/>
    <w:rsid w:val="001A5944"/>
    <w:rsid w:val="001A5FB1"/>
    <w:rsid w:val="001A698A"/>
    <w:rsid w:val="001A6CCC"/>
    <w:rsid w:val="001A6E3B"/>
    <w:rsid w:val="001A70C8"/>
    <w:rsid w:val="001A71C9"/>
    <w:rsid w:val="001A7429"/>
    <w:rsid w:val="001A75F7"/>
    <w:rsid w:val="001A760C"/>
    <w:rsid w:val="001A770F"/>
    <w:rsid w:val="001A7977"/>
    <w:rsid w:val="001A799B"/>
    <w:rsid w:val="001A7AC7"/>
    <w:rsid w:val="001A7C38"/>
    <w:rsid w:val="001B00C5"/>
    <w:rsid w:val="001B02F8"/>
    <w:rsid w:val="001B1CEF"/>
    <w:rsid w:val="001B2104"/>
    <w:rsid w:val="001B2279"/>
    <w:rsid w:val="001B24D8"/>
    <w:rsid w:val="001B2729"/>
    <w:rsid w:val="001B2866"/>
    <w:rsid w:val="001B2881"/>
    <w:rsid w:val="001B2B73"/>
    <w:rsid w:val="001B3675"/>
    <w:rsid w:val="001B37C8"/>
    <w:rsid w:val="001B48BA"/>
    <w:rsid w:val="001B4B2C"/>
    <w:rsid w:val="001B4F10"/>
    <w:rsid w:val="001B5154"/>
    <w:rsid w:val="001B54BF"/>
    <w:rsid w:val="001B614D"/>
    <w:rsid w:val="001B6E30"/>
    <w:rsid w:val="001B7C83"/>
    <w:rsid w:val="001B7D67"/>
    <w:rsid w:val="001B7F9E"/>
    <w:rsid w:val="001C0206"/>
    <w:rsid w:val="001C0246"/>
    <w:rsid w:val="001C04D4"/>
    <w:rsid w:val="001C0B34"/>
    <w:rsid w:val="001C12A3"/>
    <w:rsid w:val="001C17BB"/>
    <w:rsid w:val="001C187E"/>
    <w:rsid w:val="001C1A37"/>
    <w:rsid w:val="001C1B4B"/>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D039B"/>
    <w:rsid w:val="001D0849"/>
    <w:rsid w:val="001D1258"/>
    <w:rsid w:val="001D1AB8"/>
    <w:rsid w:val="001D2150"/>
    <w:rsid w:val="001D286F"/>
    <w:rsid w:val="001D2C94"/>
    <w:rsid w:val="001D33D9"/>
    <w:rsid w:val="001D36F6"/>
    <w:rsid w:val="001D3BEF"/>
    <w:rsid w:val="001D3DAD"/>
    <w:rsid w:val="001D4303"/>
    <w:rsid w:val="001D45E5"/>
    <w:rsid w:val="001D461A"/>
    <w:rsid w:val="001D4A9D"/>
    <w:rsid w:val="001D4AAD"/>
    <w:rsid w:val="001D5AFA"/>
    <w:rsid w:val="001D652D"/>
    <w:rsid w:val="001D686F"/>
    <w:rsid w:val="001D784A"/>
    <w:rsid w:val="001E04A4"/>
    <w:rsid w:val="001E07C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6ADE"/>
    <w:rsid w:val="001E70AD"/>
    <w:rsid w:val="001E7237"/>
    <w:rsid w:val="001E7AD1"/>
    <w:rsid w:val="001E7AF6"/>
    <w:rsid w:val="001F01B8"/>
    <w:rsid w:val="001F0FC3"/>
    <w:rsid w:val="001F1188"/>
    <w:rsid w:val="001F1B8D"/>
    <w:rsid w:val="001F2353"/>
    <w:rsid w:val="001F274F"/>
    <w:rsid w:val="001F289C"/>
    <w:rsid w:val="001F2BF9"/>
    <w:rsid w:val="001F3AF2"/>
    <w:rsid w:val="001F6008"/>
    <w:rsid w:val="001F604B"/>
    <w:rsid w:val="001F641B"/>
    <w:rsid w:val="001F6D4D"/>
    <w:rsid w:val="00200D69"/>
    <w:rsid w:val="0020130D"/>
    <w:rsid w:val="00201916"/>
    <w:rsid w:val="00201D06"/>
    <w:rsid w:val="00201E9F"/>
    <w:rsid w:val="0020217D"/>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1B4"/>
    <w:rsid w:val="0021265F"/>
    <w:rsid w:val="00213232"/>
    <w:rsid w:val="00213817"/>
    <w:rsid w:val="00214428"/>
    <w:rsid w:val="002145EB"/>
    <w:rsid w:val="00214F82"/>
    <w:rsid w:val="00215033"/>
    <w:rsid w:val="00215834"/>
    <w:rsid w:val="00215A2A"/>
    <w:rsid w:val="00215CC2"/>
    <w:rsid w:val="00215ED8"/>
    <w:rsid w:val="00215FAF"/>
    <w:rsid w:val="00217700"/>
    <w:rsid w:val="002177E2"/>
    <w:rsid w:val="0021783B"/>
    <w:rsid w:val="002205F3"/>
    <w:rsid w:val="0022085B"/>
    <w:rsid w:val="00220E53"/>
    <w:rsid w:val="0022176C"/>
    <w:rsid w:val="002225D1"/>
    <w:rsid w:val="002230FA"/>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1D05"/>
    <w:rsid w:val="0023241A"/>
    <w:rsid w:val="002336E2"/>
    <w:rsid w:val="00233AC2"/>
    <w:rsid w:val="00233BAF"/>
    <w:rsid w:val="00233E3A"/>
    <w:rsid w:val="00233F80"/>
    <w:rsid w:val="00235420"/>
    <w:rsid w:val="00235700"/>
    <w:rsid w:val="002374CA"/>
    <w:rsid w:val="0024065B"/>
    <w:rsid w:val="002409A6"/>
    <w:rsid w:val="00240C63"/>
    <w:rsid w:val="00240D91"/>
    <w:rsid w:val="00240EA5"/>
    <w:rsid w:val="00241132"/>
    <w:rsid w:val="00241205"/>
    <w:rsid w:val="002418C5"/>
    <w:rsid w:val="002421FD"/>
    <w:rsid w:val="0024231E"/>
    <w:rsid w:val="0024261D"/>
    <w:rsid w:val="00242712"/>
    <w:rsid w:val="00242DFB"/>
    <w:rsid w:val="00243807"/>
    <w:rsid w:val="002440AC"/>
    <w:rsid w:val="00244365"/>
    <w:rsid w:val="0024459A"/>
    <w:rsid w:val="002446A3"/>
    <w:rsid w:val="00244771"/>
    <w:rsid w:val="00244903"/>
    <w:rsid w:val="00244AFB"/>
    <w:rsid w:val="002453DF"/>
    <w:rsid w:val="00245A81"/>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3F5"/>
    <w:rsid w:val="002536B3"/>
    <w:rsid w:val="00253C60"/>
    <w:rsid w:val="00253F21"/>
    <w:rsid w:val="00254138"/>
    <w:rsid w:val="0025429D"/>
    <w:rsid w:val="00254476"/>
    <w:rsid w:val="002549E9"/>
    <w:rsid w:val="00254FF6"/>
    <w:rsid w:val="00255099"/>
    <w:rsid w:val="002555C6"/>
    <w:rsid w:val="00255E14"/>
    <w:rsid w:val="00255FF9"/>
    <w:rsid w:val="002566DB"/>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4E10"/>
    <w:rsid w:val="00265D10"/>
    <w:rsid w:val="00265E2E"/>
    <w:rsid w:val="00265F23"/>
    <w:rsid w:val="002661AB"/>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2C"/>
    <w:rsid w:val="00272E48"/>
    <w:rsid w:val="00272FBF"/>
    <w:rsid w:val="0027352A"/>
    <w:rsid w:val="002739B5"/>
    <w:rsid w:val="00273A10"/>
    <w:rsid w:val="00273A58"/>
    <w:rsid w:val="00274CAB"/>
    <w:rsid w:val="00274E8A"/>
    <w:rsid w:val="0027532A"/>
    <w:rsid w:val="00275A53"/>
    <w:rsid w:val="00275FCE"/>
    <w:rsid w:val="002766B8"/>
    <w:rsid w:val="0027680F"/>
    <w:rsid w:val="002777C0"/>
    <w:rsid w:val="002805A2"/>
    <w:rsid w:val="00281006"/>
    <w:rsid w:val="002815B1"/>
    <w:rsid w:val="00281893"/>
    <w:rsid w:val="00281C1F"/>
    <w:rsid w:val="00281EEA"/>
    <w:rsid w:val="00281F88"/>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5DF8"/>
    <w:rsid w:val="00285E54"/>
    <w:rsid w:val="002863CE"/>
    <w:rsid w:val="00287E20"/>
    <w:rsid w:val="00290721"/>
    <w:rsid w:val="00291018"/>
    <w:rsid w:val="0029110F"/>
    <w:rsid w:val="00291492"/>
    <w:rsid w:val="00291527"/>
    <w:rsid w:val="0029199A"/>
    <w:rsid w:val="00291BBE"/>
    <w:rsid w:val="00291BE0"/>
    <w:rsid w:val="00291FEB"/>
    <w:rsid w:val="00293146"/>
    <w:rsid w:val="002931B5"/>
    <w:rsid w:val="0029361E"/>
    <w:rsid w:val="002939F4"/>
    <w:rsid w:val="00293D68"/>
    <w:rsid w:val="0029408A"/>
    <w:rsid w:val="00294352"/>
    <w:rsid w:val="002944A0"/>
    <w:rsid w:val="002946E4"/>
    <w:rsid w:val="0029495C"/>
    <w:rsid w:val="002957D9"/>
    <w:rsid w:val="00295B52"/>
    <w:rsid w:val="00296024"/>
    <w:rsid w:val="00296293"/>
    <w:rsid w:val="00296AF7"/>
    <w:rsid w:val="002972F9"/>
    <w:rsid w:val="00297612"/>
    <w:rsid w:val="002977CA"/>
    <w:rsid w:val="00297ED7"/>
    <w:rsid w:val="002A0007"/>
    <w:rsid w:val="002A03AA"/>
    <w:rsid w:val="002A056D"/>
    <w:rsid w:val="002A07FE"/>
    <w:rsid w:val="002A094D"/>
    <w:rsid w:val="002A0CAF"/>
    <w:rsid w:val="002A0DDB"/>
    <w:rsid w:val="002A1565"/>
    <w:rsid w:val="002A16A9"/>
    <w:rsid w:val="002A1D40"/>
    <w:rsid w:val="002A2941"/>
    <w:rsid w:val="002A2DC4"/>
    <w:rsid w:val="002A33DB"/>
    <w:rsid w:val="002A3E69"/>
    <w:rsid w:val="002A44F9"/>
    <w:rsid w:val="002A49EF"/>
    <w:rsid w:val="002A4B8B"/>
    <w:rsid w:val="002A5107"/>
    <w:rsid w:val="002A535E"/>
    <w:rsid w:val="002A5DBD"/>
    <w:rsid w:val="002A6406"/>
    <w:rsid w:val="002A6432"/>
    <w:rsid w:val="002A6CF0"/>
    <w:rsid w:val="002A6FFC"/>
    <w:rsid w:val="002A7010"/>
    <w:rsid w:val="002A70BA"/>
    <w:rsid w:val="002A7A57"/>
    <w:rsid w:val="002A7BB2"/>
    <w:rsid w:val="002A7DCB"/>
    <w:rsid w:val="002B0685"/>
    <w:rsid w:val="002B0B53"/>
    <w:rsid w:val="002B1144"/>
    <w:rsid w:val="002B1617"/>
    <w:rsid w:val="002B1A90"/>
    <w:rsid w:val="002B1D11"/>
    <w:rsid w:val="002B2519"/>
    <w:rsid w:val="002B273B"/>
    <w:rsid w:val="002B29AA"/>
    <w:rsid w:val="002B2A7E"/>
    <w:rsid w:val="002B2F1B"/>
    <w:rsid w:val="002B3332"/>
    <w:rsid w:val="002B34C7"/>
    <w:rsid w:val="002B3C17"/>
    <w:rsid w:val="002B5269"/>
    <w:rsid w:val="002B5AFB"/>
    <w:rsid w:val="002B6320"/>
    <w:rsid w:val="002B6499"/>
    <w:rsid w:val="002B66AC"/>
    <w:rsid w:val="002B6852"/>
    <w:rsid w:val="002B77E1"/>
    <w:rsid w:val="002B77EA"/>
    <w:rsid w:val="002B7B20"/>
    <w:rsid w:val="002C0656"/>
    <w:rsid w:val="002C0714"/>
    <w:rsid w:val="002C0A96"/>
    <w:rsid w:val="002C1422"/>
    <w:rsid w:val="002C1697"/>
    <w:rsid w:val="002C1BF4"/>
    <w:rsid w:val="002C1E0D"/>
    <w:rsid w:val="002C2266"/>
    <w:rsid w:val="002C22BB"/>
    <w:rsid w:val="002C2356"/>
    <w:rsid w:val="002C28EB"/>
    <w:rsid w:val="002C316C"/>
    <w:rsid w:val="002C3265"/>
    <w:rsid w:val="002C3AED"/>
    <w:rsid w:val="002C3E56"/>
    <w:rsid w:val="002C414C"/>
    <w:rsid w:val="002C4696"/>
    <w:rsid w:val="002C49F8"/>
    <w:rsid w:val="002C4C2F"/>
    <w:rsid w:val="002C5776"/>
    <w:rsid w:val="002C5EED"/>
    <w:rsid w:val="002C66DE"/>
    <w:rsid w:val="002C7193"/>
    <w:rsid w:val="002C7699"/>
    <w:rsid w:val="002C7A49"/>
    <w:rsid w:val="002D0128"/>
    <w:rsid w:val="002D0638"/>
    <w:rsid w:val="002D0E85"/>
    <w:rsid w:val="002D0FA7"/>
    <w:rsid w:val="002D122D"/>
    <w:rsid w:val="002D12FB"/>
    <w:rsid w:val="002D19D1"/>
    <w:rsid w:val="002D1F35"/>
    <w:rsid w:val="002D1FA3"/>
    <w:rsid w:val="002D20CD"/>
    <w:rsid w:val="002D23C6"/>
    <w:rsid w:val="002D24F0"/>
    <w:rsid w:val="002D25EB"/>
    <w:rsid w:val="002D29F3"/>
    <w:rsid w:val="002D3126"/>
    <w:rsid w:val="002D3203"/>
    <w:rsid w:val="002D3529"/>
    <w:rsid w:val="002D3D0A"/>
    <w:rsid w:val="002D3EF0"/>
    <w:rsid w:val="002D478E"/>
    <w:rsid w:val="002D47AE"/>
    <w:rsid w:val="002D4A94"/>
    <w:rsid w:val="002D52B6"/>
    <w:rsid w:val="002D65FF"/>
    <w:rsid w:val="002D6D10"/>
    <w:rsid w:val="002D71E2"/>
    <w:rsid w:val="002D7B6A"/>
    <w:rsid w:val="002E0026"/>
    <w:rsid w:val="002E08E8"/>
    <w:rsid w:val="002E0918"/>
    <w:rsid w:val="002E0BAA"/>
    <w:rsid w:val="002E0D96"/>
    <w:rsid w:val="002E0EA5"/>
    <w:rsid w:val="002E0F1C"/>
    <w:rsid w:val="002E1E19"/>
    <w:rsid w:val="002E1FAC"/>
    <w:rsid w:val="002E27CE"/>
    <w:rsid w:val="002E283F"/>
    <w:rsid w:val="002E2854"/>
    <w:rsid w:val="002E2E69"/>
    <w:rsid w:val="002E2E74"/>
    <w:rsid w:val="002E32D2"/>
    <w:rsid w:val="002E361B"/>
    <w:rsid w:val="002E37AB"/>
    <w:rsid w:val="002E3A80"/>
    <w:rsid w:val="002E3FB9"/>
    <w:rsid w:val="002E41C7"/>
    <w:rsid w:val="002E51DF"/>
    <w:rsid w:val="002E57B9"/>
    <w:rsid w:val="002E6127"/>
    <w:rsid w:val="002E6885"/>
    <w:rsid w:val="002E72E4"/>
    <w:rsid w:val="002E739D"/>
    <w:rsid w:val="002F0F36"/>
    <w:rsid w:val="002F1276"/>
    <w:rsid w:val="002F175B"/>
    <w:rsid w:val="002F1986"/>
    <w:rsid w:val="002F1E5F"/>
    <w:rsid w:val="002F2A49"/>
    <w:rsid w:val="002F3550"/>
    <w:rsid w:val="002F3A4F"/>
    <w:rsid w:val="002F3B63"/>
    <w:rsid w:val="002F3C56"/>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E89"/>
    <w:rsid w:val="00302052"/>
    <w:rsid w:val="00302142"/>
    <w:rsid w:val="00302169"/>
    <w:rsid w:val="00302612"/>
    <w:rsid w:val="00303254"/>
    <w:rsid w:val="003032D8"/>
    <w:rsid w:val="003044D9"/>
    <w:rsid w:val="00304D8A"/>
    <w:rsid w:val="00305216"/>
    <w:rsid w:val="0030555B"/>
    <w:rsid w:val="003061F5"/>
    <w:rsid w:val="00306A49"/>
    <w:rsid w:val="00306D27"/>
    <w:rsid w:val="0030722F"/>
    <w:rsid w:val="0030739C"/>
    <w:rsid w:val="00307A2C"/>
    <w:rsid w:val="00310D51"/>
    <w:rsid w:val="00311B36"/>
    <w:rsid w:val="00311C92"/>
    <w:rsid w:val="00313321"/>
    <w:rsid w:val="003133AE"/>
    <w:rsid w:val="0031371B"/>
    <w:rsid w:val="00314156"/>
    <w:rsid w:val="00314CF8"/>
    <w:rsid w:val="0031535B"/>
    <w:rsid w:val="003154DD"/>
    <w:rsid w:val="00315FEA"/>
    <w:rsid w:val="00316EEC"/>
    <w:rsid w:val="00316F76"/>
    <w:rsid w:val="003170F4"/>
    <w:rsid w:val="0032005E"/>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42F"/>
    <w:rsid w:val="00323AA5"/>
    <w:rsid w:val="003242E4"/>
    <w:rsid w:val="0032468D"/>
    <w:rsid w:val="00324926"/>
    <w:rsid w:val="00324B25"/>
    <w:rsid w:val="0032522F"/>
    <w:rsid w:val="003253C4"/>
    <w:rsid w:val="0032550F"/>
    <w:rsid w:val="00325992"/>
    <w:rsid w:val="00325B74"/>
    <w:rsid w:val="0032638F"/>
    <w:rsid w:val="00326B59"/>
    <w:rsid w:val="00326BD4"/>
    <w:rsid w:val="00326E49"/>
    <w:rsid w:val="003272C6"/>
    <w:rsid w:val="00327752"/>
    <w:rsid w:val="00327C7C"/>
    <w:rsid w:val="00330009"/>
    <w:rsid w:val="003301E6"/>
    <w:rsid w:val="003310AB"/>
    <w:rsid w:val="003314D2"/>
    <w:rsid w:val="003315A9"/>
    <w:rsid w:val="00331712"/>
    <w:rsid w:val="00331A3F"/>
    <w:rsid w:val="00332191"/>
    <w:rsid w:val="00332720"/>
    <w:rsid w:val="00332EED"/>
    <w:rsid w:val="00332F1F"/>
    <w:rsid w:val="003334A7"/>
    <w:rsid w:val="003337E8"/>
    <w:rsid w:val="00333A14"/>
    <w:rsid w:val="00333B2A"/>
    <w:rsid w:val="00333FD5"/>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69F"/>
    <w:rsid w:val="00343A20"/>
    <w:rsid w:val="0034402B"/>
    <w:rsid w:val="0034449E"/>
    <w:rsid w:val="00344D46"/>
    <w:rsid w:val="003451F0"/>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AE4"/>
    <w:rsid w:val="00354B0A"/>
    <w:rsid w:val="00355264"/>
    <w:rsid w:val="0035551B"/>
    <w:rsid w:val="003555ED"/>
    <w:rsid w:val="00355911"/>
    <w:rsid w:val="00355BFC"/>
    <w:rsid w:val="0035636B"/>
    <w:rsid w:val="00356433"/>
    <w:rsid w:val="00357424"/>
    <w:rsid w:val="00357BE9"/>
    <w:rsid w:val="003601A2"/>
    <w:rsid w:val="003605DB"/>
    <w:rsid w:val="00361327"/>
    <w:rsid w:val="00361789"/>
    <w:rsid w:val="0036196D"/>
    <w:rsid w:val="00361A59"/>
    <w:rsid w:val="00362136"/>
    <w:rsid w:val="0036261F"/>
    <w:rsid w:val="003627BD"/>
    <w:rsid w:val="00362997"/>
    <w:rsid w:val="00362BBC"/>
    <w:rsid w:val="00362C59"/>
    <w:rsid w:val="00363040"/>
    <w:rsid w:val="003630B7"/>
    <w:rsid w:val="00363786"/>
    <w:rsid w:val="003638A4"/>
    <w:rsid w:val="003639BF"/>
    <w:rsid w:val="00363E41"/>
    <w:rsid w:val="00363FD2"/>
    <w:rsid w:val="0036447A"/>
    <w:rsid w:val="0036572E"/>
    <w:rsid w:val="0036593D"/>
    <w:rsid w:val="00366168"/>
    <w:rsid w:val="003663D9"/>
    <w:rsid w:val="003666BF"/>
    <w:rsid w:val="00366707"/>
    <w:rsid w:val="00366FA9"/>
    <w:rsid w:val="00367B19"/>
    <w:rsid w:val="00367E49"/>
    <w:rsid w:val="003700E6"/>
    <w:rsid w:val="0037017C"/>
    <w:rsid w:val="00370490"/>
    <w:rsid w:val="00370633"/>
    <w:rsid w:val="003719D9"/>
    <w:rsid w:val="00371C86"/>
    <w:rsid w:val="0037236C"/>
    <w:rsid w:val="003729DE"/>
    <w:rsid w:val="00372BBF"/>
    <w:rsid w:val="003735D3"/>
    <w:rsid w:val="0037386D"/>
    <w:rsid w:val="00373956"/>
    <w:rsid w:val="003739A4"/>
    <w:rsid w:val="00374153"/>
    <w:rsid w:val="00374671"/>
    <w:rsid w:val="003750E0"/>
    <w:rsid w:val="00375AF1"/>
    <w:rsid w:val="00375C2F"/>
    <w:rsid w:val="00375FC5"/>
    <w:rsid w:val="00376943"/>
    <w:rsid w:val="003769BA"/>
    <w:rsid w:val="00377871"/>
    <w:rsid w:val="003778AA"/>
    <w:rsid w:val="003778B2"/>
    <w:rsid w:val="00377D0E"/>
    <w:rsid w:val="00377E58"/>
    <w:rsid w:val="003804EE"/>
    <w:rsid w:val="003805E3"/>
    <w:rsid w:val="00380618"/>
    <w:rsid w:val="0038062E"/>
    <w:rsid w:val="003806D7"/>
    <w:rsid w:val="003807F7"/>
    <w:rsid w:val="00381610"/>
    <w:rsid w:val="00382106"/>
    <w:rsid w:val="00382657"/>
    <w:rsid w:val="00382708"/>
    <w:rsid w:val="00382B82"/>
    <w:rsid w:val="003834CE"/>
    <w:rsid w:val="003844BF"/>
    <w:rsid w:val="00384F87"/>
    <w:rsid w:val="0038518F"/>
    <w:rsid w:val="003854D5"/>
    <w:rsid w:val="0038552A"/>
    <w:rsid w:val="003856F1"/>
    <w:rsid w:val="003859EA"/>
    <w:rsid w:val="0038709E"/>
    <w:rsid w:val="00387D30"/>
    <w:rsid w:val="003907E2"/>
    <w:rsid w:val="00391753"/>
    <w:rsid w:val="00391C7F"/>
    <w:rsid w:val="00392454"/>
    <w:rsid w:val="00392C85"/>
    <w:rsid w:val="00392FD8"/>
    <w:rsid w:val="00393E11"/>
    <w:rsid w:val="00394475"/>
    <w:rsid w:val="0039517A"/>
    <w:rsid w:val="003958B9"/>
    <w:rsid w:val="00395B51"/>
    <w:rsid w:val="00396796"/>
    <w:rsid w:val="00396EC6"/>
    <w:rsid w:val="003970BA"/>
    <w:rsid w:val="0039746C"/>
    <w:rsid w:val="003978CA"/>
    <w:rsid w:val="00397DC6"/>
    <w:rsid w:val="003A0E82"/>
    <w:rsid w:val="003A0FAC"/>
    <w:rsid w:val="003A184D"/>
    <w:rsid w:val="003A1F68"/>
    <w:rsid w:val="003A1FB7"/>
    <w:rsid w:val="003A371E"/>
    <w:rsid w:val="003A3957"/>
    <w:rsid w:val="003A462A"/>
    <w:rsid w:val="003A595F"/>
    <w:rsid w:val="003A5EEC"/>
    <w:rsid w:val="003A6B7A"/>
    <w:rsid w:val="003A79AE"/>
    <w:rsid w:val="003A7CA3"/>
    <w:rsid w:val="003B00B6"/>
    <w:rsid w:val="003B01C4"/>
    <w:rsid w:val="003B04D0"/>
    <w:rsid w:val="003B09D5"/>
    <w:rsid w:val="003B0BB0"/>
    <w:rsid w:val="003B11EE"/>
    <w:rsid w:val="003B15F8"/>
    <w:rsid w:val="003B1B60"/>
    <w:rsid w:val="003B230B"/>
    <w:rsid w:val="003B23BC"/>
    <w:rsid w:val="003B28BA"/>
    <w:rsid w:val="003B28F6"/>
    <w:rsid w:val="003B2DB5"/>
    <w:rsid w:val="003B2F05"/>
    <w:rsid w:val="003B3966"/>
    <w:rsid w:val="003B39B7"/>
    <w:rsid w:val="003B463A"/>
    <w:rsid w:val="003B4754"/>
    <w:rsid w:val="003B4EB0"/>
    <w:rsid w:val="003B5094"/>
    <w:rsid w:val="003B518A"/>
    <w:rsid w:val="003B5F6A"/>
    <w:rsid w:val="003B6B7F"/>
    <w:rsid w:val="003B7820"/>
    <w:rsid w:val="003C01A4"/>
    <w:rsid w:val="003C0219"/>
    <w:rsid w:val="003C0C12"/>
    <w:rsid w:val="003C16EE"/>
    <w:rsid w:val="003C1C87"/>
    <w:rsid w:val="003C2C85"/>
    <w:rsid w:val="003C2F61"/>
    <w:rsid w:val="003C345E"/>
    <w:rsid w:val="003C4409"/>
    <w:rsid w:val="003C4997"/>
    <w:rsid w:val="003C4DA5"/>
    <w:rsid w:val="003C502A"/>
    <w:rsid w:val="003C540F"/>
    <w:rsid w:val="003C5666"/>
    <w:rsid w:val="003C60CC"/>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3414"/>
    <w:rsid w:val="003D3426"/>
    <w:rsid w:val="003D3654"/>
    <w:rsid w:val="003D3721"/>
    <w:rsid w:val="003D413A"/>
    <w:rsid w:val="003D4A9F"/>
    <w:rsid w:val="003D6722"/>
    <w:rsid w:val="003D7428"/>
    <w:rsid w:val="003D7627"/>
    <w:rsid w:val="003D77F2"/>
    <w:rsid w:val="003D78CC"/>
    <w:rsid w:val="003D7D01"/>
    <w:rsid w:val="003D7D25"/>
    <w:rsid w:val="003D7ED8"/>
    <w:rsid w:val="003E0003"/>
    <w:rsid w:val="003E0099"/>
    <w:rsid w:val="003E08C7"/>
    <w:rsid w:val="003E1427"/>
    <w:rsid w:val="003E1A72"/>
    <w:rsid w:val="003E1C35"/>
    <w:rsid w:val="003E2582"/>
    <w:rsid w:val="003E2880"/>
    <w:rsid w:val="003E28FB"/>
    <w:rsid w:val="003E2A00"/>
    <w:rsid w:val="003E382C"/>
    <w:rsid w:val="003E3D00"/>
    <w:rsid w:val="003E3D4C"/>
    <w:rsid w:val="003E4531"/>
    <w:rsid w:val="003E4771"/>
    <w:rsid w:val="003E54A8"/>
    <w:rsid w:val="003E5833"/>
    <w:rsid w:val="003E5DA8"/>
    <w:rsid w:val="003E7109"/>
    <w:rsid w:val="003E77DC"/>
    <w:rsid w:val="003E7BC1"/>
    <w:rsid w:val="003F0453"/>
    <w:rsid w:val="003F0C9F"/>
    <w:rsid w:val="003F144A"/>
    <w:rsid w:val="003F18FB"/>
    <w:rsid w:val="003F1B02"/>
    <w:rsid w:val="003F1EFE"/>
    <w:rsid w:val="003F2240"/>
    <w:rsid w:val="003F2460"/>
    <w:rsid w:val="003F2E7B"/>
    <w:rsid w:val="003F3CD5"/>
    <w:rsid w:val="003F4473"/>
    <w:rsid w:val="003F4CF5"/>
    <w:rsid w:val="003F4E31"/>
    <w:rsid w:val="003F51EE"/>
    <w:rsid w:val="003F574E"/>
    <w:rsid w:val="003F60D6"/>
    <w:rsid w:val="003F68E9"/>
    <w:rsid w:val="003F728C"/>
    <w:rsid w:val="003F73DE"/>
    <w:rsid w:val="003F7E15"/>
    <w:rsid w:val="003F7FDA"/>
    <w:rsid w:val="00400E65"/>
    <w:rsid w:val="00401296"/>
    <w:rsid w:val="004013AD"/>
    <w:rsid w:val="00401E20"/>
    <w:rsid w:val="004021C0"/>
    <w:rsid w:val="004024F9"/>
    <w:rsid w:val="004028CE"/>
    <w:rsid w:val="0040313D"/>
    <w:rsid w:val="004043FA"/>
    <w:rsid w:val="00404970"/>
    <w:rsid w:val="00405181"/>
    <w:rsid w:val="0040567F"/>
    <w:rsid w:val="00405873"/>
    <w:rsid w:val="00405F09"/>
    <w:rsid w:val="00405F3A"/>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BB4"/>
    <w:rsid w:val="00414D68"/>
    <w:rsid w:val="00414FD9"/>
    <w:rsid w:val="00415773"/>
    <w:rsid w:val="00415CAE"/>
    <w:rsid w:val="00415EE7"/>
    <w:rsid w:val="004160FA"/>
    <w:rsid w:val="0041669E"/>
    <w:rsid w:val="00416ACA"/>
    <w:rsid w:val="00416C56"/>
    <w:rsid w:val="00417294"/>
    <w:rsid w:val="004176B8"/>
    <w:rsid w:val="00417B99"/>
    <w:rsid w:val="00417CE0"/>
    <w:rsid w:val="004209D5"/>
    <w:rsid w:val="00420FAF"/>
    <w:rsid w:val="00421184"/>
    <w:rsid w:val="004212C1"/>
    <w:rsid w:val="004214B7"/>
    <w:rsid w:val="00421510"/>
    <w:rsid w:val="004217CC"/>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C3E"/>
    <w:rsid w:val="004275CD"/>
    <w:rsid w:val="00427E74"/>
    <w:rsid w:val="00427FEB"/>
    <w:rsid w:val="00427FF2"/>
    <w:rsid w:val="004305C0"/>
    <w:rsid w:val="00430B20"/>
    <w:rsid w:val="00430B6C"/>
    <w:rsid w:val="0043227C"/>
    <w:rsid w:val="004335C0"/>
    <w:rsid w:val="004345E1"/>
    <w:rsid w:val="00435121"/>
    <w:rsid w:val="00435715"/>
    <w:rsid w:val="0043571B"/>
    <w:rsid w:val="00435EE0"/>
    <w:rsid w:val="00435F29"/>
    <w:rsid w:val="0043610C"/>
    <w:rsid w:val="004366FF"/>
    <w:rsid w:val="00437D83"/>
    <w:rsid w:val="004401DD"/>
    <w:rsid w:val="00440344"/>
    <w:rsid w:val="00441264"/>
    <w:rsid w:val="00441B0F"/>
    <w:rsid w:val="004425C6"/>
    <w:rsid w:val="00443D5D"/>
    <w:rsid w:val="00445CBA"/>
    <w:rsid w:val="004463CB"/>
    <w:rsid w:val="004466F7"/>
    <w:rsid w:val="00446858"/>
    <w:rsid w:val="00446BD4"/>
    <w:rsid w:val="00446C99"/>
    <w:rsid w:val="00447304"/>
    <w:rsid w:val="004476F6"/>
    <w:rsid w:val="00447CDD"/>
    <w:rsid w:val="00450127"/>
    <w:rsid w:val="0045075F"/>
    <w:rsid w:val="004516AD"/>
    <w:rsid w:val="00451E84"/>
    <w:rsid w:val="00451EA3"/>
    <w:rsid w:val="00451F01"/>
    <w:rsid w:val="00454145"/>
    <w:rsid w:val="00454660"/>
    <w:rsid w:val="004546A7"/>
    <w:rsid w:val="00454831"/>
    <w:rsid w:val="004548DF"/>
    <w:rsid w:val="0045659D"/>
    <w:rsid w:val="00456CC0"/>
    <w:rsid w:val="00457933"/>
    <w:rsid w:val="00457C78"/>
    <w:rsid w:val="00460735"/>
    <w:rsid w:val="00460AD5"/>
    <w:rsid w:val="00460EB8"/>
    <w:rsid w:val="00461090"/>
    <w:rsid w:val="00461172"/>
    <w:rsid w:val="00461991"/>
    <w:rsid w:val="00461ACB"/>
    <w:rsid w:val="00461C43"/>
    <w:rsid w:val="00462125"/>
    <w:rsid w:val="00463216"/>
    <w:rsid w:val="0046334D"/>
    <w:rsid w:val="00463725"/>
    <w:rsid w:val="00463911"/>
    <w:rsid w:val="00463C95"/>
    <w:rsid w:val="00463E1C"/>
    <w:rsid w:val="00464052"/>
    <w:rsid w:val="00464236"/>
    <w:rsid w:val="00465153"/>
    <w:rsid w:val="00465602"/>
    <w:rsid w:val="004656A4"/>
    <w:rsid w:val="0046599C"/>
    <w:rsid w:val="00465F01"/>
    <w:rsid w:val="00466A4A"/>
    <w:rsid w:val="00466AFD"/>
    <w:rsid w:val="00470696"/>
    <w:rsid w:val="004713A5"/>
    <w:rsid w:val="004718E1"/>
    <w:rsid w:val="00471FEC"/>
    <w:rsid w:val="00472177"/>
    <w:rsid w:val="00472234"/>
    <w:rsid w:val="004724C9"/>
    <w:rsid w:val="00472585"/>
    <w:rsid w:val="0047278F"/>
    <w:rsid w:val="00473B5E"/>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B2B"/>
    <w:rsid w:val="00481F2B"/>
    <w:rsid w:val="004820C5"/>
    <w:rsid w:val="00482198"/>
    <w:rsid w:val="004823D8"/>
    <w:rsid w:val="00482F20"/>
    <w:rsid w:val="00483196"/>
    <w:rsid w:val="0048340F"/>
    <w:rsid w:val="00483E99"/>
    <w:rsid w:val="0048423C"/>
    <w:rsid w:val="00484449"/>
    <w:rsid w:val="004852CE"/>
    <w:rsid w:val="0048540C"/>
    <w:rsid w:val="00485F92"/>
    <w:rsid w:val="004860BD"/>
    <w:rsid w:val="004866E1"/>
    <w:rsid w:val="00486C72"/>
    <w:rsid w:val="00487D3A"/>
    <w:rsid w:val="00490951"/>
    <w:rsid w:val="00490954"/>
    <w:rsid w:val="0049102F"/>
    <w:rsid w:val="00491602"/>
    <w:rsid w:val="0049277A"/>
    <w:rsid w:val="00492B38"/>
    <w:rsid w:val="00492FE4"/>
    <w:rsid w:val="00493035"/>
    <w:rsid w:val="00493321"/>
    <w:rsid w:val="004936DE"/>
    <w:rsid w:val="004949B0"/>
    <w:rsid w:val="0049544E"/>
    <w:rsid w:val="00495670"/>
    <w:rsid w:val="0049567B"/>
    <w:rsid w:val="0049604B"/>
    <w:rsid w:val="00496666"/>
    <w:rsid w:val="00496AC9"/>
    <w:rsid w:val="004A040E"/>
    <w:rsid w:val="004A042D"/>
    <w:rsid w:val="004A09A8"/>
    <w:rsid w:val="004A11E0"/>
    <w:rsid w:val="004A1953"/>
    <w:rsid w:val="004A1F11"/>
    <w:rsid w:val="004A1FC5"/>
    <w:rsid w:val="004A2158"/>
    <w:rsid w:val="004A2497"/>
    <w:rsid w:val="004A29A5"/>
    <w:rsid w:val="004A3225"/>
    <w:rsid w:val="004A34A7"/>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E52"/>
    <w:rsid w:val="004A7F21"/>
    <w:rsid w:val="004B07C6"/>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0F3"/>
    <w:rsid w:val="004B6C77"/>
    <w:rsid w:val="004B6D0A"/>
    <w:rsid w:val="004B6DA4"/>
    <w:rsid w:val="004B794C"/>
    <w:rsid w:val="004B7995"/>
    <w:rsid w:val="004C02B3"/>
    <w:rsid w:val="004C04B1"/>
    <w:rsid w:val="004C098E"/>
    <w:rsid w:val="004C0BBE"/>
    <w:rsid w:val="004C0E2F"/>
    <w:rsid w:val="004C1531"/>
    <w:rsid w:val="004C1705"/>
    <w:rsid w:val="004C222E"/>
    <w:rsid w:val="004C2561"/>
    <w:rsid w:val="004C25B4"/>
    <w:rsid w:val="004C2806"/>
    <w:rsid w:val="004C29BD"/>
    <w:rsid w:val="004C3A7A"/>
    <w:rsid w:val="004C3ADD"/>
    <w:rsid w:val="004C3C00"/>
    <w:rsid w:val="004C428E"/>
    <w:rsid w:val="004C441A"/>
    <w:rsid w:val="004C4775"/>
    <w:rsid w:val="004C483D"/>
    <w:rsid w:val="004C48A9"/>
    <w:rsid w:val="004C4D05"/>
    <w:rsid w:val="004C590B"/>
    <w:rsid w:val="004C5E9D"/>
    <w:rsid w:val="004C5ED2"/>
    <w:rsid w:val="004C5EF4"/>
    <w:rsid w:val="004C6017"/>
    <w:rsid w:val="004C63C7"/>
    <w:rsid w:val="004C6D39"/>
    <w:rsid w:val="004C6D98"/>
    <w:rsid w:val="004C7217"/>
    <w:rsid w:val="004C7567"/>
    <w:rsid w:val="004C7743"/>
    <w:rsid w:val="004C77A7"/>
    <w:rsid w:val="004C7B38"/>
    <w:rsid w:val="004C7FD0"/>
    <w:rsid w:val="004D039E"/>
    <w:rsid w:val="004D04A3"/>
    <w:rsid w:val="004D0C9F"/>
    <w:rsid w:val="004D159B"/>
    <w:rsid w:val="004D15FD"/>
    <w:rsid w:val="004D1A0A"/>
    <w:rsid w:val="004D2369"/>
    <w:rsid w:val="004D2485"/>
    <w:rsid w:val="004D347F"/>
    <w:rsid w:val="004D38C1"/>
    <w:rsid w:val="004D3A57"/>
    <w:rsid w:val="004D47FF"/>
    <w:rsid w:val="004D4D35"/>
    <w:rsid w:val="004D518F"/>
    <w:rsid w:val="004D5394"/>
    <w:rsid w:val="004D54D7"/>
    <w:rsid w:val="004D5BB7"/>
    <w:rsid w:val="004D6053"/>
    <w:rsid w:val="004D6FA4"/>
    <w:rsid w:val="004D7C23"/>
    <w:rsid w:val="004E01C6"/>
    <w:rsid w:val="004E0212"/>
    <w:rsid w:val="004E0386"/>
    <w:rsid w:val="004E0ADC"/>
    <w:rsid w:val="004E0FB1"/>
    <w:rsid w:val="004E1043"/>
    <w:rsid w:val="004E19DB"/>
    <w:rsid w:val="004E1DCA"/>
    <w:rsid w:val="004E21B4"/>
    <w:rsid w:val="004E252B"/>
    <w:rsid w:val="004E2861"/>
    <w:rsid w:val="004E2A85"/>
    <w:rsid w:val="004E3F72"/>
    <w:rsid w:val="004E47D5"/>
    <w:rsid w:val="004E4A5C"/>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633"/>
    <w:rsid w:val="004F1715"/>
    <w:rsid w:val="004F17DA"/>
    <w:rsid w:val="004F355B"/>
    <w:rsid w:val="004F3BD2"/>
    <w:rsid w:val="004F3CBF"/>
    <w:rsid w:val="004F4372"/>
    <w:rsid w:val="004F43E0"/>
    <w:rsid w:val="004F45EB"/>
    <w:rsid w:val="004F5079"/>
    <w:rsid w:val="004F521B"/>
    <w:rsid w:val="004F52BB"/>
    <w:rsid w:val="004F5582"/>
    <w:rsid w:val="004F59B8"/>
    <w:rsid w:val="004F6172"/>
    <w:rsid w:val="004F62A7"/>
    <w:rsid w:val="004F62F9"/>
    <w:rsid w:val="004F66B3"/>
    <w:rsid w:val="004F6FA7"/>
    <w:rsid w:val="004F7352"/>
    <w:rsid w:val="004F7889"/>
    <w:rsid w:val="0050015C"/>
    <w:rsid w:val="00500418"/>
    <w:rsid w:val="00500969"/>
    <w:rsid w:val="00500B8A"/>
    <w:rsid w:val="00500CCF"/>
    <w:rsid w:val="00500E62"/>
    <w:rsid w:val="005010DE"/>
    <w:rsid w:val="005011FD"/>
    <w:rsid w:val="0050164B"/>
    <w:rsid w:val="00501A86"/>
    <w:rsid w:val="00501AA5"/>
    <w:rsid w:val="00502958"/>
    <w:rsid w:val="00502BD2"/>
    <w:rsid w:val="00502DA4"/>
    <w:rsid w:val="00503484"/>
    <w:rsid w:val="00503F83"/>
    <w:rsid w:val="0050421C"/>
    <w:rsid w:val="0050472E"/>
    <w:rsid w:val="00504A9B"/>
    <w:rsid w:val="00504E9A"/>
    <w:rsid w:val="00504F83"/>
    <w:rsid w:val="005059B9"/>
    <w:rsid w:val="00505F64"/>
    <w:rsid w:val="00506989"/>
    <w:rsid w:val="00506DCD"/>
    <w:rsid w:val="00507325"/>
    <w:rsid w:val="00507583"/>
    <w:rsid w:val="00507C36"/>
    <w:rsid w:val="00507C56"/>
    <w:rsid w:val="00507F13"/>
    <w:rsid w:val="005109D4"/>
    <w:rsid w:val="00510CF4"/>
    <w:rsid w:val="0051160A"/>
    <w:rsid w:val="005118BA"/>
    <w:rsid w:val="00512D87"/>
    <w:rsid w:val="005130DA"/>
    <w:rsid w:val="0051354B"/>
    <w:rsid w:val="00513DDA"/>
    <w:rsid w:val="00513E19"/>
    <w:rsid w:val="0051406F"/>
    <w:rsid w:val="005148B4"/>
    <w:rsid w:val="00514B29"/>
    <w:rsid w:val="00514E8C"/>
    <w:rsid w:val="005152B1"/>
    <w:rsid w:val="005152F0"/>
    <w:rsid w:val="0051532D"/>
    <w:rsid w:val="00515856"/>
    <w:rsid w:val="00515F50"/>
    <w:rsid w:val="005163E6"/>
    <w:rsid w:val="005172EC"/>
    <w:rsid w:val="0051740D"/>
    <w:rsid w:val="00517535"/>
    <w:rsid w:val="005178CE"/>
    <w:rsid w:val="005205FF"/>
    <w:rsid w:val="00521356"/>
    <w:rsid w:val="00521CAB"/>
    <w:rsid w:val="00521DFB"/>
    <w:rsid w:val="005224EF"/>
    <w:rsid w:val="00522654"/>
    <w:rsid w:val="00522835"/>
    <w:rsid w:val="0052293D"/>
    <w:rsid w:val="00522AF4"/>
    <w:rsid w:val="0052348B"/>
    <w:rsid w:val="00523499"/>
    <w:rsid w:val="0052373F"/>
    <w:rsid w:val="00523BC7"/>
    <w:rsid w:val="00523C08"/>
    <w:rsid w:val="00523C10"/>
    <w:rsid w:val="00523E23"/>
    <w:rsid w:val="005245D5"/>
    <w:rsid w:val="005247FE"/>
    <w:rsid w:val="00524889"/>
    <w:rsid w:val="0052575D"/>
    <w:rsid w:val="005259FC"/>
    <w:rsid w:val="00525A53"/>
    <w:rsid w:val="005260C7"/>
    <w:rsid w:val="005260F1"/>
    <w:rsid w:val="00526569"/>
    <w:rsid w:val="00526726"/>
    <w:rsid w:val="00526F91"/>
    <w:rsid w:val="00527256"/>
    <w:rsid w:val="00527934"/>
    <w:rsid w:val="00527AC0"/>
    <w:rsid w:val="00527B57"/>
    <w:rsid w:val="00527C8D"/>
    <w:rsid w:val="00527C9C"/>
    <w:rsid w:val="00530034"/>
    <w:rsid w:val="00530AC4"/>
    <w:rsid w:val="00531F7B"/>
    <w:rsid w:val="00532064"/>
    <w:rsid w:val="0053268A"/>
    <w:rsid w:val="0053309E"/>
    <w:rsid w:val="00533169"/>
    <w:rsid w:val="00533194"/>
    <w:rsid w:val="005332C8"/>
    <w:rsid w:val="00534021"/>
    <w:rsid w:val="0053464E"/>
    <w:rsid w:val="00534CBD"/>
    <w:rsid w:val="005352C8"/>
    <w:rsid w:val="005354C1"/>
    <w:rsid w:val="00535875"/>
    <w:rsid w:val="00535AEA"/>
    <w:rsid w:val="00535F99"/>
    <w:rsid w:val="00536356"/>
    <w:rsid w:val="00536BBB"/>
    <w:rsid w:val="00536CBB"/>
    <w:rsid w:val="00536DDD"/>
    <w:rsid w:val="00537033"/>
    <w:rsid w:val="00537F04"/>
    <w:rsid w:val="00540036"/>
    <w:rsid w:val="00540A37"/>
    <w:rsid w:val="00540B49"/>
    <w:rsid w:val="005410CF"/>
    <w:rsid w:val="00541415"/>
    <w:rsid w:val="005418DB"/>
    <w:rsid w:val="00541B51"/>
    <w:rsid w:val="005434EA"/>
    <w:rsid w:val="005436B8"/>
    <w:rsid w:val="00545D55"/>
    <w:rsid w:val="00546054"/>
    <w:rsid w:val="005461AB"/>
    <w:rsid w:val="00546C6A"/>
    <w:rsid w:val="00546FBA"/>
    <w:rsid w:val="00547F04"/>
    <w:rsid w:val="00550924"/>
    <w:rsid w:val="00550D63"/>
    <w:rsid w:val="00550EF1"/>
    <w:rsid w:val="00550FC4"/>
    <w:rsid w:val="00551075"/>
    <w:rsid w:val="005513C8"/>
    <w:rsid w:val="00552204"/>
    <w:rsid w:val="0055236E"/>
    <w:rsid w:val="0055352C"/>
    <w:rsid w:val="005538A6"/>
    <w:rsid w:val="00554F94"/>
    <w:rsid w:val="00555161"/>
    <w:rsid w:val="00555A59"/>
    <w:rsid w:val="00555BB7"/>
    <w:rsid w:val="00555DE6"/>
    <w:rsid w:val="00555EB3"/>
    <w:rsid w:val="005567F6"/>
    <w:rsid w:val="0055695F"/>
    <w:rsid w:val="00556E29"/>
    <w:rsid w:val="00557474"/>
    <w:rsid w:val="00557DAA"/>
    <w:rsid w:val="00557DAD"/>
    <w:rsid w:val="00561138"/>
    <w:rsid w:val="00561572"/>
    <w:rsid w:val="00561699"/>
    <w:rsid w:val="0056194F"/>
    <w:rsid w:val="005619E1"/>
    <w:rsid w:val="00561EEE"/>
    <w:rsid w:val="00562629"/>
    <w:rsid w:val="005628FE"/>
    <w:rsid w:val="0056364B"/>
    <w:rsid w:val="00563D49"/>
    <w:rsid w:val="00564191"/>
    <w:rsid w:val="00564557"/>
    <w:rsid w:val="0056458C"/>
    <w:rsid w:val="00564628"/>
    <w:rsid w:val="005648B9"/>
    <w:rsid w:val="00564A3C"/>
    <w:rsid w:val="00564C5F"/>
    <w:rsid w:val="00564F82"/>
    <w:rsid w:val="005653AF"/>
    <w:rsid w:val="00565501"/>
    <w:rsid w:val="00565755"/>
    <w:rsid w:val="0056601E"/>
    <w:rsid w:val="00566406"/>
    <w:rsid w:val="005664A6"/>
    <w:rsid w:val="00566538"/>
    <w:rsid w:val="0056663C"/>
    <w:rsid w:val="0056725A"/>
    <w:rsid w:val="0056741F"/>
    <w:rsid w:val="00567647"/>
    <w:rsid w:val="0056781B"/>
    <w:rsid w:val="00567822"/>
    <w:rsid w:val="00567BE2"/>
    <w:rsid w:val="00570102"/>
    <w:rsid w:val="00570505"/>
    <w:rsid w:val="00570FDD"/>
    <w:rsid w:val="005712E6"/>
    <w:rsid w:val="0057153C"/>
    <w:rsid w:val="00572942"/>
    <w:rsid w:val="005730DB"/>
    <w:rsid w:val="00573251"/>
    <w:rsid w:val="005733A8"/>
    <w:rsid w:val="005736D0"/>
    <w:rsid w:val="00573B5B"/>
    <w:rsid w:val="00573F55"/>
    <w:rsid w:val="00574070"/>
    <w:rsid w:val="00575148"/>
    <w:rsid w:val="0057540E"/>
    <w:rsid w:val="005757B6"/>
    <w:rsid w:val="005761E2"/>
    <w:rsid w:val="0058000F"/>
    <w:rsid w:val="00580557"/>
    <w:rsid w:val="0058074F"/>
    <w:rsid w:val="00580A76"/>
    <w:rsid w:val="00581042"/>
    <w:rsid w:val="00581703"/>
    <w:rsid w:val="00581B15"/>
    <w:rsid w:val="005821DD"/>
    <w:rsid w:val="00583908"/>
    <w:rsid w:val="00584757"/>
    <w:rsid w:val="00584E21"/>
    <w:rsid w:val="00585E41"/>
    <w:rsid w:val="00586075"/>
    <w:rsid w:val="0058608B"/>
    <w:rsid w:val="005863C1"/>
    <w:rsid w:val="0058654D"/>
    <w:rsid w:val="00586786"/>
    <w:rsid w:val="00587729"/>
    <w:rsid w:val="00587886"/>
    <w:rsid w:val="00587A66"/>
    <w:rsid w:val="00590147"/>
    <w:rsid w:val="0059028F"/>
    <w:rsid w:val="00590BD1"/>
    <w:rsid w:val="00590D26"/>
    <w:rsid w:val="00591276"/>
    <w:rsid w:val="00591490"/>
    <w:rsid w:val="0059151A"/>
    <w:rsid w:val="005916C9"/>
    <w:rsid w:val="00591C7E"/>
    <w:rsid w:val="00591D27"/>
    <w:rsid w:val="00591DCF"/>
    <w:rsid w:val="005929B4"/>
    <w:rsid w:val="00592A3C"/>
    <w:rsid w:val="0059367F"/>
    <w:rsid w:val="00593720"/>
    <w:rsid w:val="00593909"/>
    <w:rsid w:val="00593A71"/>
    <w:rsid w:val="0059411B"/>
    <w:rsid w:val="005941E1"/>
    <w:rsid w:val="005943E2"/>
    <w:rsid w:val="00594B8A"/>
    <w:rsid w:val="00595009"/>
    <w:rsid w:val="005954B7"/>
    <w:rsid w:val="005958B6"/>
    <w:rsid w:val="00595A05"/>
    <w:rsid w:val="00595F17"/>
    <w:rsid w:val="00595F3D"/>
    <w:rsid w:val="00595F89"/>
    <w:rsid w:val="00596873"/>
    <w:rsid w:val="00596BB3"/>
    <w:rsid w:val="00596BD4"/>
    <w:rsid w:val="00596FA8"/>
    <w:rsid w:val="005971A7"/>
    <w:rsid w:val="00597310"/>
    <w:rsid w:val="005977AB"/>
    <w:rsid w:val="00597953"/>
    <w:rsid w:val="005A01C5"/>
    <w:rsid w:val="005A0532"/>
    <w:rsid w:val="005A07E7"/>
    <w:rsid w:val="005A0A57"/>
    <w:rsid w:val="005A0ADC"/>
    <w:rsid w:val="005A0B9F"/>
    <w:rsid w:val="005A0DBB"/>
    <w:rsid w:val="005A0EBD"/>
    <w:rsid w:val="005A1270"/>
    <w:rsid w:val="005A1295"/>
    <w:rsid w:val="005A1FBF"/>
    <w:rsid w:val="005A29B1"/>
    <w:rsid w:val="005A2EBF"/>
    <w:rsid w:val="005A380B"/>
    <w:rsid w:val="005A4890"/>
    <w:rsid w:val="005A49A5"/>
    <w:rsid w:val="005A49D4"/>
    <w:rsid w:val="005A4D7C"/>
    <w:rsid w:val="005A51C9"/>
    <w:rsid w:val="005A581E"/>
    <w:rsid w:val="005A5A96"/>
    <w:rsid w:val="005A5D7F"/>
    <w:rsid w:val="005A5DC0"/>
    <w:rsid w:val="005A610E"/>
    <w:rsid w:val="005A6B6D"/>
    <w:rsid w:val="005A6ED5"/>
    <w:rsid w:val="005A6F0E"/>
    <w:rsid w:val="005A6F57"/>
    <w:rsid w:val="005A7235"/>
    <w:rsid w:val="005A795B"/>
    <w:rsid w:val="005A7B45"/>
    <w:rsid w:val="005A7BAF"/>
    <w:rsid w:val="005B05FA"/>
    <w:rsid w:val="005B0652"/>
    <w:rsid w:val="005B1213"/>
    <w:rsid w:val="005B1B55"/>
    <w:rsid w:val="005B1C52"/>
    <w:rsid w:val="005B1DBD"/>
    <w:rsid w:val="005B26B0"/>
    <w:rsid w:val="005B3EBD"/>
    <w:rsid w:val="005B3F0C"/>
    <w:rsid w:val="005B48E8"/>
    <w:rsid w:val="005B564F"/>
    <w:rsid w:val="005B56D9"/>
    <w:rsid w:val="005B5BA3"/>
    <w:rsid w:val="005B5E62"/>
    <w:rsid w:val="005B7230"/>
    <w:rsid w:val="005B7E97"/>
    <w:rsid w:val="005B7F46"/>
    <w:rsid w:val="005C07D2"/>
    <w:rsid w:val="005C09A7"/>
    <w:rsid w:val="005C102D"/>
    <w:rsid w:val="005C132C"/>
    <w:rsid w:val="005C17FB"/>
    <w:rsid w:val="005C1833"/>
    <w:rsid w:val="005C1838"/>
    <w:rsid w:val="005C18C2"/>
    <w:rsid w:val="005C1ACE"/>
    <w:rsid w:val="005C2063"/>
    <w:rsid w:val="005C244F"/>
    <w:rsid w:val="005C2767"/>
    <w:rsid w:val="005C2922"/>
    <w:rsid w:val="005C2C01"/>
    <w:rsid w:val="005C2F60"/>
    <w:rsid w:val="005C30A7"/>
    <w:rsid w:val="005C323D"/>
    <w:rsid w:val="005C3772"/>
    <w:rsid w:val="005C39C3"/>
    <w:rsid w:val="005C4229"/>
    <w:rsid w:val="005C4580"/>
    <w:rsid w:val="005C5065"/>
    <w:rsid w:val="005C52F3"/>
    <w:rsid w:val="005C564C"/>
    <w:rsid w:val="005C56EA"/>
    <w:rsid w:val="005C6234"/>
    <w:rsid w:val="005C64DC"/>
    <w:rsid w:val="005C6605"/>
    <w:rsid w:val="005C71A0"/>
    <w:rsid w:val="005C7802"/>
    <w:rsid w:val="005C7B50"/>
    <w:rsid w:val="005D029E"/>
    <w:rsid w:val="005D0427"/>
    <w:rsid w:val="005D0776"/>
    <w:rsid w:val="005D07AE"/>
    <w:rsid w:val="005D0A0B"/>
    <w:rsid w:val="005D0C83"/>
    <w:rsid w:val="005D113B"/>
    <w:rsid w:val="005D1732"/>
    <w:rsid w:val="005D2D9A"/>
    <w:rsid w:val="005D3A6E"/>
    <w:rsid w:val="005D3B21"/>
    <w:rsid w:val="005D4019"/>
    <w:rsid w:val="005D41DC"/>
    <w:rsid w:val="005D460F"/>
    <w:rsid w:val="005D4DC5"/>
    <w:rsid w:val="005D5442"/>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4565"/>
    <w:rsid w:val="005E45F3"/>
    <w:rsid w:val="005E48EA"/>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F0854"/>
    <w:rsid w:val="005F0A62"/>
    <w:rsid w:val="005F0FA8"/>
    <w:rsid w:val="005F1C5D"/>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31"/>
    <w:rsid w:val="005F704C"/>
    <w:rsid w:val="005F7A22"/>
    <w:rsid w:val="005F7B9D"/>
    <w:rsid w:val="005F7CF0"/>
    <w:rsid w:val="00600501"/>
    <w:rsid w:val="00600B0C"/>
    <w:rsid w:val="00600D1A"/>
    <w:rsid w:val="00601038"/>
    <w:rsid w:val="00602DFA"/>
    <w:rsid w:val="006031D1"/>
    <w:rsid w:val="006033BF"/>
    <w:rsid w:val="00603702"/>
    <w:rsid w:val="006039A4"/>
    <w:rsid w:val="00603B4B"/>
    <w:rsid w:val="00603F20"/>
    <w:rsid w:val="00604F37"/>
    <w:rsid w:val="0060508A"/>
    <w:rsid w:val="006055AF"/>
    <w:rsid w:val="00605942"/>
    <w:rsid w:val="00605C9F"/>
    <w:rsid w:val="006068E8"/>
    <w:rsid w:val="00606ADB"/>
    <w:rsid w:val="00606C07"/>
    <w:rsid w:val="006072DE"/>
    <w:rsid w:val="006075F4"/>
    <w:rsid w:val="006078A8"/>
    <w:rsid w:val="00607BAD"/>
    <w:rsid w:val="00607EC7"/>
    <w:rsid w:val="0061024F"/>
    <w:rsid w:val="0061048A"/>
    <w:rsid w:val="00610959"/>
    <w:rsid w:val="00610AE7"/>
    <w:rsid w:val="00611178"/>
    <w:rsid w:val="0061148D"/>
    <w:rsid w:val="00611D01"/>
    <w:rsid w:val="006122EC"/>
    <w:rsid w:val="006124B3"/>
    <w:rsid w:val="00612611"/>
    <w:rsid w:val="0061279A"/>
    <w:rsid w:val="00612C60"/>
    <w:rsid w:val="00613009"/>
    <w:rsid w:val="006132EA"/>
    <w:rsid w:val="00613CA5"/>
    <w:rsid w:val="0061401C"/>
    <w:rsid w:val="0061420B"/>
    <w:rsid w:val="00614BD4"/>
    <w:rsid w:val="00614D33"/>
    <w:rsid w:val="0061537D"/>
    <w:rsid w:val="0061537F"/>
    <w:rsid w:val="006156D7"/>
    <w:rsid w:val="00615CF1"/>
    <w:rsid w:val="00615DEA"/>
    <w:rsid w:val="00616A60"/>
    <w:rsid w:val="00616C17"/>
    <w:rsid w:val="00616D0C"/>
    <w:rsid w:val="00616EE6"/>
    <w:rsid w:val="006171FB"/>
    <w:rsid w:val="00617283"/>
    <w:rsid w:val="00617A2A"/>
    <w:rsid w:val="006207F4"/>
    <w:rsid w:val="00620C67"/>
    <w:rsid w:val="00621479"/>
    <w:rsid w:val="00621646"/>
    <w:rsid w:val="00621803"/>
    <w:rsid w:val="00621A34"/>
    <w:rsid w:val="006220F1"/>
    <w:rsid w:val="00623E46"/>
    <w:rsid w:val="00624604"/>
    <w:rsid w:val="00624D2C"/>
    <w:rsid w:val="00624F7F"/>
    <w:rsid w:val="00625145"/>
    <w:rsid w:val="00626768"/>
    <w:rsid w:val="00627402"/>
    <w:rsid w:val="00627474"/>
    <w:rsid w:val="00627CEA"/>
    <w:rsid w:val="00627E37"/>
    <w:rsid w:val="00630480"/>
    <w:rsid w:val="0063058E"/>
    <w:rsid w:val="006305F8"/>
    <w:rsid w:val="0063197B"/>
    <w:rsid w:val="00631DA7"/>
    <w:rsid w:val="006327BB"/>
    <w:rsid w:val="00632B9C"/>
    <w:rsid w:val="00632F18"/>
    <w:rsid w:val="006332D7"/>
    <w:rsid w:val="0063333D"/>
    <w:rsid w:val="00634225"/>
    <w:rsid w:val="00635003"/>
    <w:rsid w:val="006351CE"/>
    <w:rsid w:val="006352FD"/>
    <w:rsid w:val="00635B15"/>
    <w:rsid w:val="00636037"/>
    <w:rsid w:val="006362E1"/>
    <w:rsid w:val="006367DA"/>
    <w:rsid w:val="006370E1"/>
    <w:rsid w:val="00637382"/>
    <w:rsid w:val="006375B2"/>
    <w:rsid w:val="006375BB"/>
    <w:rsid w:val="006409EE"/>
    <w:rsid w:val="00640BF7"/>
    <w:rsid w:val="00640FFF"/>
    <w:rsid w:val="00641436"/>
    <w:rsid w:val="00641761"/>
    <w:rsid w:val="00642076"/>
    <w:rsid w:val="006425FC"/>
    <w:rsid w:val="00642631"/>
    <w:rsid w:val="0064289D"/>
    <w:rsid w:val="00642DF5"/>
    <w:rsid w:val="0064304A"/>
    <w:rsid w:val="0064380B"/>
    <w:rsid w:val="00643A4F"/>
    <w:rsid w:val="00643FF5"/>
    <w:rsid w:val="006441FD"/>
    <w:rsid w:val="00644E5A"/>
    <w:rsid w:val="00644F2C"/>
    <w:rsid w:val="00644F8F"/>
    <w:rsid w:val="006450DD"/>
    <w:rsid w:val="00645141"/>
    <w:rsid w:val="00645349"/>
    <w:rsid w:val="00645AEE"/>
    <w:rsid w:val="00646428"/>
    <w:rsid w:val="00646AFD"/>
    <w:rsid w:val="0064707F"/>
    <w:rsid w:val="006471E8"/>
    <w:rsid w:val="00647E90"/>
    <w:rsid w:val="00647FA3"/>
    <w:rsid w:val="00650067"/>
    <w:rsid w:val="006500F7"/>
    <w:rsid w:val="00650769"/>
    <w:rsid w:val="006516B7"/>
    <w:rsid w:val="006518E4"/>
    <w:rsid w:val="00651FB8"/>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18F"/>
    <w:rsid w:val="00656614"/>
    <w:rsid w:val="00656C4D"/>
    <w:rsid w:val="006577CD"/>
    <w:rsid w:val="00657CCC"/>
    <w:rsid w:val="00660162"/>
    <w:rsid w:val="0066036D"/>
    <w:rsid w:val="006604FA"/>
    <w:rsid w:val="00660879"/>
    <w:rsid w:val="00660B3F"/>
    <w:rsid w:val="006610B1"/>
    <w:rsid w:val="00661639"/>
    <w:rsid w:val="00661655"/>
    <w:rsid w:val="0066174D"/>
    <w:rsid w:val="00661E36"/>
    <w:rsid w:val="006624C3"/>
    <w:rsid w:val="0066318A"/>
    <w:rsid w:val="006631D3"/>
    <w:rsid w:val="00663D0F"/>
    <w:rsid w:val="00664525"/>
    <w:rsid w:val="0066465B"/>
    <w:rsid w:val="00664C81"/>
    <w:rsid w:val="0066500E"/>
    <w:rsid w:val="0066521A"/>
    <w:rsid w:val="0066540C"/>
    <w:rsid w:val="00665EAE"/>
    <w:rsid w:val="006661EA"/>
    <w:rsid w:val="00666749"/>
    <w:rsid w:val="00666909"/>
    <w:rsid w:val="00666EBC"/>
    <w:rsid w:val="00667189"/>
    <w:rsid w:val="0066749E"/>
    <w:rsid w:val="00667CCB"/>
    <w:rsid w:val="00667EFD"/>
    <w:rsid w:val="00670475"/>
    <w:rsid w:val="00670B8C"/>
    <w:rsid w:val="00670C4A"/>
    <w:rsid w:val="00671F3E"/>
    <w:rsid w:val="00672482"/>
    <w:rsid w:val="00672A18"/>
    <w:rsid w:val="0067322C"/>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E92"/>
    <w:rsid w:val="00680064"/>
    <w:rsid w:val="00681229"/>
    <w:rsid w:val="00681514"/>
    <w:rsid w:val="0068185E"/>
    <w:rsid w:val="00681BE5"/>
    <w:rsid w:val="00681E30"/>
    <w:rsid w:val="0068379B"/>
    <w:rsid w:val="00683D98"/>
    <w:rsid w:val="00683D99"/>
    <w:rsid w:val="00684079"/>
    <w:rsid w:val="0068484C"/>
    <w:rsid w:val="006848EE"/>
    <w:rsid w:val="006856AA"/>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61C"/>
    <w:rsid w:val="00695634"/>
    <w:rsid w:val="0069600D"/>
    <w:rsid w:val="006963AE"/>
    <w:rsid w:val="00697053"/>
    <w:rsid w:val="006A02DC"/>
    <w:rsid w:val="006A066A"/>
    <w:rsid w:val="006A06CA"/>
    <w:rsid w:val="006A083E"/>
    <w:rsid w:val="006A0FFD"/>
    <w:rsid w:val="006A1170"/>
    <w:rsid w:val="006A14A3"/>
    <w:rsid w:val="006A159D"/>
    <w:rsid w:val="006A18BF"/>
    <w:rsid w:val="006A1F58"/>
    <w:rsid w:val="006A242E"/>
    <w:rsid w:val="006A26AB"/>
    <w:rsid w:val="006A298D"/>
    <w:rsid w:val="006A2BB4"/>
    <w:rsid w:val="006A2F80"/>
    <w:rsid w:val="006A3FD6"/>
    <w:rsid w:val="006A4076"/>
    <w:rsid w:val="006A436F"/>
    <w:rsid w:val="006A4E5B"/>
    <w:rsid w:val="006A59D8"/>
    <w:rsid w:val="006A5A5D"/>
    <w:rsid w:val="006A6B7B"/>
    <w:rsid w:val="006A78F8"/>
    <w:rsid w:val="006A7C26"/>
    <w:rsid w:val="006A7E27"/>
    <w:rsid w:val="006B010E"/>
    <w:rsid w:val="006B03CA"/>
    <w:rsid w:val="006B091F"/>
    <w:rsid w:val="006B0B1E"/>
    <w:rsid w:val="006B0CAF"/>
    <w:rsid w:val="006B0ED0"/>
    <w:rsid w:val="006B0EED"/>
    <w:rsid w:val="006B147E"/>
    <w:rsid w:val="006B1C83"/>
    <w:rsid w:val="006B1DF6"/>
    <w:rsid w:val="006B233F"/>
    <w:rsid w:val="006B275E"/>
    <w:rsid w:val="006B28EA"/>
    <w:rsid w:val="006B2DA3"/>
    <w:rsid w:val="006B2FBB"/>
    <w:rsid w:val="006B378A"/>
    <w:rsid w:val="006B3BD5"/>
    <w:rsid w:val="006B4185"/>
    <w:rsid w:val="006B4224"/>
    <w:rsid w:val="006B4493"/>
    <w:rsid w:val="006B453E"/>
    <w:rsid w:val="006B4B62"/>
    <w:rsid w:val="006B53DC"/>
    <w:rsid w:val="006B5423"/>
    <w:rsid w:val="006B5855"/>
    <w:rsid w:val="006B5AB2"/>
    <w:rsid w:val="006B5C67"/>
    <w:rsid w:val="006B6B5D"/>
    <w:rsid w:val="006B6BF6"/>
    <w:rsid w:val="006B6C0D"/>
    <w:rsid w:val="006B7A88"/>
    <w:rsid w:val="006C166D"/>
    <w:rsid w:val="006C1818"/>
    <w:rsid w:val="006C1F8B"/>
    <w:rsid w:val="006C2721"/>
    <w:rsid w:val="006C2BE5"/>
    <w:rsid w:val="006C316A"/>
    <w:rsid w:val="006C3868"/>
    <w:rsid w:val="006C38FF"/>
    <w:rsid w:val="006C3E6E"/>
    <w:rsid w:val="006C3EEA"/>
    <w:rsid w:val="006C3F92"/>
    <w:rsid w:val="006C4023"/>
    <w:rsid w:val="006C42FA"/>
    <w:rsid w:val="006C43A6"/>
    <w:rsid w:val="006C4A4A"/>
    <w:rsid w:val="006C4E89"/>
    <w:rsid w:val="006C53EB"/>
    <w:rsid w:val="006C5434"/>
    <w:rsid w:val="006C5D29"/>
    <w:rsid w:val="006C60F2"/>
    <w:rsid w:val="006C650D"/>
    <w:rsid w:val="006C69A5"/>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592"/>
    <w:rsid w:val="006D3A05"/>
    <w:rsid w:val="006D3B62"/>
    <w:rsid w:val="006D3FDF"/>
    <w:rsid w:val="006D4527"/>
    <w:rsid w:val="006D4B05"/>
    <w:rsid w:val="006D4F86"/>
    <w:rsid w:val="006D5F98"/>
    <w:rsid w:val="006D6665"/>
    <w:rsid w:val="006D7098"/>
    <w:rsid w:val="006D740E"/>
    <w:rsid w:val="006D7F72"/>
    <w:rsid w:val="006E00B7"/>
    <w:rsid w:val="006E0E5B"/>
    <w:rsid w:val="006E10B4"/>
    <w:rsid w:val="006E3023"/>
    <w:rsid w:val="006E3369"/>
    <w:rsid w:val="006E3D12"/>
    <w:rsid w:val="006E449C"/>
    <w:rsid w:val="006E4726"/>
    <w:rsid w:val="006E4E72"/>
    <w:rsid w:val="006E50D0"/>
    <w:rsid w:val="006E5F41"/>
    <w:rsid w:val="006E64BD"/>
    <w:rsid w:val="006E663E"/>
    <w:rsid w:val="006E6EDF"/>
    <w:rsid w:val="006E7BA5"/>
    <w:rsid w:val="006F01E8"/>
    <w:rsid w:val="006F02D7"/>
    <w:rsid w:val="006F0EBB"/>
    <w:rsid w:val="006F1E96"/>
    <w:rsid w:val="006F2706"/>
    <w:rsid w:val="006F2D24"/>
    <w:rsid w:val="006F352A"/>
    <w:rsid w:val="006F37F7"/>
    <w:rsid w:val="006F3909"/>
    <w:rsid w:val="006F4036"/>
    <w:rsid w:val="006F428E"/>
    <w:rsid w:val="006F48E1"/>
    <w:rsid w:val="006F4FA0"/>
    <w:rsid w:val="006F5096"/>
    <w:rsid w:val="006F5160"/>
    <w:rsid w:val="006F5374"/>
    <w:rsid w:val="006F60DF"/>
    <w:rsid w:val="006F64DE"/>
    <w:rsid w:val="006F66FC"/>
    <w:rsid w:val="006F6766"/>
    <w:rsid w:val="006F68C1"/>
    <w:rsid w:val="006F6CE2"/>
    <w:rsid w:val="006F6E10"/>
    <w:rsid w:val="00700F57"/>
    <w:rsid w:val="00701111"/>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A08"/>
    <w:rsid w:val="00704B6E"/>
    <w:rsid w:val="00704F10"/>
    <w:rsid w:val="00704F73"/>
    <w:rsid w:val="0070508D"/>
    <w:rsid w:val="0070542E"/>
    <w:rsid w:val="00705849"/>
    <w:rsid w:val="0070604A"/>
    <w:rsid w:val="007060D4"/>
    <w:rsid w:val="0070624C"/>
    <w:rsid w:val="00706451"/>
    <w:rsid w:val="00707412"/>
    <w:rsid w:val="00707E0F"/>
    <w:rsid w:val="0071068A"/>
    <w:rsid w:val="00710E19"/>
    <w:rsid w:val="00710E52"/>
    <w:rsid w:val="0071154B"/>
    <w:rsid w:val="0071174F"/>
    <w:rsid w:val="0071196A"/>
    <w:rsid w:val="007130CA"/>
    <w:rsid w:val="007131CF"/>
    <w:rsid w:val="007133C0"/>
    <w:rsid w:val="00713613"/>
    <w:rsid w:val="007137C6"/>
    <w:rsid w:val="007138FC"/>
    <w:rsid w:val="0071393D"/>
    <w:rsid w:val="00713E79"/>
    <w:rsid w:val="00714073"/>
    <w:rsid w:val="00714245"/>
    <w:rsid w:val="00715441"/>
    <w:rsid w:val="00715739"/>
    <w:rsid w:val="0071576C"/>
    <w:rsid w:val="00715C94"/>
    <w:rsid w:val="007165F0"/>
    <w:rsid w:val="00716A09"/>
    <w:rsid w:val="007170DB"/>
    <w:rsid w:val="00717880"/>
    <w:rsid w:val="00717CA8"/>
    <w:rsid w:val="00717D92"/>
    <w:rsid w:val="007205E7"/>
    <w:rsid w:val="007209C4"/>
    <w:rsid w:val="00721E9E"/>
    <w:rsid w:val="007227FE"/>
    <w:rsid w:val="007233C3"/>
    <w:rsid w:val="007238D7"/>
    <w:rsid w:val="00723C95"/>
    <w:rsid w:val="007244E7"/>
    <w:rsid w:val="0072505F"/>
    <w:rsid w:val="00725B00"/>
    <w:rsid w:val="0072680C"/>
    <w:rsid w:val="00726B3D"/>
    <w:rsid w:val="00726C64"/>
    <w:rsid w:val="007302C6"/>
    <w:rsid w:val="007310B7"/>
    <w:rsid w:val="00731237"/>
    <w:rsid w:val="00731A22"/>
    <w:rsid w:val="0073207E"/>
    <w:rsid w:val="00732523"/>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A02"/>
    <w:rsid w:val="00736E06"/>
    <w:rsid w:val="00736E37"/>
    <w:rsid w:val="00737286"/>
    <w:rsid w:val="007373DB"/>
    <w:rsid w:val="00737847"/>
    <w:rsid w:val="00737F27"/>
    <w:rsid w:val="00737FD3"/>
    <w:rsid w:val="00740240"/>
    <w:rsid w:val="007407DB"/>
    <w:rsid w:val="00740BFC"/>
    <w:rsid w:val="00740E35"/>
    <w:rsid w:val="00740F76"/>
    <w:rsid w:val="00741037"/>
    <w:rsid w:val="007422B3"/>
    <w:rsid w:val="007424BF"/>
    <w:rsid w:val="007435F1"/>
    <w:rsid w:val="00743DDD"/>
    <w:rsid w:val="00744625"/>
    <w:rsid w:val="007446BB"/>
    <w:rsid w:val="00744AF1"/>
    <w:rsid w:val="00745882"/>
    <w:rsid w:val="00745A04"/>
    <w:rsid w:val="00745A0F"/>
    <w:rsid w:val="00745DFD"/>
    <w:rsid w:val="00746197"/>
    <w:rsid w:val="0074689C"/>
    <w:rsid w:val="00746B3F"/>
    <w:rsid w:val="00747117"/>
    <w:rsid w:val="007473E6"/>
    <w:rsid w:val="007479C2"/>
    <w:rsid w:val="00747B0D"/>
    <w:rsid w:val="007503EA"/>
    <w:rsid w:val="00751452"/>
    <w:rsid w:val="007521A5"/>
    <w:rsid w:val="00752488"/>
    <w:rsid w:val="00753959"/>
    <w:rsid w:val="00753DD6"/>
    <w:rsid w:val="00754A4A"/>
    <w:rsid w:val="007566FB"/>
    <w:rsid w:val="007567A8"/>
    <w:rsid w:val="00756D6A"/>
    <w:rsid w:val="0076043F"/>
    <w:rsid w:val="00760D17"/>
    <w:rsid w:val="00760F66"/>
    <w:rsid w:val="007611F8"/>
    <w:rsid w:val="00761200"/>
    <w:rsid w:val="00761931"/>
    <w:rsid w:val="00761A6F"/>
    <w:rsid w:val="00761BD1"/>
    <w:rsid w:val="0076218E"/>
    <w:rsid w:val="007627BA"/>
    <w:rsid w:val="0076291E"/>
    <w:rsid w:val="00762C76"/>
    <w:rsid w:val="00762D81"/>
    <w:rsid w:val="0076317B"/>
    <w:rsid w:val="007643D5"/>
    <w:rsid w:val="00764B38"/>
    <w:rsid w:val="00764F40"/>
    <w:rsid w:val="00765366"/>
    <w:rsid w:val="00765914"/>
    <w:rsid w:val="0076614D"/>
    <w:rsid w:val="0076624C"/>
    <w:rsid w:val="0076627D"/>
    <w:rsid w:val="00766304"/>
    <w:rsid w:val="00767A28"/>
    <w:rsid w:val="00767DD2"/>
    <w:rsid w:val="00770264"/>
    <w:rsid w:val="0077082B"/>
    <w:rsid w:val="00770E60"/>
    <w:rsid w:val="00771C8F"/>
    <w:rsid w:val="0077266E"/>
    <w:rsid w:val="0077292E"/>
    <w:rsid w:val="00772A5F"/>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E7E"/>
    <w:rsid w:val="00777EFA"/>
    <w:rsid w:val="007804DD"/>
    <w:rsid w:val="00780EC1"/>
    <w:rsid w:val="00780F3B"/>
    <w:rsid w:val="0078115B"/>
    <w:rsid w:val="007816EE"/>
    <w:rsid w:val="00782071"/>
    <w:rsid w:val="00782783"/>
    <w:rsid w:val="00782946"/>
    <w:rsid w:val="00782ECD"/>
    <w:rsid w:val="0078363B"/>
    <w:rsid w:val="00783CCF"/>
    <w:rsid w:val="00783F5B"/>
    <w:rsid w:val="00784609"/>
    <w:rsid w:val="00784720"/>
    <w:rsid w:val="0078481D"/>
    <w:rsid w:val="00784D91"/>
    <w:rsid w:val="007859FC"/>
    <w:rsid w:val="00785CE6"/>
    <w:rsid w:val="00785F1E"/>
    <w:rsid w:val="00785F4C"/>
    <w:rsid w:val="0078609C"/>
    <w:rsid w:val="00786355"/>
    <w:rsid w:val="00787370"/>
    <w:rsid w:val="007874AE"/>
    <w:rsid w:val="0078750B"/>
    <w:rsid w:val="00787F5E"/>
    <w:rsid w:val="0079024D"/>
    <w:rsid w:val="00790C87"/>
    <w:rsid w:val="00790E75"/>
    <w:rsid w:val="00791069"/>
    <w:rsid w:val="007911B8"/>
    <w:rsid w:val="00791DAE"/>
    <w:rsid w:val="007930E8"/>
    <w:rsid w:val="00793A57"/>
    <w:rsid w:val="00793A9C"/>
    <w:rsid w:val="00793F28"/>
    <w:rsid w:val="007944D2"/>
    <w:rsid w:val="00794B19"/>
    <w:rsid w:val="00794FFA"/>
    <w:rsid w:val="00795B8D"/>
    <w:rsid w:val="00795E34"/>
    <w:rsid w:val="00795F0E"/>
    <w:rsid w:val="00797D8F"/>
    <w:rsid w:val="007A0C00"/>
    <w:rsid w:val="007A0E15"/>
    <w:rsid w:val="007A176E"/>
    <w:rsid w:val="007A19BF"/>
    <w:rsid w:val="007A2A69"/>
    <w:rsid w:val="007A2CF1"/>
    <w:rsid w:val="007A384E"/>
    <w:rsid w:val="007A3EDF"/>
    <w:rsid w:val="007A41B5"/>
    <w:rsid w:val="007A4486"/>
    <w:rsid w:val="007A4682"/>
    <w:rsid w:val="007A47EA"/>
    <w:rsid w:val="007A5879"/>
    <w:rsid w:val="007A58A8"/>
    <w:rsid w:val="007A5B11"/>
    <w:rsid w:val="007A5BDC"/>
    <w:rsid w:val="007A629D"/>
    <w:rsid w:val="007A6610"/>
    <w:rsid w:val="007A6D51"/>
    <w:rsid w:val="007A6DD3"/>
    <w:rsid w:val="007A6FF3"/>
    <w:rsid w:val="007A7169"/>
    <w:rsid w:val="007A71DC"/>
    <w:rsid w:val="007A7A04"/>
    <w:rsid w:val="007A7E1F"/>
    <w:rsid w:val="007B04FF"/>
    <w:rsid w:val="007B0976"/>
    <w:rsid w:val="007B0CAC"/>
    <w:rsid w:val="007B15F3"/>
    <w:rsid w:val="007B1701"/>
    <w:rsid w:val="007B1C32"/>
    <w:rsid w:val="007B1DBB"/>
    <w:rsid w:val="007B1E0F"/>
    <w:rsid w:val="007B2319"/>
    <w:rsid w:val="007B2FBF"/>
    <w:rsid w:val="007B3E13"/>
    <w:rsid w:val="007B4044"/>
    <w:rsid w:val="007B4046"/>
    <w:rsid w:val="007B4300"/>
    <w:rsid w:val="007B565C"/>
    <w:rsid w:val="007B595F"/>
    <w:rsid w:val="007B5D75"/>
    <w:rsid w:val="007B6D5E"/>
    <w:rsid w:val="007B7115"/>
    <w:rsid w:val="007B736B"/>
    <w:rsid w:val="007C012E"/>
    <w:rsid w:val="007C055A"/>
    <w:rsid w:val="007C0853"/>
    <w:rsid w:val="007C0C90"/>
    <w:rsid w:val="007C0E07"/>
    <w:rsid w:val="007C0E86"/>
    <w:rsid w:val="007C249E"/>
    <w:rsid w:val="007C26CF"/>
    <w:rsid w:val="007C271B"/>
    <w:rsid w:val="007C2C14"/>
    <w:rsid w:val="007C3A55"/>
    <w:rsid w:val="007C3D67"/>
    <w:rsid w:val="007C404B"/>
    <w:rsid w:val="007C4166"/>
    <w:rsid w:val="007C44E1"/>
    <w:rsid w:val="007C48DD"/>
    <w:rsid w:val="007C4A05"/>
    <w:rsid w:val="007C5711"/>
    <w:rsid w:val="007C57B9"/>
    <w:rsid w:val="007C6325"/>
    <w:rsid w:val="007C73A3"/>
    <w:rsid w:val="007C7975"/>
    <w:rsid w:val="007C7EF5"/>
    <w:rsid w:val="007D06AC"/>
    <w:rsid w:val="007D06E9"/>
    <w:rsid w:val="007D0741"/>
    <w:rsid w:val="007D0A53"/>
    <w:rsid w:val="007D0FFC"/>
    <w:rsid w:val="007D1013"/>
    <w:rsid w:val="007D19EC"/>
    <w:rsid w:val="007D1B28"/>
    <w:rsid w:val="007D2608"/>
    <w:rsid w:val="007D29A2"/>
    <w:rsid w:val="007D30C3"/>
    <w:rsid w:val="007D35AC"/>
    <w:rsid w:val="007D36B1"/>
    <w:rsid w:val="007D36D7"/>
    <w:rsid w:val="007D3BA1"/>
    <w:rsid w:val="007D3EC8"/>
    <w:rsid w:val="007D40AC"/>
    <w:rsid w:val="007D4317"/>
    <w:rsid w:val="007D4C12"/>
    <w:rsid w:val="007D57E0"/>
    <w:rsid w:val="007D5962"/>
    <w:rsid w:val="007D5A2B"/>
    <w:rsid w:val="007D6213"/>
    <w:rsid w:val="007D63B2"/>
    <w:rsid w:val="007D651D"/>
    <w:rsid w:val="007D6E43"/>
    <w:rsid w:val="007D71B7"/>
    <w:rsid w:val="007D7C66"/>
    <w:rsid w:val="007D7CF3"/>
    <w:rsid w:val="007E0274"/>
    <w:rsid w:val="007E02A7"/>
    <w:rsid w:val="007E0358"/>
    <w:rsid w:val="007E0415"/>
    <w:rsid w:val="007E0991"/>
    <w:rsid w:val="007E0B2C"/>
    <w:rsid w:val="007E0BD1"/>
    <w:rsid w:val="007E107F"/>
    <w:rsid w:val="007E2FD7"/>
    <w:rsid w:val="007E310B"/>
    <w:rsid w:val="007E3275"/>
    <w:rsid w:val="007E38DA"/>
    <w:rsid w:val="007E3D65"/>
    <w:rsid w:val="007E3EE2"/>
    <w:rsid w:val="007E47E7"/>
    <w:rsid w:val="007E4A98"/>
    <w:rsid w:val="007E4EB6"/>
    <w:rsid w:val="007E5DD7"/>
    <w:rsid w:val="007E6FB9"/>
    <w:rsid w:val="007E7139"/>
    <w:rsid w:val="007E7366"/>
    <w:rsid w:val="007E7EA1"/>
    <w:rsid w:val="007E7EA4"/>
    <w:rsid w:val="007F03CE"/>
    <w:rsid w:val="007F04D3"/>
    <w:rsid w:val="007F137D"/>
    <w:rsid w:val="007F17B5"/>
    <w:rsid w:val="007F2D8D"/>
    <w:rsid w:val="007F2EBF"/>
    <w:rsid w:val="007F3044"/>
    <w:rsid w:val="007F3249"/>
    <w:rsid w:val="007F3704"/>
    <w:rsid w:val="007F4657"/>
    <w:rsid w:val="007F4A02"/>
    <w:rsid w:val="007F5609"/>
    <w:rsid w:val="007F5625"/>
    <w:rsid w:val="007F568A"/>
    <w:rsid w:val="007F59F7"/>
    <w:rsid w:val="007F5E21"/>
    <w:rsid w:val="007F6413"/>
    <w:rsid w:val="007F676E"/>
    <w:rsid w:val="007F6B11"/>
    <w:rsid w:val="007F6E2B"/>
    <w:rsid w:val="007F7D12"/>
    <w:rsid w:val="007F7F02"/>
    <w:rsid w:val="00800258"/>
    <w:rsid w:val="00800874"/>
    <w:rsid w:val="00800C97"/>
    <w:rsid w:val="0080220F"/>
    <w:rsid w:val="008026A7"/>
    <w:rsid w:val="00802735"/>
    <w:rsid w:val="008028C2"/>
    <w:rsid w:val="00802DDB"/>
    <w:rsid w:val="00802FC1"/>
    <w:rsid w:val="00803445"/>
    <w:rsid w:val="008037D8"/>
    <w:rsid w:val="00803B7E"/>
    <w:rsid w:val="00803DA6"/>
    <w:rsid w:val="008040D9"/>
    <w:rsid w:val="0080436E"/>
    <w:rsid w:val="00804937"/>
    <w:rsid w:val="00804C02"/>
    <w:rsid w:val="00804E1E"/>
    <w:rsid w:val="00804E43"/>
    <w:rsid w:val="008050F5"/>
    <w:rsid w:val="0080519C"/>
    <w:rsid w:val="0080553F"/>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6805"/>
    <w:rsid w:val="00816BE8"/>
    <w:rsid w:val="00816CD5"/>
    <w:rsid w:val="00816DBD"/>
    <w:rsid w:val="00816FE2"/>
    <w:rsid w:val="00817062"/>
    <w:rsid w:val="00817991"/>
    <w:rsid w:val="00817C35"/>
    <w:rsid w:val="00817F58"/>
    <w:rsid w:val="008203C5"/>
    <w:rsid w:val="00820B84"/>
    <w:rsid w:val="0082199B"/>
    <w:rsid w:val="00821C2A"/>
    <w:rsid w:val="00821C61"/>
    <w:rsid w:val="0082213B"/>
    <w:rsid w:val="008227B7"/>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0DD6"/>
    <w:rsid w:val="008313E0"/>
    <w:rsid w:val="008317EC"/>
    <w:rsid w:val="0083195D"/>
    <w:rsid w:val="00831B7B"/>
    <w:rsid w:val="00831D90"/>
    <w:rsid w:val="008324F3"/>
    <w:rsid w:val="00832691"/>
    <w:rsid w:val="00832721"/>
    <w:rsid w:val="0083296B"/>
    <w:rsid w:val="00832B8A"/>
    <w:rsid w:val="00833547"/>
    <w:rsid w:val="00833852"/>
    <w:rsid w:val="00833967"/>
    <w:rsid w:val="00833AB9"/>
    <w:rsid w:val="00833B62"/>
    <w:rsid w:val="0083436A"/>
    <w:rsid w:val="00834820"/>
    <w:rsid w:val="00834C82"/>
    <w:rsid w:val="00834DB6"/>
    <w:rsid w:val="00834F93"/>
    <w:rsid w:val="00835F72"/>
    <w:rsid w:val="00840C4A"/>
    <w:rsid w:val="008411B9"/>
    <w:rsid w:val="0084122F"/>
    <w:rsid w:val="00841573"/>
    <w:rsid w:val="00841D08"/>
    <w:rsid w:val="00842D43"/>
    <w:rsid w:val="0084323E"/>
    <w:rsid w:val="00843D50"/>
    <w:rsid w:val="008441D9"/>
    <w:rsid w:val="0084464E"/>
    <w:rsid w:val="008458BF"/>
    <w:rsid w:val="00846262"/>
    <w:rsid w:val="00846370"/>
    <w:rsid w:val="008463E8"/>
    <w:rsid w:val="00847665"/>
    <w:rsid w:val="008478B7"/>
    <w:rsid w:val="00847925"/>
    <w:rsid w:val="00847BC5"/>
    <w:rsid w:val="00847F11"/>
    <w:rsid w:val="00850010"/>
    <w:rsid w:val="008503F4"/>
    <w:rsid w:val="008504A0"/>
    <w:rsid w:val="00850996"/>
    <w:rsid w:val="00850AC1"/>
    <w:rsid w:val="00850C2A"/>
    <w:rsid w:val="00850DFA"/>
    <w:rsid w:val="00851331"/>
    <w:rsid w:val="008516D1"/>
    <w:rsid w:val="00851CC8"/>
    <w:rsid w:val="00852003"/>
    <w:rsid w:val="0085212C"/>
    <w:rsid w:val="0085223F"/>
    <w:rsid w:val="008529FD"/>
    <w:rsid w:val="00852F49"/>
    <w:rsid w:val="00852F9E"/>
    <w:rsid w:val="00854053"/>
    <w:rsid w:val="008543AC"/>
    <w:rsid w:val="008548B8"/>
    <w:rsid w:val="00854965"/>
    <w:rsid w:val="008554D1"/>
    <w:rsid w:val="00855897"/>
    <w:rsid w:val="008558E0"/>
    <w:rsid w:val="008569E0"/>
    <w:rsid w:val="0085745B"/>
    <w:rsid w:val="00857AF7"/>
    <w:rsid w:val="00857BE5"/>
    <w:rsid w:val="00860109"/>
    <w:rsid w:val="008601BD"/>
    <w:rsid w:val="00860359"/>
    <w:rsid w:val="00860E43"/>
    <w:rsid w:val="00861252"/>
    <w:rsid w:val="0086171A"/>
    <w:rsid w:val="0086226C"/>
    <w:rsid w:val="00863C07"/>
    <w:rsid w:val="008640B7"/>
    <w:rsid w:val="00864379"/>
    <w:rsid w:val="008644A4"/>
    <w:rsid w:val="00864A6C"/>
    <w:rsid w:val="00864BB1"/>
    <w:rsid w:val="00864DF7"/>
    <w:rsid w:val="00865278"/>
    <w:rsid w:val="008654F9"/>
    <w:rsid w:val="008658C0"/>
    <w:rsid w:val="00866388"/>
    <w:rsid w:val="00866FE3"/>
    <w:rsid w:val="0086722D"/>
    <w:rsid w:val="00867459"/>
    <w:rsid w:val="00867D56"/>
    <w:rsid w:val="00867D70"/>
    <w:rsid w:val="0087018F"/>
    <w:rsid w:val="00870646"/>
    <w:rsid w:val="008706C3"/>
    <w:rsid w:val="00870BAA"/>
    <w:rsid w:val="00870D91"/>
    <w:rsid w:val="008716D1"/>
    <w:rsid w:val="008716ED"/>
    <w:rsid w:val="008718AD"/>
    <w:rsid w:val="0087193F"/>
    <w:rsid w:val="008724E6"/>
    <w:rsid w:val="008728C8"/>
    <w:rsid w:val="00872F30"/>
    <w:rsid w:val="00873205"/>
    <w:rsid w:val="008735E8"/>
    <w:rsid w:val="0087377E"/>
    <w:rsid w:val="00874594"/>
    <w:rsid w:val="00874776"/>
    <w:rsid w:val="0087487C"/>
    <w:rsid w:val="00874A07"/>
    <w:rsid w:val="00874B75"/>
    <w:rsid w:val="00875007"/>
    <w:rsid w:val="008750DB"/>
    <w:rsid w:val="0087519E"/>
    <w:rsid w:val="008751B4"/>
    <w:rsid w:val="0087527F"/>
    <w:rsid w:val="008754B5"/>
    <w:rsid w:val="00875AF3"/>
    <w:rsid w:val="008765E9"/>
    <w:rsid w:val="00876605"/>
    <w:rsid w:val="00876B13"/>
    <w:rsid w:val="00877940"/>
    <w:rsid w:val="00880007"/>
    <w:rsid w:val="00880017"/>
    <w:rsid w:val="00880305"/>
    <w:rsid w:val="0088088A"/>
    <w:rsid w:val="00880A3F"/>
    <w:rsid w:val="00880EE2"/>
    <w:rsid w:val="00881155"/>
    <w:rsid w:val="008813BC"/>
    <w:rsid w:val="00881732"/>
    <w:rsid w:val="008818A2"/>
    <w:rsid w:val="00881FF9"/>
    <w:rsid w:val="00882122"/>
    <w:rsid w:val="0088213D"/>
    <w:rsid w:val="008821C6"/>
    <w:rsid w:val="0088243D"/>
    <w:rsid w:val="0088251A"/>
    <w:rsid w:val="00882530"/>
    <w:rsid w:val="00882D28"/>
    <w:rsid w:val="00883A67"/>
    <w:rsid w:val="008848E9"/>
    <w:rsid w:val="00884FD8"/>
    <w:rsid w:val="00885244"/>
    <w:rsid w:val="008857C7"/>
    <w:rsid w:val="008858B3"/>
    <w:rsid w:val="00885BF6"/>
    <w:rsid w:val="008862A6"/>
    <w:rsid w:val="008866CF"/>
    <w:rsid w:val="00886782"/>
    <w:rsid w:val="008869A1"/>
    <w:rsid w:val="00886B3F"/>
    <w:rsid w:val="0089015D"/>
    <w:rsid w:val="0089021A"/>
    <w:rsid w:val="0089022E"/>
    <w:rsid w:val="00890475"/>
    <w:rsid w:val="00890A7C"/>
    <w:rsid w:val="00890D11"/>
    <w:rsid w:val="008910EE"/>
    <w:rsid w:val="00891A26"/>
    <w:rsid w:val="00891BCE"/>
    <w:rsid w:val="008923F8"/>
    <w:rsid w:val="008928F1"/>
    <w:rsid w:val="00892BBF"/>
    <w:rsid w:val="00892DB5"/>
    <w:rsid w:val="00893172"/>
    <w:rsid w:val="00893F27"/>
    <w:rsid w:val="008942BD"/>
    <w:rsid w:val="0089478A"/>
    <w:rsid w:val="0089480A"/>
    <w:rsid w:val="00894FE5"/>
    <w:rsid w:val="00895658"/>
    <w:rsid w:val="008956B2"/>
    <w:rsid w:val="008956DA"/>
    <w:rsid w:val="00895BA9"/>
    <w:rsid w:val="00895D79"/>
    <w:rsid w:val="0089601B"/>
    <w:rsid w:val="0089655D"/>
    <w:rsid w:val="00896784"/>
    <w:rsid w:val="00896C56"/>
    <w:rsid w:val="00897051"/>
    <w:rsid w:val="00897824"/>
    <w:rsid w:val="00897BCB"/>
    <w:rsid w:val="00897C07"/>
    <w:rsid w:val="00897DBA"/>
    <w:rsid w:val="008A02FA"/>
    <w:rsid w:val="008A06A8"/>
    <w:rsid w:val="008A07F5"/>
    <w:rsid w:val="008A0BCE"/>
    <w:rsid w:val="008A1AAC"/>
    <w:rsid w:val="008A20CA"/>
    <w:rsid w:val="008A239B"/>
    <w:rsid w:val="008A28B6"/>
    <w:rsid w:val="008A2956"/>
    <w:rsid w:val="008A2EA1"/>
    <w:rsid w:val="008A2EF6"/>
    <w:rsid w:val="008A3480"/>
    <w:rsid w:val="008A3642"/>
    <w:rsid w:val="008A3C36"/>
    <w:rsid w:val="008A4F3C"/>
    <w:rsid w:val="008A51AD"/>
    <w:rsid w:val="008A53BA"/>
    <w:rsid w:val="008A551D"/>
    <w:rsid w:val="008A56BA"/>
    <w:rsid w:val="008A570A"/>
    <w:rsid w:val="008A58E4"/>
    <w:rsid w:val="008A58E7"/>
    <w:rsid w:val="008A5C1D"/>
    <w:rsid w:val="008A615A"/>
    <w:rsid w:val="008A6357"/>
    <w:rsid w:val="008A64AA"/>
    <w:rsid w:val="008A650C"/>
    <w:rsid w:val="008A66E1"/>
    <w:rsid w:val="008A6A36"/>
    <w:rsid w:val="008A6CB9"/>
    <w:rsid w:val="008A6DC1"/>
    <w:rsid w:val="008A6DD4"/>
    <w:rsid w:val="008A7083"/>
    <w:rsid w:val="008A7100"/>
    <w:rsid w:val="008A7139"/>
    <w:rsid w:val="008A776D"/>
    <w:rsid w:val="008A7C74"/>
    <w:rsid w:val="008B03BD"/>
    <w:rsid w:val="008B04C0"/>
    <w:rsid w:val="008B09E1"/>
    <w:rsid w:val="008B0A83"/>
    <w:rsid w:val="008B0DCF"/>
    <w:rsid w:val="008B0E93"/>
    <w:rsid w:val="008B0F8D"/>
    <w:rsid w:val="008B1190"/>
    <w:rsid w:val="008B198D"/>
    <w:rsid w:val="008B23A8"/>
    <w:rsid w:val="008B29A4"/>
    <w:rsid w:val="008B2BB4"/>
    <w:rsid w:val="008B2C30"/>
    <w:rsid w:val="008B3C2B"/>
    <w:rsid w:val="008B4679"/>
    <w:rsid w:val="008B4D00"/>
    <w:rsid w:val="008B4D13"/>
    <w:rsid w:val="008B4E78"/>
    <w:rsid w:val="008B4FE2"/>
    <w:rsid w:val="008B61A1"/>
    <w:rsid w:val="008B66EE"/>
    <w:rsid w:val="008B6793"/>
    <w:rsid w:val="008B6E87"/>
    <w:rsid w:val="008B7588"/>
    <w:rsid w:val="008B75C2"/>
    <w:rsid w:val="008B787A"/>
    <w:rsid w:val="008C0A89"/>
    <w:rsid w:val="008C0CBD"/>
    <w:rsid w:val="008C0E71"/>
    <w:rsid w:val="008C1852"/>
    <w:rsid w:val="008C2AF0"/>
    <w:rsid w:val="008C2CFF"/>
    <w:rsid w:val="008C2E1E"/>
    <w:rsid w:val="008C2E22"/>
    <w:rsid w:val="008C2ED2"/>
    <w:rsid w:val="008C3D4D"/>
    <w:rsid w:val="008C4026"/>
    <w:rsid w:val="008C417D"/>
    <w:rsid w:val="008C417E"/>
    <w:rsid w:val="008C521B"/>
    <w:rsid w:val="008C5B51"/>
    <w:rsid w:val="008C5F0A"/>
    <w:rsid w:val="008C6105"/>
    <w:rsid w:val="008C6124"/>
    <w:rsid w:val="008C616C"/>
    <w:rsid w:val="008C6334"/>
    <w:rsid w:val="008C66BD"/>
    <w:rsid w:val="008C6968"/>
    <w:rsid w:val="008C742A"/>
    <w:rsid w:val="008C74C7"/>
    <w:rsid w:val="008C76A5"/>
    <w:rsid w:val="008C7714"/>
    <w:rsid w:val="008C7F4F"/>
    <w:rsid w:val="008D00F3"/>
    <w:rsid w:val="008D03C3"/>
    <w:rsid w:val="008D0F27"/>
    <w:rsid w:val="008D11F0"/>
    <w:rsid w:val="008D15A2"/>
    <w:rsid w:val="008D1839"/>
    <w:rsid w:val="008D18CD"/>
    <w:rsid w:val="008D1F86"/>
    <w:rsid w:val="008D20E0"/>
    <w:rsid w:val="008D2276"/>
    <w:rsid w:val="008D2B6E"/>
    <w:rsid w:val="008D335C"/>
    <w:rsid w:val="008D35B7"/>
    <w:rsid w:val="008D4007"/>
    <w:rsid w:val="008D436A"/>
    <w:rsid w:val="008D46D3"/>
    <w:rsid w:val="008D4C72"/>
    <w:rsid w:val="008D4CF8"/>
    <w:rsid w:val="008D5291"/>
    <w:rsid w:val="008D5368"/>
    <w:rsid w:val="008D561B"/>
    <w:rsid w:val="008D582B"/>
    <w:rsid w:val="008D5CF9"/>
    <w:rsid w:val="008D5D0A"/>
    <w:rsid w:val="008D6794"/>
    <w:rsid w:val="008D7F65"/>
    <w:rsid w:val="008E0178"/>
    <w:rsid w:val="008E02F8"/>
    <w:rsid w:val="008E12AF"/>
    <w:rsid w:val="008E1342"/>
    <w:rsid w:val="008E17F3"/>
    <w:rsid w:val="008E1DC9"/>
    <w:rsid w:val="008E1F11"/>
    <w:rsid w:val="008E211C"/>
    <w:rsid w:val="008E24E4"/>
    <w:rsid w:val="008E25C5"/>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ADB"/>
    <w:rsid w:val="008E5DC8"/>
    <w:rsid w:val="008E6465"/>
    <w:rsid w:val="008E6C57"/>
    <w:rsid w:val="008E7082"/>
    <w:rsid w:val="008E72AF"/>
    <w:rsid w:val="008F069E"/>
    <w:rsid w:val="008F0952"/>
    <w:rsid w:val="008F1154"/>
    <w:rsid w:val="008F1B84"/>
    <w:rsid w:val="008F1B9D"/>
    <w:rsid w:val="008F1DB6"/>
    <w:rsid w:val="008F337C"/>
    <w:rsid w:val="008F39C0"/>
    <w:rsid w:val="008F39E4"/>
    <w:rsid w:val="008F57CD"/>
    <w:rsid w:val="008F5960"/>
    <w:rsid w:val="008F5C91"/>
    <w:rsid w:val="008F5CD0"/>
    <w:rsid w:val="008F629A"/>
    <w:rsid w:val="008F6A9B"/>
    <w:rsid w:val="008F6F03"/>
    <w:rsid w:val="008F7200"/>
    <w:rsid w:val="008F7603"/>
    <w:rsid w:val="008F769D"/>
    <w:rsid w:val="008F76B7"/>
    <w:rsid w:val="008F76DC"/>
    <w:rsid w:val="008F7D2F"/>
    <w:rsid w:val="009013C5"/>
    <w:rsid w:val="0090147B"/>
    <w:rsid w:val="00901649"/>
    <w:rsid w:val="009019D7"/>
    <w:rsid w:val="00901CBA"/>
    <w:rsid w:val="00901DC6"/>
    <w:rsid w:val="009021DC"/>
    <w:rsid w:val="0090254E"/>
    <w:rsid w:val="00902E6D"/>
    <w:rsid w:val="00903026"/>
    <w:rsid w:val="0090357B"/>
    <w:rsid w:val="00903832"/>
    <w:rsid w:val="009042D0"/>
    <w:rsid w:val="009044BE"/>
    <w:rsid w:val="009048EB"/>
    <w:rsid w:val="00904913"/>
    <w:rsid w:val="00904B8A"/>
    <w:rsid w:val="00904C15"/>
    <w:rsid w:val="009050B3"/>
    <w:rsid w:val="00905298"/>
    <w:rsid w:val="00905580"/>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62DD"/>
    <w:rsid w:val="009163E7"/>
    <w:rsid w:val="0091671A"/>
    <w:rsid w:val="009169F6"/>
    <w:rsid w:val="0091719D"/>
    <w:rsid w:val="00917329"/>
    <w:rsid w:val="00917903"/>
    <w:rsid w:val="00917BEA"/>
    <w:rsid w:val="00920189"/>
    <w:rsid w:val="00920203"/>
    <w:rsid w:val="009203A2"/>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AF5"/>
    <w:rsid w:val="009261FC"/>
    <w:rsid w:val="00926268"/>
    <w:rsid w:val="00926416"/>
    <w:rsid w:val="009264A2"/>
    <w:rsid w:val="0092715D"/>
    <w:rsid w:val="00927299"/>
    <w:rsid w:val="00927585"/>
    <w:rsid w:val="00930632"/>
    <w:rsid w:val="009310BC"/>
    <w:rsid w:val="00931D3F"/>
    <w:rsid w:val="009324C4"/>
    <w:rsid w:val="00932671"/>
    <w:rsid w:val="00932A7A"/>
    <w:rsid w:val="00932D26"/>
    <w:rsid w:val="00932D49"/>
    <w:rsid w:val="009330BF"/>
    <w:rsid w:val="00933817"/>
    <w:rsid w:val="00933EE7"/>
    <w:rsid w:val="00934510"/>
    <w:rsid w:val="0093476C"/>
    <w:rsid w:val="00935A1E"/>
    <w:rsid w:val="00935AA3"/>
    <w:rsid w:val="00935B7C"/>
    <w:rsid w:val="00935BC9"/>
    <w:rsid w:val="00935E3A"/>
    <w:rsid w:val="00936005"/>
    <w:rsid w:val="0093607C"/>
    <w:rsid w:val="00940008"/>
    <w:rsid w:val="00940FFA"/>
    <w:rsid w:val="00941503"/>
    <w:rsid w:val="0094187D"/>
    <w:rsid w:val="00941A4A"/>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5949"/>
    <w:rsid w:val="009466E9"/>
    <w:rsid w:val="00946CB3"/>
    <w:rsid w:val="00946D20"/>
    <w:rsid w:val="00946E51"/>
    <w:rsid w:val="009470FE"/>
    <w:rsid w:val="009473F4"/>
    <w:rsid w:val="0094767D"/>
    <w:rsid w:val="00947EB9"/>
    <w:rsid w:val="00950231"/>
    <w:rsid w:val="00950794"/>
    <w:rsid w:val="009507AA"/>
    <w:rsid w:val="009509EF"/>
    <w:rsid w:val="00951018"/>
    <w:rsid w:val="009515CA"/>
    <w:rsid w:val="00951691"/>
    <w:rsid w:val="00951FCE"/>
    <w:rsid w:val="009521CC"/>
    <w:rsid w:val="0095226C"/>
    <w:rsid w:val="0095269B"/>
    <w:rsid w:val="00952C05"/>
    <w:rsid w:val="00952D52"/>
    <w:rsid w:val="009540B7"/>
    <w:rsid w:val="009543D0"/>
    <w:rsid w:val="0095448C"/>
    <w:rsid w:val="00954AF9"/>
    <w:rsid w:val="00954DAE"/>
    <w:rsid w:val="00955410"/>
    <w:rsid w:val="009558EE"/>
    <w:rsid w:val="009559D5"/>
    <w:rsid w:val="00955C17"/>
    <w:rsid w:val="00955FFA"/>
    <w:rsid w:val="00956170"/>
    <w:rsid w:val="00956BA1"/>
    <w:rsid w:val="00956D42"/>
    <w:rsid w:val="00956F0F"/>
    <w:rsid w:val="0095727F"/>
    <w:rsid w:val="009572AF"/>
    <w:rsid w:val="00957E41"/>
    <w:rsid w:val="0096016E"/>
    <w:rsid w:val="0096023A"/>
    <w:rsid w:val="009607AB"/>
    <w:rsid w:val="00961154"/>
    <w:rsid w:val="009615DB"/>
    <w:rsid w:val="00961AAE"/>
    <w:rsid w:val="009625FA"/>
    <w:rsid w:val="00962683"/>
    <w:rsid w:val="00962E23"/>
    <w:rsid w:val="009633ED"/>
    <w:rsid w:val="0096487C"/>
    <w:rsid w:val="00964B45"/>
    <w:rsid w:val="00964BC2"/>
    <w:rsid w:val="00964D4A"/>
    <w:rsid w:val="00964EAE"/>
    <w:rsid w:val="00965023"/>
    <w:rsid w:val="009650B7"/>
    <w:rsid w:val="0096515D"/>
    <w:rsid w:val="00965841"/>
    <w:rsid w:val="00966623"/>
    <w:rsid w:val="009678DB"/>
    <w:rsid w:val="00970728"/>
    <w:rsid w:val="009707C9"/>
    <w:rsid w:val="00970E5C"/>
    <w:rsid w:val="00971303"/>
    <w:rsid w:val="009713F6"/>
    <w:rsid w:val="00971615"/>
    <w:rsid w:val="00971E0B"/>
    <w:rsid w:val="00972101"/>
    <w:rsid w:val="00972285"/>
    <w:rsid w:val="009723CC"/>
    <w:rsid w:val="00972FB5"/>
    <w:rsid w:val="00973607"/>
    <w:rsid w:val="009736FE"/>
    <w:rsid w:val="00973B96"/>
    <w:rsid w:val="00973E3C"/>
    <w:rsid w:val="00974763"/>
    <w:rsid w:val="009757CA"/>
    <w:rsid w:val="00976DA0"/>
    <w:rsid w:val="00976E76"/>
    <w:rsid w:val="00977A14"/>
    <w:rsid w:val="00977E9B"/>
    <w:rsid w:val="009807BF"/>
    <w:rsid w:val="009809CE"/>
    <w:rsid w:val="0098131F"/>
    <w:rsid w:val="00981479"/>
    <w:rsid w:val="009814DA"/>
    <w:rsid w:val="00981614"/>
    <w:rsid w:val="00981F74"/>
    <w:rsid w:val="0098237C"/>
    <w:rsid w:val="009829B3"/>
    <w:rsid w:val="00982C31"/>
    <w:rsid w:val="00982D45"/>
    <w:rsid w:val="00983165"/>
    <w:rsid w:val="00983343"/>
    <w:rsid w:val="009833C4"/>
    <w:rsid w:val="009834E0"/>
    <w:rsid w:val="009838FF"/>
    <w:rsid w:val="00983F58"/>
    <w:rsid w:val="0098410C"/>
    <w:rsid w:val="00984149"/>
    <w:rsid w:val="00984788"/>
    <w:rsid w:val="00984909"/>
    <w:rsid w:val="00984FF3"/>
    <w:rsid w:val="00984FF9"/>
    <w:rsid w:val="009850C5"/>
    <w:rsid w:val="00985AAD"/>
    <w:rsid w:val="00986326"/>
    <w:rsid w:val="00986849"/>
    <w:rsid w:val="00986BB7"/>
    <w:rsid w:val="00986D4B"/>
    <w:rsid w:val="00986F6D"/>
    <w:rsid w:val="0098727C"/>
    <w:rsid w:val="00987708"/>
    <w:rsid w:val="00987DF0"/>
    <w:rsid w:val="00987E2E"/>
    <w:rsid w:val="0099008B"/>
    <w:rsid w:val="0099177B"/>
    <w:rsid w:val="00991B8C"/>
    <w:rsid w:val="00991FAA"/>
    <w:rsid w:val="0099367E"/>
    <w:rsid w:val="00993FE4"/>
    <w:rsid w:val="0099425E"/>
    <w:rsid w:val="00994CDC"/>
    <w:rsid w:val="00995AC3"/>
    <w:rsid w:val="009969CD"/>
    <w:rsid w:val="0099770A"/>
    <w:rsid w:val="00997769"/>
    <w:rsid w:val="00997A2E"/>
    <w:rsid w:val="009A048E"/>
    <w:rsid w:val="009A119F"/>
    <w:rsid w:val="009A1609"/>
    <w:rsid w:val="009A16A3"/>
    <w:rsid w:val="009A1702"/>
    <w:rsid w:val="009A1A7E"/>
    <w:rsid w:val="009A20BC"/>
    <w:rsid w:val="009A3480"/>
    <w:rsid w:val="009A3DB8"/>
    <w:rsid w:val="009A43B3"/>
    <w:rsid w:val="009A464D"/>
    <w:rsid w:val="009A496F"/>
    <w:rsid w:val="009A4B78"/>
    <w:rsid w:val="009A4C02"/>
    <w:rsid w:val="009A4D73"/>
    <w:rsid w:val="009A4E41"/>
    <w:rsid w:val="009A5297"/>
    <w:rsid w:val="009A5851"/>
    <w:rsid w:val="009A5D40"/>
    <w:rsid w:val="009A5E10"/>
    <w:rsid w:val="009A6665"/>
    <w:rsid w:val="009A743F"/>
    <w:rsid w:val="009A74F7"/>
    <w:rsid w:val="009B00F2"/>
    <w:rsid w:val="009B0FB2"/>
    <w:rsid w:val="009B1113"/>
    <w:rsid w:val="009B1C34"/>
    <w:rsid w:val="009B1D22"/>
    <w:rsid w:val="009B1E86"/>
    <w:rsid w:val="009B27C4"/>
    <w:rsid w:val="009B2BE6"/>
    <w:rsid w:val="009B2D92"/>
    <w:rsid w:val="009B31DE"/>
    <w:rsid w:val="009B3250"/>
    <w:rsid w:val="009B42B0"/>
    <w:rsid w:val="009B42D2"/>
    <w:rsid w:val="009B4A06"/>
    <w:rsid w:val="009B60EA"/>
    <w:rsid w:val="009B64F6"/>
    <w:rsid w:val="009B70C8"/>
    <w:rsid w:val="009B737C"/>
    <w:rsid w:val="009B742E"/>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B63"/>
    <w:rsid w:val="009C4D3D"/>
    <w:rsid w:val="009C55E2"/>
    <w:rsid w:val="009C5A4E"/>
    <w:rsid w:val="009C5EE5"/>
    <w:rsid w:val="009C61E3"/>
    <w:rsid w:val="009C6B56"/>
    <w:rsid w:val="009C7DB8"/>
    <w:rsid w:val="009C7FF0"/>
    <w:rsid w:val="009D010D"/>
    <w:rsid w:val="009D0244"/>
    <w:rsid w:val="009D0AAD"/>
    <w:rsid w:val="009D0F71"/>
    <w:rsid w:val="009D111C"/>
    <w:rsid w:val="009D17A0"/>
    <w:rsid w:val="009D1F7A"/>
    <w:rsid w:val="009D2873"/>
    <w:rsid w:val="009D2942"/>
    <w:rsid w:val="009D2BE9"/>
    <w:rsid w:val="009D3A1A"/>
    <w:rsid w:val="009D3AD2"/>
    <w:rsid w:val="009D426A"/>
    <w:rsid w:val="009D5BDB"/>
    <w:rsid w:val="009D6B03"/>
    <w:rsid w:val="009D6B3D"/>
    <w:rsid w:val="009D7422"/>
    <w:rsid w:val="009D78E7"/>
    <w:rsid w:val="009D7979"/>
    <w:rsid w:val="009E0742"/>
    <w:rsid w:val="009E0B29"/>
    <w:rsid w:val="009E1291"/>
    <w:rsid w:val="009E12BC"/>
    <w:rsid w:val="009E139D"/>
    <w:rsid w:val="009E224D"/>
    <w:rsid w:val="009E26D5"/>
    <w:rsid w:val="009E2A07"/>
    <w:rsid w:val="009E306D"/>
    <w:rsid w:val="009E3398"/>
    <w:rsid w:val="009E3577"/>
    <w:rsid w:val="009E37A5"/>
    <w:rsid w:val="009E395B"/>
    <w:rsid w:val="009E3D2B"/>
    <w:rsid w:val="009E3E84"/>
    <w:rsid w:val="009E4097"/>
    <w:rsid w:val="009E4664"/>
    <w:rsid w:val="009E4D8E"/>
    <w:rsid w:val="009E4E90"/>
    <w:rsid w:val="009E4EB7"/>
    <w:rsid w:val="009E57C1"/>
    <w:rsid w:val="009E624A"/>
    <w:rsid w:val="009E6B32"/>
    <w:rsid w:val="009E7039"/>
    <w:rsid w:val="009E70F3"/>
    <w:rsid w:val="009E750E"/>
    <w:rsid w:val="009E75EE"/>
    <w:rsid w:val="009E7E98"/>
    <w:rsid w:val="009F00EE"/>
    <w:rsid w:val="009F0827"/>
    <w:rsid w:val="009F0BED"/>
    <w:rsid w:val="009F1673"/>
    <w:rsid w:val="009F3255"/>
    <w:rsid w:val="009F34AA"/>
    <w:rsid w:val="009F3DCE"/>
    <w:rsid w:val="009F4298"/>
    <w:rsid w:val="009F44FF"/>
    <w:rsid w:val="009F45E2"/>
    <w:rsid w:val="009F46E8"/>
    <w:rsid w:val="009F472D"/>
    <w:rsid w:val="009F4CF0"/>
    <w:rsid w:val="009F4E88"/>
    <w:rsid w:val="009F50D1"/>
    <w:rsid w:val="009F539C"/>
    <w:rsid w:val="009F573B"/>
    <w:rsid w:val="009F5918"/>
    <w:rsid w:val="009F596D"/>
    <w:rsid w:val="009F6A91"/>
    <w:rsid w:val="009F6AA9"/>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E0E"/>
    <w:rsid w:val="00A040D1"/>
    <w:rsid w:val="00A044B7"/>
    <w:rsid w:val="00A04A0A"/>
    <w:rsid w:val="00A04C8F"/>
    <w:rsid w:val="00A050A8"/>
    <w:rsid w:val="00A056A3"/>
    <w:rsid w:val="00A059AF"/>
    <w:rsid w:val="00A05B51"/>
    <w:rsid w:val="00A06286"/>
    <w:rsid w:val="00A06318"/>
    <w:rsid w:val="00A063BC"/>
    <w:rsid w:val="00A067D7"/>
    <w:rsid w:val="00A068E1"/>
    <w:rsid w:val="00A06A80"/>
    <w:rsid w:val="00A06D8A"/>
    <w:rsid w:val="00A070D0"/>
    <w:rsid w:val="00A0711F"/>
    <w:rsid w:val="00A07B0B"/>
    <w:rsid w:val="00A102A0"/>
    <w:rsid w:val="00A10860"/>
    <w:rsid w:val="00A114FA"/>
    <w:rsid w:val="00A11AF3"/>
    <w:rsid w:val="00A12ACF"/>
    <w:rsid w:val="00A12C09"/>
    <w:rsid w:val="00A13084"/>
    <w:rsid w:val="00A1327F"/>
    <w:rsid w:val="00A13817"/>
    <w:rsid w:val="00A138D3"/>
    <w:rsid w:val="00A13E0F"/>
    <w:rsid w:val="00A144B7"/>
    <w:rsid w:val="00A149B4"/>
    <w:rsid w:val="00A152D3"/>
    <w:rsid w:val="00A15F4F"/>
    <w:rsid w:val="00A15F5A"/>
    <w:rsid w:val="00A160AB"/>
    <w:rsid w:val="00A16745"/>
    <w:rsid w:val="00A16747"/>
    <w:rsid w:val="00A17E93"/>
    <w:rsid w:val="00A20013"/>
    <w:rsid w:val="00A200E6"/>
    <w:rsid w:val="00A2056F"/>
    <w:rsid w:val="00A20582"/>
    <w:rsid w:val="00A20C65"/>
    <w:rsid w:val="00A21767"/>
    <w:rsid w:val="00A21C49"/>
    <w:rsid w:val="00A21FD5"/>
    <w:rsid w:val="00A22751"/>
    <w:rsid w:val="00A22940"/>
    <w:rsid w:val="00A22C96"/>
    <w:rsid w:val="00A23102"/>
    <w:rsid w:val="00A233D8"/>
    <w:rsid w:val="00A2343F"/>
    <w:rsid w:val="00A23505"/>
    <w:rsid w:val="00A236AC"/>
    <w:rsid w:val="00A237D0"/>
    <w:rsid w:val="00A23A4D"/>
    <w:rsid w:val="00A2428B"/>
    <w:rsid w:val="00A247E5"/>
    <w:rsid w:val="00A248BD"/>
    <w:rsid w:val="00A24D81"/>
    <w:rsid w:val="00A24EA5"/>
    <w:rsid w:val="00A25173"/>
    <w:rsid w:val="00A252F0"/>
    <w:rsid w:val="00A259F2"/>
    <w:rsid w:val="00A263F6"/>
    <w:rsid w:val="00A26463"/>
    <w:rsid w:val="00A2660E"/>
    <w:rsid w:val="00A26916"/>
    <w:rsid w:val="00A26B47"/>
    <w:rsid w:val="00A26FF1"/>
    <w:rsid w:val="00A27547"/>
    <w:rsid w:val="00A27806"/>
    <w:rsid w:val="00A3068C"/>
    <w:rsid w:val="00A3127F"/>
    <w:rsid w:val="00A31922"/>
    <w:rsid w:val="00A31BCC"/>
    <w:rsid w:val="00A31C70"/>
    <w:rsid w:val="00A31C87"/>
    <w:rsid w:val="00A325BB"/>
    <w:rsid w:val="00A3297A"/>
    <w:rsid w:val="00A32A58"/>
    <w:rsid w:val="00A32C47"/>
    <w:rsid w:val="00A32EEC"/>
    <w:rsid w:val="00A336C5"/>
    <w:rsid w:val="00A339D9"/>
    <w:rsid w:val="00A33BD6"/>
    <w:rsid w:val="00A34457"/>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1DE9"/>
    <w:rsid w:val="00A4224E"/>
    <w:rsid w:val="00A4229F"/>
    <w:rsid w:val="00A428A9"/>
    <w:rsid w:val="00A42ACA"/>
    <w:rsid w:val="00A4327C"/>
    <w:rsid w:val="00A43AAB"/>
    <w:rsid w:val="00A43AFE"/>
    <w:rsid w:val="00A43C68"/>
    <w:rsid w:val="00A4404B"/>
    <w:rsid w:val="00A447E3"/>
    <w:rsid w:val="00A44AAD"/>
    <w:rsid w:val="00A44D3B"/>
    <w:rsid w:val="00A45241"/>
    <w:rsid w:val="00A45280"/>
    <w:rsid w:val="00A452B8"/>
    <w:rsid w:val="00A45BF7"/>
    <w:rsid w:val="00A463B5"/>
    <w:rsid w:val="00A463BA"/>
    <w:rsid w:val="00A46675"/>
    <w:rsid w:val="00A46A5F"/>
    <w:rsid w:val="00A46D58"/>
    <w:rsid w:val="00A471A3"/>
    <w:rsid w:val="00A47597"/>
    <w:rsid w:val="00A477AC"/>
    <w:rsid w:val="00A47E44"/>
    <w:rsid w:val="00A47F91"/>
    <w:rsid w:val="00A507D7"/>
    <w:rsid w:val="00A50A5C"/>
    <w:rsid w:val="00A50BE2"/>
    <w:rsid w:val="00A50CC6"/>
    <w:rsid w:val="00A50DF3"/>
    <w:rsid w:val="00A50E40"/>
    <w:rsid w:val="00A51462"/>
    <w:rsid w:val="00A51946"/>
    <w:rsid w:val="00A51FF7"/>
    <w:rsid w:val="00A52079"/>
    <w:rsid w:val="00A52143"/>
    <w:rsid w:val="00A521E9"/>
    <w:rsid w:val="00A5298E"/>
    <w:rsid w:val="00A52B3E"/>
    <w:rsid w:val="00A5313B"/>
    <w:rsid w:val="00A5320E"/>
    <w:rsid w:val="00A53F7B"/>
    <w:rsid w:val="00A54090"/>
    <w:rsid w:val="00A54282"/>
    <w:rsid w:val="00A546F1"/>
    <w:rsid w:val="00A549D3"/>
    <w:rsid w:val="00A54DF0"/>
    <w:rsid w:val="00A57E98"/>
    <w:rsid w:val="00A60017"/>
    <w:rsid w:val="00A60849"/>
    <w:rsid w:val="00A6105B"/>
    <w:rsid w:val="00A61355"/>
    <w:rsid w:val="00A61668"/>
    <w:rsid w:val="00A621D3"/>
    <w:rsid w:val="00A628F8"/>
    <w:rsid w:val="00A62B7A"/>
    <w:rsid w:val="00A62D09"/>
    <w:rsid w:val="00A631A1"/>
    <w:rsid w:val="00A632EA"/>
    <w:rsid w:val="00A6339D"/>
    <w:rsid w:val="00A634BE"/>
    <w:rsid w:val="00A6386B"/>
    <w:rsid w:val="00A63AD7"/>
    <w:rsid w:val="00A63BFD"/>
    <w:rsid w:val="00A6491F"/>
    <w:rsid w:val="00A64C72"/>
    <w:rsid w:val="00A64D1A"/>
    <w:rsid w:val="00A65320"/>
    <w:rsid w:val="00A65BA5"/>
    <w:rsid w:val="00A66354"/>
    <w:rsid w:val="00A66DC5"/>
    <w:rsid w:val="00A66E37"/>
    <w:rsid w:val="00A66ECF"/>
    <w:rsid w:val="00A67E38"/>
    <w:rsid w:val="00A703E4"/>
    <w:rsid w:val="00A704C9"/>
    <w:rsid w:val="00A70DC6"/>
    <w:rsid w:val="00A71080"/>
    <w:rsid w:val="00A71986"/>
    <w:rsid w:val="00A71E3D"/>
    <w:rsid w:val="00A71E73"/>
    <w:rsid w:val="00A72740"/>
    <w:rsid w:val="00A73A64"/>
    <w:rsid w:val="00A742AD"/>
    <w:rsid w:val="00A746D7"/>
    <w:rsid w:val="00A74AB2"/>
    <w:rsid w:val="00A75A27"/>
    <w:rsid w:val="00A75A46"/>
    <w:rsid w:val="00A75B36"/>
    <w:rsid w:val="00A7663A"/>
    <w:rsid w:val="00A76858"/>
    <w:rsid w:val="00A7696B"/>
    <w:rsid w:val="00A769D4"/>
    <w:rsid w:val="00A8008F"/>
    <w:rsid w:val="00A804C7"/>
    <w:rsid w:val="00A80625"/>
    <w:rsid w:val="00A80857"/>
    <w:rsid w:val="00A80A39"/>
    <w:rsid w:val="00A80D41"/>
    <w:rsid w:val="00A80DF0"/>
    <w:rsid w:val="00A80E64"/>
    <w:rsid w:val="00A81A16"/>
    <w:rsid w:val="00A823A7"/>
    <w:rsid w:val="00A824D4"/>
    <w:rsid w:val="00A825C8"/>
    <w:rsid w:val="00A82742"/>
    <w:rsid w:val="00A82A29"/>
    <w:rsid w:val="00A82AC0"/>
    <w:rsid w:val="00A83065"/>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20E1"/>
    <w:rsid w:val="00A92AFD"/>
    <w:rsid w:val="00A933AE"/>
    <w:rsid w:val="00A93863"/>
    <w:rsid w:val="00A93928"/>
    <w:rsid w:val="00A9415E"/>
    <w:rsid w:val="00A9423F"/>
    <w:rsid w:val="00A94EBA"/>
    <w:rsid w:val="00A94EBD"/>
    <w:rsid w:val="00A9510D"/>
    <w:rsid w:val="00A95580"/>
    <w:rsid w:val="00A956AC"/>
    <w:rsid w:val="00A95D2A"/>
    <w:rsid w:val="00A96214"/>
    <w:rsid w:val="00A967E8"/>
    <w:rsid w:val="00A97EDA"/>
    <w:rsid w:val="00A97F4B"/>
    <w:rsid w:val="00AA04C5"/>
    <w:rsid w:val="00AA10B1"/>
    <w:rsid w:val="00AA2803"/>
    <w:rsid w:val="00AA2AB3"/>
    <w:rsid w:val="00AA2BF2"/>
    <w:rsid w:val="00AA2D68"/>
    <w:rsid w:val="00AA2D6F"/>
    <w:rsid w:val="00AA3987"/>
    <w:rsid w:val="00AA3B68"/>
    <w:rsid w:val="00AA3E79"/>
    <w:rsid w:val="00AA42D3"/>
    <w:rsid w:val="00AA4FB4"/>
    <w:rsid w:val="00AA5C0B"/>
    <w:rsid w:val="00AA5E3B"/>
    <w:rsid w:val="00AA63AD"/>
    <w:rsid w:val="00AA65B4"/>
    <w:rsid w:val="00AA6A75"/>
    <w:rsid w:val="00AA745E"/>
    <w:rsid w:val="00AB04AB"/>
    <w:rsid w:val="00AB0733"/>
    <w:rsid w:val="00AB09D2"/>
    <w:rsid w:val="00AB0B64"/>
    <w:rsid w:val="00AB0C30"/>
    <w:rsid w:val="00AB176B"/>
    <w:rsid w:val="00AB37E6"/>
    <w:rsid w:val="00AB3DBA"/>
    <w:rsid w:val="00AB431C"/>
    <w:rsid w:val="00AB470E"/>
    <w:rsid w:val="00AB5467"/>
    <w:rsid w:val="00AB5A7E"/>
    <w:rsid w:val="00AB7538"/>
    <w:rsid w:val="00AB77F3"/>
    <w:rsid w:val="00AC0256"/>
    <w:rsid w:val="00AC0AAD"/>
    <w:rsid w:val="00AC1231"/>
    <w:rsid w:val="00AC1992"/>
    <w:rsid w:val="00AC1E14"/>
    <w:rsid w:val="00AC264E"/>
    <w:rsid w:val="00AC2B03"/>
    <w:rsid w:val="00AC2CFA"/>
    <w:rsid w:val="00AC3263"/>
    <w:rsid w:val="00AC337E"/>
    <w:rsid w:val="00AC3E12"/>
    <w:rsid w:val="00AC406E"/>
    <w:rsid w:val="00AC430C"/>
    <w:rsid w:val="00AC4951"/>
    <w:rsid w:val="00AC4A6B"/>
    <w:rsid w:val="00AC5C19"/>
    <w:rsid w:val="00AC60F0"/>
    <w:rsid w:val="00AC6657"/>
    <w:rsid w:val="00AC6705"/>
    <w:rsid w:val="00AC6D7A"/>
    <w:rsid w:val="00AC7363"/>
    <w:rsid w:val="00AC7401"/>
    <w:rsid w:val="00AC7901"/>
    <w:rsid w:val="00AC79F3"/>
    <w:rsid w:val="00AC7FDD"/>
    <w:rsid w:val="00AD0949"/>
    <w:rsid w:val="00AD0F1D"/>
    <w:rsid w:val="00AD1179"/>
    <w:rsid w:val="00AD1359"/>
    <w:rsid w:val="00AD19F0"/>
    <w:rsid w:val="00AD1FCE"/>
    <w:rsid w:val="00AD24D1"/>
    <w:rsid w:val="00AD26E1"/>
    <w:rsid w:val="00AD29CC"/>
    <w:rsid w:val="00AD3268"/>
    <w:rsid w:val="00AD3652"/>
    <w:rsid w:val="00AD3DE2"/>
    <w:rsid w:val="00AD4135"/>
    <w:rsid w:val="00AD4261"/>
    <w:rsid w:val="00AD4350"/>
    <w:rsid w:val="00AD46F5"/>
    <w:rsid w:val="00AD4CB1"/>
    <w:rsid w:val="00AD51A3"/>
    <w:rsid w:val="00AD598B"/>
    <w:rsid w:val="00AD7154"/>
    <w:rsid w:val="00AD797D"/>
    <w:rsid w:val="00AD7E02"/>
    <w:rsid w:val="00AE0034"/>
    <w:rsid w:val="00AE0483"/>
    <w:rsid w:val="00AE08DD"/>
    <w:rsid w:val="00AE13BD"/>
    <w:rsid w:val="00AE156F"/>
    <w:rsid w:val="00AE1ABF"/>
    <w:rsid w:val="00AE1AF9"/>
    <w:rsid w:val="00AE1E60"/>
    <w:rsid w:val="00AE2068"/>
    <w:rsid w:val="00AE2258"/>
    <w:rsid w:val="00AE277E"/>
    <w:rsid w:val="00AE2A36"/>
    <w:rsid w:val="00AE2BC6"/>
    <w:rsid w:val="00AE3251"/>
    <w:rsid w:val="00AE33B2"/>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24E7"/>
    <w:rsid w:val="00AF272B"/>
    <w:rsid w:val="00AF291B"/>
    <w:rsid w:val="00AF2DAA"/>
    <w:rsid w:val="00AF2EBD"/>
    <w:rsid w:val="00AF33AE"/>
    <w:rsid w:val="00AF3CDC"/>
    <w:rsid w:val="00AF44B1"/>
    <w:rsid w:val="00AF5800"/>
    <w:rsid w:val="00AF6986"/>
    <w:rsid w:val="00AF69FE"/>
    <w:rsid w:val="00AF6A77"/>
    <w:rsid w:val="00AF6D1B"/>
    <w:rsid w:val="00AF73ED"/>
    <w:rsid w:val="00AF7B5B"/>
    <w:rsid w:val="00AF7D69"/>
    <w:rsid w:val="00AF7ED2"/>
    <w:rsid w:val="00B004D8"/>
    <w:rsid w:val="00B00830"/>
    <w:rsid w:val="00B00CC5"/>
    <w:rsid w:val="00B016D2"/>
    <w:rsid w:val="00B02091"/>
    <w:rsid w:val="00B02B43"/>
    <w:rsid w:val="00B02B98"/>
    <w:rsid w:val="00B03D36"/>
    <w:rsid w:val="00B04540"/>
    <w:rsid w:val="00B046F1"/>
    <w:rsid w:val="00B05116"/>
    <w:rsid w:val="00B051A7"/>
    <w:rsid w:val="00B05F1A"/>
    <w:rsid w:val="00B07B33"/>
    <w:rsid w:val="00B07FA2"/>
    <w:rsid w:val="00B100CF"/>
    <w:rsid w:val="00B1074F"/>
    <w:rsid w:val="00B10E82"/>
    <w:rsid w:val="00B111A6"/>
    <w:rsid w:val="00B115E5"/>
    <w:rsid w:val="00B118EE"/>
    <w:rsid w:val="00B11B03"/>
    <w:rsid w:val="00B11B79"/>
    <w:rsid w:val="00B11C5B"/>
    <w:rsid w:val="00B121CD"/>
    <w:rsid w:val="00B12343"/>
    <w:rsid w:val="00B12529"/>
    <w:rsid w:val="00B128C5"/>
    <w:rsid w:val="00B12B11"/>
    <w:rsid w:val="00B12C94"/>
    <w:rsid w:val="00B12D5B"/>
    <w:rsid w:val="00B135AB"/>
    <w:rsid w:val="00B135D7"/>
    <w:rsid w:val="00B13797"/>
    <w:rsid w:val="00B137BF"/>
    <w:rsid w:val="00B13A1B"/>
    <w:rsid w:val="00B13A76"/>
    <w:rsid w:val="00B13AAB"/>
    <w:rsid w:val="00B142D9"/>
    <w:rsid w:val="00B14BC4"/>
    <w:rsid w:val="00B158A3"/>
    <w:rsid w:val="00B15B25"/>
    <w:rsid w:val="00B15C36"/>
    <w:rsid w:val="00B15EA0"/>
    <w:rsid w:val="00B16069"/>
    <w:rsid w:val="00B17A4E"/>
    <w:rsid w:val="00B17B30"/>
    <w:rsid w:val="00B17C2F"/>
    <w:rsid w:val="00B2153E"/>
    <w:rsid w:val="00B21F72"/>
    <w:rsid w:val="00B21FA7"/>
    <w:rsid w:val="00B22022"/>
    <w:rsid w:val="00B225E4"/>
    <w:rsid w:val="00B231C5"/>
    <w:rsid w:val="00B23F7A"/>
    <w:rsid w:val="00B240B1"/>
    <w:rsid w:val="00B24208"/>
    <w:rsid w:val="00B24374"/>
    <w:rsid w:val="00B24728"/>
    <w:rsid w:val="00B248A9"/>
    <w:rsid w:val="00B2490A"/>
    <w:rsid w:val="00B24BE3"/>
    <w:rsid w:val="00B24D28"/>
    <w:rsid w:val="00B24F1C"/>
    <w:rsid w:val="00B25D76"/>
    <w:rsid w:val="00B268BC"/>
    <w:rsid w:val="00B27032"/>
    <w:rsid w:val="00B27085"/>
    <w:rsid w:val="00B30003"/>
    <w:rsid w:val="00B3015C"/>
    <w:rsid w:val="00B30AD9"/>
    <w:rsid w:val="00B31201"/>
    <w:rsid w:val="00B316B6"/>
    <w:rsid w:val="00B31B4B"/>
    <w:rsid w:val="00B31E36"/>
    <w:rsid w:val="00B32E26"/>
    <w:rsid w:val="00B338B7"/>
    <w:rsid w:val="00B34061"/>
    <w:rsid w:val="00B34376"/>
    <w:rsid w:val="00B3440A"/>
    <w:rsid w:val="00B34441"/>
    <w:rsid w:val="00B35533"/>
    <w:rsid w:val="00B35534"/>
    <w:rsid w:val="00B35A87"/>
    <w:rsid w:val="00B35AFD"/>
    <w:rsid w:val="00B35F9A"/>
    <w:rsid w:val="00B3609C"/>
    <w:rsid w:val="00B36236"/>
    <w:rsid w:val="00B3662E"/>
    <w:rsid w:val="00B366D2"/>
    <w:rsid w:val="00B366FA"/>
    <w:rsid w:val="00B36E86"/>
    <w:rsid w:val="00B379BA"/>
    <w:rsid w:val="00B412FD"/>
    <w:rsid w:val="00B422BE"/>
    <w:rsid w:val="00B4241D"/>
    <w:rsid w:val="00B426BB"/>
    <w:rsid w:val="00B42EB9"/>
    <w:rsid w:val="00B436F0"/>
    <w:rsid w:val="00B441FE"/>
    <w:rsid w:val="00B44821"/>
    <w:rsid w:val="00B44AD3"/>
    <w:rsid w:val="00B450EB"/>
    <w:rsid w:val="00B45152"/>
    <w:rsid w:val="00B45E54"/>
    <w:rsid w:val="00B464E4"/>
    <w:rsid w:val="00B4689A"/>
    <w:rsid w:val="00B46D5F"/>
    <w:rsid w:val="00B46E7B"/>
    <w:rsid w:val="00B47DC5"/>
    <w:rsid w:val="00B505B3"/>
    <w:rsid w:val="00B50882"/>
    <w:rsid w:val="00B50A74"/>
    <w:rsid w:val="00B520A0"/>
    <w:rsid w:val="00B5257E"/>
    <w:rsid w:val="00B525CE"/>
    <w:rsid w:val="00B52CFD"/>
    <w:rsid w:val="00B52EED"/>
    <w:rsid w:val="00B53103"/>
    <w:rsid w:val="00B545A8"/>
    <w:rsid w:val="00B55F22"/>
    <w:rsid w:val="00B56527"/>
    <w:rsid w:val="00B57019"/>
    <w:rsid w:val="00B576DA"/>
    <w:rsid w:val="00B57710"/>
    <w:rsid w:val="00B601C9"/>
    <w:rsid w:val="00B60D04"/>
    <w:rsid w:val="00B60E77"/>
    <w:rsid w:val="00B6158F"/>
    <w:rsid w:val="00B61EE8"/>
    <w:rsid w:val="00B633A3"/>
    <w:rsid w:val="00B63533"/>
    <w:rsid w:val="00B63BDB"/>
    <w:rsid w:val="00B64A0E"/>
    <w:rsid w:val="00B64DDF"/>
    <w:rsid w:val="00B65253"/>
    <w:rsid w:val="00B6601E"/>
    <w:rsid w:val="00B663AA"/>
    <w:rsid w:val="00B66DD5"/>
    <w:rsid w:val="00B67722"/>
    <w:rsid w:val="00B67B97"/>
    <w:rsid w:val="00B67F01"/>
    <w:rsid w:val="00B70329"/>
    <w:rsid w:val="00B70764"/>
    <w:rsid w:val="00B711AB"/>
    <w:rsid w:val="00B714F0"/>
    <w:rsid w:val="00B71A40"/>
    <w:rsid w:val="00B71C8C"/>
    <w:rsid w:val="00B71CB4"/>
    <w:rsid w:val="00B71FD7"/>
    <w:rsid w:val="00B72244"/>
    <w:rsid w:val="00B7243D"/>
    <w:rsid w:val="00B725E7"/>
    <w:rsid w:val="00B72C07"/>
    <w:rsid w:val="00B72DF7"/>
    <w:rsid w:val="00B72F42"/>
    <w:rsid w:val="00B733FB"/>
    <w:rsid w:val="00B73E44"/>
    <w:rsid w:val="00B74290"/>
    <w:rsid w:val="00B74510"/>
    <w:rsid w:val="00B74BD4"/>
    <w:rsid w:val="00B74BF7"/>
    <w:rsid w:val="00B74E93"/>
    <w:rsid w:val="00B76185"/>
    <w:rsid w:val="00B76BCD"/>
    <w:rsid w:val="00B7786D"/>
    <w:rsid w:val="00B779E6"/>
    <w:rsid w:val="00B804E2"/>
    <w:rsid w:val="00B811B2"/>
    <w:rsid w:val="00B81BA3"/>
    <w:rsid w:val="00B82213"/>
    <w:rsid w:val="00B8276E"/>
    <w:rsid w:val="00B83A62"/>
    <w:rsid w:val="00B83B59"/>
    <w:rsid w:val="00B84252"/>
    <w:rsid w:val="00B8468F"/>
    <w:rsid w:val="00B849F1"/>
    <w:rsid w:val="00B84FC6"/>
    <w:rsid w:val="00B857F5"/>
    <w:rsid w:val="00B869EB"/>
    <w:rsid w:val="00B86D6C"/>
    <w:rsid w:val="00B86EB5"/>
    <w:rsid w:val="00B86F47"/>
    <w:rsid w:val="00B874B4"/>
    <w:rsid w:val="00B876C1"/>
    <w:rsid w:val="00B8787A"/>
    <w:rsid w:val="00B87887"/>
    <w:rsid w:val="00B90123"/>
    <w:rsid w:val="00B90196"/>
    <w:rsid w:val="00B911C1"/>
    <w:rsid w:val="00B91374"/>
    <w:rsid w:val="00B922C3"/>
    <w:rsid w:val="00B9272A"/>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60A"/>
    <w:rsid w:val="00BA370A"/>
    <w:rsid w:val="00BA48BC"/>
    <w:rsid w:val="00BA4A29"/>
    <w:rsid w:val="00BA4BE7"/>
    <w:rsid w:val="00BA5F20"/>
    <w:rsid w:val="00BA5F44"/>
    <w:rsid w:val="00BA68D9"/>
    <w:rsid w:val="00BA6FD8"/>
    <w:rsid w:val="00BA7172"/>
    <w:rsid w:val="00BA72CF"/>
    <w:rsid w:val="00BA7B01"/>
    <w:rsid w:val="00BB02D7"/>
    <w:rsid w:val="00BB0D9F"/>
    <w:rsid w:val="00BB0DEE"/>
    <w:rsid w:val="00BB0F93"/>
    <w:rsid w:val="00BB1031"/>
    <w:rsid w:val="00BB1B33"/>
    <w:rsid w:val="00BB2480"/>
    <w:rsid w:val="00BB27FD"/>
    <w:rsid w:val="00BB28E3"/>
    <w:rsid w:val="00BB29B3"/>
    <w:rsid w:val="00BB2C4E"/>
    <w:rsid w:val="00BB2E29"/>
    <w:rsid w:val="00BB2F74"/>
    <w:rsid w:val="00BB3206"/>
    <w:rsid w:val="00BB32C2"/>
    <w:rsid w:val="00BB3B0D"/>
    <w:rsid w:val="00BB4369"/>
    <w:rsid w:val="00BB524C"/>
    <w:rsid w:val="00BB59A6"/>
    <w:rsid w:val="00BB5DAB"/>
    <w:rsid w:val="00BB6195"/>
    <w:rsid w:val="00BB61A3"/>
    <w:rsid w:val="00BB67EA"/>
    <w:rsid w:val="00BB707E"/>
    <w:rsid w:val="00BB7568"/>
    <w:rsid w:val="00BC007C"/>
    <w:rsid w:val="00BC0157"/>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DB"/>
    <w:rsid w:val="00BC69A2"/>
    <w:rsid w:val="00BC6ED6"/>
    <w:rsid w:val="00BC6F03"/>
    <w:rsid w:val="00BC6FA1"/>
    <w:rsid w:val="00BC70CE"/>
    <w:rsid w:val="00BC7487"/>
    <w:rsid w:val="00BD0570"/>
    <w:rsid w:val="00BD0853"/>
    <w:rsid w:val="00BD112D"/>
    <w:rsid w:val="00BD191F"/>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5984"/>
    <w:rsid w:val="00BD6D43"/>
    <w:rsid w:val="00BD7090"/>
    <w:rsid w:val="00BD7490"/>
    <w:rsid w:val="00BD767F"/>
    <w:rsid w:val="00BD7DA0"/>
    <w:rsid w:val="00BE096B"/>
    <w:rsid w:val="00BE09C3"/>
    <w:rsid w:val="00BE0C27"/>
    <w:rsid w:val="00BE15BB"/>
    <w:rsid w:val="00BE198F"/>
    <w:rsid w:val="00BE1CC9"/>
    <w:rsid w:val="00BE4CCF"/>
    <w:rsid w:val="00BE5964"/>
    <w:rsid w:val="00BE660B"/>
    <w:rsid w:val="00BE6AFE"/>
    <w:rsid w:val="00BE6BBE"/>
    <w:rsid w:val="00BE7021"/>
    <w:rsid w:val="00BE7300"/>
    <w:rsid w:val="00BE76F7"/>
    <w:rsid w:val="00BE784F"/>
    <w:rsid w:val="00BE79C6"/>
    <w:rsid w:val="00BF0238"/>
    <w:rsid w:val="00BF0717"/>
    <w:rsid w:val="00BF1750"/>
    <w:rsid w:val="00BF178E"/>
    <w:rsid w:val="00BF189F"/>
    <w:rsid w:val="00BF18F2"/>
    <w:rsid w:val="00BF1B44"/>
    <w:rsid w:val="00BF1F01"/>
    <w:rsid w:val="00BF1FC2"/>
    <w:rsid w:val="00BF23CC"/>
    <w:rsid w:val="00BF243F"/>
    <w:rsid w:val="00BF2708"/>
    <w:rsid w:val="00BF4C2B"/>
    <w:rsid w:val="00BF507A"/>
    <w:rsid w:val="00BF53F1"/>
    <w:rsid w:val="00BF5717"/>
    <w:rsid w:val="00BF585E"/>
    <w:rsid w:val="00BF5B9D"/>
    <w:rsid w:val="00BF5C45"/>
    <w:rsid w:val="00BF5FA3"/>
    <w:rsid w:val="00BF62F2"/>
    <w:rsid w:val="00BF63A5"/>
    <w:rsid w:val="00BF72A7"/>
    <w:rsid w:val="00BF7558"/>
    <w:rsid w:val="00BF7D69"/>
    <w:rsid w:val="00BF7DD2"/>
    <w:rsid w:val="00C0111E"/>
    <w:rsid w:val="00C02676"/>
    <w:rsid w:val="00C029AB"/>
    <w:rsid w:val="00C02D74"/>
    <w:rsid w:val="00C03BD5"/>
    <w:rsid w:val="00C03C8B"/>
    <w:rsid w:val="00C03F3C"/>
    <w:rsid w:val="00C0425C"/>
    <w:rsid w:val="00C049BE"/>
    <w:rsid w:val="00C04A71"/>
    <w:rsid w:val="00C04DF0"/>
    <w:rsid w:val="00C050BB"/>
    <w:rsid w:val="00C05A4C"/>
    <w:rsid w:val="00C05A67"/>
    <w:rsid w:val="00C0641F"/>
    <w:rsid w:val="00C06E6F"/>
    <w:rsid w:val="00C07371"/>
    <w:rsid w:val="00C075DB"/>
    <w:rsid w:val="00C07EBA"/>
    <w:rsid w:val="00C07FBC"/>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477A"/>
    <w:rsid w:val="00C14A62"/>
    <w:rsid w:val="00C158EB"/>
    <w:rsid w:val="00C159B1"/>
    <w:rsid w:val="00C15D51"/>
    <w:rsid w:val="00C161F5"/>
    <w:rsid w:val="00C16BE6"/>
    <w:rsid w:val="00C16C92"/>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3843"/>
    <w:rsid w:val="00C23A4C"/>
    <w:rsid w:val="00C2419D"/>
    <w:rsid w:val="00C243A4"/>
    <w:rsid w:val="00C24416"/>
    <w:rsid w:val="00C248DB"/>
    <w:rsid w:val="00C26170"/>
    <w:rsid w:val="00C26B5A"/>
    <w:rsid w:val="00C26D52"/>
    <w:rsid w:val="00C303E4"/>
    <w:rsid w:val="00C30775"/>
    <w:rsid w:val="00C30B8D"/>
    <w:rsid w:val="00C3134E"/>
    <w:rsid w:val="00C315D8"/>
    <w:rsid w:val="00C31C4A"/>
    <w:rsid w:val="00C31D2D"/>
    <w:rsid w:val="00C3209A"/>
    <w:rsid w:val="00C32639"/>
    <w:rsid w:val="00C32808"/>
    <w:rsid w:val="00C32AD2"/>
    <w:rsid w:val="00C33114"/>
    <w:rsid w:val="00C34193"/>
    <w:rsid w:val="00C347FD"/>
    <w:rsid w:val="00C34DAE"/>
    <w:rsid w:val="00C34E1E"/>
    <w:rsid w:val="00C34E5A"/>
    <w:rsid w:val="00C353D2"/>
    <w:rsid w:val="00C35D9C"/>
    <w:rsid w:val="00C36219"/>
    <w:rsid w:val="00C3698E"/>
    <w:rsid w:val="00C36CCA"/>
    <w:rsid w:val="00C36E1C"/>
    <w:rsid w:val="00C36F42"/>
    <w:rsid w:val="00C3718A"/>
    <w:rsid w:val="00C3728D"/>
    <w:rsid w:val="00C379C5"/>
    <w:rsid w:val="00C37EEE"/>
    <w:rsid w:val="00C40453"/>
    <w:rsid w:val="00C40E71"/>
    <w:rsid w:val="00C40FBC"/>
    <w:rsid w:val="00C41879"/>
    <w:rsid w:val="00C41A7C"/>
    <w:rsid w:val="00C42CEF"/>
    <w:rsid w:val="00C42D55"/>
    <w:rsid w:val="00C43080"/>
    <w:rsid w:val="00C432D4"/>
    <w:rsid w:val="00C4370E"/>
    <w:rsid w:val="00C43823"/>
    <w:rsid w:val="00C4384B"/>
    <w:rsid w:val="00C4393C"/>
    <w:rsid w:val="00C43F2D"/>
    <w:rsid w:val="00C44068"/>
    <w:rsid w:val="00C442AE"/>
    <w:rsid w:val="00C44DCD"/>
    <w:rsid w:val="00C4518B"/>
    <w:rsid w:val="00C45780"/>
    <w:rsid w:val="00C458D6"/>
    <w:rsid w:val="00C45919"/>
    <w:rsid w:val="00C4655A"/>
    <w:rsid w:val="00C466BF"/>
    <w:rsid w:val="00C47385"/>
    <w:rsid w:val="00C47555"/>
    <w:rsid w:val="00C476AC"/>
    <w:rsid w:val="00C47E67"/>
    <w:rsid w:val="00C47FD9"/>
    <w:rsid w:val="00C50C1A"/>
    <w:rsid w:val="00C50E1E"/>
    <w:rsid w:val="00C51508"/>
    <w:rsid w:val="00C51D73"/>
    <w:rsid w:val="00C52A05"/>
    <w:rsid w:val="00C52E97"/>
    <w:rsid w:val="00C52EAF"/>
    <w:rsid w:val="00C53189"/>
    <w:rsid w:val="00C534E5"/>
    <w:rsid w:val="00C534F4"/>
    <w:rsid w:val="00C5375B"/>
    <w:rsid w:val="00C53B15"/>
    <w:rsid w:val="00C53DA9"/>
    <w:rsid w:val="00C53EF7"/>
    <w:rsid w:val="00C54280"/>
    <w:rsid w:val="00C542B8"/>
    <w:rsid w:val="00C54616"/>
    <w:rsid w:val="00C54929"/>
    <w:rsid w:val="00C550B6"/>
    <w:rsid w:val="00C55373"/>
    <w:rsid w:val="00C556B1"/>
    <w:rsid w:val="00C55A05"/>
    <w:rsid w:val="00C56101"/>
    <w:rsid w:val="00C565F2"/>
    <w:rsid w:val="00C567E3"/>
    <w:rsid w:val="00C56C45"/>
    <w:rsid w:val="00C573CC"/>
    <w:rsid w:val="00C57B81"/>
    <w:rsid w:val="00C57FB9"/>
    <w:rsid w:val="00C6077B"/>
    <w:rsid w:val="00C60950"/>
    <w:rsid w:val="00C60C79"/>
    <w:rsid w:val="00C60DD1"/>
    <w:rsid w:val="00C61565"/>
    <w:rsid w:val="00C61574"/>
    <w:rsid w:val="00C615B4"/>
    <w:rsid w:val="00C61AC6"/>
    <w:rsid w:val="00C61ACF"/>
    <w:rsid w:val="00C620E7"/>
    <w:rsid w:val="00C6211D"/>
    <w:rsid w:val="00C62537"/>
    <w:rsid w:val="00C62B32"/>
    <w:rsid w:val="00C63DED"/>
    <w:rsid w:val="00C63E88"/>
    <w:rsid w:val="00C6436D"/>
    <w:rsid w:val="00C64F97"/>
    <w:rsid w:val="00C65585"/>
    <w:rsid w:val="00C656EB"/>
    <w:rsid w:val="00C65DF4"/>
    <w:rsid w:val="00C661C6"/>
    <w:rsid w:val="00C676DD"/>
    <w:rsid w:val="00C67B49"/>
    <w:rsid w:val="00C711F5"/>
    <w:rsid w:val="00C71326"/>
    <w:rsid w:val="00C713A1"/>
    <w:rsid w:val="00C71828"/>
    <w:rsid w:val="00C72105"/>
    <w:rsid w:val="00C72733"/>
    <w:rsid w:val="00C74520"/>
    <w:rsid w:val="00C74954"/>
    <w:rsid w:val="00C76028"/>
    <w:rsid w:val="00C76184"/>
    <w:rsid w:val="00C76462"/>
    <w:rsid w:val="00C7673D"/>
    <w:rsid w:val="00C76A80"/>
    <w:rsid w:val="00C76C27"/>
    <w:rsid w:val="00C76F07"/>
    <w:rsid w:val="00C77960"/>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9E0"/>
    <w:rsid w:val="00C84B74"/>
    <w:rsid w:val="00C8512A"/>
    <w:rsid w:val="00C85378"/>
    <w:rsid w:val="00C85970"/>
    <w:rsid w:val="00C85E9B"/>
    <w:rsid w:val="00C874C8"/>
    <w:rsid w:val="00C87E30"/>
    <w:rsid w:val="00C90165"/>
    <w:rsid w:val="00C902DA"/>
    <w:rsid w:val="00C90733"/>
    <w:rsid w:val="00C921C4"/>
    <w:rsid w:val="00C9235F"/>
    <w:rsid w:val="00C9257F"/>
    <w:rsid w:val="00C9319C"/>
    <w:rsid w:val="00C934F6"/>
    <w:rsid w:val="00C93874"/>
    <w:rsid w:val="00C93A4C"/>
    <w:rsid w:val="00C944EB"/>
    <w:rsid w:val="00C94FD2"/>
    <w:rsid w:val="00C95341"/>
    <w:rsid w:val="00C95B76"/>
    <w:rsid w:val="00C964C3"/>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6C3"/>
    <w:rsid w:val="00CA6CAD"/>
    <w:rsid w:val="00CA70A8"/>
    <w:rsid w:val="00CA70D0"/>
    <w:rsid w:val="00CA74A4"/>
    <w:rsid w:val="00CA7683"/>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3A45"/>
    <w:rsid w:val="00CB4728"/>
    <w:rsid w:val="00CB59E7"/>
    <w:rsid w:val="00CB5D27"/>
    <w:rsid w:val="00CB5E4A"/>
    <w:rsid w:val="00CB6FCA"/>
    <w:rsid w:val="00CB724D"/>
    <w:rsid w:val="00CB73EA"/>
    <w:rsid w:val="00CB76E3"/>
    <w:rsid w:val="00CB7D4E"/>
    <w:rsid w:val="00CB7F1F"/>
    <w:rsid w:val="00CC002B"/>
    <w:rsid w:val="00CC07E5"/>
    <w:rsid w:val="00CC09F0"/>
    <w:rsid w:val="00CC0AB5"/>
    <w:rsid w:val="00CC0C11"/>
    <w:rsid w:val="00CC13A5"/>
    <w:rsid w:val="00CC1F52"/>
    <w:rsid w:val="00CC233F"/>
    <w:rsid w:val="00CC27FD"/>
    <w:rsid w:val="00CC29A4"/>
    <w:rsid w:val="00CC31E8"/>
    <w:rsid w:val="00CC3AB9"/>
    <w:rsid w:val="00CC3C9E"/>
    <w:rsid w:val="00CC45E0"/>
    <w:rsid w:val="00CC488F"/>
    <w:rsid w:val="00CC4BBE"/>
    <w:rsid w:val="00CC4BC3"/>
    <w:rsid w:val="00CC50C7"/>
    <w:rsid w:val="00CC55AC"/>
    <w:rsid w:val="00CC5859"/>
    <w:rsid w:val="00CC6D1C"/>
    <w:rsid w:val="00CC71DD"/>
    <w:rsid w:val="00CC71F3"/>
    <w:rsid w:val="00CC72C0"/>
    <w:rsid w:val="00CC757D"/>
    <w:rsid w:val="00CC7C74"/>
    <w:rsid w:val="00CD00DB"/>
    <w:rsid w:val="00CD0119"/>
    <w:rsid w:val="00CD07FD"/>
    <w:rsid w:val="00CD0866"/>
    <w:rsid w:val="00CD087B"/>
    <w:rsid w:val="00CD1169"/>
    <w:rsid w:val="00CD15F1"/>
    <w:rsid w:val="00CD16C7"/>
    <w:rsid w:val="00CD1A40"/>
    <w:rsid w:val="00CD1B33"/>
    <w:rsid w:val="00CD1C47"/>
    <w:rsid w:val="00CD22C2"/>
    <w:rsid w:val="00CD25F3"/>
    <w:rsid w:val="00CD27FF"/>
    <w:rsid w:val="00CD2875"/>
    <w:rsid w:val="00CD2DF3"/>
    <w:rsid w:val="00CD305C"/>
    <w:rsid w:val="00CD3A6D"/>
    <w:rsid w:val="00CD3E5A"/>
    <w:rsid w:val="00CD3E63"/>
    <w:rsid w:val="00CD40A3"/>
    <w:rsid w:val="00CD4514"/>
    <w:rsid w:val="00CD4CD3"/>
    <w:rsid w:val="00CD5249"/>
    <w:rsid w:val="00CD589F"/>
    <w:rsid w:val="00CD60C9"/>
    <w:rsid w:val="00CD6345"/>
    <w:rsid w:val="00CD6BBB"/>
    <w:rsid w:val="00CD6EC2"/>
    <w:rsid w:val="00CD7319"/>
    <w:rsid w:val="00CD7482"/>
    <w:rsid w:val="00CE07C1"/>
    <w:rsid w:val="00CE1567"/>
    <w:rsid w:val="00CE1859"/>
    <w:rsid w:val="00CE186F"/>
    <w:rsid w:val="00CE20E3"/>
    <w:rsid w:val="00CE273A"/>
    <w:rsid w:val="00CE321C"/>
    <w:rsid w:val="00CE32E8"/>
    <w:rsid w:val="00CE353C"/>
    <w:rsid w:val="00CE3700"/>
    <w:rsid w:val="00CE3B69"/>
    <w:rsid w:val="00CE4559"/>
    <w:rsid w:val="00CE5118"/>
    <w:rsid w:val="00CE5487"/>
    <w:rsid w:val="00CE59B5"/>
    <w:rsid w:val="00CE59DB"/>
    <w:rsid w:val="00CE5B6A"/>
    <w:rsid w:val="00CE5D3A"/>
    <w:rsid w:val="00CE67D8"/>
    <w:rsid w:val="00CE68EA"/>
    <w:rsid w:val="00CE7381"/>
    <w:rsid w:val="00CE7447"/>
    <w:rsid w:val="00CE74CE"/>
    <w:rsid w:val="00CF03D9"/>
    <w:rsid w:val="00CF0829"/>
    <w:rsid w:val="00CF0E74"/>
    <w:rsid w:val="00CF1833"/>
    <w:rsid w:val="00CF1AEA"/>
    <w:rsid w:val="00CF2091"/>
    <w:rsid w:val="00CF21F6"/>
    <w:rsid w:val="00CF2278"/>
    <w:rsid w:val="00CF2C62"/>
    <w:rsid w:val="00CF2F66"/>
    <w:rsid w:val="00CF337B"/>
    <w:rsid w:val="00CF3FE7"/>
    <w:rsid w:val="00CF4416"/>
    <w:rsid w:val="00CF5762"/>
    <w:rsid w:val="00CF6122"/>
    <w:rsid w:val="00CF65B4"/>
    <w:rsid w:val="00CF69B0"/>
    <w:rsid w:val="00CF6C05"/>
    <w:rsid w:val="00CF7485"/>
    <w:rsid w:val="00CF7E56"/>
    <w:rsid w:val="00D01502"/>
    <w:rsid w:val="00D01744"/>
    <w:rsid w:val="00D01C03"/>
    <w:rsid w:val="00D025CE"/>
    <w:rsid w:val="00D0296F"/>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2A6"/>
    <w:rsid w:val="00D06861"/>
    <w:rsid w:val="00D0688A"/>
    <w:rsid w:val="00D06C95"/>
    <w:rsid w:val="00D06F22"/>
    <w:rsid w:val="00D07A4E"/>
    <w:rsid w:val="00D07A9C"/>
    <w:rsid w:val="00D10076"/>
    <w:rsid w:val="00D1033B"/>
    <w:rsid w:val="00D10360"/>
    <w:rsid w:val="00D10477"/>
    <w:rsid w:val="00D107E2"/>
    <w:rsid w:val="00D11D76"/>
    <w:rsid w:val="00D121F5"/>
    <w:rsid w:val="00D126E4"/>
    <w:rsid w:val="00D131BF"/>
    <w:rsid w:val="00D13A90"/>
    <w:rsid w:val="00D140E6"/>
    <w:rsid w:val="00D158EF"/>
    <w:rsid w:val="00D15C14"/>
    <w:rsid w:val="00D15E74"/>
    <w:rsid w:val="00D15FAA"/>
    <w:rsid w:val="00D16ECB"/>
    <w:rsid w:val="00D16EEE"/>
    <w:rsid w:val="00D17167"/>
    <w:rsid w:val="00D17BA5"/>
    <w:rsid w:val="00D2058D"/>
    <w:rsid w:val="00D206A3"/>
    <w:rsid w:val="00D2176E"/>
    <w:rsid w:val="00D2182A"/>
    <w:rsid w:val="00D2193D"/>
    <w:rsid w:val="00D21BCD"/>
    <w:rsid w:val="00D22105"/>
    <w:rsid w:val="00D2211C"/>
    <w:rsid w:val="00D224D2"/>
    <w:rsid w:val="00D22B55"/>
    <w:rsid w:val="00D22C81"/>
    <w:rsid w:val="00D23055"/>
    <w:rsid w:val="00D230AD"/>
    <w:rsid w:val="00D2320E"/>
    <w:rsid w:val="00D2327A"/>
    <w:rsid w:val="00D251AB"/>
    <w:rsid w:val="00D25240"/>
    <w:rsid w:val="00D25AC6"/>
    <w:rsid w:val="00D261D3"/>
    <w:rsid w:val="00D319DF"/>
    <w:rsid w:val="00D31C02"/>
    <w:rsid w:val="00D3225E"/>
    <w:rsid w:val="00D324BC"/>
    <w:rsid w:val="00D32B9F"/>
    <w:rsid w:val="00D33565"/>
    <w:rsid w:val="00D33761"/>
    <w:rsid w:val="00D33762"/>
    <w:rsid w:val="00D341C7"/>
    <w:rsid w:val="00D344B7"/>
    <w:rsid w:val="00D34BD1"/>
    <w:rsid w:val="00D35177"/>
    <w:rsid w:val="00D356CB"/>
    <w:rsid w:val="00D356E1"/>
    <w:rsid w:val="00D36522"/>
    <w:rsid w:val="00D37F08"/>
    <w:rsid w:val="00D40340"/>
    <w:rsid w:val="00D40609"/>
    <w:rsid w:val="00D40983"/>
    <w:rsid w:val="00D41188"/>
    <w:rsid w:val="00D417D3"/>
    <w:rsid w:val="00D418D5"/>
    <w:rsid w:val="00D41DB1"/>
    <w:rsid w:val="00D4249C"/>
    <w:rsid w:val="00D4276D"/>
    <w:rsid w:val="00D42798"/>
    <w:rsid w:val="00D42970"/>
    <w:rsid w:val="00D43AED"/>
    <w:rsid w:val="00D44916"/>
    <w:rsid w:val="00D45AE4"/>
    <w:rsid w:val="00D45CA4"/>
    <w:rsid w:val="00D45EA7"/>
    <w:rsid w:val="00D45F22"/>
    <w:rsid w:val="00D47178"/>
    <w:rsid w:val="00D4752E"/>
    <w:rsid w:val="00D47842"/>
    <w:rsid w:val="00D47BEF"/>
    <w:rsid w:val="00D50826"/>
    <w:rsid w:val="00D50C9B"/>
    <w:rsid w:val="00D51675"/>
    <w:rsid w:val="00D51F73"/>
    <w:rsid w:val="00D52827"/>
    <w:rsid w:val="00D529BE"/>
    <w:rsid w:val="00D52CF6"/>
    <w:rsid w:val="00D53D3E"/>
    <w:rsid w:val="00D547E0"/>
    <w:rsid w:val="00D54992"/>
    <w:rsid w:val="00D55291"/>
    <w:rsid w:val="00D55C48"/>
    <w:rsid w:val="00D55E47"/>
    <w:rsid w:val="00D56392"/>
    <w:rsid w:val="00D56997"/>
    <w:rsid w:val="00D570E6"/>
    <w:rsid w:val="00D5730F"/>
    <w:rsid w:val="00D5774F"/>
    <w:rsid w:val="00D6059E"/>
    <w:rsid w:val="00D60809"/>
    <w:rsid w:val="00D60D7F"/>
    <w:rsid w:val="00D61C9C"/>
    <w:rsid w:val="00D62111"/>
    <w:rsid w:val="00D62229"/>
    <w:rsid w:val="00D625B8"/>
    <w:rsid w:val="00D626F8"/>
    <w:rsid w:val="00D62A03"/>
    <w:rsid w:val="00D636DC"/>
    <w:rsid w:val="00D63F4C"/>
    <w:rsid w:val="00D64613"/>
    <w:rsid w:val="00D64702"/>
    <w:rsid w:val="00D66BFD"/>
    <w:rsid w:val="00D66C91"/>
    <w:rsid w:val="00D674EE"/>
    <w:rsid w:val="00D67535"/>
    <w:rsid w:val="00D67A4D"/>
    <w:rsid w:val="00D67BC9"/>
    <w:rsid w:val="00D67DBC"/>
    <w:rsid w:val="00D704D9"/>
    <w:rsid w:val="00D70934"/>
    <w:rsid w:val="00D70BD2"/>
    <w:rsid w:val="00D713F2"/>
    <w:rsid w:val="00D71CD8"/>
    <w:rsid w:val="00D721B1"/>
    <w:rsid w:val="00D725B4"/>
    <w:rsid w:val="00D726D7"/>
    <w:rsid w:val="00D72705"/>
    <w:rsid w:val="00D738BF"/>
    <w:rsid w:val="00D73B93"/>
    <w:rsid w:val="00D73C95"/>
    <w:rsid w:val="00D7400F"/>
    <w:rsid w:val="00D745C1"/>
    <w:rsid w:val="00D74784"/>
    <w:rsid w:val="00D756F6"/>
    <w:rsid w:val="00D75731"/>
    <w:rsid w:val="00D75B45"/>
    <w:rsid w:val="00D75B5C"/>
    <w:rsid w:val="00D75F8C"/>
    <w:rsid w:val="00D76050"/>
    <w:rsid w:val="00D76309"/>
    <w:rsid w:val="00D76423"/>
    <w:rsid w:val="00D767BF"/>
    <w:rsid w:val="00D77278"/>
    <w:rsid w:val="00D7749B"/>
    <w:rsid w:val="00D775B5"/>
    <w:rsid w:val="00D77961"/>
    <w:rsid w:val="00D77A47"/>
    <w:rsid w:val="00D77B20"/>
    <w:rsid w:val="00D77B3B"/>
    <w:rsid w:val="00D8007C"/>
    <w:rsid w:val="00D800BF"/>
    <w:rsid w:val="00D8079F"/>
    <w:rsid w:val="00D80D0D"/>
    <w:rsid w:val="00D8103B"/>
    <w:rsid w:val="00D8111B"/>
    <w:rsid w:val="00D81242"/>
    <w:rsid w:val="00D812D2"/>
    <w:rsid w:val="00D82C80"/>
    <w:rsid w:val="00D82D02"/>
    <w:rsid w:val="00D82D0F"/>
    <w:rsid w:val="00D83A5A"/>
    <w:rsid w:val="00D84157"/>
    <w:rsid w:val="00D84BD7"/>
    <w:rsid w:val="00D84C8A"/>
    <w:rsid w:val="00D84DCA"/>
    <w:rsid w:val="00D85114"/>
    <w:rsid w:val="00D857BC"/>
    <w:rsid w:val="00D85CC6"/>
    <w:rsid w:val="00D868F0"/>
    <w:rsid w:val="00D86A92"/>
    <w:rsid w:val="00D871B6"/>
    <w:rsid w:val="00D875E1"/>
    <w:rsid w:val="00D87F1E"/>
    <w:rsid w:val="00D90275"/>
    <w:rsid w:val="00D902F5"/>
    <w:rsid w:val="00D9075D"/>
    <w:rsid w:val="00D90959"/>
    <w:rsid w:val="00D91410"/>
    <w:rsid w:val="00D91438"/>
    <w:rsid w:val="00D91594"/>
    <w:rsid w:val="00D91ABE"/>
    <w:rsid w:val="00D91DFB"/>
    <w:rsid w:val="00D921DA"/>
    <w:rsid w:val="00D92C2F"/>
    <w:rsid w:val="00D92F7F"/>
    <w:rsid w:val="00D930AC"/>
    <w:rsid w:val="00D9385C"/>
    <w:rsid w:val="00D9459D"/>
    <w:rsid w:val="00D94730"/>
    <w:rsid w:val="00D94858"/>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203"/>
    <w:rsid w:val="00DA14A0"/>
    <w:rsid w:val="00DA18DA"/>
    <w:rsid w:val="00DA1C31"/>
    <w:rsid w:val="00DA1F0C"/>
    <w:rsid w:val="00DA3565"/>
    <w:rsid w:val="00DA3A5B"/>
    <w:rsid w:val="00DA3D0B"/>
    <w:rsid w:val="00DA3F51"/>
    <w:rsid w:val="00DA45DB"/>
    <w:rsid w:val="00DA48D9"/>
    <w:rsid w:val="00DA49F8"/>
    <w:rsid w:val="00DA4AAE"/>
    <w:rsid w:val="00DA5572"/>
    <w:rsid w:val="00DA5D5D"/>
    <w:rsid w:val="00DA6A15"/>
    <w:rsid w:val="00DA6CC2"/>
    <w:rsid w:val="00DA7029"/>
    <w:rsid w:val="00DA77A0"/>
    <w:rsid w:val="00DB09A2"/>
    <w:rsid w:val="00DB0AA6"/>
    <w:rsid w:val="00DB103D"/>
    <w:rsid w:val="00DB1448"/>
    <w:rsid w:val="00DB1907"/>
    <w:rsid w:val="00DB1998"/>
    <w:rsid w:val="00DB1FC4"/>
    <w:rsid w:val="00DB21F0"/>
    <w:rsid w:val="00DB24FF"/>
    <w:rsid w:val="00DB2841"/>
    <w:rsid w:val="00DB2C5F"/>
    <w:rsid w:val="00DB34D3"/>
    <w:rsid w:val="00DB3A58"/>
    <w:rsid w:val="00DB3BDF"/>
    <w:rsid w:val="00DB3C58"/>
    <w:rsid w:val="00DB3D46"/>
    <w:rsid w:val="00DB401C"/>
    <w:rsid w:val="00DB46C8"/>
    <w:rsid w:val="00DB540E"/>
    <w:rsid w:val="00DB5A63"/>
    <w:rsid w:val="00DB6166"/>
    <w:rsid w:val="00DB656B"/>
    <w:rsid w:val="00DB691E"/>
    <w:rsid w:val="00DB6C99"/>
    <w:rsid w:val="00DB75A3"/>
    <w:rsid w:val="00DC0574"/>
    <w:rsid w:val="00DC0C65"/>
    <w:rsid w:val="00DC16BF"/>
    <w:rsid w:val="00DC16E1"/>
    <w:rsid w:val="00DC16FC"/>
    <w:rsid w:val="00DC1881"/>
    <w:rsid w:val="00DC1ED7"/>
    <w:rsid w:val="00DC3A6F"/>
    <w:rsid w:val="00DC3D1C"/>
    <w:rsid w:val="00DC43E1"/>
    <w:rsid w:val="00DC5199"/>
    <w:rsid w:val="00DC5A32"/>
    <w:rsid w:val="00DC5E4E"/>
    <w:rsid w:val="00DC6281"/>
    <w:rsid w:val="00DC651B"/>
    <w:rsid w:val="00DC662F"/>
    <w:rsid w:val="00DC6E78"/>
    <w:rsid w:val="00DC6F62"/>
    <w:rsid w:val="00DC729A"/>
    <w:rsid w:val="00DC73B1"/>
    <w:rsid w:val="00DC7519"/>
    <w:rsid w:val="00DC7630"/>
    <w:rsid w:val="00DC7EB5"/>
    <w:rsid w:val="00DD04AC"/>
    <w:rsid w:val="00DD04DD"/>
    <w:rsid w:val="00DD0891"/>
    <w:rsid w:val="00DD0B35"/>
    <w:rsid w:val="00DD0C4D"/>
    <w:rsid w:val="00DD0F9F"/>
    <w:rsid w:val="00DD11A7"/>
    <w:rsid w:val="00DD1298"/>
    <w:rsid w:val="00DD1A9F"/>
    <w:rsid w:val="00DD2300"/>
    <w:rsid w:val="00DD2309"/>
    <w:rsid w:val="00DD28B3"/>
    <w:rsid w:val="00DD2DE3"/>
    <w:rsid w:val="00DD2DE8"/>
    <w:rsid w:val="00DD316F"/>
    <w:rsid w:val="00DD357C"/>
    <w:rsid w:val="00DD37CA"/>
    <w:rsid w:val="00DD3D55"/>
    <w:rsid w:val="00DD3DF7"/>
    <w:rsid w:val="00DD44F0"/>
    <w:rsid w:val="00DD4AE2"/>
    <w:rsid w:val="00DD4BFA"/>
    <w:rsid w:val="00DD51F8"/>
    <w:rsid w:val="00DD6388"/>
    <w:rsid w:val="00DD6C53"/>
    <w:rsid w:val="00DD7198"/>
    <w:rsid w:val="00DD7CB6"/>
    <w:rsid w:val="00DE0077"/>
    <w:rsid w:val="00DE0137"/>
    <w:rsid w:val="00DE01BA"/>
    <w:rsid w:val="00DE0DCF"/>
    <w:rsid w:val="00DE137B"/>
    <w:rsid w:val="00DE19D9"/>
    <w:rsid w:val="00DE1DC6"/>
    <w:rsid w:val="00DE1F77"/>
    <w:rsid w:val="00DE21C6"/>
    <w:rsid w:val="00DE22AA"/>
    <w:rsid w:val="00DE288F"/>
    <w:rsid w:val="00DE2C45"/>
    <w:rsid w:val="00DE2D49"/>
    <w:rsid w:val="00DE2F4E"/>
    <w:rsid w:val="00DE3E66"/>
    <w:rsid w:val="00DE3F75"/>
    <w:rsid w:val="00DE41FC"/>
    <w:rsid w:val="00DE45F5"/>
    <w:rsid w:val="00DE4AAD"/>
    <w:rsid w:val="00DE4C0C"/>
    <w:rsid w:val="00DE4FC8"/>
    <w:rsid w:val="00DE53B5"/>
    <w:rsid w:val="00DE59C3"/>
    <w:rsid w:val="00DE5A50"/>
    <w:rsid w:val="00DE60C5"/>
    <w:rsid w:val="00DE6D0C"/>
    <w:rsid w:val="00DE7323"/>
    <w:rsid w:val="00DE75F0"/>
    <w:rsid w:val="00DE77CB"/>
    <w:rsid w:val="00DE7EBA"/>
    <w:rsid w:val="00DF04BD"/>
    <w:rsid w:val="00DF068D"/>
    <w:rsid w:val="00DF0D3A"/>
    <w:rsid w:val="00DF140A"/>
    <w:rsid w:val="00DF1A9A"/>
    <w:rsid w:val="00DF1C2D"/>
    <w:rsid w:val="00DF1F8A"/>
    <w:rsid w:val="00DF2209"/>
    <w:rsid w:val="00DF248E"/>
    <w:rsid w:val="00DF3577"/>
    <w:rsid w:val="00DF4063"/>
    <w:rsid w:val="00DF5F13"/>
    <w:rsid w:val="00DF63DD"/>
    <w:rsid w:val="00DF6B62"/>
    <w:rsid w:val="00DF7BD0"/>
    <w:rsid w:val="00DF7BDF"/>
    <w:rsid w:val="00E00303"/>
    <w:rsid w:val="00E00A62"/>
    <w:rsid w:val="00E00CE7"/>
    <w:rsid w:val="00E010A0"/>
    <w:rsid w:val="00E0125E"/>
    <w:rsid w:val="00E01668"/>
    <w:rsid w:val="00E0173A"/>
    <w:rsid w:val="00E01849"/>
    <w:rsid w:val="00E020D1"/>
    <w:rsid w:val="00E02B64"/>
    <w:rsid w:val="00E02EAD"/>
    <w:rsid w:val="00E03D3F"/>
    <w:rsid w:val="00E03DED"/>
    <w:rsid w:val="00E0437C"/>
    <w:rsid w:val="00E0452C"/>
    <w:rsid w:val="00E04D61"/>
    <w:rsid w:val="00E0504C"/>
    <w:rsid w:val="00E05074"/>
    <w:rsid w:val="00E05489"/>
    <w:rsid w:val="00E05741"/>
    <w:rsid w:val="00E05F7F"/>
    <w:rsid w:val="00E064A4"/>
    <w:rsid w:val="00E06549"/>
    <w:rsid w:val="00E06930"/>
    <w:rsid w:val="00E06971"/>
    <w:rsid w:val="00E07276"/>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2FF"/>
    <w:rsid w:val="00E14EFA"/>
    <w:rsid w:val="00E151B9"/>
    <w:rsid w:val="00E158C4"/>
    <w:rsid w:val="00E161E6"/>
    <w:rsid w:val="00E167C9"/>
    <w:rsid w:val="00E1698C"/>
    <w:rsid w:val="00E16BDB"/>
    <w:rsid w:val="00E172BE"/>
    <w:rsid w:val="00E17991"/>
    <w:rsid w:val="00E17CF7"/>
    <w:rsid w:val="00E205D6"/>
    <w:rsid w:val="00E209AB"/>
    <w:rsid w:val="00E216EC"/>
    <w:rsid w:val="00E2189A"/>
    <w:rsid w:val="00E21A60"/>
    <w:rsid w:val="00E22B5A"/>
    <w:rsid w:val="00E22B68"/>
    <w:rsid w:val="00E231C9"/>
    <w:rsid w:val="00E23EBF"/>
    <w:rsid w:val="00E23FD5"/>
    <w:rsid w:val="00E24669"/>
    <w:rsid w:val="00E24C48"/>
    <w:rsid w:val="00E24EE4"/>
    <w:rsid w:val="00E25981"/>
    <w:rsid w:val="00E26141"/>
    <w:rsid w:val="00E266F5"/>
    <w:rsid w:val="00E26CCC"/>
    <w:rsid w:val="00E270D3"/>
    <w:rsid w:val="00E27FC7"/>
    <w:rsid w:val="00E3050B"/>
    <w:rsid w:val="00E30700"/>
    <w:rsid w:val="00E31360"/>
    <w:rsid w:val="00E31D28"/>
    <w:rsid w:val="00E31DEA"/>
    <w:rsid w:val="00E32425"/>
    <w:rsid w:val="00E32506"/>
    <w:rsid w:val="00E3252C"/>
    <w:rsid w:val="00E325FF"/>
    <w:rsid w:val="00E32938"/>
    <w:rsid w:val="00E32CB8"/>
    <w:rsid w:val="00E32EB7"/>
    <w:rsid w:val="00E3440F"/>
    <w:rsid w:val="00E34F3A"/>
    <w:rsid w:val="00E35F99"/>
    <w:rsid w:val="00E35F9A"/>
    <w:rsid w:val="00E3637F"/>
    <w:rsid w:val="00E364B6"/>
    <w:rsid w:val="00E36723"/>
    <w:rsid w:val="00E3713C"/>
    <w:rsid w:val="00E37470"/>
    <w:rsid w:val="00E3767B"/>
    <w:rsid w:val="00E37E1C"/>
    <w:rsid w:val="00E40126"/>
    <w:rsid w:val="00E4013B"/>
    <w:rsid w:val="00E40BC3"/>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69F2"/>
    <w:rsid w:val="00E46EE9"/>
    <w:rsid w:val="00E479FD"/>
    <w:rsid w:val="00E47F1A"/>
    <w:rsid w:val="00E504D6"/>
    <w:rsid w:val="00E50B6F"/>
    <w:rsid w:val="00E50EBE"/>
    <w:rsid w:val="00E50F69"/>
    <w:rsid w:val="00E50FC6"/>
    <w:rsid w:val="00E5227B"/>
    <w:rsid w:val="00E52372"/>
    <w:rsid w:val="00E52786"/>
    <w:rsid w:val="00E52F05"/>
    <w:rsid w:val="00E53579"/>
    <w:rsid w:val="00E540CA"/>
    <w:rsid w:val="00E54F3A"/>
    <w:rsid w:val="00E55560"/>
    <w:rsid w:val="00E55B28"/>
    <w:rsid w:val="00E5642F"/>
    <w:rsid w:val="00E5699B"/>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E4B"/>
    <w:rsid w:val="00E620D4"/>
    <w:rsid w:val="00E6357A"/>
    <w:rsid w:val="00E63DA2"/>
    <w:rsid w:val="00E641E8"/>
    <w:rsid w:val="00E642AF"/>
    <w:rsid w:val="00E644C6"/>
    <w:rsid w:val="00E64555"/>
    <w:rsid w:val="00E64595"/>
    <w:rsid w:val="00E646BB"/>
    <w:rsid w:val="00E64D24"/>
    <w:rsid w:val="00E64FAF"/>
    <w:rsid w:val="00E653A6"/>
    <w:rsid w:val="00E6549C"/>
    <w:rsid w:val="00E654B9"/>
    <w:rsid w:val="00E655D4"/>
    <w:rsid w:val="00E6589D"/>
    <w:rsid w:val="00E65DBD"/>
    <w:rsid w:val="00E65E8C"/>
    <w:rsid w:val="00E665E7"/>
    <w:rsid w:val="00E66C96"/>
    <w:rsid w:val="00E66D89"/>
    <w:rsid w:val="00E67D87"/>
    <w:rsid w:val="00E70130"/>
    <w:rsid w:val="00E70D73"/>
    <w:rsid w:val="00E71063"/>
    <w:rsid w:val="00E715FC"/>
    <w:rsid w:val="00E71A45"/>
    <w:rsid w:val="00E71B55"/>
    <w:rsid w:val="00E71C21"/>
    <w:rsid w:val="00E72F23"/>
    <w:rsid w:val="00E730FC"/>
    <w:rsid w:val="00E73481"/>
    <w:rsid w:val="00E737D1"/>
    <w:rsid w:val="00E7385A"/>
    <w:rsid w:val="00E7391F"/>
    <w:rsid w:val="00E739B2"/>
    <w:rsid w:val="00E73CE6"/>
    <w:rsid w:val="00E74780"/>
    <w:rsid w:val="00E74956"/>
    <w:rsid w:val="00E752F7"/>
    <w:rsid w:val="00E75848"/>
    <w:rsid w:val="00E759D4"/>
    <w:rsid w:val="00E7631B"/>
    <w:rsid w:val="00E76348"/>
    <w:rsid w:val="00E76A3C"/>
    <w:rsid w:val="00E76F9B"/>
    <w:rsid w:val="00E771FC"/>
    <w:rsid w:val="00E773E5"/>
    <w:rsid w:val="00E77BDD"/>
    <w:rsid w:val="00E806D3"/>
    <w:rsid w:val="00E81C34"/>
    <w:rsid w:val="00E81D83"/>
    <w:rsid w:val="00E821BB"/>
    <w:rsid w:val="00E822E9"/>
    <w:rsid w:val="00E826FE"/>
    <w:rsid w:val="00E8275E"/>
    <w:rsid w:val="00E827AF"/>
    <w:rsid w:val="00E82843"/>
    <w:rsid w:val="00E82DE9"/>
    <w:rsid w:val="00E83253"/>
    <w:rsid w:val="00E83714"/>
    <w:rsid w:val="00E83831"/>
    <w:rsid w:val="00E844AB"/>
    <w:rsid w:val="00E84C97"/>
    <w:rsid w:val="00E85005"/>
    <w:rsid w:val="00E85296"/>
    <w:rsid w:val="00E8533B"/>
    <w:rsid w:val="00E85E4E"/>
    <w:rsid w:val="00E86327"/>
    <w:rsid w:val="00E86A7A"/>
    <w:rsid w:val="00E86DF0"/>
    <w:rsid w:val="00E8720E"/>
    <w:rsid w:val="00E87BD2"/>
    <w:rsid w:val="00E87CDC"/>
    <w:rsid w:val="00E90B33"/>
    <w:rsid w:val="00E911E0"/>
    <w:rsid w:val="00E9227C"/>
    <w:rsid w:val="00E92ED5"/>
    <w:rsid w:val="00E93407"/>
    <w:rsid w:val="00E940A8"/>
    <w:rsid w:val="00E947E8"/>
    <w:rsid w:val="00E94B0F"/>
    <w:rsid w:val="00E9503F"/>
    <w:rsid w:val="00E956F3"/>
    <w:rsid w:val="00E96E68"/>
    <w:rsid w:val="00E97013"/>
    <w:rsid w:val="00E97EA1"/>
    <w:rsid w:val="00EA0BBE"/>
    <w:rsid w:val="00EA1650"/>
    <w:rsid w:val="00EA1FBC"/>
    <w:rsid w:val="00EA20A1"/>
    <w:rsid w:val="00EA212B"/>
    <w:rsid w:val="00EA24B5"/>
    <w:rsid w:val="00EA2D44"/>
    <w:rsid w:val="00EA3A1D"/>
    <w:rsid w:val="00EA3CD7"/>
    <w:rsid w:val="00EA3E2D"/>
    <w:rsid w:val="00EA4010"/>
    <w:rsid w:val="00EA429D"/>
    <w:rsid w:val="00EA43AF"/>
    <w:rsid w:val="00EA4676"/>
    <w:rsid w:val="00EA47FB"/>
    <w:rsid w:val="00EA4C7C"/>
    <w:rsid w:val="00EA4D4C"/>
    <w:rsid w:val="00EA507B"/>
    <w:rsid w:val="00EA554F"/>
    <w:rsid w:val="00EA6250"/>
    <w:rsid w:val="00EA66A4"/>
    <w:rsid w:val="00EA6819"/>
    <w:rsid w:val="00EA6A1E"/>
    <w:rsid w:val="00EA75BD"/>
    <w:rsid w:val="00EA7C47"/>
    <w:rsid w:val="00EA7EC8"/>
    <w:rsid w:val="00EB0F0F"/>
    <w:rsid w:val="00EB12A5"/>
    <w:rsid w:val="00EB1DEF"/>
    <w:rsid w:val="00EB24D8"/>
    <w:rsid w:val="00EB277B"/>
    <w:rsid w:val="00EB2F20"/>
    <w:rsid w:val="00EB2F35"/>
    <w:rsid w:val="00EB3186"/>
    <w:rsid w:val="00EB31DB"/>
    <w:rsid w:val="00EB3422"/>
    <w:rsid w:val="00EB3A31"/>
    <w:rsid w:val="00EB4EAF"/>
    <w:rsid w:val="00EB5424"/>
    <w:rsid w:val="00EB548E"/>
    <w:rsid w:val="00EB5C41"/>
    <w:rsid w:val="00EB5F5A"/>
    <w:rsid w:val="00EB656C"/>
    <w:rsid w:val="00EB657E"/>
    <w:rsid w:val="00EB695E"/>
    <w:rsid w:val="00EB69D1"/>
    <w:rsid w:val="00EB69D4"/>
    <w:rsid w:val="00EB6F4B"/>
    <w:rsid w:val="00EB6FE9"/>
    <w:rsid w:val="00EB72FF"/>
    <w:rsid w:val="00EB756F"/>
    <w:rsid w:val="00EB79C8"/>
    <w:rsid w:val="00EB7E78"/>
    <w:rsid w:val="00EC0301"/>
    <w:rsid w:val="00EC08B5"/>
    <w:rsid w:val="00EC09C6"/>
    <w:rsid w:val="00EC0AC1"/>
    <w:rsid w:val="00EC0EA5"/>
    <w:rsid w:val="00EC0ECC"/>
    <w:rsid w:val="00EC1056"/>
    <w:rsid w:val="00EC1470"/>
    <w:rsid w:val="00EC222E"/>
    <w:rsid w:val="00EC2716"/>
    <w:rsid w:val="00EC2D11"/>
    <w:rsid w:val="00EC2DBB"/>
    <w:rsid w:val="00EC2EA4"/>
    <w:rsid w:val="00EC358E"/>
    <w:rsid w:val="00EC3FD2"/>
    <w:rsid w:val="00EC4095"/>
    <w:rsid w:val="00EC43B5"/>
    <w:rsid w:val="00EC4537"/>
    <w:rsid w:val="00EC4960"/>
    <w:rsid w:val="00EC4AE3"/>
    <w:rsid w:val="00EC5414"/>
    <w:rsid w:val="00EC54EE"/>
    <w:rsid w:val="00EC59B2"/>
    <w:rsid w:val="00EC5A3B"/>
    <w:rsid w:val="00EC5BC0"/>
    <w:rsid w:val="00EC6424"/>
    <w:rsid w:val="00EC786C"/>
    <w:rsid w:val="00EC7ADD"/>
    <w:rsid w:val="00EC7C26"/>
    <w:rsid w:val="00ED04FE"/>
    <w:rsid w:val="00ED0CCE"/>
    <w:rsid w:val="00ED0DD0"/>
    <w:rsid w:val="00ED1122"/>
    <w:rsid w:val="00ED1989"/>
    <w:rsid w:val="00ED21A9"/>
    <w:rsid w:val="00ED2664"/>
    <w:rsid w:val="00ED28F2"/>
    <w:rsid w:val="00ED3145"/>
    <w:rsid w:val="00ED3281"/>
    <w:rsid w:val="00ED3309"/>
    <w:rsid w:val="00ED33DC"/>
    <w:rsid w:val="00ED356E"/>
    <w:rsid w:val="00ED3792"/>
    <w:rsid w:val="00ED3BDA"/>
    <w:rsid w:val="00ED4A94"/>
    <w:rsid w:val="00ED5A3B"/>
    <w:rsid w:val="00ED5C30"/>
    <w:rsid w:val="00ED5E02"/>
    <w:rsid w:val="00ED5EED"/>
    <w:rsid w:val="00ED612A"/>
    <w:rsid w:val="00ED6846"/>
    <w:rsid w:val="00ED6B1C"/>
    <w:rsid w:val="00ED6CF7"/>
    <w:rsid w:val="00ED6F33"/>
    <w:rsid w:val="00ED7716"/>
    <w:rsid w:val="00ED7737"/>
    <w:rsid w:val="00ED7747"/>
    <w:rsid w:val="00ED7ABC"/>
    <w:rsid w:val="00ED7CF4"/>
    <w:rsid w:val="00ED7FA2"/>
    <w:rsid w:val="00EE04BB"/>
    <w:rsid w:val="00EE0786"/>
    <w:rsid w:val="00EE1B0E"/>
    <w:rsid w:val="00EE22FB"/>
    <w:rsid w:val="00EE2407"/>
    <w:rsid w:val="00EE26AE"/>
    <w:rsid w:val="00EE29C8"/>
    <w:rsid w:val="00EE2A54"/>
    <w:rsid w:val="00EE2FC2"/>
    <w:rsid w:val="00EE3B6B"/>
    <w:rsid w:val="00EE3B88"/>
    <w:rsid w:val="00EE4B75"/>
    <w:rsid w:val="00EE4D34"/>
    <w:rsid w:val="00EE4DBD"/>
    <w:rsid w:val="00EE5E1D"/>
    <w:rsid w:val="00EE6AC6"/>
    <w:rsid w:val="00EE6E26"/>
    <w:rsid w:val="00EE784F"/>
    <w:rsid w:val="00EE7A1D"/>
    <w:rsid w:val="00EE7DBD"/>
    <w:rsid w:val="00EE7E4D"/>
    <w:rsid w:val="00EF0500"/>
    <w:rsid w:val="00EF0553"/>
    <w:rsid w:val="00EF0808"/>
    <w:rsid w:val="00EF1002"/>
    <w:rsid w:val="00EF143F"/>
    <w:rsid w:val="00EF1D3B"/>
    <w:rsid w:val="00EF236B"/>
    <w:rsid w:val="00EF23D8"/>
    <w:rsid w:val="00EF2A5A"/>
    <w:rsid w:val="00EF2A87"/>
    <w:rsid w:val="00EF3A74"/>
    <w:rsid w:val="00EF3AE9"/>
    <w:rsid w:val="00EF3EA5"/>
    <w:rsid w:val="00EF49FB"/>
    <w:rsid w:val="00EF55D6"/>
    <w:rsid w:val="00EF644D"/>
    <w:rsid w:val="00EF6BAD"/>
    <w:rsid w:val="00EF6D29"/>
    <w:rsid w:val="00EF7138"/>
    <w:rsid w:val="00EF7E0B"/>
    <w:rsid w:val="00F00881"/>
    <w:rsid w:val="00F00917"/>
    <w:rsid w:val="00F00B65"/>
    <w:rsid w:val="00F010BB"/>
    <w:rsid w:val="00F012C1"/>
    <w:rsid w:val="00F0175F"/>
    <w:rsid w:val="00F01A41"/>
    <w:rsid w:val="00F01B39"/>
    <w:rsid w:val="00F01B5A"/>
    <w:rsid w:val="00F0276D"/>
    <w:rsid w:val="00F03280"/>
    <w:rsid w:val="00F0362A"/>
    <w:rsid w:val="00F0385C"/>
    <w:rsid w:val="00F03894"/>
    <w:rsid w:val="00F03ABE"/>
    <w:rsid w:val="00F03B69"/>
    <w:rsid w:val="00F04345"/>
    <w:rsid w:val="00F047A4"/>
    <w:rsid w:val="00F04F52"/>
    <w:rsid w:val="00F0510F"/>
    <w:rsid w:val="00F0563F"/>
    <w:rsid w:val="00F064EF"/>
    <w:rsid w:val="00F06558"/>
    <w:rsid w:val="00F06F42"/>
    <w:rsid w:val="00F07122"/>
    <w:rsid w:val="00F074C9"/>
    <w:rsid w:val="00F07C82"/>
    <w:rsid w:val="00F07F5E"/>
    <w:rsid w:val="00F1001E"/>
    <w:rsid w:val="00F1055F"/>
    <w:rsid w:val="00F106BB"/>
    <w:rsid w:val="00F11027"/>
    <w:rsid w:val="00F111BA"/>
    <w:rsid w:val="00F116DD"/>
    <w:rsid w:val="00F11D9F"/>
    <w:rsid w:val="00F11E31"/>
    <w:rsid w:val="00F12C53"/>
    <w:rsid w:val="00F1360C"/>
    <w:rsid w:val="00F13AA1"/>
    <w:rsid w:val="00F13F2A"/>
    <w:rsid w:val="00F14B4A"/>
    <w:rsid w:val="00F14D9E"/>
    <w:rsid w:val="00F15097"/>
    <w:rsid w:val="00F153F8"/>
    <w:rsid w:val="00F15671"/>
    <w:rsid w:val="00F1643E"/>
    <w:rsid w:val="00F16695"/>
    <w:rsid w:val="00F16811"/>
    <w:rsid w:val="00F1733F"/>
    <w:rsid w:val="00F179C0"/>
    <w:rsid w:val="00F202E3"/>
    <w:rsid w:val="00F20C6E"/>
    <w:rsid w:val="00F20D6C"/>
    <w:rsid w:val="00F20F03"/>
    <w:rsid w:val="00F2255F"/>
    <w:rsid w:val="00F225CF"/>
    <w:rsid w:val="00F22882"/>
    <w:rsid w:val="00F22985"/>
    <w:rsid w:val="00F22AEF"/>
    <w:rsid w:val="00F22F7A"/>
    <w:rsid w:val="00F22F8C"/>
    <w:rsid w:val="00F2343C"/>
    <w:rsid w:val="00F23CFC"/>
    <w:rsid w:val="00F24076"/>
    <w:rsid w:val="00F240CB"/>
    <w:rsid w:val="00F2492F"/>
    <w:rsid w:val="00F2500D"/>
    <w:rsid w:val="00F2596D"/>
    <w:rsid w:val="00F25CAA"/>
    <w:rsid w:val="00F25D9B"/>
    <w:rsid w:val="00F26463"/>
    <w:rsid w:val="00F26AD6"/>
    <w:rsid w:val="00F2711C"/>
    <w:rsid w:val="00F27253"/>
    <w:rsid w:val="00F277E8"/>
    <w:rsid w:val="00F27B04"/>
    <w:rsid w:val="00F27E3D"/>
    <w:rsid w:val="00F27EB2"/>
    <w:rsid w:val="00F301D0"/>
    <w:rsid w:val="00F3069F"/>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EE3"/>
    <w:rsid w:val="00F43149"/>
    <w:rsid w:val="00F43660"/>
    <w:rsid w:val="00F43888"/>
    <w:rsid w:val="00F43B91"/>
    <w:rsid w:val="00F44542"/>
    <w:rsid w:val="00F448DD"/>
    <w:rsid w:val="00F44D6A"/>
    <w:rsid w:val="00F44DB8"/>
    <w:rsid w:val="00F45760"/>
    <w:rsid w:val="00F45836"/>
    <w:rsid w:val="00F45925"/>
    <w:rsid w:val="00F46BA6"/>
    <w:rsid w:val="00F46C97"/>
    <w:rsid w:val="00F4703E"/>
    <w:rsid w:val="00F4775F"/>
    <w:rsid w:val="00F47870"/>
    <w:rsid w:val="00F47C3D"/>
    <w:rsid w:val="00F50781"/>
    <w:rsid w:val="00F50CA3"/>
    <w:rsid w:val="00F517ED"/>
    <w:rsid w:val="00F5195A"/>
    <w:rsid w:val="00F51A7A"/>
    <w:rsid w:val="00F51F3F"/>
    <w:rsid w:val="00F528B5"/>
    <w:rsid w:val="00F528E7"/>
    <w:rsid w:val="00F52C8A"/>
    <w:rsid w:val="00F5352D"/>
    <w:rsid w:val="00F53615"/>
    <w:rsid w:val="00F53A91"/>
    <w:rsid w:val="00F54783"/>
    <w:rsid w:val="00F547E9"/>
    <w:rsid w:val="00F5494E"/>
    <w:rsid w:val="00F54ABE"/>
    <w:rsid w:val="00F55804"/>
    <w:rsid w:val="00F55EF0"/>
    <w:rsid w:val="00F55F1A"/>
    <w:rsid w:val="00F56310"/>
    <w:rsid w:val="00F5684C"/>
    <w:rsid w:val="00F57210"/>
    <w:rsid w:val="00F57565"/>
    <w:rsid w:val="00F577FC"/>
    <w:rsid w:val="00F602F0"/>
    <w:rsid w:val="00F60622"/>
    <w:rsid w:val="00F60C90"/>
    <w:rsid w:val="00F61546"/>
    <w:rsid w:val="00F619EE"/>
    <w:rsid w:val="00F61CF5"/>
    <w:rsid w:val="00F61FF9"/>
    <w:rsid w:val="00F62069"/>
    <w:rsid w:val="00F62159"/>
    <w:rsid w:val="00F62575"/>
    <w:rsid w:val="00F62A7C"/>
    <w:rsid w:val="00F62B93"/>
    <w:rsid w:val="00F633E5"/>
    <w:rsid w:val="00F63C89"/>
    <w:rsid w:val="00F647EC"/>
    <w:rsid w:val="00F64FAB"/>
    <w:rsid w:val="00F65AC8"/>
    <w:rsid w:val="00F65CEA"/>
    <w:rsid w:val="00F65EED"/>
    <w:rsid w:val="00F65F15"/>
    <w:rsid w:val="00F66443"/>
    <w:rsid w:val="00F675EA"/>
    <w:rsid w:val="00F7074A"/>
    <w:rsid w:val="00F70AD6"/>
    <w:rsid w:val="00F710A5"/>
    <w:rsid w:val="00F71687"/>
    <w:rsid w:val="00F71708"/>
    <w:rsid w:val="00F717C1"/>
    <w:rsid w:val="00F71AAE"/>
    <w:rsid w:val="00F71CDB"/>
    <w:rsid w:val="00F725D3"/>
    <w:rsid w:val="00F7281E"/>
    <w:rsid w:val="00F72C1A"/>
    <w:rsid w:val="00F72C3D"/>
    <w:rsid w:val="00F737AB"/>
    <w:rsid w:val="00F74216"/>
    <w:rsid w:val="00F74F0F"/>
    <w:rsid w:val="00F75731"/>
    <w:rsid w:val="00F75841"/>
    <w:rsid w:val="00F75FDD"/>
    <w:rsid w:val="00F76333"/>
    <w:rsid w:val="00F77100"/>
    <w:rsid w:val="00F8090F"/>
    <w:rsid w:val="00F80B4B"/>
    <w:rsid w:val="00F8139A"/>
    <w:rsid w:val="00F82AAE"/>
    <w:rsid w:val="00F834BE"/>
    <w:rsid w:val="00F838A9"/>
    <w:rsid w:val="00F83E00"/>
    <w:rsid w:val="00F840D6"/>
    <w:rsid w:val="00F849E3"/>
    <w:rsid w:val="00F84B4E"/>
    <w:rsid w:val="00F84C44"/>
    <w:rsid w:val="00F851B7"/>
    <w:rsid w:val="00F8566C"/>
    <w:rsid w:val="00F858D4"/>
    <w:rsid w:val="00F85C65"/>
    <w:rsid w:val="00F860EB"/>
    <w:rsid w:val="00F868B6"/>
    <w:rsid w:val="00F86968"/>
    <w:rsid w:val="00F86E42"/>
    <w:rsid w:val="00F87354"/>
    <w:rsid w:val="00F876E6"/>
    <w:rsid w:val="00F87825"/>
    <w:rsid w:val="00F87838"/>
    <w:rsid w:val="00F879E8"/>
    <w:rsid w:val="00F87FCE"/>
    <w:rsid w:val="00F9008B"/>
    <w:rsid w:val="00F909C7"/>
    <w:rsid w:val="00F91669"/>
    <w:rsid w:val="00F916DE"/>
    <w:rsid w:val="00F91846"/>
    <w:rsid w:val="00F9184F"/>
    <w:rsid w:val="00F91943"/>
    <w:rsid w:val="00F9231D"/>
    <w:rsid w:val="00F92A66"/>
    <w:rsid w:val="00F931CF"/>
    <w:rsid w:val="00F93A31"/>
    <w:rsid w:val="00F93D6E"/>
    <w:rsid w:val="00F9423D"/>
    <w:rsid w:val="00F9454F"/>
    <w:rsid w:val="00F94609"/>
    <w:rsid w:val="00F94C37"/>
    <w:rsid w:val="00F95182"/>
    <w:rsid w:val="00F957D2"/>
    <w:rsid w:val="00F95D94"/>
    <w:rsid w:val="00F96F86"/>
    <w:rsid w:val="00F977ED"/>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920"/>
    <w:rsid w:val="00FA7A2D"/>
    <w:rsid w:val="00FA7B4F"/>
    <w:rsid w:val="00FA7DA6"/>
    <w:rsid w:val="00FB02F8"/>
    <w:rsid w:val="00FB06E7"/>
    <w:rsid w:val="00FB0822"/>
    <w:rsid w:val="00FB0C65"/>
    <w:rsid w:val="00FB1093"/>
    <w:rsid w:val="00FB13A0"/>
    <w:rsid w:val="00FB227E"/>
    <w:rsid w:val="00FB267D"/>
    <w:rsid w:val="00FB29E5"/>
    <w:rsid w:val="00FB2A18"/>
    <w:rsid w:val="00FB2BF4"/>
    <w:rsid w:val="00FB2C8D"/>
    <w:rsid w:val="00FB2DC6"/>
    <w:rsid w:val="00FB4926"/>
    <w:rsid w:val="00FB59D4"/>
    <w:rsid w:val="00FB5E81"/>
    <w:rsid w:val="00FB6E6C"/>
    <w:rsid w:val="00FB71B0"/>
    <w:rsid w:val="00FB7ABA"/>
    <w:rsid w:val="00FB7C21"/>
    <w:rsid w:val="00FB7C46"/>
    <w:rsid w:val="00FC04E0"/>
    <w:rsid w:val="00FC0D98"/>
    <w:rsid w:val="00FC0E2F"/>
    <w:rsid w:val="00FC1042"/>
    <w:rsid w:val="00FC11C6"/>
    <w:rsid w:val="00FC1370"/>
    <w:rsid w:val="00FC17D8"/>
    <w:rsid w:val="00FC2227"/>
    <w:rsid w:val="00FC279A"/>
    <w:rsid w:val="00FC324D"/>
    <w:rsid w:val="00FC39A1"/>
    <w:rsid w:val="00FC3BC3"/>
    <w:rsid w:val="00FC3E47"/>
    <w:rsid w:val="00FC45A9"/>
    <w:rsid w:val="00FC4B53"/>
    <w:rsid w:val="00FC4BAE"/>
    <w:rsid w:val="00FC4F75"/>
    <w:rsid w:val="00FC5160"/>
    <w:rsid w:val="00FC5A36"/>
    <w:rsid w:val="00FC6353"/>
    <w:rsid w:val="00FC69CF"/>
    <w:rsid w:val="00FC6B0B"/>
    <w:rsid w:val="00FC712D"/>
    <w:rsid w:val="00FC713B"/>
    <w:rsid w:val="00FC7862"/>
    <w:rsid w:val="00FC79D5"/>
    <w:rsid w:val="00FC7B35"/>
    <w:rsid w:val="00FC7B53"/>
    <w:rsid w:val="00FC7BD8"/>
    <w:rsid w:val="00FD0177"/>
    <w:rsid w:val="00FD0AE7"/>
    <w:rsid w:val="00FD0B44"/>
    <w:rsid w:val="00FD0F70"/>
    <w:rsid w:val="00FD1312"/>
    <w:rsid w:val="00FD2315"/>
    <w:rsid w:val="00FD29A7"/>
    <w:rsid w:val="00FD2B15"/>
    <w:rsid w:val="00FD3092"/>
    <w:rsid w:val="00FD3368"/>
    <w:rsid w:val="00FD412E"/>
    <w:rsid w:val="00FD420F"/>
    <w:rsid w:val="00FD4339"/>
    <w:rsid w:val="00FD488E"/>
    <w:rsid w:val="00FD4B0C"/>
    <w:rsid w:val="00FD4F2F"/>
    <w:rsid w:val="00FD51F7"/>
    <w:rsid w:val="00FD5258"/>
    <w:rsid w:val="00FD5602"/>
    <w:rsid w:val="00FD5661"/>
    <w:rsid w:val="00FD57B6"/>
    <w:rsid w:val="00FD5A2A"/>
    <w:rsid w:val="00FD5AE2"/>
    <w:rsid w:val="00FD62B4"/>
    <w:rsid w:val="00FD702D"/>
    <w:rsid w:val="00FD7142"/>
    <w:rsid w:val="00FD750F"/>
    <w:rsid w:val="00FD7D84"/>
    <w:rsid w:val="00FE011C"/>
    <w:rsid w:val="00FE07DC"/>
    <w:rsid w:val="00FE08FB"/>
    <w:rsid w:val="00FE1116"/>
    <w:rsid w:val="00FE2075"/>
    <w:rsid w:val="00FE2080"/>
    <w:rsid w:val="00FE27B9"/>
    <w:rsid w:val="00FE2E37"/>
    <w:rsid w:val="00FE3640"/>
    <w:rsid w:val="00FE3780"/>
    <w:rsid w:val="00FE3954"/>
    <w:rsid w:val="00FE3CF7"/>
    <w:rsid w:val="00FE3E50"/>
    <w:rsid w:val="00FE4071"/>
    <w:rsid w:val="00FE42E3"/>
    <w:rsid w:val="00FE4ECD"/>
    <w:rsid w:val="00FE52B7"/>
    <w:rsid w:val="00FE53C5"/>
    <w:rsid w:val="00FE56A8"/>
    <w:rsid w:val="00FE5807"/>
    <w:rsid w:val="00FE5C39"/>
    <w:rsid w:val="00FE5C57"/>
    <w:rsid w:val="00FE624E"/>
    <w:rsid w:val="00FE62FA"/>
    <w:rsid w:val="00FE6415"/>
    <w:rsid w:val="00FE69E7"/>
    <w:rsid w:val="00FE6BB8"/>
    <w:rsid w:val="00FE6DDE"/>
    <w:rsid w:val="00FE6E76"/>
    <w:rsid w:val="00FE6F5A"/>
    <w:rsid w:val="00FF027B"/>
    <w:rsid w:val="00FF08C6"/>
    <w:rsid w:val="00FF1174"/>
    <w:rsid w:val="00FF165A"/>
    <w:rsid w:val="00FF1B72"/>
    <w:rsid w:val="00FF1CF1"/>
    <w:rsid w:val="00FF1F4C"/>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0FF7634"/>
    <w:rsid w:val="012B61A1"/>
    <w:rsid w:val="012D372F"/>
    <w:rsid w:val="01AA2C10"/>
    <w:rsid w:val="01DC28F9"/>
    <w:rsid w:val="024D249A"/>
    <w:rsid w:val="02C628C8"/>
    <w:rsid w:val="02CA07C2"/>
    <w:rsid w:val="03241BE1"/>
    <w:rsid w:val="037738D8"/>
    <w:rsid w:val="03CA2A2C"/>
    <w:rsid w:val="03E312C3"/>
    <w:rsid w:val="040E4053"/>
    <w:rsid w:val="0424690E"/>
    <w:rsid w:val="046E4522"/>
    <w:rsid w:val="04811701"/>
    <w:rsid w:val="049520F1"/>
    <w:rsid w:val="04C95EF8"/>
    <w:rsid w:val="04E05510"/>
    <w:rsid w:val="05080FE1"/>
    <w:rsid w:val="05145CB2"/>
    <w:rsid w:val="055A2489"/>
    <w:rsid w:val="05B314FE"/>
    <w:rsid w:val="05CA60D9"/>
    <w:rsid w:val="05D76B5C"/>
    <w:rsid w:val="05E81F1B"/>
    <w:rsid w:val="05F62C36"/>
    <w:rsid w:val="068955F4"/>
    <w:rsid w:val="06920F43"/>
    <w:rsid w:val="06937D52"/>
    <w:rsid w:val="06E03F5B"/>
    <w:rsid w:val="070834B2"/>
    <w:rsid w:val="075F0692"/>
    <w:rsid w:val="07DB054A"/>
    <w:rsid w:val="08065628"/>
    <w:rsid w:val="081569AB"/>
    <w:rsid w:val="083D2AF4"/>
    <w:rsid w:val="08C43923"/>
    <w:rsid w:val="08CD2D13"/>
    <w:rsid w:val="08F11DE3"/>
    <w:rsid w:val="08F53B23"/>
    <w:rsid w:val="09037EDC"/>
    <w:rsid w:val="09121D24"/>
    <w:rsid w:val="09366C1C"/>
    <w:rsid w:val="099077F7"/>
    <w:rsid w:val="0A053C89"/>
    <w:rsid w:val="0A070656"/>
    <w:rsid w:val="0A686E27"/>
    <w:rsid w:val="0A7E6D56"/>
    <w:rsid w:val="0A913ED8"/>
    <w:rsid w:val="0A9850E4"/>
    <w:rsid w:val="0AC05EBA"/>
    <w:rsid w:val="0B24171E"/>
    <w:rsid w:val="0B5C3243"/>
    <w:rsid w:val="0BAD59A4"/>
    <w:rsid w:val="0BF42A49"/>
    <w:rsid w:val="0BFC043E"/>
    <w:rsid w:val="0C466B45"/>
    <w:rsid w:val="0D03755D"/>
    <w:rsid w:val="0D314D8D"/>
    <w:rsid w:val="0D584403"/>
    <w:rsid w:val="0D6F130D"/>
    <w:rsid w:val="0DAA5A92"/>
    <w:rsid w:val="0DEE7765"/>
    <w:rsid w:val="0E73747D"/>
    <w:rsid w:val="0F073721"/>
    <w:rsid w:val="0F2B5D1F"/>
    <w:rsid w:val="0F6611A1"/>
    <w:rsid w:val="0FC92BAD"/>
    <w:rsid w:val="0FD11784"/>
    <w:rsid w:val="0FD21EC0"/>
    <w:rsid w:val="0FD2560A"/>
    <w:rsid w:val="101C0A97"/>
    <w:rsid w:val="103369EE"/>
    <w:rsid w:val="105F5DE8"/>
    <w:rsid w:val="10BE1C7C"/>
    <w:rsid w:val="10F67974"/>
    <w:rsid w:val="117E103C"/>
    <w:rsid w:val="11845235"/>
    <w:rsid w:val="11EA6C50"/>
    <w:rsid w:val="11F31F18"/>
    <w:rsid w:val="11FC3BEB"/>
    <w:rsid w:val="121C3AAB"/>
    <w:rsid w:val="121E2AC6"/>
    <w:rsid w:val="12583C89"/>
    <w:rsid w:val="12685FCD"/>
    <w:rsid w:val="126A5144"/>
    <w:rsid w:val="12AF1625"/>
    <w:rsid w:val="12CA1B27"/>
    <w:rsid w:val="13796C14"/>
    <w:rsid w:val="13953DF2"/>
    <w:rsid w:val="13A67301"/>
    <w:rsid w:val="143212D7"/>
    <w:rsid w:val="146F2C7A"/>
    <w:rsid w:val="149E4992"/>
    <w:rsid w:val="14CA5EE0"/>
    <w:rsid w:val="14D7277E"/>
    <w:rsid w:val="15033AD5"/>
    <w:rsid w:val="15267261"/>
    <w:rsid w:val="15C224EE"/>
    <w:rsid w:val="15E11B42"/>
    <w:rsid w:val="15FE0523"/>
    <w:rsid w:val="1644126E"/>
    <w:rsid w:val="16497529"/>
    <w:rsid w:val="166E0EC0"/>
    <w:rsid w:val="167A7865"/>
    <w:rsid w:val="16B87896"/>
    <w:rsid w:val="170E5D26"/>
    <w:rsid w:val="17873976"/>
    <w:rsid w:val="17BE59A2"/>
    <w:rsid w:val="17DD2A1A"/>
    <w:rsid w:val="18077515"/>
    <w:rsid w:val="180C17C7"/>
    <w:rsid w:val="18185849"/>
    <w:rsid w:val="182D2D36"/>
    <w:rsid w:val="18374DD5"/>
    <w:rsid w:val="185275B0"/>
    <w:rsid w:val="18DE232D"/>
    <w:rsid w:val="18F51424"/>
    <w:rsid w:val="18F80ECB"/>
    <w:rsid w:val="198C3F77"/>
    <w:rsid w:val="19E81074"/>
    <w:rsid w:val="1A440E44"/>
    <w:rsid w:val="1A442DE9"/>
    <w:rsid w:val="1A4A6B6F"/>
    <w:rsid w:val="1A54601A"/>
    <w:rsid w:val="1A57502A"/>
    <w:rsid w:val="1A845156"/>
    <w:rsid w:val="1AC6546A"/>
    <w:rsid w:val="1AEA43CC"/>
    <w:rsid w:val="1B155479"/>
    <w:rsid w:val="1B32556F"/>
    <w:rsid w:val="1B4E330D"/>
    <w:rsid w:val="1B8C1150"/>
    <w:rsid w:val="1B9D4A7E"/>
    <w:rsid w:val="1BC305D3"/>
    <w:rsid w:val="1BD614E0"/>
    <w:rsid w:val="1C375D83"/>
    <w:rsid w:val="1C3C3E2C"/>
    <w:rsid w:val="1C806239"/>
    <w:rsid w:val="1CB44125"/>
    <w:rsid w:val="1CD55680"/>
    <w:rsid w:val="1CEE5B24"/>
    <w:rsid w:val="1D321E13"/>
    <w:rsid w:val="1D49350B"/>
    <w:rsid w:val="1D4B44F4"/>
    <w:rsid w:val="1D520E2A"/>
    <w:rsid w:val="1DBC044E"/>
    <w:rsid w:val="1DD26952"/>
    <w:rsid w:val="1E5658F3"/>
    <w:rsid w:val="1E7F3055"/>
    <w:rsid w:val="1EB4768C"/>
    <w:rsid w:val="1ED1023E"/>
    <w:rsid w:val="1EF24440"/>
    <w:rsid w:val="1F4849CA"/>
    <w:rsid w:val="1F82714C"/>
    <w:rsid w:val="1F873477"/>
    <w:rsid w:val="1F914614"/>
    <w:rsid w:val="1F974F48"/>
    <w:rsid w:val="1FB212F0"/>
    <w:rsid w:val="1FB56CD4"/>
    <w:rsid w:val="204B5D2B"/>
    <w:rsid w:val="204D693B"/>
    <w:rsid w:val="208E1FC1"/>
    <w:rsid w:val="2093370A"/>
    <w:rsid w:val="20B704E4"/>
    <w:rsid w:val="20B815F7"/>
    <w:rsid w:val="20D65309"/>
    <w:rsid w:val="20F16975"/>
    <w:rsid w:val="211F15FE"/>
    <w:rsid w:val="21455F84"/>
    <w:rsid w:val="217A4BBD"/>
    <w:rsid w:val="21AF0D0A"/>
    <w:rsid w:val="21D00C81"/>
    <w:rsid w:val="21EA1C0A"/>
    <w:rsid w:val="22173DF1"/>
    <w:rsid w:val="230D347E"/>
    <w:rsid w:val="2379093F"/>
    <w:rsid w:val="23A203FB"/>
    <w:rsid w:val="23AF765D"/>
    <w:rsid w:val="23CE7442"/>
    <w:rsid w:val="23EA19A0"/>
    <w:rsid w:val="23F171DD"/>
    <w:rsid w:val="24977600"/>
    <w:rsid w:val="24B831E2"/>
    <w:rsid w:val="250B120F"/>
    <w:rsid w:val="25205EE0"/>
    <w:rsid w:val="252C7220"/>
    <w:rsid w:val="2558727E"/>
    <w:rsid w:val="2561612C"/>
    <w:rsid w:val="257D2ECD"/>
    <w:rsid w:val="2589761F"/>
    <w:rsid w:val="25E20EE1"/>
    <w:rsid w:val="25E82A3D"/>
    <w:rsid w:val="25F569F6"/>
    <w:rsid w:val="26071ED5"/>
    <w:rsid w:val="26226B65"/>
    <w:rsid w:val="265A78D3"/>
    <w:rsid w:val="265B3DB0"/>
    <w:rsid w:val="26A50560"/>
    <w:rsid w:val="270805D3"/>
    <w:rsid w:val="270F55EE"/>
    <w:rsid w:val="272F1A96"/>
    <w:rsid w:val="27960441"/>
    <w:rsid w:val="27B616E5"/>
    <w:rsid w:val="27BD54F3"/>
    <w:rsid w:val="27F52753"/>
    <w:rsid w:val="28983B19"/>
    <w:rsid w:val="28E633A3"/>
    <w:rsid w:val="292B5195"/>
    <w:rsid w:val="29564DFD"/>
    <w:rsid w:val="297B0CF7"/>
    <w:rsid w:val="298F3DBD"/>
    <w:rsid w:val="299044D4"/>
    <w:rsid w:val="29BF2B7C"/>
    <w:rsid w:val="29CA6C0B"/>
    <w:rsid w:val="29D7754A"/>
    <w:rsid w:val="29E03A2B"/>
    <w:rsid w:val="2A2C1D8F"/>
    <w:rsid w:val="2A2E0383"/>
    <w:rsid w:val="2A37299B"/>
    <w:rsid w:val="2ACF555E"/>
    <w:rsid w:val="2B125DD6"/>
    <w:rsid w:val="2B144061"/>
    <w:rsid w:val="2B2327E5"/>
    <w:rsid w:val="2B54022C"/>
    <w:rsid w:val="2B822DA1"/>
    <w:rsid w:val="2B845E1F"/>
    <w:rsid w:val="2C131570"/>
    <w:rsid w:val="2C1704D9"/>
    <w:rsid w:val="2C491D5B"/>
    <w:rsid w:val="2C541884"/>
    <w:rsid w:val="2CEE750A"/>
    <w:rsid w:val="2D2233D4"/>
    <w:rsid w:val="2D6509E7"/>
    <w:rsid w:val="2D751EAD"/>
    <w:rsid w:val="2DB77433"/>
    <w:rsid w:val="2DFB43CF"/>
    <w:rsid w:val="2E3F2370"/>
    <w:rsid w:val="2E743666"/>
    <w:rsid w:val="2E7E49CF"/>
    <w:rsid w:val="2E903C71"/>
    <w:rsid w:val="2EA133AF"/>
    <w:rsid w:val="2EDD2DD9"/>
    <w:rsid w:val="2EFB131E"/>
    <w:rsid w:val="2F723467"/>
    <w:rsid w:val="2FCE1F78"/>
    <w:rsid w:val="2FE3596E"/>
    <w:rsid w:val="306835D0"/>
    <w:rsid w:val="309444F8"/>
    <w:rsid w:val="30B91060"/>
    <w:rsid w:val="30C37599"/>
    <w:rsid w:val="30D45994"/>
    <w:rsid w:val="311406D9"/>
    <w:rsid w:val="318545E2"/>
    <w:rsid w:val="31B21E1B"/>
    <w:rsid w:val="31C509BC"/>
    <w:rsid w:val="323E2DAB"/>
    <w:rsid w:val="32A0292F"/>
    <w:rsid w:val="32A02B99"/>
    <w:rsid w:val="32A66527"/>
    <w:rsid w:val="32DB2011"/>
    <w:rsid w:val="33330C1D"/>
    <w:rsid w:val="33396D97"/>
    <w:rsid w:val="337D5F7B"/>
    <w:rsid w:val="33AD2BD0"/>
    <w:rsid w:val="33C6524F"/>
    <w:rsid w:val="33D414D0"/>
    <w:rsid w:val="33F1601D"/>
    <w:rsid w:val="33FF7B8F"/>
    <w:rsid w:val="341B2B8A"/>
    <w:rsid w:val="34301664"/>
    <w:rsid w:val="3439368F"/>
    <w:rsid w:val="34603E67"/>
    <w:rsid w:val="348E0C53"/>
    <w:rsid w:val="34A752F3"/>
    <w:rsid w:val="34D1379B"/>
    <w:rsid w:val="3502693D"/>
    <w:rsid w:val="35826E04"/>
    <w:rsid w:val="35BF5EA3"/>
    <w:rsid w:val="35CD358A"/>
    <w:rsid w:val="360010EA"/>
    <w:rsid w:val="36154BBE"/>
    <w:rsid w:val="36232DB0"/>
    <w:rsid w:val="36361985"/>
    <w:rsid w:val="36AB1EB1"/>
    <w:rsid w:val="36BF474E"/>
    <w:rsid w:val="37034248"/>
    <w:rsid w:val="37780EE8"/>
    <w:rsid w:val="37870D15"/>
    <w:rsid w:val="37E768DB"/>
    <w:rsid w:val="38021E4F"/>
    <w:rsid w:val="380803DD"/>
    <w:rsid w:val="385F359C"/>
    <w:rsid w:val="38A02345"/>
    <w:rsid w:val="39C63990"/>
    <w:rsid w:val="3A4517D4"/>
    <w:rsid w:val="3A514476"/>
    <w:rsid w:val="3A7A2FC8"/>
    <w:rsid w:val="3AD06F82"/>
    <w:rsid w:val="3B0D41AC"/>
    <w:rsid w:val="3B553864"/>
    <w:rsid w:val="3B6673CA"/>
    <w:rsid w:val="3BA80B19"/>
    <w:rsid w:val="3BB347AE"/>
    <w:rsid w:val="3BBC0148"/>
    <w:rsid w:val="3C3C31C3"/>
    <w:rsid w:val="3C4240EC"/>
    <w:rsid w:val="3C4E0CC8"/>
    <w:rsid w:val="3C513799"/>
    <w:rsid w:val="3C677B59"/>
    <w:rsid w:val="3C691A26"/>
    <w:rsid w:val="3C795D45"/>
    <w:rsid w:val="3CB219A4"/>
    <w:rsid w:val="3CB92CCF"/>
    <w:rsid w:val="3CFE0116"/>
    <w:rsid w:val="3D0E0C2E"/>
    <w:rsid w:val="3D1B5521"/>
    <w:rsid w:val="3D5845B8"/>
    <w:rsid w:val="3D711B40"/>
    <w:rsid w:val="3DAD54E1"/>
    <w:rsid w:val="3DC50703"/>
    <w:rsid w:val="3DDE2232"/>
    <w:rsid w:val="3E800AA6"/>
    <w:rsid w:val="3EBC2E9F"/>
    <w:rsid w:val="3F3A1FEB"/>
    <w:rsid w:val="3F4941F1"/>
    <w:rsid w:val="3F4F4B62"/>
    <w:rsid w:val="3F630BA7"/>
    <w:rsid w:val="3F7F5BF5"/>
    <w:rsid w:val="40554D20"/>
    <w:rsid w:val="40717888"/>
    <w:rsid w:val="40A67243"/>
    <w:rsid w:val="40BA46F8"/>
    <w:rsid w:val="40D12367"/>
    <w:rsid w:val="40DA109A"/>
    <w:rsid w:val="41285F8B"/>
    <w:rsid w:val="419F3CB9"/>
    <w:rsid w:val="41D43D0C"/>
    <w:rsid w:val="41E8331B"/>
    <w:rsid w:val="420C58CB"/>
    <w:rsid w:val="42253D73"/>
    <w:rsid w:val="422A7540"/>
    <w:rsid w:val="42D42037"/>
    <w:rsid w:val="42DF74EB"/>
    <w:rsid w:val="430D368B"/>
    <w:rsid w:val="43814A58"/>
    <w:rsid w:val="4390298C"/>
    <w:rsid w:val="43C0400A"/>
    <w:rsid w:val="440E034F"/>
    <w:rsid w:val="44424A89"/>
    <w:rsid w:val="44592171"/>
    <w:rsid w:val="44626EBF"/>
    <w:rsid w:val="44805D10"/>
    <w:rsid w:val="44961F35"/>
    <w:rsid w:val="449A5EC4"/>
    <w:rsid w:val="44E4602A"/>
    <w:rsid w:val="44E63B0C"/>
    <w:rsid w:val="44E844C7"/>
    <w:rsid w:val="45041707"/>
    <w:rsid w:val="45146EE5"/>
    <w:rsid w:val="452704B4"/>
    <w:rsid w:val="453D61B0"/>
    <w:rsid w:val="45754823"/>
    <w:rsid w:val="45854479"/>
    <w:rsid w:val="459C6779"/>
    <w:rsid w:val="45A26CAD"/>
    <w:rsid w:val="45B80788"/>
    <w:rsid w:val="460000F6"/>
    <w:rsid w:val="460C5E64"/>
    <w:rsid w:val="461F4C0D"/>
    <w:rsid w:val="462B402A"/>
    <w:rsid w:val="468A3DC6"/>
    <w:rsid w:val="46B85FA6"/>
    <w:rsid w:val="47130DC8"/>
    <w:rsid w:val="47131BFB"/>
    <w:rsid w:val="47283A28"/>
    <w:rsid w:val="475C75A3"/>
    <w:rsid w:val="478055E9"/>
    <w:rsid w:val="4796052A"/>
    <w:rsid w:val="47996410"/>
    <w:rsid w:val="47CC34D9"/>
    <w:rsid w:val="47E9061B"/>
    <w:rsid w:val="484245C7"/>
    <w:rsid w:val="485F0B41"/>
    <w:rsid w:val="48664824"/>
    <w:rsid w:val="488D7CFE"/>
    <w:rsid w:val="489A151D"/>
    <w:rsid w:val="48C3303D"/>
    <w:rsid w:val="48D54360"/>
    <w:rsid w:val="49082C45"/>
    <w:rsid w:val="49323FD7"/>
    <w:rsid w:val="493A685C"/>
    <w:rsid w:val="499C7FF5"/>
    <w:rsid w:val="49E347E6"/>
    <w:rsid w:val="4A537B51"/>
    <w:rsid w:val="4A5F5A11"/>
    <w:rsid w:val="4A73237F"/>
    <w:rsid w:val="4B171A5D"/>
    <w:rsid w:val="4B2E4D9C"/>
    <w:rsid w:val="4B3514F5"/>
    <w:rsid w:val="4B3612A5"/>
    <w:rsid w:val="4B7C5E13"/>
    <w:rsid w:val="4BB279F6"/>
    <w:rsid w:val="4BBB626A"/>
    <w:rsid w:val="4C12409B"/>
    <w:rsid w:val="4C3B3438"/>
    <w:rsid w:val="4C3E2B07"/>
    <w:rsid w:val="4C545E87"/>
    <w:rsid w:val="4C9952B8"/>
    <w:rsid w:val="4CA7083A"/>
    <w:rsid w:val="4CD62440"/>
    <w:rsid w:val="4D347E7F"/>
    <w:rsid w:val="4D680AB1"/>
    <w:rsid w:val="4D9B7742"/>
    <w:rsid w:val="4DB57F18"/>
    <w:rsid w:val="4DF73549"/>
    <w:rsid w:val="4E213F25"/>
    <w:rsid w:val="4E9B14FE"/>
    <w:rsid w:val="4EAC5711"/>
    <w:rsid w:val="4EC339EA"/>
    <w:rsid w:val="4EFB7245"/>
    <w:rsid w:val="4F3152AF"/>
    <w:rsid w:val="4FB21842"/>
    <w:rsid w:val="4FD23497"/>
    <w:rsid w:val="4FF268D4"/>
    <w:rsid w:val="4FFF79D5"/>
    <w:rsid w:val="500F43F8"/>
    <w:rsid w:val="502D1A52"/>
    <w:rsid w:val="50591CBD"/>
    <w:rsid w:val="51B2004B"/>
    <w:rsid w:val="51E90E1F"/>
    <w:rsid w:val="5257404F"/>
    <w:rsid w:val="52734456"/>
    <w:rsid w:val="52904232"/>
    <w:rsid w:val="52D15279"/>
    <w:rsid w:val="52E3036A"/>
    <w:rsid w:val="5318364C"/>
    <w:rsid w:val="533303F0"/>
    <w:rsid w:val="53681C82"/>
    <w:rsid w:val="5376551E"/>
    <w:rsid w:val="539B083F"/>
    <w:rsid w:val="53AF7074"/>
    <w:rsid w:val="540753EA"/>
    <w:rsid w:val="54515054"/>
    <w:rsid w:val="54556AEA"/>
    <w:rsid w:val="55131A57"/>
    <w:rsid w:val="55266508"/>
    <w:rsid w:val="5560652A"/>
    <w:rsid w:val="55622629"/>
    <w:rsid w:val="55672065"/>
    <w:rsid w:val="55A22003"/>
    <w:rsid w:val="55A41CB1"/>
    <w:rsid w:val="561C7EED"/>
    <w:rsid w:val="56297134"/>
    <w:rsid w:val="56496D78"/>
    <w:rsid w:val="569C1494"/>
    <w:rsid w:val="56BA7EF6"/>
    <w:rsid w:val="56CE261B"/>
    <w:rsid w:val="56DD03EC"/>
    <w:rsid w:val="577D71D5"/>
    <w:rsid w:val="589B369A"/>
    <w:rsid w:val="58F436AE"/>
    <w:rsid w:val="59A70A18"/>
    <w:rsid w:val="59B86C0B"/>
    <w:rsid w:val="59D9433B"/>
    <w:rsid w:val="5A3A2DDD"/>
    <w:rsid w:val="5A6F22C5"/>
    <w:rsid w:val="5AA46BA6"/>
    <w:rsid w:val="5AA71457"/>
    <w:rsid w:val="5B6A7AEF"/>
    <w:rsid w:val="5BF449CD"/>
    <w:rsid w:val="5BF918A2"/>
    <w:rsid w:val="5C98591B"/>
    <w:rsid w:val="5CEA6D2E"/>
    <w:rsid w:val="5CF01DF5"/>
    <w:rsid w:val="5D61089D"/>
    <w:rsid w:val="5D8774BB"/>
    <w:rsid w:val="5D9362A4"/>
    <w:rsid w:val="5DA23E07"/>
    <w:rsid w:val="5ED07E6A"/>
    <w:rsid w:val="5F4F64BC"/>
    <w:rsid w:val="5F5B5071"/>
    <w:rsid w:val="5FD95E07"/>
    <w:rsid w:val="60136A83"/>
    <w:rsid w:val="60491F52"/>
    <w:rsid w:val="60895096"/>
    <w:rsid w:val="617E6ED3"/>
    <w:rsid w:val="61941C99"/>
    <w:rsid w:val="61A66B3C"/>
    <w:rsid w:val="61AD0E6A"/>
    <w:rsid w:val="61BF0889"/>
    <w:rsid w:val="61CC00DD"/>
    <w:rsid w:val="62093465"/>
    <w:rsid w:val="62184EFE"/>
    <w:rsid w:val="624C125B"/>
    <w:rsid w:val="62B8336A"/>
    <w:rsid w:val="6318629B"/>
    <w:rsid w:val="635F5CFB"/>
    <w:rsid w:val="63936B07"/>
    <w:rsid w:val="63956F5E"/>
    <w:rsid w:val="63A302D2"/>
    <w:rsid w:val="64093EF4"/>
    <w:rsid w:val="641F42FB"/>
    <w:rsid w:val="64337579"/>
    <w:rsid w:val="64441196"/>
    <w:rsid w:val="644B0BAF"/>
    <w:rsid w:val="644E03A0"/>
    <w:rsid w:val="646670BD"/>
    <w:rsid w:val="64865EA4"/>
    <w:rsid w:val="64AD1B28"/>
    <w:rsid w:val="64B430BF"/>
    <w:rsid w:val="64DF440C"/>
    <w:rsid w:val="64FB59A0"/>
    <w:rsid w:val="65091B75"/>
    <w:rsid w:val="65461FDF"/>
    <w:rsid w:val="65517B60"/>
    <w:rsid w:val="6568774A"/>
    <w:rsid w:val="658630FD"/>
    <w:rsid w:val="65BC6440"/>
    <w:rsid w:val="65C06040"/>
    <w:rsid w:val="65C36E7F"/>
    <w:rsid w:val="65D21A26"/>
    <w:rsid w:val="65FA5E5E"/>
    <w:rsid w:val="6632734D"/>
    <w:rsid w:val="663B7430"/>
    <w:rsid w:val="66632270"/>
    <w:rsid w:val="666B27EE"/>
    <w:rsid w:val="66C732FE"/>
    <w:rsid w:val="670100A8"/>
    <w:rsid w:val="671E1CA4"/>
    <w:rsid w:val="672A0BC3"/>
    <w:rsid w:val="6759313A"/>
    <w:rsid w:val="67662831"/>
    <w:rsid w:val="67CF6087"/>
    <w:rsid w:val="67F00EED"/>
    <w:rsid w:val="6832790E"/>
    <w:rsid w:val="683E586C"/>
    <w:rsid w:val="68456BA0"/>
    <w:rsid w:val="687775B2"/>
    <w:rsid w:val="68C27C16"/>
    <w:rsid w:val="68E32CF4"/>
    <w:rsid w:val="69340EAD"/>
    <w:rsid w:val="694401A7"/>
    <w:rsid w:val="69BD6062"/>
    <w:rsid w:val="69FC3D8F"/>
    <w:rsid w:val="6A125484"/>
    <w:rsid w:val="6A1B14A7"/>
    <w:rsid w:val="6A283551"/>
    <w:rsid w:val="6A845F5F"/>
    <w:rsid w:val="6AC364B9"/>
    <w:rsid w:val="6B241A17"/>
    <w:rsid w:val="6B2A0087"/>
    <w:rsid w:val="6B3F3F07"/>
    <w:rsid w:val="6C4909E0"/>
    <w:rsid w:val="6C6D5580"/>
    <w:rsid w:val="6CA125CA"/>
    <w:rsid w:val="6CB33D8F"/>
    <w:rsid w:val="6D25144D"/>
    <w:rsid w:val="6D4B7845"/>
    <w:rsid w:val="6D640E66"/>
    <w:rsid w:val="6D87532F"/>
    <w:rsid w:val="6E0B76B6"/>
    <w:rsid w:val="6E1148C4"/>
    <w:rsid w:val="6E26547D"/>
    <w:rsid w:val="6E2B6677"/>
    <w:rsid w:val="6E517C93"/>
    <w:rsid w:val="6E707DA8"/>
    <w:rsid w:val="6E914282"/>
    <w:rsid w:val="6E9C0F6F"/>
    <w:rsid w:val="6EC9405A"/>
    <w:rsid w:val="6F0E4EC3"/>
    <w:rsid w:val="6F287A92"/>
    <w:rsid w:val="6F5F28E5"/>
    <w:rsid w:val="6F9C3A2B"/>
    <w:rsid w:val="701B08E6"/>
    <w:rsid w:val="704A459A"/>
    <w:rsid w:val="70557737"/>
    <w:rsid w:val="717613C6"/>
    <w:rsid w:val="71AD7318"/>
    <w:rsid w:val="71D35F3A"/>
    <w:rsid w:val="72172CB7"/>
    <w:rsid w:val="72226529"/>
    <w:rsid w:val="72296D6F"/>
    <w:rsid w:val="725C1742"/>
    <w:rsid w:val="726D70E7"/>
    <w:rsid w:val="726F1A54"/>
    <w:rsid w:val="72984493"/>
    <w:rsid w:val="72A63D8F"/>
    <w:rsid w:val="72D53AEE"/>
    <w:rsid w:val="73413276"/>
    <w:rsid w:val="7343331F"/>
    <w:rsid w:val="736E3270"/>
    <w:rsid w:val="737F4F9D"/>
    <w:rsid w:val="73A4DF4B"/>
    <w:rsid w:val="7430043E"/>
    <w:rsid w:val="746766D5"/>
    <w:rsid w:val="747D74F0"/>
    <w:rsid w:val="747F508F"/>
    <w:rsid w:val="74C31ECB"/>
    <w:rsid w:val="74EE0377"/>
    <w:rsid w:val="74FE730D"/>
    <w:rsid w:val="751D1E9F"/>
    <w:rsid w:val="75383CE8"/>
    <w:rsid w:val="7542383D"/>
    <w:rsid w:val="755152D3"/>
    <w:rsid w:val="75942919"/>
    <w:rsid w:val="75AC3D6F"/>
    <w:rsid w:val="76316B17"/>
    <w:rsid w:val="76400D44"/>
    <w:rsid w:val="7641171E"/>
    <w:rsid w:val="76976AE9"/>
    <w:rsid w:val="76B01A68"/>
    <w:rsid w:val="76C21F3C"/>
    <w:rsid w:val="77195A27"/>
    <w:rsid w:val="771A18F7"/>
    <w:rsid w:val="77844FC2"/>
    <w:rsid w:val="779C3BE8"/>
    <w:rsid w:val="77E67A2B"/>
    <w:rsid w:val="77F80350"/>
    <w:rsid w:val="77FD6A5F"/>
    <w:rsid w:val="7802530A"/>
    <w:rsid w:val="78B603E2"/>
    <w:rsid w:val="78C673B0"/>
    <w:rsid w:val="79C124FE"/>
    <w:rsid w:val="79D570A0"/>
    <w:rsid w:val="79E61F64"/>
    <w:rsid w:val="7A461828"/>
    <w:rsid w:val="7A4F1ADE"/>
    <w:rsid w:val="7A6F1873"/>
    <w:rsid w:val="7AAA36FF"/>
    <w:rsid w:val="7B1D066B"/>
    <w:rsid w:val="7B524B8D"/>
    <w:rsid w:val="7BE10C35"/>
    <w:rsid w:val="7BE238EE"/>
    <w:rsid w:val="7C0679E4"/>
    <w:rsid w:val="7C184CBA"/>
    <w:rsid w:val="7C2843FE"/>
    <w:rsid w:val="7C9C4E59"/>
    <w:rsid w:val="7C9C658A"/>
    <w:rsid w:val="7CCC186D"/>
    <w:rsid w:val="7DB704CD"/>
    <w:rsid w:val="7E04739F"/>
    <w:rsid w:val="7E092C14"/>
    <w:rsid w:val="7E096221"/>
    <w:rsid w:val="7E2F1D63"/>
    <w:rsid w:val="7F7372B9"/>
    <w:rsid w:val="7F995BC5"/>
    <w:rsid w:val="7FCA0930"/>
    <w:rsid w:val="BBEFA1D6"/>
    <w:rsid w:val="BFEE6B78"/>
    <w:rsid w:val="FFFF5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4"/>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5"/>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tabs>
        <w:tab w:val="left" w:pos="2155"/>
      </w:tabs>
      <w:spacing w:before="120" w:line="360" w:lineRule="auto"/>
      <w:ind w:left="2155" w:hanging="1078"/>
      <w:textAlignment w:val="baseline"/>
      <w:outlineLvl w:val="3"/>
    </w:pPr>
    <w:rPr>
      <w:rFonts w:ascii="Arial" w:eastAsia="黑体"/>
      <w:sz w:val="28"/>
      <w:szCs w:val="20"/>
    </w:rPr>
  </w:style>
  <w:style w:type="paragraph" w:styleId="7">
    <w:name w:val="heading 5"/>
    <w:basedOn w:val="1"/>
    <w:next w:val="8"/>
    <w:link w:val="66"/>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67"/>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68"/>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69"/>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70"/>
    <w:qFormat/>
    <w:uiPriority w:val="0"/>
    <w:pPr>
      <w:keepNext/>
      <w:keepLines/>
      <w:numPr>
        <w:ilvl w:val="8"/>
        <w:numId w:val="1"/>
      </w:numPr>
      <w:spacing w:before="240" w:after="64" w:line="320"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8">
    <w:name w:val="Normal Indent"/>
    <w:basedOn w:val="1"/>
    <w:qFormat/>
    <w:uiPriority w:val="0"/>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71"/>
    <w:unhideWhenUsed/>
    <w:qFormat/>
    <w:uiPriority w:val="0"/>
    <w:pPr>
      <w:shd w:val="clear" w:color="auto" w:fill="000080"/>
    </w:pPr>
    <w:rPr>
      <w:rFonts w:hint="eastAsia" w:ascii="宋体" w:hAnsi="宋体"/>
      <w:kern w:val="0"/>
      <w:sz w:val="20"/>
      <w:szCs w:val="20"/>
    </w:rPr>
  </w:style>
  <w:style w:type="paragraph" w:styleId="18">
    <w:name w:val="annotation text"/>
    <w:basedOn w:val="1"/>
    <w:link w:val="72"/>
    <w:unhideWhenUsed/>
    <w:qFormat/>
    <w:uiPriority w:val="0"/>
    <w:pPr>
      <w:jc w:val="left"/>
    </w:pPr>
  </w:style>
  <w:style w:type="paragraph" w:styleId="19">
    <w:name w:val="Body Text 3"/>
    <w:basedOn w:val="1"/>
    <w:link w:val="73"/>
    <w:qFormat/>
    <w:uiPriority w:val="0"/>
    <w:pPr>
      <w:spacing w:line="500" w:lineRule="exact"/>
    </w:pPr>
    <w:rPr>
      <w:b/>
      <w:bCs/>
      <w:kern w:val="0"/>
      <w:sz w:val="24"/>
    </w:rPr>
  </w:style>
  <w:style w:type="paragraph" w:styleId="20">
    <w:name w:val="Body Text"/>
    <w:basedOn w:val="1"/>
    <w:next w:val="1"/>
    <w:link w:val="74"/>
    <w:qFormat/>
    <w:uiPriority w:val="99"/>
    <w:pPr>
      <w:spacing w:line="380" w:lineRule="exact"/>
    </w:pPr>
    <w:rPr>
      <w:kern w:val="0"/>
      <w:sz w:val="24"/>
    </w:rPr>
  </w:style>
  <w:style w:type="paragraph" w:styleId="21">
    <w:name w:val="Body Text Indent"/>
    <w:basedOn w:val="1"/>
    <w:next w:val="22"/>
    <w:link w:val="75"/>
    <w:qFormat/>
    <w:uiPriority w:val="0"/>
    <w:pPr>
      <w:ind w:firstLine="830" w:firstLineChars="352"/>
    </w:pPr>
    <w:rPr>
      <w:rFonts w:ascii="仿宋_GB2312" w:eastAsia="仿宋_GB2312"/>
      <w:kern w:val="0"/>
      <w:sz w:val="32"/>
      <w:szCs w:val="20"/>
    </w:rPr>
  </w:style>
  <w:style w:type="paragraph" w:styleId="22">
    <w:name w:val="envelope return"/>
    <w:basedOn w:val="1"/>
    <w:qFormat/>
    <w:uiPriority w:val="0"/>
    <w:pPr>
      <w:snapToGrid w:val="0"/>
    </w:pPr>
    <w:rPr>
      <w:rFonts w:ascii="Arial" w:hAnsi="Arial"/>
    </w:rPr>
  </w:style>
  <w:style w:type="paragraph" w:styleId="23">
    <w:name w:val="List Number 3"/>
    <w:basedOn w:val="1"/>
    <w:qFormat/>
    <w:uiPriority w:val="0"/>
    <w:pPr>
      <w:numPr>
        <w:ilvl w:val="0"/>
        <w:numId w:val="2"/>
      </w:numPr>
    </w:pPr>
  </w:style>
  <w:style w:type="paragraph" w:styleId="24">
    <w:name w:val="List 2"/>
    <w:basedOn w:val="1"/>
    <w:qFormat/>
    <w:uiPriority w:val="0"/>
    <w:pPr>
      <w:ind w:left="100" w:leftChars="200" w:hanging="200" w:hangingChars="200"/>
    </w:pPr>
    <w:rPr>
      <w:sz w:val="28"/>
    </w:rPr>
  </w:style>
  <w:style w:type="paragraph" w:styleId="25">
    <w:name w:val="toc 5"/>
    <w:basedOn w:val="1"/>
    <w:next w:val="1"/>
    <w:unhideWhenUsed/>
    <w:qFormat/>
    <w:uiPriority w:val="39"/>
    <w:pPr>
      <w:ind w:left="1680" w:leftChars="800"/>
    </w:pPr>
    <w:rPr>
      <w:rFonts w:ascii="Calibri" w:hAnsi="Calibri"/>
      <w:szCs w:val="22"/>
    </w:rPr>
  </w:style>
  <w:style w:type="paragraph" w:styleId="26">
    <w:name w:val="toc 3"/>
    <w:basedOn w:val="1"/>
    <w:next w:val="1"/>
    <w:unhideWhenUsed/>
    <w:qFormat/>
    <w:uiPriority w:val="39"/>
    <w:pPr>
      <w:ind w:left="840" w:leftChars="400"/>
    </w:pPr>
    <w:rPr>
      <w:rFonts w:ascii="Calibri" w:hAnsi="Calibri"/>
      <w:szCs w:val="22"/>
    </w:rPr>
  </w:style>
  <w:style w:type="paragraph" w:styleId="27">
    <w:name w:val="Plain Text"/>
    <w:basedOn w:val="1"/>
    <w:next w:val="14"/>
    <w:link w:val="76"/>
    <w:qFormat/>
    <w:uiPriority w:val="0"/>
    <w:rPr>
      <w:rFonts w:ascii="宋体" w:hAnsi="Courier New"/>
      <w:kern w:val="0"/>
      <w:sz w:val="20"/>
      <w:szCs w:val="21"/>
    </w:rPr>
  </w:style>
  <w:style w:type="paragraph" w:styleId="28">
    <w:name w:val="toc 8"/>
    <w:basedOn w:val="1"/>
    <w:next w:val="1"/>
    <w:unhideWhenUsed/>
    <w:qFormat/>
    <w:uiPriority w:val="39"/>
    <w:pPr>
      <w:ind w:left="2940" w:leftChars="1400"/>
    </w:pPr>
    <w:rPr>
      <w:rFonts w:ascii="Calibri" w:hAnsi="Calibri"/>
      <w:szCs w:val="22"/>
    </w:rPr>
  </w:style>
  <w:style w:type="paragraph" w:styleId="29">
    <w:name w:val="Date"/>
    <w:basedOn w:val="1"/>
    <w:next w:val="1"/>
    <w:link w:val="77"/>
    <w:qFormat/>
    <w:uiPriority w:val="0"/>
    <w:pPr>
      <w:ind w:left="100" w:leftChars="2500"/>
    </w:pPr>
    <w:rPr>
      <w:rFonts w:ascii="宋体" w:hAnsi="Courier New"/>
      <w:kern w:val="0"/>
      <w:sz w:val="20"/>
      <w:szCs w:val="21"/>
    </w:rPr>
  </w:style>
  <w:style w:type="paragraph" w:styleId="30">
    <w:name w:val="Body Text Indent 2"/>
    <w:basedOn w:val="1"/>
    <w:link w:val="78"/>
    <w:qFormat/>
    <w:uiPriority w:val="0"/>
    <w:pPr>
      <w:ind w:firstLine="630"/>
    </w:pPr>
    <w:rPr>
      <w:kern w:val="0"/>
      <w:sz w:val="32"/>
      <w:szCs w:val="20"/>
    </w:rPr>
  </w:style>
  <w:style w:type="paragraph" w:styleId="31">
    <w:name w:val="endnote text"/>
    <w:basedOn w:val="1"/>
    <w:link w:val="79"/>
    <w:unhideWhenUsed/>
    <w:qFormat/>
    <w:uiPriority w:val="99"/>
    <w:pPr>
      <w:snapToGrid w:val="0"/>
      <w:jc w:val="left"/>
    </w:pPr>
  </w:style>
  <w:style w:type="paragraph" w:styleId="32">
    <w:name w:val="Balloon Text"/>
    <w:basedOn w:val="1"/>
    <w:link w:val="80"/>
    <w:semiHidden/>
    <w:qFormat/>
    <w:uiPriority w:val="0"/>
    <w:rPr>
      <w:kern w:val="0"/>
      <w:sz w:val="18"/>
      <w:szCs w:val="18"/>
    </w:rPr>
  </w:style>
  <w:style w:type="paragraph" w:styleId="33">
    <w:name w:val="footer"/>
    <w:basedOn w:val="1"/>
    <w:link w:val="62"/>
    <w:unhideWhenUsed/>
    <w:qFormat/>
    <w:uiPriority w:val="99"/>
    <w:pPr>
      <w:tabs>
        <w:tab w:val="center" w:pos="4153"/>
        <w:tab w:val="right" w:pos="8306"/>
      </w:tabs>
      <w:snapToGrid w:val="0"/>
      <w:jc w:val="left"/>
    </w:pPr>
    <w:rPr>
      <w:kern w:val="0"/>
      <w:sz w:val="18"/>
      <w:szCs w:val="18"/>
    </w:rPr>
  </w:style>
  <w:style w:type="paragraph" w:styleId="34">
    <w:name w:val="header"/>
    <w:basedOn w:val="1"/>
    <w:link w:val="81"/>
    <w:unhideWhenUsed/>
    <w:qFormat/>
    <w:uiPriority w:val="99"/>
    <w:pPr>
      <w:pBdr>
        <w:bottom w:val="single" w:color="auto" w:sz="6" w:space="1"/>
      </w:pBdr>
      <w:tabs>
        <w:tab w:val="center" w:pos="0"/>
        <w:tab w:val="left" w:pos="8306"/>
      </w:tabs>
      <w:snapToGrid w:val="0"/>
      <w:jc w:val="center"/>
    </w:pPr>
    <w:rPr>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unhideWhenUsed/>
    <w:qFormat/>
    <w:uiPriority w:val="39"/>
    <w:pPr>
      <w:ind w:left="1260" w:leftChars="600"/>
    </w:pPr>
    <w:rPr>
      <w:rFonts w:ascii="Calibri" w:hAnsi="Calibri"/>
      <w:szCs w:val="22"/>
    </w:rPr>
  </w:style>
  <w:style w:type="paragraph" w:styleId="37">
    <w:name w:val="List"/>
    <w:basedOn w:val="1"/>
    <w:qFormat/>
    <w:uiPriority w:val="0"/>
    <w:pPr>
      <w:ind w:left="200" w:hanging="200" w:hangingChars="200"/>
    </w:pPr>
    <w:rPr>
      <w:sz w:val="28"/>
    </w:rPr>
  </w:style>
  <w:style w:type="paragraph" w:styleId="38">
    <w:name w:val="footnote text"/>
    <w:basedOn w:val="1"/>
    <w:link w:val="82"/>
    <w:unhideWhenUsed/>
    <w:qFormat/>
    <w:uiPriority w:val="99"/>
    <w:pPr>
      <w:snapToGrid w:val="0"/>
      <w:jc w:val="left"/>
    </w:pPr>
    <w:rPr>
      <w:sz w:val="18"/>
      <w:szCs w:val="18"/>
    </w:rPr>
  </w:style>
  <w:style w:type="paragraph" w:styleId="39">
    <w:name w:val="toc 6"/>
    <w:basedOn w:val="1"/>
    <w:next w:val="1"/>
    <w:unhideWhenUsed/>
    <w:qFormat/>
    <w:uiPriority w:val="39"/>
    <w:pPr>
      <w:ind w:left="2100" w:leftChars="1000"/>
    </w:pPr>
    <w:rPr>
      <w:rFonts w:ascii="Calibri" w:hAnsi="Calibri"/>
      <w:szCs w:val="22"/>
    </w:rPr>
  </w:style>
  <w:style w:type="paragraph" w:styleId="40">
    <w:name w:val="Body Text Indent 3"/>
    <w:basedOn w:val="1"/>
    <w:link w:val="83"/>
    <w:qFormat/>
    <w:uiPriority w:val="0"/>
    <w:pPr>
      <w:spacing w:after="120"/>
      <w:ind w:left="420" w:leftChars="200"/>
    </w:pPr>
    <w:rPr>
      <w:kern w:val="0"/>
      <w:sz w:val="16"/>
      <w:szCs w:val="16"/>
    </w:rPr>
  </w:style>
  <w:style w:type="paragraph" w:styleId="41">
    <w:name w:val="toc 2"/>
    <w:basedOn w:val="1"/>
    <w:next w:val="1"/>
    <w:unhideWhenUsed/>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84"/>
    <w:qFormat/>
    <w:uiPriority w:val="0"/>
    <w:pPr>
      <w:spacing w:after="120" w:line="480" w:lineRule="auto"/>
    </w:pPr>
    <w:rPr>
      <w:kern w:val="0"/>
      <w:sz w:val="20"/>
    </w:rPr>
  </w:style>
  <w:style w:type="paragraph" w:styleId="44">
    <w:name w:val="Normal (Web)"/>
    <w:basedOn w:val="1"/>
    <w:qFormat/>
    <w:uiPriority w:val="99"/>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spacing w:line="400" w:lineRule="exact"/>
      <w:ind w:firstLine="420" w:firstLineChars="200"/>
    </w:pPr>
    <w:rPr>
      <w:rFonts w:ascii="宋体" w:hAnsi="Courier New"/>
      <w:b/>
      <w:szCs w:val="20"/>
    </w:rPr>
  </w:style>
  <w:style w:type="paragraph" w:styleId="46">
    <w:name w:val="Title"/>
    <w:basedOn w:val="1"/>
    <w:next w:val="1"/>
    <w:link w:val="85"/>
    <w:qFormat/>
    <w:uiPriority w:val="10"/>
    <w:pPr>
      <w:spacing w:before="240" w:after="60"/>
      <w:jc w:val="center"/>
      <w:outlineLvl w:val="0"/>
    </w:pPr>
    <w:rPr>
      <w:rFonts w:ascii="Cambria" w:hAnsi="Cambria"/>
      <w:b/>
      <w:bCs/>
      <w:sz w:val="32"/>
      <w:szCs w:val="32"/>
    </w:rPr>
  </w:style>
  <w:style w:type="paragraph" w:styleId="47">
    <w:name w:val="annotation subject"/>
    <w:basedOn w:val="18"/>
    <w:next w:val="18"/>
    <w:link w:val="86"/>
    <w:unhideWhenUsed/>
    <w:qFormat/>
    <w:uiPriority w:val="99"/>
    <w:rPr>
      <w:b/>
      <w:bCs/>
    </w:rPr>
  </w:style>
  <w:style w:type="paragraph" w:styleId="48">
    <w:name w:val="Body Text First Indent"/>
    <w:basedOn w:val="20"/>
    <w:unhideWhenUsed/>
    <w:qFormat/>
    <w:uiPriority w:val="0"/>
    <w:pPr>
      <w:tabs>
        <w:tab w:val="left" w:pos="987"/>
      </w:tabs>
      <w:spacing w:line="240" w:lineRule="auto"/>
      <w:ind w:firstLine="420" w:firstLineChars="100"/>
    </w:pPr>
    <w:rPr>
      <w:kern w:val="2"/>
      <w:sz w:val="21"/>
    </w:rPr>
  </w:style>
  <w:style w:type="paragraph" w:styleId="49">
    <w:name w:val="Body Text First Indent 2"/>
    <w:basedOn w:val="21"/>
    <w:unhideWhenUsed/>
    <w:qFormat/>
    <w:uiPriority w:val="0"/>
    <w:pPr>
      <w:ind w:firstLine="420" w:firstLineChars="200"/>
    </w:p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22"/>
    <w:rPr>
      <w:b/>
    </w:rPr>
  </w:style>
  <w:style w:type="character" w:styleId="54">
    <w:name w:val="endnote reference"/>
    <w:unhideWhenUsed/>
    <w:qFormat/>
    <w:uiPriority w:val="99"/>
    <w:rPr>
      <w:vertAlign w:val="superscript"/>
    </w:rPr>
  </w:style>
  <w:style w:type="character" w:styleId="55">
    <w:name w:val="page number"/>
    <w:qFormat/>
    <w:uiPriority w:val="0"/>
  </w:style>
  <w:style w:type="character" w:styleId="56">
    <w:name w:val="FollowedHyperlink"/>
    <w:qFormat/>
    <w:uiPriority w:val="0"/>
    <w:rPr>
      <w:color w:val="800080"/>
      <w:u w:val="single"/>
    </w:rPr>
  </w:style>
  <w:style w:type="character" w:styleId="57">
    <w:name w:val="Emphasis"/>
    <w:basedOn w:val="52"/>
    <w:qFormat/>
    <w:uiPriority w:val="20"/>
    <w:rPr>
      <w:i/>
    </w:rPr>
  </w:style>
  <w:style w:type="character" w:styleId="58">
    <w:name w:val="Hyperlink"/>
    <w:qFormat/>
    <w:uiPriority w:val="99"/>
    <w:rPr>
      <w:color w:val="0000FF"/>
      <w:u w:val="single"/>
    </w:rPr>
  </w:style>
  <w:style w:type="character" w:styleId="59">
    <w:name w:val="annotation reference"/>
    <w:basedOn w:val="52"/>
    <w:unhideWhenUsed/>
    <w:qFormat/>
    <w:uiPriority w:val="0"/>
    <w:rPr>
      <w:sz w:val="21"/>
      <w:szCs w:val="21"/>
    </w:rPr>
  </w:style>
  <w:style w:type="character" w:styleId="60">
    <w:name w:val="footnote reference"/>
    <w:unhideWhenUsed/>
    <w:qFormat/>
    <w:uiPriority w:val="99"/>
    <w:rPr>
      <w:vertAlign w:val="superscript"/>
    </w:rPr>
  </w:style>
  <w:style w:type="paragraph" w:customStyle="1" w:styleId="61">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2">
    <w:name w:val="页脚 字符1"/>
    <w:link w:val="33"/>
    <w:qFormat/>
    <w:uiPriority w:val="99"/>
    <w:rPr>
      <w:sz w:val="18"/>
      <w:szCs w:val="18"/>
    </w:rPr>
  </w:style>
  <w:style w:type="character" w:customStyle="1" w:styleId="63">
    <w:name w:val="标题 1 字符1"/>
    <w:link w:val="3"/>
    <w:qFormat/>
    <w:uiPriority w:val="0"/>
    <w:rPr>
      <w:rFonts w:ascii="Times New Roman" w:hAnsi="Times New Roman" w:eastAsia="宋体" w:cs="Times New Roman"/>
      <w:b/>
      <w:bCs/>
      <w:kern w:val="44"/>
      <w:sz w:val="44"/>
      <w:szCs w:val="44"/>
    </w:rPr>
  </w:style>
  <w:style w:type="character" w:customStyle="1" w:styleId="64">
    <w:name w:val="标题 2 字符"/>
    <w:link w:val="4"/>
    <w:qFormat/>
    <w:uiPriority w:val="0"/>
    <w:rPr>
      <w:rFonts w:ascii="Arial" w:hAnsi="Arial" w:eastAsia="黑体" w:cs="Times New Roman"/>
      <w:b/>
      <w:bCs/>
      <w:sz w:val="32"/>
      <w:szCs w:val="32"/>
    </w:rPr>
  </w:style>
  <w:style w:type="character" w:customStyle="1" w:styleId="65">
    <w:name w:val="标题 3 字符"/>
    <w:link w:val="5"/>
    <w:qFormat/>
    <w:uiPriority w:val="0"/>
    <w:rPr>
      <w:rFonts w:ascii="Times New Roman" w:hAnsi="Times New Roman" w:eastAsia="宋体" w:cs="Times New Roman"/>
      <w:b/>
      <w:bCs/>
      <w:sz w:val="32"/>
      <w:szCs w:val="32"/>
    </w:rPr>
  </w:style>
  <w:style w:type="character" w:customStyle="1" w:styleId="66">
    <w:name w:val="标题 5 字符"/>
    <w:link w:val="7"/>
    <w:qFormat/>
    <w:uiPriority w:val="0"/>
    <w:rPr>
      <w:b/>
      <w:kern w:val="2"/>
      <w:sz w:val="28"/>
      <w:szCs w:val="24"/>
    </w:rPr>
  </w:style>
  <w:style w:type="character" w:customStyle="1" w:styleId="67">
    <w:name w:val="标题 6 字符"/>
    <w:link w:val="9"/>
    <w:qFormat/>
    <w:uiPriority w:val="0"/>
    <w:rPr>
      <w:rFonts w:ascii="Arial" w:hAnsi="Arial" w:eastAsia="黑体"/>
      <w:b/>
      <w:kern w:val="2"/>
      <w:sz w:val="24"/>
      <w:szCs w:val="24"/>
    </w:rPr>
  </w:style>
  <w:style w:type="character" w:customStyle="1" w:styleId="68">
    <w:name w:val="标题 7 字符"/>
    <w:link w:val="10"/>
    <w:qFormat/>
    <w:uiPriority w:val="0"/>
    <w:rPr>
      <w:rFonts w:ascii="Times New Roman" w:hAnsi="Times New Roman"/>
      <w:b/>
      <w:kern w:val="2"/>
      <w:sz w:val="24"/>
      <w:szCs w:val="24"/>
    </w:rPr>
  </w:style>
  <w:style w:type="character" w:customStyle="1" w:styleId="69">
    <w:name w:val="标题 8 字符"/>
    <w:link w:val="11"/>
    <w:qFormat/>
    <w:uiPriority w:val="0"/>
    <w:rPr>
      <w:rFonts w:ascii="Arial" w:hAnsi="Arial" w:eastAsia="黑体"/>
      <w:kern w:val="2"/>
      <w:sz w:val="24"/>
      <w:szCs w:val="24"/>
    </w:rPr>
  </w:style>
  <w:style w:type="character" w:customStyle="1" w:styleId="70">
    <w:name w:val="标题 9 字符"/>
    <w:link w:val="12"/>
    <w:qFormat/>
    <w:uiPriority w:val="0"/>
    <w:rPr>
      <w:rFonts w:ascii="Arial" w:hAnsi="Arial" w:eastAsia="黑体"/>
      <w:kern w:val="2"/>
      <w:sz w:val="21"/>
      <w:szCs w:val="24"/>
    </w:rPr>
  </w:style>
  <w:style w:type="character" w:customStyle="1" w:styleId="71">
    <w:name w:val="文档结构图 字符"/>
    <w:link w:val="17"/>
    <w:qFormat/>
    <w:uiPriority w:val="0"/>
    <w:rPr>
      <w:rFonts w:hint="eastAsia" w:ascii="宋体" w:hAnsi="宋体" w:eastAsia="宋体" w:cs="宋体"/>
    </w:rPr>
  </w:style>
  <w:style w:type="character" w:customStyle="1" w:styleId="72">
    <w:name w:val="批注文字 字符2"/>
    <w:link w:val="18"/>
    <w:qFormat/>
    <w:uiPriority w:val="0"/>
    <w:rPr>
      <w:rFonts w:ascii="Times New Roman" w:hAnsi="Times New Roman"/>
      <w:kern w:val="2"/>
      <w:sz w:val="21"/>
      <w:szCs w:val="24"/>
    </w:rPr>
  </w:style>
  <w:style w:type="character" w:customStyle="1" w:styleId="73">
    <w:name w:val="正文文本 3 字符"/>
    <w:link w:val="19"/>
    <w:qFormat/>
    <w:uiPriority w:val="0"/>
    <w:rPr>
      <w:rFonts w:ascii="Times New Roman" w:hAnsi="Times New Roman" w:eastAsia="宋体" w:cs="Times New Roman"/>
      <w:b/>
      <w:bCs/>
      <w:sz w:val="24"/>
      <w:szCs w:val="24"/>
    </w:rPr>
  </w:style>
  <w:style w:type="character" w:customStyle="1" w:styleId="74">
    <w:name w:val="正文文本 字符"/>
    <w:link w:val="20"/>
    <w:qFormat/>
    <w:uiPriority w:val="99"/>
    <w:rPr>
      <w:rFonts w:ascii="Times New Roman" w:hAnsi="Times New Roman" w:eastAsia="宋体" w:cs="Times New Roman"/>
      <w:sz w:val="24"/>
      <w:szCs w:val="24"/>
    </w:rPr>
  </w:style>
  <w:style w:type="character" w:customStyle="1" w:styleId="75">
    <w:name w:val="正文文本缩进 字符1"/>
    <w:link w:val="21"/>
    <w:qFormat/>
    <w:uiPriority w:val="0"/>
    <w:rPr>
      <w:rFonts w:ascii="仿宋_GB2312" w:hAnsi="Times New Roman" w:eastAsia="仿宋_GB2312" w:cs="Times New Roman"/>
      <w:sz w:val="32"/>
      <w:szCs w:val="20"/>
    </w:rPr>
  </w:style>
  <w:style w:type="character" w:customStyle="1" w:styleId="76">
    <w:name w:val="纯文本 字符2"/>
    <w:link w:val="27"/>
    <w:qFormat/>
    <w:uiPriority w:val="0"/>
    <w:rPr>
      <w:rFonts w:ascii="宋体" w:hAnsi="Courier New" w:eastAsia="宋体" w:cs="Courier New"/>
      <w:szCs w:val="21"/>
    </w:rPr>
  </w:style>
  <w:style w:type="character" w:customStyle="1" w:styleId="77">
    <w:name w:val="日期 字符"/>
    <w:link w:val="29"/>
    <w:qFormat/>
    <w:uiPriority w:val="0"/>
    <w:rPr>
      <w:rFonts w:ascii="宋体" w:hAnsi="Courier New" w:eastAsia="宋体" w:cs="Courier New"/>
      <w:szCs w:val="21"/>
    </w:rPr>
  </w:style>
  <w:style w:type="character" w:customStyle="1" w:styleId="78">
    <w:name w:val="正文文本缩进 2 字符"/>
    <w:link w:val="30"/>
    <w:qFormat/>
    <w:uiPriority w:val="0"/>
    <w:rPr>
      <w:rFonts w:ascii="Times New Roman" w:hAnsi="Times New Roman" w:eastAsia="宋体" w:cs="Times New Roman"/>
      <w:sz w:val="32"/>
      <w:szCs w:val="20"/>
    </w:rPr>
  </w:style>
  <w:style w:type="character" w:customStyle="1" w:styleId="79">
    <w:name w:val="尾注文本 字符"/>
    <w:link w:val="31"/>
    <w:semiHidden/>
    <w:qFormat/>
    <w:uiPriority w:val="99"/>
    <w:rPr>
      <w:rFonts w:ascii="Times New Roman" w:hAnsi="Times New Roman"/>
      <w:kern w:val="2"/>
      <w:sz w:val="21"/>
      <w:szCs w:val="24"/>
    </w:rPr>
  </w:style>
  <w:style w:type="character" w:customStyle="1" w:styleId="80">
    <w:name w:val="批注框文本 字符"/>
    <w:link w:val="32"/>
    <w:semiHidden/>
    <w:qFormat/>
    <w:uiPriority w:val="0"/>
    <w:rPr>
      <w:rFonts w:ascii="Times New Roman" w:hAnsi="Times New Roman" w:eastAsia="宋体" w:cs="Times New Roman"/>
      <w:sz w:val="18"/>
      <w:szCs w:val="18"/>
    </w:rPr>
  </w:style>
  <w:style w:type="character" w:customStyle="1" w:styleId="81">
    <w:name w:val="页眉 字符"/>
    <w:link w:val="34"/>
    <w:qFormat/>
    <w:uiPriority w:val="99"/>
    <w:rPr>
      <w:rFonts w:ascii="Times New Roman" w:hAnsi="Times New Roman"/>
      <w:kern w:val="2"/>
      <w:sz w:val="18"/>
      <w:szCs w:val="18"/>
    </w:rPr>
  </w:style>
  <w:style w:type="character" w:customStyle="1" w:styleId="82">
    <w:name w:val="脚注文本 字符"/>
    <w:link w:val="38"/>
    <w:semiHidden/>
    <w:qFormat/>
    <w:uiPriority w:val="99"/>
    <w:rPr>
      <w:rFonts w:ascii="Times New Roman" w:hAnsi="Times New Roman"/>
      <w:kern w:val="2"/>
      <w:sz w:val="18"/>
      <w:szCs w:val="18"/>
    </w:rPr>
  </w:style>
  <w:style w:type="character" w:customStyle="1" w:styleId="83">
    <w:name w:val="正文文本缩进 3 字符"/>
    <w:link w:val="40"/>
    <w:qFormat/>
    <w:uiPriority w:val="0"/>
    <w:rPr>
      <w:rFonts w:ascii="Times New Roman" w:hAnsi="Times New Roman" w:eastAsia="宋体" w:cs="Times New Roman"/>
      <w:sz w:val="16"/>
      <w:szCs w:val="16"/>
    </w:rPr>
  </w:style>
  <w:style w:type="character" w:customStyle="1" w:styleId="84">
    <w:name w:val="正文文本 2 字符"/>
    <w:link w:val="43"/>
    <w:qFormat/>
    <w:uiPriority w:val="0"/>
    <w:rPr>
      <w:rFonts w:ascii="Times New Roman" w:hAnsi="Times New Roman" w:eastAsia="宋体" w:cs="Times New Roman"/>
      <w:szCs w:val="24"/>
    </w:rPr>
  </w:style>
  <w:style w:type="character" w:customStyle="1" w:styleId="85">
    <w:name w:val="标题 字符"/>
    <w:link w:val="46"/>
    <w:qFormat/>
    <w:uiPriority w:val="10"/>
    <w:rPr>
      <w:rFonts w:ascii="Cambria" w:hAnsi="Cambria" w:cs="Times New Roman"/>
      <w:b/>
      <w:bCs/>
      <w:kern w:val="2"/>
      <w:sz w:val="32"/>
      <w:szCs w:val="32"/>
    </w:rPr>
  </w:style>
  <w:style w:type="character" w:customStyle="1" w:styleId="86">
    <w:name w:val="批注主题 字符"/>
    <w:link w:val="47"/>
    <w:semiHidden/>
    <w:qFormat/>
    <w:uiPriority w:val="99"/>
    <w:rPr>
      <w:rFonts w:ascii="Times New Roman" w:hAnsi="Times New Roman"/>
      <w:b/>
      <w:bCs/>
      <w:kern w:val="2"/>
      <w:sz w:val="21"/>
      <w:szCs w:val="24"/>
    </w:rPr>
  </w:style>
  <w:style w:type="paragraph" w:customStyle="1" w:styleId="87">
    <w:name w:val="表格文字115"/>
    <w:basedOn w:val="1"/>
    <w:qFormat/>
    <w:uiPriority w:val="0"/>
    <w:pPr>
      <w:spacing w:before="25" w:after="25"/>
      <w:jc w:val="left"/>
    </w:pPr>
    <w:rPr>
      <w:bCs/>
      <w:spacing w:val="10"/>
      <w:kern w:val="0"/>
      <w:sz w:val="24"/>
    </w:rPr>
  </w:style>
  <w:style w:type="character" w:customStyle="1" w:styleId="88">
    <w:name w:val="页脚 字符"/>
    <w:qFormat/>
    <w:uiPriority w:val="99"/>
  </w:style>
  <w:style w:type="character" w:customStyle="1" w:styleId="89">
    <w:name w:val="纯文本 字符"/>
    <w:qFormat/>
    <w:uiPriority w:val="0"/>
    <w:rPr>
      <w:rFonts w:ascii="宋体" w:hAnsi="Courier New" w:eastAsia="宋体" w:cs="Courier New"/>
      <w:szCs w:val="21"/>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font41"/>
    <w:basedOn w:val="52"/>
    <w:qFormat/>
    <w:uiPriority w:val="0"/>
    <w:rPr>
      <w:rFonts w:hint="eastAsia" w:ascii="宋体" w:hAnsi="宋体" w:eastAsia="宋体" w:cs="宋体"/>
      <w:color w:val="000000"/>
      <w:sz w:val="20"/>
      <w:szCs w:val="20"/>
      <w:u w:val="none"/>
    </w:rPr>
  </w:style>
  <w:style w:type="character" w:customStyle="1" w:styleId="92">
    <w:name w:val="批注文字 字符1"/>
    <w:qFormat/>
    <w:uiPriority w:val="0"/>
    <w:rPr>
      <w:rFonts w:ascii="Times New Roman" w:hAnsi="Times New Roman"/>
      <w:kern w:val="2"/>
      <w:sz w:val="21"/>
      <w:szCs w:val="24"/>
    </w:rPr>
  </w:style>
  <w:style w:type="character" w:customStyle="1" w:styleId="93">
    <w:name w:val="批注文字 字符"/>
    <w:qFormat/>
    <w:uiPriority w:val="0"/>
    <w:rPr>
      <w:rFonts w:ascii="Times New Roman" w:hAnsi="Times New Roman"/>
      <w:kern w:val="2"/>
      <w:sz w:val="21"/>
      <w:szCs w:val="24"/>
    </w:rPr>
  </w:style>
  <w:style w:type="character" w:customStyle="1" w:styleId="94">
    <w:name w:val="case31"/>
    <w:qFormat/>
    <w:uiPriority w:val="0"/>
    <w:rPr>
      <w:rFonts w:hint="default" w:ascii="_x000B__x000C_" w:hAnsi="_x000B__x000C_"/>
      <w:sz w:val="21"/>
      <w:szCs w:val="21"/>
    </w:rPr>
  </w:style>
  <w:style w:type="character" w:customStyle="1" w:styleId="95">
    <w:name w:val="标题 5 Char"/>
    <w:qFormat/>
    <w:uiPriority w:val="0"/>
    <w:rPr>
      <w:b/>
      <w:kern w:val="2"/>
      <w:sz w:val="28"/>
      <w:szCs w:val="24"/>
    </w:rPr>
  </w:style>
  <w:style w:type="character" w:customStyle="1" w:styleId="96">
    <w:name w:val="正文2 Char Char"/>
    <w:link w:val="97"/>
    <w:qFormat/>
    <w:uiPriority w:val="0"/>
    <w:rPr>
      <w:kern w:val="2"/>
      <w:sz w:val="24"/>
    </w:rPr>
  </w:style>
  <w:style w:type="paragraph" w:customStyle="1" w:styleId="97">
    <w:name w:val="正文2"/>
    <w:basedOn w:val="1"/>
    <w:link w:val="96"/>
    <w:qFormat/>
    <w:uiPriority w:val="0"/>
    <w:pPr>
      <w:adjustRightInd w:val="0"/>
      <w:spacing w:before="156" w:line="360" w:lineRule="auto"/>
      <w:ind w:firstLine="510" w:firstLineChars="200"/>
    </w:pPr>
    <w:rPr>
      <w:sz w:val="24"/>
      <w:szCs w:val="20"/>
    </w:rPr>
  </w:style>
  <w:style w:type="character" w:customStyle="1" w:styleId="98">
    <w:name w:val="纯文本 字符1"/>
    <w:qFormat/>
    <w:uiPriority w:val="0"/>
    <w:rPr>
      <w:rFonts w:ascii="宋体" w:hAnsi="Courier New"/>
    </w:rPr>
  </w:style>
  <w:style w:type="character" w:customStyle="1" w:styleId="99">
    <w:name w:val="正文文本缩进 字符"/>
    <w:qFormat/>
    <w:uiPriority w:val="0"/>
    <w:rPr>
      <w:rFonts w:ascii="仿宋_GB2312" w:hAnsi="Times New Roman" w:eastAsia="仿宋_GB2312" w:cs="Times New Roman"/>
      <w:sz w:val="32"/>
      <w:szCs w:val="20"/>
    </w:rPr>
  </w:style>
  <w:style w:type="character" w:customStyle="1" w:styleId="100">
    <w:name w:val="批注文字 Char"/>
    <w:qFormat/>
    <w:uiPriority w:val="0"/>
    <w:rPr>
      <w:rFonts w:ascii="Times New Roman" w:hAnsi="Times New Roman"/>
      <w:kern w:val="2"/>
      <w:sz w:val="21"/>
      <w:szCs w:val="24"/>
    </w:rPr>
  </w:style>
  <w:style w:type="character" w:customStyle="1" w:styleId="101">
    <w:name w:val="批注文字 Char1"/>
    <w:semiHidden/>
    <w:qFormat/>
    <w:locked/>
    <w:uiPriority w:val="0"/>
    <w:rPr>
      <w:rFonts w:ascii="Times New Roman" w:hAnsi="Times New Roman"/>
      <w:kern w:val="2"/>
      <w:sz w:val="21"/>
      <w:szCs w:val="24"/>
    </w:rPr>
  </w:style>
  <w:style w:type="character" w:customStyle="1" w:styleId="102">
    <w:name w:val="纯文本 Char3"/>
    <w:qFormat/>
    <w:uiPriority w:val="0"/>
    <w:rPr>
      <w:rFonts w:ascii="宋体" w:hAnsi="Courier New" w:eastAsia="宋体" w:cs="Courier New"/>
      <w:szCs w:val="21"/>
    </w:rPr>
  </w:style>
  <w:style w:type="character" w:customStyle="1" w:styleId="103">
    <w:name w:val="headline-content4"/>
    <w:qFormat/>
    <w:uiPriority w:val="0"/>
  </w:style>
  <w:style w:type="character" w:customStyle="1" w:styleId="104">
    <w:name w:val="普通文字 Char Char2"/>
    <w:qFormat/>
    <w:uiPriority w:val="0"/>
    <w:rPr>
      <w:rFonts w:ascii="宋体" w:hAnsi="Courier New" w:eastAsia="宋体"/>
      <w:kern w:val="2"/>
      <w:sz w:val="21"/>
      <w:lang w:val="en-US" w:eastAsia="zh-CN" w:bidi="ar-SA"/>
    </w:rPr>
  </w:style>
  <w:style w:type="character" w:customStyle="1" w:styleId="105">
    <w:name w:val="textcontents"/>
    <w:qFormat/>
    <w:uiPriority w:val="0"/>
  </w:style>
  <w:style w:type="character" w:customStyle="1" w:styleId="106">
    <w:name w:val="正文文本 Char1"/>
    <w:semiHidden/>
    <w:qFormat/>
    <w:locked/>
    <w:uiPriority w:val="99"/>
    <w:rPr>
      <w:sz w:val="24"/>
      <w:szCs w:val="24"/>
    </w:rPr>
  </w:style>
  <w:style w:type="character" w:customStyle="1" w:styleId="107">
    <w:name w:val="纯文本 Char"/>
    <w:qFormat/>
    <w:uiPriority w:val="0"/>
    <w:rPr>
      <w:rFonts w:ascii="宋体" w:hAnsi="Courier New" w:eastAsia="宋体"/>
      <w:kern w:val="2"/>
      <w:sz w:val="21"/>
      <w:lang w:val="en-US" w:eastAsia="zh-CN" w:bidi="ar-SA"/>
    </w:rPr>
  </w:style>
  <w:style w:type="character" w:customStyle="1" w:styleId="108">
    <w:name w:val="apple-style-span"/>
    <w:qFormat/>
    <w:uiPriority w:val="0"/>
  </w:style>
  <w:style w:type="character" w:customStyle="1" w:styleId="10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10">
    <w:name w:val="font61"/>
    <w:basedOn w:val="52"/>
    <w:qFormat/>
    <w:uiPriority w:val="0"/>
    <w:rPr>
      <w:rFonts w:ascii="Arial" w:hAnsi="Arial" w:cs="Arial"/>
      <w:color w:val="000000"/>
      <w:sz w:val="20"/>
      <w:szCs w:val="20"/>
      <w:u w:val="none"/>
    </w:rPr>
  </w:style>
  <w:style w:type="character" w:customStyle="1" w:styleId="111">
    <w:name w:val="font71"/>
    <w:basedOn w:val="52"/>
    <w:qFormat/>
    <w:uiPriority w:val="0"/>
    <w:rPr>
      <w:rFonts w:hint="eastAsia" w:ascii="宋体" w:hAnsi="宋体" w:eastAsia="宋体" w:cs="宋体"/>
      <w:b/>
      <w:color w:val="000000"/>
      <w:sz w:val="20"/>
      <w:szCs w:val="20"/>
      <w:u w:val="none"/>
    </w:rPr>
  </w:style>
  <w:style w:type="paragraph" w:customStyle="1" w:styleId="112">
    <w:name w:val="标题3"/>
    <w:basedOn w:val="5"/>
    <w:next w:val="1"/>
    <w:qFormat/>
    <w:uiPriority w:val="0"/>
    <w:pPr>
      <w:spacing w:before="200" w:after="200" w:line="360" w:lineRule="auto"/>
    </w:pPr>
    <w:rPr>
      <w:rFonts w:ascii="黑体" w:hAnsi="黑体" w:eastAsia="黑体"/>
      <w:bCs w:val="0"/>
      <w:sz w:val="24"/>
      <w:szCs w:val="24"/>
    </w:rPr>
  </w:style>
  <w:style w:type="paragraph" w:customStyle="1" w:styleId="113">
    <w:name w:val="目录 81"/>
    <w:basedOn w:val="1"/>
    <w:next w:val="1"/>
    <w:qFormat/>
    <w:uiPriority w:val="0"/>
    <w:pPr>
      <w:ind w:left="1470"/>
    </w:pPr>
    <w:rPr>
      <w:sz w:val="18"/>
    </w:rPr>
  </w:style>
  <w:style w:type="paragraph" w:customStyle="1" w:styleId="1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5">
    <w:name w:val="正文首行缩进两字符"/>
    <w:basedOn w:val="1"/>
    <w:qFormat/>
    <w:uiPriority w:val="0"/>
    <w:pPr>
      <w:spacing w:line="360" w:lineRule="auto"/>
      <w:ind w:firstLine="200" w:firstLineChars="200"/>
    </w:pPr>
  </w:style>
  <w:style w:type="paragraph" w:customStyle="1" w:styleId="116">
    <w:name w:val="纯文本1"/>
    <w:basedOn w:val="1"/>
    <w:qFormat/>
    <w:uiPriority w:val="0"/>
    <w:rPr>
      <w:rFonts w:ascii="宋体" w:hAnsi="Courier New" w:cs="Century"/>
      <w:szCs w:val="21"/>
    </w:rPr>
  </w:style>
  <w:style w:type="paragraph" w:customStyle="1" w:styleId="117">
    <w:name w:val="默认段落字体 Para Char Char Char Char Char Char Char Char Char1 Char Char Char Char"/>
    <w:basedOn w:val="1"/>
    <w:qFormat/>
    <w:uiPriority w:val="0"/>
    <w:rPr>
      <w:rFonts w:ascii="Tahoma" w:hAnsi="Tahoma"/>
      <w:sz w:val="24"/>
      <w:szCs w:val="20"/>
    </w:rPr>
  </w:style>
  <w:style w:type="paragraph" w:customStyle="1" w:styleId="118">
    <w:name w:val="表格"/>
    <w:basedOn w:val="1"/>
    <w:qFormat/>
    <w:uiPriority w:val="0"/>
    <w:pPr>
      <w:spacing w:line="400" w:lineRule="exact"/>
    </w:pPr>
    <w:rPr>
      <w:sz w:val="24"/>
    </w:rPr>
  </w:style>
  <w:style w:type="paragraph" w:customStyle="1" w:styleId="119">
    <w:name w:val="样式 首行缩进:  2 字符"/>
    <w:basedOn w:val="1"/>
    <w:qFormat/>
    <w:uiPriority w:val="0"/>
    <w:pPr>
      <w:spacing w:line="400" w:lineRule="exact"/>
      <w:ind w:firstLine="200" w:firstLineChars="200"/>
    </w:pPr>
    <w:rPr>
      <w:rFonts w:cs="宋体"/>
      <w:sz w:val="24"/>
    </w:rPr>
  </w:style>
  <w:style w:type="paragraph" w:customStyle="1" w:styleId="12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21">
    <w:name w:val="Char1"/>
    <w:basedOn w:val="1"/>
    <w:qFormat/>
    <w:uiPriority w:val="0"/>
    <w:rPr>
      <w:szCs w:val="21"/>
    </w:rPr>
  </w:style>
  <w:style w:type="paragraph" w:customStyle="1" w:styleId="122">
    <w:name w:val="Table Paragraph"/>
    <w:basedOn w:val="1"/>
    <w:qFormat/>
    <w:uiPriority w:val="1"/>
    <w:pPr>
      <w:jc w:val="left"/>
    </w:pPr>
    <w:rPr>
      <w:rFonts w:ascii="Calibri" w:hAnsi="Calibri"/>
      <w:kern w:val="0"/>
      <w:sz w:val="22"/>
      <w:szCs w:val="22"/>
      <w:lang w:eastAsia="en-US"/>
    </w:rPr>
  </w:style>
  <w:style w:type="paragraph" w:customStyle="1" w:styleId="123">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24">
    <w:name w:val="正文段"/>
    <w:basedOn w:val="1"/>
    <w:qFormat/>
    <w:uiPriority w:val="0"/>
    <w:pPr>
      <w:widowControl/>
      <w:snapToGrid w:val="0"/>
      <w:spacing w:after="50" w:afterLines="50"/>
      <w:ind w:firstLine="200" w:firstLineChars="200"/>
    </w:pPr>
    <w:rPr>
      <w:kern w:val="0"/>
      <w:sz w:val="24"/>
      <w:szCs w:val="20"/>
    </w:rPr>
  </w:style>
  <w:style w:type="paragraph" w:customStyle="1" w:styleId="125">
    <w:name w:val="表格文字"/>
    <w:basedOn w:val="1"/>
    <w:qFormat/>
    <w:uiPriority w:val="0"/>
    <w:pPr>
      <w:widowControl/>
      <w:adjustRightInd w:val="0"/>
      <w:spacing w:afterLines="50" w:line="360" w:lineRule="auto"/>
      <w:ind w:firstLine="200" w:firstLineChars="200"/>
      <w:jc w:val="left"/>
      <w:textAlignment w:val="baseline"/>
    </w:pPr>
    <w:rPr>
      <w:rFonts w:ascii="Arial" w:hAnsi="Arial"/>
      <w:kern w:val="0"/>
      <w:sz w:val="24"/>
      <w:szCs w:val="20"/>
    </w:rPr>
  </w:style>
  <w:style w:type="paragraph" w:customStyle="1" w:styleId="12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styleId="127">
    <w:name w:val="List Paragraph"/>
    <w:basedOn w:val="1"/>
    <w:qFormat/>
    <w:uiPriority w:val="34"/>
    <w:pPr>
      <w:ind w:firstLine="420" w:firstLineChars="200"/>
    </w:pPr>
  </w:style>
  <w:style w:type="paragraph" w:customStyle="1" w:styleId="128">
    <w:name w:val="_Style 121"/>
    <w:unhideWhenUsed/>
    <w:qFormat/>
    <w:uiPriority w:val="99"/>
    <w:rPr>
      <w:rFonts w:ascii="Times New Roman" w:hAnsi="Times New Roman" w:eastAsia="宋体" w:cs="Times New Roman"/>
      <w:kern w:val="2"/>
      <w:sz w:val="21"/>
      <w:szCs w:val="24"/>
      <w:lang w:val="en-US" w:eastAsia="zh-CN" w:bidi="ar-SA"/>
    </w:rPr>
  </w:style>
  <w:style w:type="paragraph" w:customStyle="1" w:styleId="129">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30">
    <w:name w:val="标题3（投标须知）"/>
    <w:basedOn w:val="112"/>
    <w:next w:val="131"/>
    <w:qFormat/>
    <w:uiPriority w:val="0"/>
    <w:pPr>
      <w:spacing w:line="240" w:lineRule="auto"/>
      <w:jc w:val="center"/>
    </w:pPr>
    <w:rPr>
      <w:bCs/>
      <w:sz w:val="30"/>
    </w:rPr>
  </w:style>
  <w:style w:type="paragraph" w:customStyle="1" w:styleId="131">
    <w:name w:val="标题4"/>
    <w:basedOn w:val="1"/>
    <w:next w:val="1"/>
    <w:qFormat/>
    <w:uiPriority w:val="0"/>
    <w:pPr>
      <w:ind w:firstLine="176" w:firstLineChars="176"/>
      <w:outlineLvl w:val="3"/>
    </w:pPr>
    <w:rPr>
      <w:rFonts w:ascii="黑体" w:hAnsi="黑体" w:eastAsia="黑体"/>
      <w:b/>
      <w:bCs/>
      <w:sz w:val="24"/>
    </w:rPr>
  </w:style>
  <w:style w:type="paragraph" w:customStyle="1" w:styleId="132">
    <w:name w:val="List Paragraph1"/>
    <w:basedOn w:val="1"/>
    <w:qFormat/>
    <w:uiPriority w:val="99"/>
    <w:rPr>
      <w:sz w:val="20"/>
    </w:rPr>
  </w:style>
  <w:style w:type="paragraph" w:customStyle="1" w:styleId="133">
    <w:name w:val="p15"/>
    <w:basedOn w:val="1"/>
    <w:qFormat/>
    <w:uiPriority w:val="0"/>
    <w:pPr>
      <w:widowControl/>
    </w:pPr>
    <w:rPr>
      <w:rFonts w:ascii="宋体" w:hAnsi="宋体" w:cs="宋体"/>
      <w:kern w:val="0"/>
      <w:szCs w:val="21"/>
    </w:rPr>
  </w:style>
  <w:style w:type="table" w:customStyle="1" w:styleId="13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35">
    <w:name w:val="font51"/>
    <w:basedOn w:val="52"/>
    <w:qFormat/>
    <w:uiPriority w:val="0"/>
    <w:rPr>
      <w:rFonts w:hint="eastAsia" w:ascii="宋体" w:hAnsi="宋体" w:eastAsia="宋体" w:cs="宋体"/>
      <w:color w:val="000000"/>
      <w:sz w:val="20"/>
      <w:szCs w:val="20"/>
      <w:u w:val="none"/>
    </w:rPr>
  </w:style>
  <w:style w:type="character" w:customStyle="1" w:styleId="136">
    <w:name w:val="font101"/>
    <w:basedOn w:val="52"/>
    <w:qFormat/>
    <w:uiPriority w:val="0"/>
    <w:rPr>
      <w:rFonts w:hint="eastAsia" w:ascii="宋体" w:hAnsi="宋体" w:eastAsia="宋体" w:cs="宋体"/>
      <w:color w:val="000000"/>
      <w:sz w:val="18"/>
      <w:szCs w:val="18"/>
      <w:u w:val="none"/>
    </w:rPr>
  </w:style>
  <w:style w:type="character" w:customStyle="1" w:styleId="137">
    <w:name w:val="font11"/>
    <w:basedOn w:val="52"/>
    <w:qFormat/>
    <w:uiPriority w:val="0"/>
    <w:rPr>
      <w:rFonts w:hint="eastAsia" w:ascii="宋体" w:hAnsi="宋体" w:eastAsia="宋体" w:cs="宋体"/>
      <w:color w:val="000000"/>
      <w:sz w:val="20"/>
      <w:szCs w:val="20"/>
      <w:u w:val="none"/>
    </w:rPr>
  </w:style>
  <w:style w:type="character" w:customStyle="1" w:styleId="138">
    <w:name w:val="未处理的提及1"/>
    <w:basedOn w:val="52"/>
    <w:semiHidden/>
    <w:unhideWhenUsed/>
    <w:qFormat/>
    <w:uiPriority w:val="99"/>
    <w:rPr>
      <w:color w:val="605E5C"/>
      <w:shd w:val="clear" w:color="auto" w:fill="E1DFDD"/>
    </w:rPr>
  </w:style>
  <w:style w:type="character" w:customStyle="1" w:styleId="139">
    <w:name w:val="未处理的提及2"/>
    <w:basedOn w:val="52"/>
    <w:semiHidden/>
    <w:unhideWhenUsed/>
    <w:qFormat/>
    <w:uiPriority w:val="99"/>
    <w:rPr>
      <w:color w:val="605E5C"/>
      <w:shd w:val="clear" w:color="auto" w:fill="E1DFDD"/>
    </w:rPr>
  </w:style>
  <w:style w:type="paragraph" w:customStyle="1" w:styleId="140">
    <w:name w:val="Table Text"/>
    <w:basedOn w:val="1"/>
    <w:semiHidden/>
    <w:qFormat/>
    <w:uiPriority w:val="0"/>
    <w:rPr>
      <w:rFonts w:ascii="宋体" w:hAnsi="宋体" w:cs="宋体"/>
      <w:sz w:val="20"/>
      <w:szCs w:val="20"/>
    </w:rPr>
  </w:style>
  <w:style w:type="paragraph" w:styleId="141">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119</Pages>
  <Words>17486</Words>
  <Characters>19419</Characters>
  <Lines>395</Lines>
  <Paragraphs>111</Paragraphs>
  <TotalTime>79</TotalTime>
  <ScaleCrop>false</ScaleCrop>
  <LinksUpToDate>false</LinksUpToDate>
  <CharactersWithSpaces>19560</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2025-01-22T22:18:00Z</dcterms:created>
  <dc:creator>番茄花园</dc:creator>
  <cp:lastModifiedBy>一叶知秋</cp:lastModifiedBy>
  <cp:lastPrinted>2025-10-13T09:41:00Z</cp:lastPrinted>
  <dcterms:modified xsi:type="dcterms:W3CDTF">2025-10-15T01:53:21Z</dcterms:modified>
  <dc:title>公开招标采购文件范本</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446ECB5342454676B9B1B3A2D43919DF_13</vt:lpwstr>
  </property>
  <property fmtid="{D5CDD505-2E9C-101B-9397-08002B2CF9AE}" pid="4" name="KSOTemplateDocerSaveRecord">
    <vt:lpwstr>eyJoZGlkIjoiZDQzNmVhNGE2YzEyNzE4YzY0Y2I1OGQ4NTBmYzE4MzUiLCJ1c2VySWQiOiI1NjI2NDc5NDMifQ==</vt:lpwstr>
  </property>
</Properties>
</file>