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0064">
      <w:pPr>
        <w:pStyle w:val="18"/>
        <w:ind w:left="0" w:leftChars="0" w:firstLine="0" w:firstLineChars="0"/>
        <w:jc w:val="center"/>
        <w:rPr>
          <w:rFonts w:hint="eastAsia" w:ascii="仿宋" w:hAnsi="仿宋" w:eastAsia="仿宋" w:cs="仿宋"/>
          <w:b/>
          <w:color w:val="auto"/>
          <w:sz w:val="72"/>
          <w:szCs w:val="72"/>
          <w:highlight w:val="none"/>
        </w:rPr>
      </w:pPr>
      <w:r>
        <w:rPr>
          <w:rFonts w:hint="eastAsia"/>
          <w:color w:val="auto"/>
          <w:highlight w:val="none"/>
        </w:rPr>
        <w:drawing>
          <wp:inline distT="0" distB="0" distL="114300" distR="114300">
            <wp:extent cx="1188720" cy="147955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88720" cy="1479550"/>
                    </a:xfrm>
                    <a:prstGeom prst="rect">
                      <a:avLst/>
                    </a:prstGeom>
                    <a:noFill/>
                    <a:ln>
                      <a:noFill/>
                    </a:ln>
                  </pic:spPr>
                </pic:pic>
              </a:graphicData>
            </a:graphic>
          </wp:inline>
        </w:drawing>
      </w:r>
    </w:p>
    <w:p w14:paraId="4E5CF058">
      <w:pPr>
        <w:bidi w:val="0"/>
        <w:rPr>
          <w:rFonts w:hint="eastAsia"/>
          <w:color w:val="auto"/>
          <w:highlight w:val="none"/>
        </w:rPr>
      </w:pPr>
    </w:p>
    <w:p w14:paraId="58318270">
      <w:pPr>
        <w:pStyle w:val="18"/>
        <w:ind w:left="0" w:leftChars="0" w:firstLine="0"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35414261">
      <w:pPr>
        <w:pStyle w:val="18"/>
        <w:rPr>
          <w:rFonts w:hint="eastAsia" w:ascii="仿宋" w:hAnsi="仿宋" w:eastAsia="仿宋" w:cs="仿宋"/>
          <w:b/>
          <w:color w:val="auto"/>
          <w:highlight w:val="none"/>
        </w:rPr>
      </w:pPr>
    </w:p>
    <w:p w14:paraId="45F84B4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715E1438">
      <w:pPr>
        <w:pStyle w:val="18"/>
        <w:rPr>
          <w:rFonts w:hint="eastAsia" w:ascii="仿宋" w:hAnsi="仿宋" w:eastAsia="仿宋" w:cs="仿宋"/>
          <w:b/>
          <w:color w:val="auto"/>
          <w:highlight w:val="none"/>
        </w:rPr>
      </w:pPr>
    </w:p>
    <w:p w14:paraId="12004C1F">
      <w:pPr>
        <w:pStyle w:val="18"/>
        <w:rPr>
          <w:rFonts w:hint="eastAsia" w:ascii="仿宋" w:hAnsi="仿宋" w:eastAsia="仿宋" w:cs="仿宋"/>
          <w:b/>
          <w:color w:val="auto"/>
          <w:highlight w:val="none"/>
        </w:rPr>
      </w:pPr>
    </w:p>
    <w:p w14:paraId="04F76F1F">
      <w:pPr>
        <w:pStyle w:val="18"/>
        <w:rPr>
          <w:rFonts w:hint="eastAsia" w:ascii="仿宋" w:hAnsi="仿宋" w:eastAsia="仿宋" w:cs="仿宋"/>
          <w:b/>
          <w:color w:val="auto"/>
          <w:highlight w:val="none"/>
        </w:rPr>
      </w:pPr>
    </w:p>
    <w:p w14:paraId="19A94A1C">
      <w:pPr>
        <w:pStyle w:val="18"/>
        <w:rPr>
          <w:rFonts w:hint="eastAsia" w:ascii="仿宋" w:hAnsi="仿宋" w:eastAsia="仿宋" w:cs="仿宋"/>
          <w:b/>
          <w:color w:val="auto"/>
          <w:highlight w:val="none"/>
        </w:rPr>
      </w:pPr>
    </w:p>
    <w:p w14:paraId="0426B368">
      <w:pPr>
        <w:pStyle w:val="18"/>
        <w:ind w:left="0" w:leftChars="0" w:firstLine="0" w:firstLineChars="0"/>
        <w:rPr>
          <w:rFonts w:hint="eastAsia" w:ascii="宋体" w:hAnsi="宋体" w:eastAsia="宋体" w:cs="宋体"/>
          <w:b w:val="0"/>
          <w:bCs/>
          <w:color w:val="auto"/>
          <w:sz w:val="30"/>
          <w:szCs w:val="72"/>
          <w:highlight w:val="none"/>
          <w:lang w:val="en-US" w:eastAsia="zh-CN"/>
        </w:rPr>
      </w:pPr>
      <w:r>
        <w:rPr>
          <w:rFonts w:hint="eastAsia" w:ascii="宋体" w:hAnsi="宋体" w:eastAsia="宋体" w:cs="宋体"/>
          <w:b w:val="0"/>
          <w:bCs/>
          <w:color w:val="auto"/>
          <w:sz w:val="30"/>
          <w:szCs w:val="72"/>
          <w:highlight w:val="none"/>
        </w:rPr>
        <w:t>项目名称：</w:t>
      </w:r>
      <w:r>
        <w:rPr>
          <w:rFonts w:hint="eastAsia" w:hAnsi="宋体" w:cs="宋体"/>
          <w:b w:val="0"/>
          <w:bCs/>
          <w:color w:val="auto"/>
          <w:sz w:val="30"/>
          <w:szCs w:val="72"/>
          <w:highlight w:val="none"/>
          <w:lang w:eastAsia="zh-CN"/>
        </w:rPr>
        <w:t>广西公共法律实体、网络、热线“三台”运维服务项目</w:t>
      </w:r>
    </w:p>
    <w:p w14:paraId="5C2548F6">
      <w:pPr>
        <w:pStyle w:val="18"/>
        <w:ind w:firstLine="1500" w:firstLineChars="500"/>
        <w:rPr>
          <w:rFonts w:hint="eastAsia" w:ascii="宋体" w:hAnsi="宋体" w:eastAsia="宋体" w:cs="宋体"/>
          <w:b w:val="0"/>
          <w:bCs/>
          <w:color w:val="auto"/>
          <w:sz w:val="30"/>
          <w:szCs w:val="72"/>
          <w:highlight w:val="none"/>
        </w:rPr>
      </w:pPr>
    </w:p>
    <w:p w14:paraId="74295E05">
      <w:pPr>
        <w:pStyle w:val="18"/>
        <w:ind w:firstLine="1500" w:firstLineChars="500"/>
        <w:rPr>
          <w:rFonts w:hint="default" w:ascii="宋体" w:hAnsi="宋体" w:eastAsia="宋体" w:cs="宋体"/>
          <w:b w:val="0"/>
          <w:bCs/>
          <w:color w:val="auto"/>
          <w:sz w:val="30"/>
          <w:szCs w:val="72"/>
          <w:highlight w:val="none"/>
          <w:lang w:val="en-US" w:eastAsia="zh-CN"/>
        </w:rPr>
      </w:pPr>
      <w:r>
        <w:rPr>
          <w:rFonts w:hint="eastAsia" w:ascii="宋体" w:hAnsi="宋体" w:eastAsia="宋体" w:cs="宋体"/>
          <w:b w:val="0"/>
          <w:bCs/>
          <w:color w:val="auto"/>
          <w:sz w:val="30"/>
          <w:szCs w:val="72"/>
          <w:highlight w:val="none"/>
        </w:rPr>
        <w:t>项目编号：</w:t>
      </w:r>
      <w:r>
        <w:rPr>
          <w:rFonts w:hint="eastAsia" w:hAnsi="宋体" w:cs="宋体"/>
          <w:b w:val="0"/>
          <w:bCs/>
          <w:color w:val="auto"/>
          <w:sz w:val="30"/>
          <w:szCs w:val="72"/>
          <w:highlight w:val="none"/>
          <w:lang w:val="en-US" w:eastAsia="zh-CN"/>
        </w:rPr>
        <w:t xml:space="preserve"> GXZC2025-C3-003263-ZHZB</w:t>
      </w:r>
    </w:p>
    <w:p w14:paraId="1972D233">
      <w:pPr>
        <w:pStyle w:val="18"/>
        <w:ind w:firstLine="1950" w:firstLineChars="650"/>
        <w:rPr>
          <w:rFonts w:hint="eastAsia" w:ascii="宋体" w:hAnsi="宋体" w:eastAsia="宋体" w:cs="宋体"/>
          <w:b w:val="0"/>
          <w:bCs/>
          <w:color w:val="auto"/>
          <w:sz w:val="30"/>
          <w:szCs w:val="72"/>
          <w:highlight w:val="none"/>
        </w:rPr>
      </w:pPr>
    </w:p>
    <w:p w14:paraId="4BDC3A56">
      <w:pPr>
        <w:pStyle w:val="6"/>
        <w:rPr>
          <w:rFonts w:hint="eastAsia"/>
          <w:b w:val="0"/>
          <w:bCs/>
          <w:color w:val="auto"/>
          <w:highlight w:val="none"/>
        </w:rPr>
      </w:pPr>
    </w:p>
    <w:p w14:paraId="4F3F2A16">
      <w:pPr>
        <w:pStyle w:val="18"/>
        <w:rPr>
          <w:rFonts w:hint="eastAsia" w:hAnsi="宋体" w:cs="宋体"/>
          <w:b w:val="0"/>
          <w:bCs/>
          <w:color w:val="auto"/>
          <w:sz w:val="30"/>
          <w:szCs w:val="72"/>
          <w:highlight w:val="none"/>
          <w:lang w:eastAsia="zh-CN"/>
        </w:rPr>
      </w:pPr>
      <w:r>
        <w:rPr>
          <w:rFonts w:hint="eastAsia" w:ascii="宋体" w:hAnsi="宋体" w:eastAsia="宋体" w:cs="宋体"/>
          <w:b w:val="0"/>
          <w:bCs/>
          <w:color w:val="auto"/>
          <w:sz w:val="30"/>
          <w:szCs w:val="72"/>
          <w:highlight w:val="none"/>
        </w:rPr>
        <w:t xml:space="preserve">          采购人：</w:t>
      </w:r>
      <w:r>
        <w:rPr>
          <w:rFonts w:hint="eastAsia" w:hAnsi="宋体" w:cs="宋体"/>
          <w:b w:val="0"/>
          <w:bCs/>
          <w:color w:val="auto"/>
          <w:sz w:val="30"/>
          <w:szCs w:val="72"/>
          <w:highlight w:val="none"/>
          <w:lang w:eastAsia="zh-CN"/>
        </w:rPr>
        <w:t>广西壮族自治区司法厅</w:t>
      </w:r>
    </w:p>
    <w:p w14:paraId="41FE529B">
      <w:pPr>
        <w:pStyle w:val="18"/>
        <w:rPr>
          <w:rFonts w:hint="eastAsia" w:ascii="宋体" w:hAnsi="宋体" w:eastAsia="宋体" w:cs="宋体"/>
          <w:b w:val="0"/>
          <w:bCs/>
          <w:color w:val="auto"/>
          <w:sz w:val="30"/>
          <w:szCs w:val="72"/>
          <w:highlight w:val="none"/>
        </w:rPr>
      </w:pPr>
      <w:r>
        <w:rPr>
          <w:rFonts w:hint="eastAsia" w:ascii="宋体" w:hAnsi="宋体" w:eastAsia="宋体" w:cs="宋体"/>
          <w:b w:val="0"/>
          <w:bCs/>
          <w:color w:val="auto"/>
          <w:sz w:val="30"/>
          <w:szCs w:val="72"/>
          <w:highlight w:val="none"/>
        </w:rPr>
        <w:t xml:space="preserve">      </w:t>
      </w:r>
    </w:p>
    <w:p w14:paraId="68F18992">
      <w:pPr>
        <w:pStyle w:val="18"/>
        <w:ind w:firstLine="1500" w:firstLineChars="500"/>
        <w:rPr>
          <w:rFonts w:hint="eastAsia" w:ascii="宋体" w:hAnsi="宋体" w:eastAsia="宋体" w:cs="宋体"/>
          <w:b w:val="0"/>
          <w:bCs/>
          <w:color w:val="auto"/>
          <w:sz w:val="30"/>
          <w:szCs w:val="72"/>
          <w:highlight w:val="none"/>
        </w:rPr>
      </w:pPr>
      <w:r>
        <w:rPr>
          <w:rFonts w:hint="eastAsia" w:ascii="宋体" w:hAnsi="宋体" w:eastAsia="宋体" w:cs="宋体"/>
          <w:b w:val="0"/>
          <w:bCs/>
          <w:color w:val="auto"/>
          <w:sz w:val="30"/>
          <w:szCs w:val="72"/>
          <w:highlight w:val="none"/>
        </w:rPr>
        <w:t>采购代理机构：广西正海招标有限公司</w:t>
      </w:r>
    </w:p>
    <w:p w14:paraId="2617C361">
      <w:pPr>
        <w:pStyle w:val="18"/>
        <w:ind w:firstLine="3300" w:firstLineChars="1100"/>
        <w:rPr>
          <w:rFonts w:hint="eastAsia" w:ascii="宋体" w:hAnsi="宋体" w:eastAsia="宋体" w:cs="宋体"/>
          <w:b w:val="0"/>
          <w:bCs/>
          <w:color w:val="auto"/>
          <w:sz w:val="30"/>
          <w:szCs w:val="72"/>
          <w:highlight w:val="none"/>
        </w:rPr>
      </w:pPr>
      <w:r>
        <w:rPr>
          <w:rFonts w:hint="eastAsia" w:ascii="宋体" w:hAnsi="宋体" w:eastAsia="宋体" w:cs="宋体"/>
          <w:b w:val="0"/>
          <w:bCs/>
          <w:color w:val="auto"/>
          <w:sz w:val="30"/>
          <w:szCs w:val="72"/>
          <w:highlight w:val="none"/>
        </w:rPr>
        <w:t xml:space="preserve">    </w:t>
      </w:r>
    </w:p>
    <w:p w14:paraId="0189A0D6">
      <w:pPr>
        <w:pStyle w:val="18"/>
        <w:ind w:firstLine="3300" w:firstLineChars="1100"/>
        <w:rPr>
          <w:rFonts w:hint="eastAsia" w:ascii="宋体" w:hAnsi="宋体" w:eastAsia="宋体" w:cs="宋体"/>
          <w:b w:val="0"/>
          <w:bCs/>
          <w:color w:val="auto"/>
          <w:sz w:val="30"/>
          <w:szCs w:val="72"/>
          <w:highlight w:val="none"/>
        </w:rPr>
      </w:pPr>
      <w:r>
        <w:rPr>
          <w:rFonts w:hint="eastAsia" w:hAnsi="宋体" w:cs="宋体"/>
          <w:b w:val="0"/>
          <w:bCs/>
          <w:color w:val="auto"/>
          <w:sz w:val="30"/>
          <w:szCs w:val="72"/>
          <w:highlight w:val="none"/>
          <w:lang w:val="en-US" w:eastAsia="zh-CN"/>
        </w:rPr>
        <w:t>2025</w:t>
      </w:r>
      <w:r>
        <w:rPr>
          <w:rFonts w:hint="eastAsia" w:ascii="宋体" w:hAnsi="宋体" w:eastAsia="宋体" w:cs="宋体"/>
          <w:b w:val="0"/>
          <w:bCs/>
          <w:color w:val="auto"/>
          <w:sz w:val="30"/>
          <w:szCs w:val="72"/>
          <w:highlight w:val="none"/>
        </w:rPr>
        <w:t>年</w:t>
      </w:r>
      <w:r>
        <w:rPr>
          <w:rFonts w:hint="eastAsia" w:hAnsi="宋体" w:cs="宋体"/>
          <w:b w:val="0"/>
          <w:bCs/>
          <w:color w:val="auto"/>
          <w:sz w:val="30"/>
          <w:szCs w:val="72"/>
          <w:highlight w:val="none"/>
          <w:lang w:val="en-US" w:eastAsia="zh-CN"/>
        </w:rPr>
        <w:t>10</w:t>
      </w:r>
      <w:r>
        <w:rPr>
          <w:rFonts w:hint="eastAsia" w:ascii="宋体" w:hAnsi="宋体" w:eastAsia="宋体" w:cs="宋体"/>
          <w:b w:val="0"/>
          <w:bCs/>
          <w:color w:val="auto"/>
          <w:sz w:val="30"/>
          <w:szCs w:val="72"/>
          <w:highlight w:val="none"/>
        </w:rPr>
        <w:t>月</w:t>
      </w:r>
    </w:p>
    <w:p w14:paraId="20BB9BF7">
      <w:pPr>
        <w:ind w:firstLine="574"/>
        <w:rPr>
          <w:rFonts w:ascii="仿宋_GB2312" w:hAnsi="宋体" w:eastAsia="仿宋_GB2312" w:cs="Times New Roman"/>
          <w:b/>
          <w:bCs/>
          <w:color w:val="auto"/>
          <w:w w:val="95"/>
          <w:kern w:val="0"/>
          <w:sz w:val="30"/>
          <w:szCs w:val="30"/>
          <w:highlight w:val="none"/>
          <w:lang w:val="zh-CN"/>
        </w:rPr>
        <w:sectPr>
          <w:footerReference r:id="rId3" w:type="default"/>
          <w:pgSz w:w="11906" w:h="16838"/>
          <w:pgMar w:top="1332" w:right="1434" w:bottom="1332" w:left="1434" w:header="850" w:footer="992" w:gutter="0"/>
          <w:cols w:space="0" w:num="1"/>
          <w:rtlGutter w:val="0"/>
          <w:docGrid w:type="lines" w:linePitch="315" w:charSpace="0"/>
        </w:sectPr>
      </w:pPr>
    </w:p>
    <w:p w14:paraId="2A26ABAA">
      <w:pPr>
        <w:widowControl/>
        <w:spacing w:line="360" w:lineRule="auto"/>
        <w:jc w:val="left"/>
        <w:rPr>
          <w:rFonts w:ascii="宋体" w:hAnsi="宋体" w:eastAsia="宋体" w:cs="宋体"/>
          <w:color w:val="auto"/>
          <w:szCs w:val="20"/>
          <w:highlight w:val="none"/>
          <w:lang w:val="zh-CN"/>
        </w:rPr>
      </w:pPr>
    </w:p>
    <w:sdt>
      <w:sdtPr>
        <w:rPr>
          <w:rFonts w:hint="eastAsia" w:ascii="宋体" w:hAnsi="宋体" w:eastAsia="宋体" w:cs="宋体"/>
          <w:color w:val="auto"/>
          <w:szCs w:val="21"/>
          <w:highlight w:val="none"/>
          <w:lang w:val="zh-CN"/>
        </w:rPr>
        <w:id w:val="493773562"/>
        <w:docPartObj>
          <w:docPartGallery w:val="Table of Contents"/>
          <w:docPartUnique/>
        </w:docPartObj>
      </w:sdtPr>
      <w:sdtEndPr>
        <w:rPr>
          <w:rFonts w:hint="eastAsia" w:ascii="宋体" w:hAnsi="宋体" w:eastAsia="宋体" w:cs="宋体"/>
          <w:color w:val="auto"/>
          <w:szCs w:val="21"/>
          <w:highlight w:val="none"/>
          <w:lang w:val="zh-CN"/>
        </w:rPr>
      </w:sdtEndPr>
      <w:sdtContent>
        <w:p w14:paraId="153FE4C5">
          <w:pPr>
            <w:keepNext/>
            <w:keepLines/>
            <w:widowControl/>
            <w:spacing w:line="360" w:lineRule="auto"/>
            <w:jc w:val="center"/>
            <w:rPr>
              <w:rFonts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lang w:val="zh-CN"/>
            </w:rPr>
            <w:t>目  录</w:t>
          </w:r>
        </w:p>
        <w:p w14:paraId="77AB0FC8">
          <w:pPr>
            <w:pStyle w:val="22"/>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"1-1" \h \z \u </w:instrText>
          </w:r>
          <w:r>
            <w:rPr>
              <w:rFonts w:hint="eastAsia" w:ascii="宋体" w:hAnsi="宋体" w:eastAsia="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"_Toc108596902"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08770D">
          <w:pPr>
            <w:pStyle w:val="22"/>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"_Toc108596903"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1FBD507">
          <w:pPr>
            <w:pStyle w:val="22"/>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"_Toc108596904"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5AD9A6">
          <w:pPr>
            <w:pStyle w:val="22"/>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"_Toc108596905"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1E34B">
          <w:pPr>
            <w:pStyle w:val="22"/>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"_Toc108596906"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第五章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CDD1CC0">
          <w:pPr>
            <w:pStyle w:val="22"/>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"_Toc108596907" </w:instrText>
          </w:r>
          <w:r>
            <w:rPr>
              <w:color w:val="auto"/>
              <w:highlight w:val="none"/>
            </w:rPr>
            <w:fldChar w:fldCharType="separate"/>
          </w:r>
          <w:r>
            <w:rPr>
              <w:rStyle w:val="32"/>
              <w:rFonts w:hint="eastAsia" w:ascii="宋体" w:hAnsi="宋体" w:eastAsia="宋体" w:cs="宋体"/>
              <w:b/>
              <w:bCs/>
              <w:color w:val="auto"/>
              <w:kern w:val="44"/>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_Toc108596907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1DFC25">
          <w:pPr>
            <w:widowControl/>
            <w:spacing w:line="480" w:lineRule="auto"/>
            <w:ind w:firstLine="492" w:firstLineChars="176"/>
            <w:jc w:val="left"/>
            <w:rPr>
              <w:rFonts w:ascii="宋体" w:hAnsi="宋体" w:eastAsia="宋体" w:cs="宋体"/>
              <w:color w:val="auto"/>
              <w:szCs w:val="21"/>
              <w:highlight w:val="none"/>
            </w:rPr>
          </w:pPr>
          <w:r>
            <w:rPr>
              <w:rFonts w:hint="eastAsia" w:ascii="宋体" w:hAnsi="宋体" w:eastAsia="宋体" w:cs="宋体"/>
              <w:bCs/>
              <w:color w:val="auto"/>
              <w:sz w:val="28"/>
              <w:szCs w:val="28"/>
              <w:highlight w:val="none"/>
            </w:rPr>
            <w:fldChar w:fldCharType="end"/>
          </w:r>
        </w:p>
      </w:sdtContent>
    </w:sdt>
    <w:p w14:paraId="68D9DCB2">
      <w:pPr>
        <w:widowControl/>
        <w:tabs>
          <w:tab w:val="left" w:pos="5521"/>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ab/>
      </w:r>
    </w:p>
    <w:p w14:paraId="50FEB89F">
      <w:pPr>
        <w:widowControl/>
        <w:spacing w:before="260" w:after="260" w:line="415" w:lineRule="auto"/>
        <w:jc w:val="left"/>
        <w:rPr>
          <w:rFonts w:ascii="宋体" w:hAnsi="宋体" w:eastAsia="宋体" w:cs="宋体"/>
          <w:color w:val="auto"/>
          <w:szCs w:val="21"/>
          <w:highlight w:val="none"/>
        </w:rPr>
        <w:sectPr>
          <w:footerReference r:id="rId4" w:type="default"/>
          <w:pgSz w:w="11906" w:h="16838"/>
          <w:pgMar w:top="1332" w:right="1434" w:bottom="1332" w:left="1434" w:header="850" w:footer="992" w:gutter="0"/>
          <w:cols w:space="0" w:num="1"/>
          <w:rtlGutter w:val="0"/>
          <w:docGrid w:type="lines" w:linePitch="315" w:charSpace="0"/>
        </w:sectPr>
      </w:pPr>
      <w:r>
        <w:rPr>
          <w:rFonts w:hint="eastAsia" w:ascii="宋体" w:hAnsi="宋体" w:eastAsia="宋体" w:cs="宋体"/>
          <w:color w:val="auto"/>
          <w:szCs w:val="21"/>
          <w:highlight w:val="none"/>
        </w:rPr>
        <w:br w:type="page"/>
      </w:r>
    </w:p>
    <w:p w14:paraId="54C6C149">
      <w:pPr>
        <w:keepNext w:val="0"/>
        <w:keepLines w:val="0"/>
        <w:pageBreakBefore w:val="0"/>
        <w:widowControl/>
        <w:numPr>
          <w:ilvl w:val="0"/>
          <w:numId w:val="1"/>
        </w:numPr>
        <w:tabs>
          <w:tab w:val="left" w:pos="0"/>
          <w:tab w:val="left" w:pos="3165"/>
          <w:tab w:val="center" w:pos="4153"/>
        </w:tabs>
        <w:kinsoku/>
        <w:wordWrap/>
        <w:overflowPunct/>
        <w:topLinePunct w:val="0"/>
        <w:autoSpaceDE w:val="0"/>
        <w:autoSpaceDN w:val="0"/>
        <w:bidi w:val="0"/>
        <w:adjustRightInd w:val="0"/>
        <w:snapToGrid/>
        <w:spacing w:before="100" w:after="100" w:line="360" w:lineRule="auto"/>
        <w:ind w:firstLine="883" w:firstLineChars="200"/>
        <w:jc w:val="center"/>
        <w:textAlignment w:val="auto"/>
        <w:outlineLvl w:val="0"/>
        <w:rPr>
          <w:rFonts w:ascii="宋体" w:hAnsi="宋体" w:eastAsia="宋体" w:cs="宋体"/>
          <w:b/>
          <w:bCs/>
          <w:color w:val="auto"/>
          <w:kern w:val="44"/>
          <w:sz w:val="44"/>
          <w:szCs w:val="44"/>
          <w:highlight w:val="none"/>
        </w:rPr>
      </w:pPr>
      <w:bookmarkStart w:id="0" w:name="_Toc108596902"/>
      <w:r>
        <w:rPr>
          <w:rFonts w:hint="eastAsia" w:ascii="宋体" w:hAnsi="宋体" w:eastAsia="宋体" w:cs="宋体"/>
          <w:b/>
          <w:bCs/>
          <w:color w:val="auto"/>
          <w:kern w:val="44"/>
          <w:sz w:val="44"/>
          <w:szCs w:val="44"/>
          <w:highlight w:val="none"/>
        </w:rPr>
        <w:t>竞争性磋商公告</w:t>
      </w:r>
      <w:bookmarkEnd w:id="0"/>
    </w:p>
    <w:p w14:paraId="20A5F498">
      <w:pPr>
        <w:keepNext/>
        <w:keepLines/>
        <w:widowControl/>
        <w:spacing w:line="440" w:lineRule="exact"/>
        <w:jc w:val="center"/>
        <w:outlineLvl w:val="2"/>
        <w:rPr>
          <w:rFonts w:hint="eastAsia" w:ascii="宋体" w:hAnsi="宋体" w:eastAsia="宋体" w:cs="宋体"/>
          <w:b/>
          <w:bCs/>
          <w:color w:val="auto"/>
          <w:kern w:val="44"/>
          <w:sz w:val="24"/>
          <w:szCs w:val="24"/>
          <w:highlight w:val="none"/>
          <w:lang w:eastAsia="zh-CN"/>
        </w:rPr>
      </w:pPr>
      <w:r>
        <w:rPr>
          <w:rFonts w:hint="eastAsia" w:ascii="宋体" w:hAnsi="宋体" w:eastAsia="宋体" w:cs="宋体"/>
          <w:b/>
          <w:bCs/>
          <w:color w:val="auto"/>
          <w:kern w:val="44"/>
          <w:sz w:val="24"/>
          <w:szCs w:val="24"/>
          <w:highlight w:val="none"/>
          <w:lang w:eastAsia="zh-CN"/>
        </w:rPr>
        <w:t>广西正海招标有限公司关于广西公共法律实体、网络、热线“三台”运维服务项目</w:t>
      </w:r>
    </w:p>
    <w:p w14:paraId="4E245E60">
      <w:pPr>
        <w:keepNext/>
        <w:keepLines/>
        <w:widowControl/>
        <w:spacing w:line="44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kern w:val="44"/>
          <w:sz w:val="24"/>
          <w:szCs w:val="24"/>
          <w:highlight w:val="none"/>
          <w:lang w:eastAsia="zh-CN"/>
        </w:rPr>
        <w:t>（</w:t>
      </w:r>
      <w:r>
        <w:rPr>
          <w:rFonts w:hint="eastAsia" w:ascii="宋体" w:hAnsi="宋体" w:eastAsia="宋体" w:cs="宋体"/>
          <w:b/>
          <w:bCs/>
          <w:color w:val="auto"/>
          <w:kern w:val="44"/>
          <w:sz w:val="24"/>
          <w:szCs w:val="24"/>
          <w:highlight w:val="none"/>
          <w:lang w:val="en-US" w:eastAsia="zh-CN"/>
        </w:rPr>
        <w:t>项目编号：</w:t>
      </w:r>
      <w:r>
        <w:rPr>
          <w:rFonts w:hint="eastAsia" w:ascii="宋体" w:hAnsi="宋体" w:eastAsia="宋体" w:cs="宋体"/>
          <w:b/>
          <w:bCs/>
          <w:color w:val="auto"/>
          <w:kern w:val="44"/>
          <w:sz w:val="24"/>
          <w:szCs w:val="24"/>
          <w:highlight w:val="none"/>
          <w:lang w:eastAsia="zh-CN"/>
        </w:rPr>
        <w:t xml:space="preserve"> GXZC2025-C3-003263-ZHZB）的竞争性磋商公告</w:t>
      </w:r>
      <w:bookmarkStart w:id="1" w:name="_Toc72767522"/>
      <w:bookmarkStart w:id="2" w:name="_Toc4440560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6"/>
      </w:tblGrid>
      <w:tr w14:paraId="3315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6" w:type="dxa"/>
          </w:tcPr>
          <w:p w14:paraId="653A33A2">
            <w:pPr>
              <w:pStyle w:val="35"/>
              <w:keepNext w:val="0"/>
              <w:keepLines w:val="0"/>
              <w:pageBreakBefore w:val="0"/>
              <w:widowControl/>
              <w:kinsoku/>
              <w:wordWrap/>
              <w:overflowPunct/>
              <w:topLinePunct w:val="0"/>
              <w:autoSpaceDE/>
              <w:autoSpaceDN/>
              <w:bidi w:val="0"/>
              <w:adjustRightInd w:val="0"/>
              <w:snapToGrid/>
              <w:spacing w:afterLines="0" w:line="360" w:lineRule="auto"/>
              <w:ind w:left="0" w:leftChars="0" w:firstLine="0" w:firstLineChars="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项目概况</w:t>
            </w:r>
            <w:r>
              <w:rPr>
                <w:rFonts w:hint="eastAsia" w:ascii="宋体" w:hAnsi="宋体" w:eastAsia="宋体" w:cs="宋体"/>
                <w:b/>
                <w:bCs/>
                <w:color w:val="auto"/>
                <w:sz w:val="21"/>
                <w:szCs w:val="21"/>
                <w:highlight w:val="none"/>
                <w:lang w:eastAsia="zh-CN"/>
              </w:rPr>
              <w:t>：</w:t>
            </w:r>
          </w:p>
          <w:p w14:paraId="17C25BA7">
            <w:pPr>
              <w:pStyle w:val="35"/>
              <w:keepNext w:val="0"/>
              <w:keepLines w:val="0"/>
              <w:pageBreakBefore w:val="0"/>
              <w:widowControl/>
              <w:kinsoku/>
              <w:wordWrap/>
              <w:overflowPunct/>
              <w:topLinePunct w:val="0"/>
              <w:autoSpaceDE/>
              <w:autoSpaceDN/>
              <w:bidi w:val="0"/>
              <w:adjustRightInd w:val="0"/>
              <w:snapToGrid/>
              <w:spacing w:afterLines="0" w:line="360" w:lineRule="auto"/>
              <w:ind w:left="0" w:leftChars="0" w:firstLine="422" w:firstLineChars="200"/>
              <w:jc w:val="both"/>
              <w:textAlignment w:val="baseline"/>
              <w:rPr>
                <w:rFonts w:hint="eastAsia" w:ascii="宋体" w:hAnsi="宋体" w:eastAsia="宋体" w:cs="宋体"/>
                <w:color w:val="auto"/>
                <w:highlight w:val="none"/>
                <w:lang w:eastAsia="zh-CN"/>
              </w:rPr>
            </w:pPr>
            <w:r>
              <w:rPr>
                <w:rFonts w:hint="eastAsia" w:ascii="宋体" w:hAnsi="宋体" w:eastAsia="宋体" w:cs="宋体"/>
                <w:b/>
                <w:bCs/>
                <w:color w:val="auto"/>
                <w:sz w:val="21"/>
                <w:szCs w:val="21"/>
                <w:highlight w:val="none"/>
                <w:u w:val="single"/>
                <w:lang w:eastAsia="zh-CN"/>
              </w:rPr>
              <w:t>广西公共法律实体、网络、热线“三台”运维服务项目</w:t>
            </w:r>
            <w:r>
              <w:rPr>
                <w:rFonts w:hint="eastAsia" w:ascii="宋体" w:hAnsi="宋体" w:eastAsia="宋体" w:cs="宋体"/>
                <w:color w:val="auto"/>
                <w:sz w:val="21"/>
                <w:szCs w:val="21"/>
                <w:highlight w:val="none"/>
              </w:rPr>
              <w:t>的潜在供应商应在</w:t>
            </w:r>
            <w:r>
              <w:rPr>
                <w:rFonts w:hint="eastAsia" w:ascii="宋体" w:hAnsi="宋体" w:eastAsia="宋体" w:cs="宋体"/>
                <w:b/>
                <w:bCs/>
                <w:color w:val="auto"/>
                <w:sz w:val="21"/>
                <w:szCs w:val="21"/>
                <w:highlight w:val="none"/>
                <w:u w:val="single"/>
                <w:lang w:eastAsia="zh-CN"/>
              </w:rPr>
              <w:t>广西政府采购云平台</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https://www.gcy.zfcg.gxzf.gov.cn/</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z w:val="21"/>
                <w:szCs w:val="21"/>
                <w:highlight w:val="none"/>
              </w:rPr>
              <w:t>获取采购文件，并于</w:t>
            </w:r>
            <w:r>
              <w:rPr>
                <w:rFonts w:hint="eastAsia" w:ascii="宋体" w:hAnsi="宋体" w:eastAsia="宋体" w:cs="宋体"/>
                <w:b/>
                <w:bCs/>
                <w:color w:val="auto"/>
                <w:sz w:val="21"/>
                <w:szCs w:val="21"/>
                <w:highlight w:val="none"/>
                <w:u w:val="single"/>
                <w:lang w:eastAsia="zh-CN"/>
              </w:rPr>
              <w:t>202</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lang w:eastAsia="zh-CN"/>
              </w:rPr>
              <w:t>年</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lang w:eastAsia="zh-CN"/>
              </w:rPr>
              <w:t>月</w:t>
            </w:r>
            <w:r>
              <w:rPr>
                <w:rFonts w:hint="eastAsia" w:ascii="宋体" w:hAnsi="宋体" w:eastAsia="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u w:val="single"/>
                <w:lang w:eastAsia="zh-CN"/>
              </w:rPr>
              <w:t>日</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w:t>
            </w:r>
            <w:r>
              <w:rPr>
                <w:rFonts w:hint="eastAsia" w:ascii="宋体" w:hAnsi="宋体" w:eastAsia="宋体" w:cs="宋体"/>
                <w:color w:val="auto"/>
                <w:sz w:val="21"/>
                <w:szCs w:val="21"/>
                <w:highlight w:val="none"/>
                <w:u w:val="single"/>
              </w:rPr>
              <w:t>（北京时间）</w:t>
            </w:r>
            <w:r>
              <w:rPr>
                <w:rFonts w:hint="eastAsia" w:ascii="宋体" w:hAnsi="宋体" w:eastAsia="宋体" w:cs="宋体"/>
                <w:color w:val="auto"/>
                <w:sz w:val="21"/>
                <w:szCs w:val="21"/>
                <w:highlight w:val="none"/>
              </w:rPr>
              <w:t>前提交响应文件</w:t>
            </w:r>
            <w:r>
              <w:rPr>
                <w:rFonts w:hint="eastAsia" w:ascii="宋体" w:hAnsi="宋体" w:eastAsia="宋体" w:cs="宋体"/>
                <w:color w:val="auto"/>
                <w:sz w:val="21"/>
                <w:szCs w:val="21"/>
                <w:highlight w:val="none"/>
                <w:lang w:eastAsia="zh-CN"/>
              </w:rPr>
              <w:t>。</w:t>
            </w:r>
          </w:p>
        </w:tc>
      </w:tr>
      <w:bookmarkEnd w:id="1"/>
      <w:bookmarkEnd w:id="2"/>
    </w:tbl>
    <w:p w14:paraId="13519236">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一、项目基本情况</w:t>
      </w:r>
      <w:r>
        <w:rPr>
          <w:rFonts w:hint="eastAsia" w:ascii="宋体" w:hAnsi="宋体" w:eastAsia="宋体" w:cs="宋体"/>
          <w:b/>
          <w:color w:val="auto"/>
          <w:sz w:val="24"/>
          <w:szCs w:val="24"/>
          <w:highlight w:val="none"/>
          <w:lang w:eastAsia="zh-CN"/>
        </w:rPr>
        <w:t>：</w:t>
      </w:r>
    </w:p>
    <w:p w14:paraId="088A13E6">
      <w:pPr>
        <w:widowControl/>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lang w:val="en-US" w:eastAsia="zh-CN"/>
        </w:rPr>
        <w:t xml:space="preserve"> GXZC2025-C3-003263-ZHZB</w:t>
      </w:r>
    </w:p>
    <w:p w14:paraId="60B87B5D">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项目名称：广西公共法律实体、网络、热线“三台”运维服务项目</w:t>
      </w:r>
    </w:p>
    <w:p w14:paraId="52F18FA3">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采购方式：竞争性磋商</w:t>
      </w:r>
    </w:p>
    <w:p w14:paraId="22A0EA29">
      <w:pPr>
        <w:widowControl/>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预算金额：</w:t>
      </w:r>
      <w:r>
        <w:rPr>
          <w:rFonts w:hint="eastAsia" w:ascii="宋体" w:hAnsi="宋体" w:eastAsia="宋体" w:cs="宋体"/>
          <w:color w:val="auto"/>
          <w:szCs w:val="21"/>
          <w:highlight w:val="none"/>
          <w:lang w:val="en-US" w:eastAsia="zh-CN"/>
        </w:rPr>
        <w:t>1990000.00元</w:t>
      </w:r>
    </w:p>
    <w:p w14:paraId="06FF97EB">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1990000.00元</w:t>
      </w:r>
    </w:p>
    <w:p w14:paraId="0AE0E227">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lang w:val="en-US" w:eastAsia="zh-CN"/>
        </w:rPr>
        <w:t>广西公共法律实体、网络、热线“三台”运维服务，</w:t>
      </w:r>
      <w:r>
        <w:rPr>
          <w:rFonts w:hint="eastAsia" w:ascii="宋体" w:hAnsi="宋体" w:eastAsia="宋体" w:cs="宋体"/>
          <w:color w:val="auto"/>
          <w:szCs w:val="21"/>
          <w:highlight w:val="none"/>
          <w:lang w:eastAsia="zh-CN"/>
        </w:rPr>
        <w:t>详见采购文件第三章采购需求。</w:t>
      </w:r>
    </w:p>
    <w:p w14:paraId="62DA6EB4">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合同履行期限：</w:t>
      </w:r>
      <w:r>
        <w:rPr>
          <w:rFonts w:hint="eastAsia" w:ascii="宋体" w:hAnsi="宋体" w:eastAsia="宋体" w:cs="宋体"/>
          <w:color w:val="auto"/>
          <w:szCs w:val="21"/>
          <w:highlight w:val="none"/>
          <w:lang w:val="en-US" w:eastAsia="zh-CN"/>
        </w:rPr>
        <w:t>自合同签订之日起一年</w:t>
      </w:r>
      <w:r>
        <w:rPr>
          <w:rFonts w:hint="eastAsia" w:ascii="宋体" w:hAnsi="宋体" w:eastAsia="宋体" w:cs="宋体"/>
          <w:color w:val="auto"/>
          <w:szCs w:val="21"/>
          <w:highlight w:val="none"/>
          <w:lang w:eastAsia="zh-CN"/>
        </w:rPr>
        <w:t>。</w:t>
      </w:r>
    </w:p>
    <w:p w14:paraId="4BDB551F">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w:t>
      </w:r>
      <w:r>
        <w:rPr>
          <w:rFonts w:hint="eastAsia" w:ascii="宋体" w:hAnsi="宋体" w:eastAsia="宋体" w:cs="宋体"/>
          <w:b w:val="0"/>
          <w:bCs w:val="0"/>
          <w:color w:val="auto"/>
          <w:szCs w:val="21"/>
          <w:highlight w:val="none"/>
          <w:lang w:eastAsia="zh-CN"/>
        </w:rPr>
        <w:t>不接受</w:t>
      </w:r>
      <w:r>
        <w:rPr>
          <w:rFonts w:hint="eastAsia" w:ascii="宋体" w:hAnsi="宋体" w:eastAsia="宋体" w:cs="宋体"/>
          <w:color w:val="auto"/>
          <w:szCs w:val="21"/>
          <w:highlight w:val="none"/>
          <w:lang w:eastAsia="zh-CN"/>
        </w:rPr>
        <w:t>联合体竞标。</w:t>
      </w:r>
    </w:p>
    <w:p w14:paraId="7D40427E">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二、申请人的资格要求</w:t>
      </w:r>
      <w:r>
        <w:rPr>
          <w:rFonts w:hint="eastAsia" w:ascii="宋体" w:hAnsi="宋体" w:eastAsia="宋体" w:cs="宋体"/>
          <w:b/>
          <w:color w:val="auto"/>
          <w:sz w:val="24"/>
          <w:szCs w:val="24"/>
          <w:highlight w:val="none"/>
          <w:lang w:eastAsia="zh-CN"/>
        </w:rPr>
        <w:t>：</w:t>
      </w:r>
    </w:p>
    <w:p w14:paraId="591DA068">
      <w:pPr>
        <w:widowControl/>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1.满足《中华人民共和国政府采购法》第二十二条规定；</w:t>
      </w:r>
    </w:p>
    <w:p w14:paraId="2DB49E2D">
      <w:pPr>
        <w:widowControl/>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2.落实政府采购政策需满足的资格要求：无；</w:t>
      </w:r>
    </w:p>
    <w:p w14:paraId="0A1809F7">
      <w:pPr>
        <w:widowControl/>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3.本项目的特定资格要求：无。</w:t>
      </w:r>
    </w:p>
    <w:p w14:paraId="721C31F1">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三、获取采购文件</w:t>
      </w:r>
      <w:r>
        <w:rPr>
          <w:rFonts w:hint="eastAsia" w:ascii="宋体" w:hAnsi="宋体" w:eastAsia="宋体" w:cs="宋体"/>
          <w:b/>
          <w:color w:val="auto"/>
          <w:sz w:val="24"/>
          <w:szCs w:val="24"/>
          <w:highlight w:val="none"/>
          <w:lang w:eastAsia="zh-CN"/>
        </w:rPr>
        <w:t>：</w:t>
      </w:r>
    </w:p>
    <w:p w14:paraId="291CA2D3">
      <w:pPr>
        <w:keepNext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时间：2025年10月31日至2025年11月7日，每天上午00：00至11：59，下午12：00至23：59（北京时间）。</w:t>
      </w:r>
    </w:p>
    <w:p w14:paraId="1EC84B55">
      <w:pPr>
        <w:keepNext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地点（网址）：广西政府采购云平台（https://www.gcy.zfcg.gxzf.gov.cn/）。  </w:t>
      </w:r>
    </w:p>
    <w:p w14:paraId="3C0D00E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F151280">
      <w:pPr>
        <w:keepNext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售价：0元。</w:t>
      </w:r>
    </w:p>
    <w:p w14:paraId="749E15A9">
      <w:pPr>
        <w:keepNext w:val="0"/>
        <w:keepLines/>
        <w:pageBreakBefore w:val="0"/>
        <w:widowControl w:val="0"/>
        <w:kinsoku/>
        <w:overflowPunct/>
        <w:topLinePunct w:val="0"/>
        <w:autoSpaceDE/>
        <w:autoSpaceDN/>
        <w:bidi w:val="0"/>
        <w:adjustRightInd/>
        <w:snapToGrid/>
        <w:spacing w:line="440" w:lineRule="exact"/>
        <w:jc w:val="left"/>
        <w:textAlignment w:val="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四、响应文件提交</w:t>
      </w:r>
      <w:r>
        <w:rPr>
          <w:rFonts w:hint="eastAsia" w:ascii="宋体" w:hAnsi="宋体" w:eastAsia="宋体" w:cs="宋体"/>
          <w:b/>
          <w:color w:val="auto"/>
          <w:sz w:val="24"/>
          <w:szCs w:val="24"/>
          <w:highlight w:val="none"/>
          <w:lang w:eastAsia="zh-CN"/>
        </w:rPr>
        <w:t>：</w:t>
      </w:r>
    </w:p>
    <w:p w14:paraId="37BA2CC6">
      <w:pPr>
        <w:keepNext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（北京时间）</w:t>
      </w:r>
      <w:r>
        <w:rPr>
          <w:rFonts w:hint="eastAsia" w:ascii="宋体" w:hAnsi="宋体" w:eastAsia="宋体" w:cs="宋体"/>
          <w:color w:val="auto"/>
          <w:szCs w:val="21"/>
          <w:highlight w:val="none"/>
          <w:lang w:eastAsia="zh-CN"/>
        </w:rPr>
        <w:t>。</w:t>
      </w:r>
    </w:p>
    <w:p w14:paraId="76B2FCE3">
      <w:pPr>
        <w:keepNext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p>
    <w:p w14:paraId="5B9A7C9A">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五、响应文件开启</w:t>
      </w:r>
      <w:r>
        <w:rPr>
          <w:rFonts w:hint="eastAsia" w:ascii="宋体" w:hAnsi="宋体" w:eastAsia="宋体" w:cs="宋体"/>
          <w:b/>
          <w:color w:val="auto"/>
          <w:sz w:val="24"/>
          <w:szCs w:val="24"/>
          <w:highlight w:val="none"/>
          <w:lang w:eastAsia="zh-CN"/>
        </w:rPr>
        <w:t>：</w:t>
      </w:r>
    </w:p>
    <w:p w14:paraId="268A4691">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开启时间：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（北京时间）</w:t>
      </w:r>
      <w:r>
        <w:rPr>
          <w:rFonts w:hint="eastAsia" w:ascii="宋体" w:hAnsi="宋体" w:eastAsia="宋体" w:cs="宋体"/>
          <w:color w:val="auto"/>
          <w:szCs w:val="21"/>
          <w:highlight w:val="none"/>
          <w:lang w:eastAsia="zh-CN"/>
        </w:rPr>
        <w:t>。</w:t>
      </w:r>
    </w:p>
    <w:p w14:paraId="1D59BDC5">
      <w:pPr>
        <w:widowControl/>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实行在线解密开启</w:t>
      </w:r>
      <w:r>
        <w:rPr>
          <w:rFonts w:hint="eastAsia" w:ascii="宋体" w:hAnsi="宋体" w:eastAsia="宋体" w:cs="宋体"/>
          <w:color w:val="auto"/>
          <w:szCs w:val="21"/>
          <w:highlight w:val="none"/>
          <w:lang w:eastAsia="zh-CN"/>
        </w:rPr>
        <w:t>。</w:t>
      </w:r>
    </w:p>
    <w:p w14:paraId="0775927C">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六、公告期限</w:t>
      </w:r>
      <w:r>
        <w:rPr>
          <w:rFonts w:hint="eastAsia" w:ascii="宋体" w:hAnsi="宋体" w:eastAsia="宋体" w:cs="宋体"/>
          <w:b/>
          <w:color w:val="auto"/>
          <w:sz w:val="24"/>
          <w:szCs w:val="24"/>
          <w:highlight w:val="none"/>
          <w:lang w:eastAsia="zh-CN"/>
        </w:rPr>
        <w:t>：</w:t>
      </w:r>
    </w:p>
    <w:p w14:paraId="3FF6435B">
      <w:pPr>
        <w:widowControl/>
        <w:spacing w:line="44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自本公告发布之日起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w:t>
      </w:r>
    </w:p>
    <w:p w14:paraId="0380276D">
      <w:pPr>
        <w:keepNext/>
        <w:keepLines/>
        <w:widowControl/>
        <w:spacing w:line="440" w:lineRule="exact"/>
        <w:jc w:val="left"/>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七、其他补充事宜</w:t>
      </w:r>
      <w:r>
        <w:rPr>
          <w:rFonts w:hint="eastAsia" w:ascii="宋体" w:hAnsi="宋体" w:eastAsia="宋体" w:cs="宋体"/>
          <w:b/>
          <w:color w:val="auto"/>
          <w:sz w:val="24"/>
          <w:szCs w:val="24"/>
          <w:highlight w:val="none"/>
          <w:lang w:eastAsia="zh-CN"/>
        </w:rPr>
        <w:t>：</w:t>
      </w:r>
    </w:p>
    <w:p w14:paraId="7CCBC29A">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1.网上查询地址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中国政府采购网（http://www.ccgp.gov.cn）、广西政府采购网（http://zfcg.gxzf.gov.cn）</w:t>
      </w:r>
      <w:bookmarkStart w:id="3" w:name="_Hlk37429674"/>
      <w:r>
        <w:rPr>
          <w:rFonts w:hint="eastAsia" w:ascii="宋体" w:hAnsi="宋体" w:eastAsia="宋体" w:cs="宋体"/>
          <w:b w:val="0"/>
          <w:bCs/>
          <w:color w:val="auto"/>
          <w:sz w:val="21"/>
          <w:szCs w:val="21"/>
          <w:highlight w:val="none"/>
          <w:lang w:eastAsia="zh-CN"/>
        </w:rPr>
        <w:t>、广西正海招标有限公司</w:t>
      </w:r>
      <w:r>
        <w:rPr>
          <w:rFonts w:hint="eastAsia" w:ascii="宋体" w:hAnsi="宋体" w:eastAsia="宋体" w:cs="宋体"/>
          <w:b w:val="0"/>
          <w:bCs/>
          <w:color w:val="auto"/>
          <w:sz w:val="21"/>
          <w:szCs w:val="21"/>
          <w:highlight w:val="none"/>
        </w:rPr>
        <w:t>网</w:t>
      </w:r>
      <w:r>
        <w:rPr>
          <w:rFonts w:hint="eastAsia" w:ascii="宋体" w:hAnsi="宋体" w:eastAsia="宋体" w:cs="宋体"/>
          <w:b w:val="0"/>
          <w:bCs/>
          <w:color w:val="auto"/>
          <w:sz w:val="21"/>
          <w:szCs w:val="21"/>
          <w:highlight w:val="none"/>
          <w:lang w:eastAsia="zh-CN"/>
        </w:rPr>
        <w:t>（http://www.gxzhzb.com/）。</w:t>
      </w:r>
    </w:p>
    <w:p w14:paraId="4ABB27DE">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2.本项目需要落实的政府采购政策</w:t>
      </w:r>
    </w:p>
    <w:p w14:paraId="6267ECA4">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（1）政府采购促进中小企业发展。</w:t>
      </w:r>
    </w:p>
    <w:p w14:paraId="159FC45A">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（2）政府采购支持采用本国产品的政策。</w:t>
      </w:r>
    </w:p>
    <w:p w14:paraId="78C1512B">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（3）强制采购节能产品；优先采购节能产品、环境标志产品。</w:t>
      </w:r>
    </w:p>
    <w:p w14:paraId="165093F8">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（4）政府采购促进残疾人就业政策。</w:t>
      </w:r>
    </w:p>
    <w:p w14:paraId="024E0FE1">
      <w:pPr>
        <w:keepLines/>
        <w:spacing w:line="44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（5）政府采购支持监狱企业发展。</w:t>
      </w:r>
    </w:p>
    <w:bookmarkEnd w:id="3"/>
    <w:p w14:paraId="2A7BBA85">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3.供应商竞标注意事项</w:t>
      </w:r>
    </w:p>
    <w:p w14:paraId="730C397B">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为全流程电子化采购项目，通过广西政府采购云平台（https://www.gcy.zfcg.gxzf.gov.cn/）实行在线电子竞标，供应商应按照本项目竞争性磋商文件和广西政府采购云平台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C85BE44">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6D7C19D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47E17A1">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w:t>
      </w:r>
    </w:p>
    <w:p w14:paraId="65FC1E36">
      <w:pPr>
        <w:keepNext w:val="0"/>
        <w:keepLines/>
        <w:pageBreakBefore w:val="0"/>
        <w:widowControl w:val="0"/>
        <w:kinsoku/>
        <w:wordWrap w:val="0"/>
        <w:overflowPunct/>
        <w:topLinePunct w:val="0"/>
        <w:autoSpaceDE/>
        <w:autoSpaceDN/>
        <w:bidi w:val="0"/>
        <w:adjustRightInd/>
        <w:snapToGrid/>
        <w:spacing w:line="440" w:lineRule="exact"/>
        <w:ind w:firstLine="630" w:firstLineChars="3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2）供应商应当在提交响应文件截止时间前完成电子响应文件的提交</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上传</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，提交响应文件截止时间前可以补充、修改或者撤回响应文件。补充或者修改响应文件的，应当先行撤回原响应文件，补充、修改后重新提交</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上传</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，提交响应文件截止时间前未完成提交（上传）的，视为撤回响应文件。提交响应文件截止时间以后提交</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上传</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的响应文件，广西政府采购云平台将予以拒收。</w:t>
      </w:r>
    </w:p>
    <w:p w14:paraId="56B9EF03">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（4）供应商需要在具备有摄像头及语音功能且互联网网络状况良好的电脑登录广西政府采购云平台远程开标大厅参与本次磋商，否则后果自负。</w:t>
      </w:r>
    </w:p>
    <w:p w14:paraId="0FEEE650">
      <w:pPr>
        <w:keepNext w:val="0"/>
        <w:keepLines/>
        <w:pageBreakBefore w:val="0"/>
        <w:widowControl w:val="0"/>
        <w:kinsoku/>
        <w:wordWrap w:val="0"/>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八、凡对本次采购提出询问，请按以下方式联系</w:t>
      </w:r>
      <w:r>
        <w:rPr>
          <w:rFonts w:hint="eastAsia" w:ascii="宋体" w:hAnsi="宋体" w:eastAsia="宋体" w:cs="宋体"/>
          <w:b/>
          <w:color w:val="auto"/>
          <w:sz w:val="24"/>
          <w:szCs w:val="24"/>
          <w:highlight w:val="none"/>
          <w:lang w:eastAsia="zh-CN"/>
        </w:rPr>
        <w:t>：</w:t>
      </w:r>
    </w:p>
    <w:p w14:paraId="3E2A1822">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1.采购人信息</w:t>
      </w:r>
    </w:p>
    <w:p w14:paraId="51F1B674">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r>
        <w:rPr>
          <w:rFonts w:hint="eastAsia" w:ascii="宋体" w:hAnsi="宋体" w:eastAsia="宋体" w:cs="宋体"/>
          <w:b w:val="0"/>
          <w:bCs/>
          <w:color w:val="auto"/>
          <w:sz w:val="21"/>
          <w:szCs w:val="21"/>
          <w:highlight w:val="none"/>
          <w:lang w:eastAsia="zh-CN"/>
        </w:rPr>
        <w:t>广西壮族自治区司法厅</w:t>
      </w:r>
      <w:r>
        <w:rPr>
          <w:rFonts w:hint="eastAsia" w:ascii="宋体" w:hAnsi="宋体" w:eastAsia="宋体" w:cs="宋体"/>
          <w:b w:val="0"/>
          <w:bCs/>
          <w:color w:val="auto"/>
          <w:sz w:val="21"/>
          <w:szCs w:val="21"/>
          <w:highlight w:val="none"/>
        </w:rPr>
        <w:t xml:space="preserve">  地址：南宁市星湖路北二里1号 </w:t>
      </w:r>
    </w:p>
    <w:p w14:paraId="506FA5DF">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rPr>
        <w:t>联系</w:t>
      </w:r>
      <w:r>
        <w:rPr>
          <w:rFonts w:hint="eastAsia" w:ascii="宋体" w:hAnsi="宋体" w:eastAsia="宋体" w:cs="宋体"/>
          <w:b w:val="0"/>
          <w:bCs/>
          <w:color w:val="auto"/>
          <w:sz w:val="21"/>
          <w:szCs w:val="21"/>
          <w:highlight w:val="none"/>
          <w:lang w:eastAsia="zh-CN"/>
        </w:rPr>
        <w:t>人</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黎工</w:t>
      </w:r>
      <w:r>
        <w:rPr>
          <w:rFonts w:hint="eastAsia" w:ascii="宋体" w:hAnsi="宋体" w:eastAsia="宋体" w:cs="宋体"/>
          <w:b w:val="0"/>
          <w:bCs/>
          <w:color w:val="auto"/>
          <w:sz w:val="21"/>
          <w:szCs w:val="21"/>
          <w:highlight w:val="none"/>
          <w:lang w:val="en-US" w:eastAsia="zh-CN"/>
        </w:rPr>
        <w:t xml:space="preserve">      联系电话：0771-5849232  </w:t>
      </w:r>
      <w:r>
        <w:rPr>
          <w:rFonts w:hint="eastAsia" w:ascii="宋体" w:hAnsi="宋体" w:eastAsia="宋体" w:cs="宋体"/>
          <w:b w:val="0"/>
          <w:bCs/>
          <w:color w:val="auto"/>
          <w:sz w:val="21"/>
          <w:szCs w:val="21"/>
          <w:highlight w:val="none"/>
        </w:rPr>
        <w:t xml:space="preserve">           </w:t>
      </w:r>
    </w:p>
    <w:p w14:paraId="7B490718">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2.采购代理机构信息</w:t>
      </w:r>
    </w:p>
    <w:p w14:paraId="5BE1C083">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名称：广西正海招标有限公司　地址：</w:t>
      </w:r>
      <w:r>
        <w:rPr>
          <w:rFonts w:hint="eastAsia" w:ascii="宋体" w:hAnsi="宋体" w:eastAsia="宋体" w:cs="宋体"/>
          <w:b w:val="0"/>
          <w:bCs/>
          <w:color w:val="auto"/>
          <w:sz w:val="21"/>
          <w:szCs w:val="21"/>
          <w:highlight w:val="none"/>
          <w:lang w:eastAsia="zh-CN"/>
        </w:rPr>
        <w:t>南宁市青秀区茅桥路2号习艺基地A栋①电梯3楼</w:t>
      </w:r>
      <w:r>
        <w:rPr>
          <w:rFonts w:hint="eastAsia" w:ascii="宋体" w:hAnsi="宋体" w:eastAsia="宋体" w:cs="宋体"/>
          <w:b w:val="0"/>
          <w:bCs/>
          <w:color w:val="auto"/>
          <w:sz w:val="21"/>
          <w:szCs w:val="21"/>
          <w:highlight w:val="none"/>
        </w:rPr>
        <w:t>　　　</w:t>
      </w:r>
    </w:p>
    <w:p w14:paraId="75B230FB">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kern w:val="0"/>
          <w:sz w:val="24"/>
          <w:szCs w:val="24"/>
          <w:highlight w:val="none"/>
          <w:lang w:val="zh-CN"/>
        </w:rPr>
      </w:pPr>
      <w:r>
        <w:rPr>
          <w:rFonts w:hint="eastAsia" w:ascii="宋体" w:hAnsi="宋体" w:eastAsia="宋体" w:cs="宋体"/>
          <w:b w:val="0"/>
          <w:bCs/>
          <w:color w:val="auto"/>
          <w:sz w:val="21"/>
          <w:szCs w:val="21"/>
          <w:highlight w:val="none"/>
        </w:rPr>
        <w:t>项目联系人：</w:t>
      </w:r>
      <w:r>
        <w:rPr>
          <w:rFonts w:hint="eastAsia" w:ascii="宋体" w:hAnsi="宋体" w:eastAsia="宋体" w:cs="宋体"/>
          <w:b w:val="0"/>
          <w:bCs/>
          <w:color w:val="auto"/>
          <w:sz w:val="21"/>
          <w:szCs w:val="21"/>
          <w:highlight w:val="none"/>
          <w:lang w:eastAsia="zh-CN"/>
        </w:rPr>
        <w:t>覃相健</w:t>
      </w:r>
      <w:r>
        <w:rPr>
          <w:rFonts w:hint="eastAsia" w:ascii="宋体" w:hAnsi="宋体" w:eastAsia="宋体" w:cs="宋体"/>
          <w:b w:val="0"/>
          <w:bCs/>
          <w:color w:val="auto"/>
          <w:sz w:val="21"/>
          <w:szCs w:val="21"/>
          <w:highlight w:val="none"/>
        </w:rPr>
        <w:t xml:space="preserve">   联系电话：0771-2865989</w:t>
      </w:r>
      <w:r>
        <w:rPr>
          <w:rFonts w:hint="eastAsia" w:ascii="宋体" w:hAnsi="宋体" w:eastAsia="宋体" w:cs="宋体"/>
          <w:b/>
          <w:bCs/>
          <w:color w:val="auto"/>
          <w:kern w:val="0"/>
          <w:sz w:val="24"/>
          <w:szCs w:val="24"/>
          <w:highlight w:val="none"/>
          <w:lang w:val="zh-CN"/>
        </w:rPr>
        <w:br w:type="page"/>
      </w:r>
    </w:p>
    <w:p w14:paraId="3D96805F">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bookmarkStart w:id="4" w:name="_Toc108596903"/>
      <w:r>
        <w:rPr>
          <w:rFonts w:hint="eastAsia" w:ascii="宋体" w:hAnsi="宋体" w:eastAsia="宋体" w:cs="宋体"/>
          <w:b/>
          <w:bCs/>
          <w:color w:val="auto"/>
          <w:kern w:val="44"/>
          <w:sz w:val="44"/>
          <w:szCs w:val="44"/>
          <w:highlight w:val="none"/>
        </w:rPr>
        <w:t>第二章 供应商须知</w:t>
      </w:r>
      <w:bookmarkEnd w:id="4"/>
    </w:p>
    <w:p w14:paraId="2F4CF923">
      <w:pPr>
        <w:keepNext/>
        <w:keepLines/>
        <w:widowControl/>
        <w:spacing w:line="360" w:lineRule="auto"/>
        <w:jc w:val="center"/>
        <w:outlineLvl w:val="1"/>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供应商须知前附表</w:t>
      </w:r>
    </w:p>
    <w:tbl>
      <w:tblPr>
        <w:tblStyle w:val="27"/>
        <w:tblW w:w="92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8233"/>
      </w:tblGrid>
      <w:tr w14:paraId="71CB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Pr>
          <w:p w14:paraId="4E19E63C">
            <w:pPr>
              <w:widowControl/>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233" w:type="dxa"/>
          </w:tcPr>
          <w:p w14:paraId="5F56E788">
            <w:pPr>
              <w:widowControl/>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0A6AD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45D95E07">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233" w:type="dxa"/>
            <w:vAlign w:val="center"/>
          </w:tcPr>
          <w:p w14:paraId="75A33768">
            <w:pPr>
              <w:widowControl/>
              <w:spacing w:line="380" w:lineRule="exact"/>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p w14:paraId="691379B6">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02CE6806">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2B2057">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2.2对在“信用中国”网站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tc>
      </w:tr>
      <w:tr w14:paraId="36136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2726C209">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8233" w:type="dxa"/>
            <w:vAlign w:val="center"/>
          </w:tcPr>
          <w:p w14:paraId="7B7E1911">
            <w:pPr>
              <w:widowControl/>
              <w:spacing w:line="38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是否接受联合体磋商: </w:t>
            </w:r>
            <w:r>
              <w:rPr>
                <w:rFonts w:hint="eastAsia" w:ascii="宋体" w:hAnsi="宋体" w:eastAsia="宋体" w:cs="宋体"/>
                <w:color w:val="auto"/>
                <w:szCs w:val="21"/>
                <w:highlight w:val="none"/>
                <w:lang w:eastAsia="zh-CN"/>
              </w:rPr>
              <w:t>不接受。</w:t>
            </w:r>
          </w:p>
        </w:tc>
      </w:tr>
      <w:tr w14:paraId="22A28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5485568B">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233" w:type="dxa"/>
            <w:vAlign w:val="center"/>
          </w:tcPr>
          <w:p w14:paraId="5B1D2033">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如接受联合体磋商，联合体磋商要求如下：</w:t>
            </w:r>
          </w:p>
          <w:p w14:paraId="0C1DA210">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1.两个以上供应商可以组成一个磋商联合体，以一个供应商的身份共同参加磋商。联合体磋商的，须提供《联合体磋商协议书》（格式附后）。</w:t>
            </w:r>
          </w:p>
          <w:p w14:paraId="5D5979AC">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2.以联合体形式参加竞标的，则联合体各方均必须满足申请人的资格要求第1、2条及特定行业法定准入要求。）</w:t>
            </w:r>
          </w:p>
          <w:p w14:paraId="11D5098D">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3.联合体各方之间必须签订联合磋商协议，协议书必须明确主体方（或者牵头方）并明确约定联合体各方承担的工作和相应的责任（</w:t>
            </w:r>
            <w:r>
              <w:rPr>
                <w:rFonts w:hint="eastAsia" w:ascii="宋体" w:hAnsi="宋体" w:eastAsia="宋体" w:cs="宋体"/>
                <w:b/>
                <w:bCs/>
                <w:color w:val="auto"/>
                <w:szCs w:val="21"/>
                <w:highlight w:val="none"/>
              </w:rPr>
              <w:t>各方承担责任与义务的分工必须符合采购需求，否则，联合体磋商无效</w:t>
            </w:r>
            <w:r>
              <w:rPr>
                <w:rFonts w:hint="eastAsia" w:ascii="宋体" w:hAnsi="宋体" w:eastAsia="宋体" w:cs="宋体"/>
                <w:color w:val="auto"/>
                <w:szCs w:val="21"/>
                <w:highlight w:val="none"/>
              </w:rPr>
              <w:t>），并将联合竞标协议放入响应文件。联合体各方必须共同与采购人签订采购合同，就采购合同约定的事项对采购人承担连带责任。</w:t>
            </w:r>
          </w:p>
          <w:p w14:paraId="490C3B94">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0C2E754D">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5.联合体中有同类资质的供应商按照联合体分工承担相同工作的，应当按照资质等级较低的供应商确定资质等级。 </w:t>
            </w:r>
          </w:p>
          <w:p w14:paraId="65AA4346">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6.联合体磋商业绩、履约能力按照联合体各方中较高的一方认定并计算（磋商文件另有规定的除外）。</w:t>
            </w:r>
          </w:p>
          <w:p w14:paraId="12158032">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78142D25">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8.联合体各方均应按照磋商文件的规定提交资格证明文件。</w:t>
            </w:r>
          </w:p>
        </w:tc>
      </w:tr>
      <w:tr w14:paraId="6CA8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58ABEA3">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233" w:type="dxa"/>
            <w:vAlign w:val="center"/>
          </w:tcPr>
          <w:p w14:paraId="12B77CE8">
            <w:pPr>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eq \o\ac(□,√)</w:instrTex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不允许分包</w:t>
            </w:r>
          </w:p>
          <w:p w14:paraId="697D5029">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16DB6806">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399C265">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A37101">
            <w:pPr>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分包供应商必须具备的资质：</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tc>
      </w:tr>
      <w:tr w14:paraId="00DE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363EE85">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8233" w:type="dxa"/>
            <w:vAlign w:val="center"/>
          </w:tcPr>
          <w:p w14:paraId="461E6CE2">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资格证明文件</w:t>
            </w:r>
          </w:p>
          <w:p w14:paraId="348C9902">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1ADF2BB5">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内任意一个月的依法缴纳税收的凭据复印件（如税务部门开具的完税证、银行缴税付款凭证或缴款回单等；如为非税务部门开具的凭证或回单的，应清晰反映：付款人名称、帐号，征收机关名称，缴款金额，税种名称，所属时期等内容）；如供应商在项目截标前半年内为零纳税的，供应商应出具其具备经营能力的相关证明材料。供应商符合依法免税条件的，应出具所在地的税务部门出具的《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00C97326">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月至202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内任意一个月的依法缴纳社会保障资金的缴费凭证（专用收据或者社会保险缴纳清单）复印件；并附上项目实施人员社保缴存证明（如社保部门开具的证明、收款收据等，或银行缴款凭证、回单等；如为非社保部门开具的凭证或回单的，应清晰反映：缴款单位名称、社保单位名称、保险险种名称、缴款金额等内容）。无缴费记录的，应提供供应商所在地社保部门出具的《依法免缴社保费证明》复印件。从取得营业执照时间起到响应文件提交截止时间为止不足要求月数的只需提供从取得营业执照起的依法缴纳社会保障资金的</w:t>
            </w:r>
            <w:r>
              <w:rPr>
                <w:rFonts w:hint="eastAsia" w:ascii="宋体" w:hAnsi="宋体" w:eastAsia="宋体" w:cs="宋体"/>
                <w:color w:val="auto"/>
                <w:highlight w:val="none"/>
              </w:rPr>
              <w:t>相应证明文件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592C77FE">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color w:val="auto"/>
                <w:szCs w:val="21"/>
                <w:highlight w:val="none"/>
                <w:lang w:eastAsia="zh-CN"/>
              </w:rPr>
              <w:t>【</w:t>
            </w:r>
            <w:r>
              <w:rPr>
                <w:rFonts w:hint="eastAsia" w:ascii="宋体" w:hAnsi="宋体"/>
                <w:color w:val="auto"/>
                <w:szCs w:val="21"/>
                <w:highlight w:val="none"/>
                <w:u w:val="none"/>
                <w:lang w:val="en-US" w:eastAsia="zh-CN"/>
              </w:rPr>
              <w:t>2024年度经第三方审计的财务审计报告复印件</w:t>
            </w:r>
            <w:r>
              <w:rPr>
                <w:rFonts w:hint="eastAsia"/>
                <w:color w:val="auto"/>
                <w:szCs w:val="21"/>
                <w:highlight w:val="none"/>
              </w:rPr>
              <w:t>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FAEFBF0">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5.供应商直接控股、管理关系信息表（格式附后）；（</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4C80E435">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rPr>
              <w:t>6.磋商声明（格式附后）；（</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70AE1160">
            <w:pPr>
              <w:widowControl/>
              <w:numPr>
                <w:ilvl w:val="0"/>
                <w:numId w:val="2"/>
              </w:numPr>
              <w:spacing w:line="380" w:lineRule="exact"/>
              <w:ind w:left="0"/>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.联合体磋商协议书（格式附后）；（</w:t>
            </w:r>
            <w:r>
              <w:rPr>
                <w:rFonts w:hint="eastAsia" w:ascii="宋体" w:hAnsi="宋体" w:eastAsia="宋体" w:cs="宋体"/>
                <w:b/>
                <w:bCs/>
                <w:color w:val="auto"/>
                <w:szCs w:val="21"/>
                <w:highlight w:val="none"/>
              </w:rPr>
              <w:t>联合体磋商时必须提供，否则响应文件按无效响应处理</w:t>
            </w:r>
            <w:r>
              <w:rPr>
                <w:rFonts w:hint="eastAsia" w:ascii="宋体" w:hAnsi="宋体" w:eastAsia="宋体" w:cs="宋体"/>
                <w:color w:val="auto"/>
                <w:szCs w:val="21"/>
                <w:highlight w:val="none"/>
              </w:rPr>
              <w:t>）</w:t>
            </w:r>
          </w:p>
          <w:p w14:paraId="3A84E947">
            <w:pPr>
              <w:pStyle w:val="83"/>
              <w:widowControl/>
              <w:numPr>
                <w:ilvl w:val="0"/>
                <w:numId w:val="2"/>
              </w:numPr>
              <w:spacing w:line="380" w:lineRule="exact"/>
              <w:ind w:left="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3A979C4">
            <w:pPr>
              <w:pStyle w:val="83"/>
              <w:widowControl/>
              <w:numPr>
                <w:ilvl w:val="0"/>
                <w:numId w:val="2"/>
              </w:numPr>
              <w:spacing w:line="380" w:lineRule="exact"/>
              <w:ind w:left="0" w:firstLineChars="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1.以上标明“必须提供”的材料属于复印件的，必须加盖供应商公章，否则响应文件按无效响应处理。</w:t>
            </w:r>
          </w:p>
          <w:p w14:paraId="66DABBDF">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2.磋商声明必须由法定代表人在规定签章处签字并加盖供应商公章，否则响应文件按无效响应处理。</w:t>
            </w:r>
          </w:p>
          <w:p w14:paraId="248DCB64">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3.供应商直接控股、管理关系信息表必须由法定代表人或者委托代理人在规定签章处签字并加盖供应商公章，否则响应文件按无效响应处理。</w:t>
            </w:r>
          </w:p>
          <w:p w14:paraId="28C8C5F9">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4.联合体磋商时，第1-5项资格证明文件联合体各方均必须分别提供，联合体各方分别盖章和签字，否则响应文件按无效响应处理。</w:t>
            </w:r>
          </w:p>
          <w:p w14:paraId="20378AEF">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电子响应文件中所须加盖公章部分均建议采用CA签章。若响应文件中有专门标注的某关联点，并要求供应商在电子投标系统中作出磋商响应的，如供应商未对关联点进行响应或者在响应文件其它内容进行描述，造成电子评审不能查询的责任由供应商自行承担。</w:t>
            </w:r>
          </w:p>
          <w:p w14:paraId="2D02D7B9">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6.分公司参加磋商的，应当取得总公司授权。</w:t>
            </w:r>
          </w:p>
        </w:tc>
      </w:tr>
      <w:tr w14:paraId="2887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4645FF4A">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8233" w:type="dxa"/>
            <w:vAlign w:val="center"/>
          </w:tcPr>
          <w:p w14:paraId="18D45405">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报价文件</w:t>
            </w:r>
          </w:p>
          <w:p w14:paraId="35D42F9B">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磋商报价表（格式附后）；</w:t>
            </w:r>
            <w:r>
              <w:rPr>
                <w:rFonts w:hint="eastAsia" w:ascii="宋体" w:hAnsi="宋体" w:eastAsia="宋体" w:cs="宋体"/>
                <w:b/>
                <w:bCs/>
                <w:color w:val="auto"/>
                <w:szCs w:val="21"/>
                <w:highlight w:val="none"/>
              </w:rPr>
              <w:t>（必须提供，否则响应文件按无效响应处理）</w:t>
            </w:r>
          </w:p>
          <w:p w14:paraId="2D202479">
            <w:pPr>
              <w:widowControl/>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中小企业声明函（格式后附）；（</w:t>
            </w:r>
            <w:r>
              <w:rPr>
                <w:rFonts w:hint="eastAsia" w:ascii="宋体" w:hAnsi="宋体" w:eastAsia="宋体" w:cs="宋体"/>
                <w:color w:val="auto"/>
                <w:szCs w:val="21"/>
                <w:highlight w:val="none"/>
                <w:lang w:eastAsia="zh-CN"/>
              </w:rPr>
              <w:t>如是，请提供</w:t>
            </w:r>
            <w:r>
              <w:rPr>
                <w:rFonts w:hint="eastAsia" w:ascii="宋体" w:hAnsi="宋体" w:eastAsia="宋体" w:cs="宋体"/>
                <w:color w:val="auto"/>
                <w:szCs w:val="21"/>
                <w:highlight w:val="none"/>
              </w:rPr>
              <w:t>）</w:t>
            </w:r>
          </w:p>
          <w:p w14:paraId="785707C3">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.供应商认为需要提供的其他有关资料。</w:t>
            </w:r>
          </w:p>
        </w:tc>
      </w:tr>
      <w:tr w14:paraId="21DE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709DCF5">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8233" w:type="dxa"/>
            <w:vAlign w:val="center"/>
          </w:tcPr>
          <w:p w14:paraId="5C08218D">
            <w:pPr>
              <w:widowControl/>
              <w:spacing w:line="3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商务技术文件</w:t>
            </w:r>
          </w:p>
          <w:p w14:paraId="616B5B0C">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1.无串通竞标行为的承诺函（格式附后）；（</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6761999E">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2.法定代表人身份证明书及法定代表人有效身份证正反面复印件（格式附后）；（</w:t>
            </w:r>
            <w:r>
              <w:rPr>
                <w:rFonts w:hint="eastAsia" w:ascii="宋体" w:hAnsi="宋体" w:eastAsia="宋体" w:cs="宋体"/>
                <w:b/>
                <w:bCs/>
                <w:color w:val="auto"/>
                <w:szCs w:val="21"/>
                <w:highlight w:val="none"/>
              </w:rPr>
              <w:t>除自然人竞标外必须提供，否则响应文件按无效响应处理</w:t>
            </w:r>
            <w:r>
              <w:rPr>
                <w:rFonts w:hint="eastAsia" w:ascii="宋体" w:hAnsi="宋体" w:eastAsia="宋体" w:cs="宋体"/>
                <w:color w:val="auto"/>
                <w:szCs w:val="21"/>
                <w:highlight w:val="none"/>
              </w:rPr>
              <w:t>）</w:t>
            </w:r>
          </w:p>
          <w:p w14:paraId="5A273890">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3.授权委托书及委托代理人有效身份证正反面复印件（格式附后）；（</w:t>
            </w:r>
            <w:r>
              <w:rPr>
                <w:rFonts w:hint="eastAsia" w:ascii="宋体" w:hAnsi="宋体" w:eastAsia="宋体" w:cs="宋体"/>
                <w:b/>
                <w:bCs/>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3A82AA5A">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4.磋商保证金提交凭证；（</w:t>
            </w:r>
            <w:r>
              <w:rPr>
                <w:rFonts w:hint="eastAsia" w:ascii="宋体" w:hAnsi="宋体" w:eastAsia="宋体" w:cs="宋体"/>
                <w:b/>
                <w:bCs/>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182F106">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5.商务要求偏离表（格式附后）；（</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7BA1D035">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6.服务要求偏离表（格式附后）；（</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17846D40">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7.售后服务承诺书（格式自拟）；（</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4EF8B6BC">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8.项目实施人员一览表；（</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64B93B23">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9.项目</w:t>
            </w:r>
            <w:r>
              <w:rPr>
                <w:rFonts w:hint="eastAsia" w:hAnsi="宋体"/>
                <w:color w:val="auto"/>
                <w:kern w:val="0"/>
                <w:highlight w:val="none"/>
              </w:rPr>
              <w:t>实施方案</w:t>
            </w:r>
            <w:r>
              <w:rPr>
                <w:rFonts w:hint="eastAsia" w:hAnsi="宋体"/>
                <w:color w:val="auto"/>
                <w:kern w:val="0"/>
                <w:highlight w:val="none"/>
                <w:lang w:eastAsia="zh-CN"/>
              </w:rPr>
              <w:t>、</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方案（结合第三章“项目需求”及第四章“评定成交的标准”自行编写）；</w:t>
            </w:r>
            <w:r>
              <w:rPr>
                <w:rFonts w:hint="eastAsia" w:ascii="宋体" w:hAnsi="宋体" w:eastAsia="宋体" w:cs="宋体"/>
                <w:b/>
                <w:bCs/>
                <w:color w:val="auto"/>
                <w:szCs w:val="21"/>
                <w:highlight w:val="none"/>
              </w:rPr>
              <w:t>（必须提供，否则响应文件按无效响应处理）</w:t>
            </w:r>
          </w:p>
          <w:p w14:paraId="5A627F26">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10.对应采购需求的服务要求、商务要求提供的其他文件资料（格式自拟）；</w:t>
            </w:r>
          </w:p>
          <w:p w14:paraId="53F383BF">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11.供应商认为需要提供的其他有关资料。</w:t>
            </w:r>
          </w:p>
          <w:p w14:paraId="0299BF11">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4C1EAA71">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color w:val="auto"/>
                <w:szCs w:val="21"/>
                <w:highlight w:val="none"/>
              </w:rPr>
              <w:t>1.以上标明“必须提供”的材料属于复印件的，必须加盖供应商公章，否则响应文件按无效响应处理。</w:t>
            </w:r>
          </w:p>
          <w:p w14:paraId="41A7145C">
            <w:pPr>
              <w:widowControl/>
              <w:snapToGrid w:val="0"/>
              <w:spacing w:line="380" w:lineRule="exact"/>
              <w:jc w:val="left"/>
              <w:rPr>
                <w:rFonts w:ascii="宋体" w:hAnsi="宋体" w:eastAsia="宋体" w:cs="宋体"/>
                <w:b/>
                <w:color w:val="auto"/>
                <w:szCs w:val="21"/>
                <w:highlight w:val="none"/>
              </w:rPr>
            </w:pPr>
            <w:r>
              <w:rPr>
                <w:rFonts w:hint="eastAsia" w:ascii="宋体" w:hAnsi="宋体" w:eastAsia="宋体" w:cs="宋体"/>
                <w:b/>
                <w:bCs/>
                <w:color w:val="auto"/>
                <w:szCs w:val="21"/>
                <w:highlight w:val="none"/>
              </w:rPr>
              <w:t>2.电子响应文件中所须加盖公章部分均建议采用CA签章。若响应文件中有专门标注的某关联点，并要求供应商在电子投标系统中作出磋商响应的，如供应商未对关联点进行响应或者在响应文件其它内容进行描述，造成电子评审不能查询的责任由供应商自行承担。</w:t>
            </w:r>
          </w:p>
          <w:p w14:paraId="10FFC242">
            <w:pPr>
              <w:widowControl/>
              <w:spacing w:line="380" w:lineRule="exact"/>
              <w:jc w:val="left"/>
              <w:rPr>
                <w:rFonts w:ascii="宋体" w:hAnsi="宋体" w:eastAsia="宋体" w:cs="宋体"/>
                <w:color w:val="auto"/>
                <w:szCs w:val="21"/>
                <w:highlight w:val="none"/>
              </w:rPr>
            </w:pPr>
            <w:r>
              <w:rPr>
                <w:rFonts w:hint="eastAsia" w:ascii="宋体" w:hAnsi="宋体" w:eastAsia="宋体" w:cs="宋体"/>
                <w:b/>
                <w:color w:val="auto"/>
                <w:szCs w:val="21"/>
                <w:highlight w:val="none"/>
              </w:rPr>
              <w:t>3.以上材料未附格式的，由供应商自行拟定。</w:t>
            </w:r>
          </w:p>
        </w:tc>
      </w:tr>
      <w:tr w14:paraId="683C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C54BCE4">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8233" w:type="dxa"/>
            <w:vAlign w:val="center"/>
          </w:tcPr>
          <w:p w14:paraId="25368C25">
            <w:pPr>
              <w:spacing w:line="380" w:lineRule="exact"/>
              <w:contextualSpacing/>
              <w:jc w:val="left"/>
              <w:rPr>
                <w:rFonts w:ascii="宋体" w:hAnsi="宋体" w:eastAsia="宋体" w:cs="宋体"/>
                <w:b/>
                <w:color w:val="auto"/>
                <w:szCs w:val="21"/>
                <w:highlight w:val="none"/>
              </w:rPr>
            </w:pPr>
            <w:r>
              <w:rPr>
                <w:rFonts w:hint="eastAsia" w:ascii="宋体" w:hAnsi="宋体" w:eastAsia="宋体" w:cs="宋体"/>
                <w:color w:val="auto"/>
                <w:szCs w:val="21"/>
                <w:highlight w:val="none"/>
              </w:rPr>
              <w:t>磋商报价是履行合同的最终价格，</w:t>
            </w:r>
            <w:r>
              <w:rPr>
                <w:rFonts w:hint="eastAsia" w:ascii="宋体" w:hAnsi="宋体" w:eastAsia="宋体" w:cs="宋体"/>
                <w:color w:val="auto"/>
                <w:highlight w:val="none"/>
              </w:rPr>
              <w:t>即满足全部采购需求所应提供的服务的价格；包括竞标服务的成本、运输（含保险）（如有）、技术服务、</w:t>
            </w:r>
            <w:r>
              <w:rPr>
                <w:rFonts w:hint="eastAsia" w:ascii="宋体" w:hAnsi="宋体" w:eastAsia="宋体" w:cs="宋体"/>
                <w:color w:val="auto"/>
                <w:highlight w:val="none"/>
                <w:lang w:val="en-US" w:eastAsia="zh-CN"/>
              </w:rPr>
              <w:t>售后服务、</w:t>
            </w:r>
            <w:r>
              <w:rPr>
                <w:rFonts w:hint="eastAsia" w:ascii="宋体" w:hAnsi="宋体" w:eastAsia="宋体" w:cs="宋体"/>
                <w:color w:val="auto"/>
                <w:highlight w:val="none"/>
              </w:rPr>
              <w:t>培训、税费等所有费用</w:t>
            </w:r>
            <w:r>
              <w:rPr>
                <w:rFonts w:hint="eastAsia" w:ascii="宋体" w:hAnsi="宋体" w:eastAsia="宋体" w:cs="Times New Roman"/>
                <w:b/>
                <w:color w:val="auto"/>
                <w:highlight w:val="none"/>
              </w:rPr>
              <w:t>（采购需求另有约定的，从其约定）</w:t>
            </w:r>
            <w:r>
              <w:rPr>
                <w:rFonts w:hint="eastAsia" w:ascii="宋体" w:hAnsi="宋体" w:eastAsia="宋体" w:cs="Times New Roman"/>
                <w:bCs/>
                <w:color w:val="auto"/>
                <w:highlight w:val="none"/>
              </w:rPr>
              <w:t>。</w:t>
            </w:r>
          </w:p>
        </w:tc>
      </w:tr>
      <w:tr w14:paraId="54DFD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190AF4E">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8233" w:type="dxa"/>
            <w:vAlign w:val="center"/>
          </w:tcPr>
          <w:p w14:paraId="7F732B7D">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磋商有效期：自首次响应文件提交截止之日起</w:t>
            </w:r>
            <w:r>
              <w:rPr>
                <w:rFonts w:hint="eastAsia" w:ascii="宋体" w:hAnsi="宋体" w:eastAsia="宋体" w:cs="宋体"/>
                <w:b/>
                <w:bCs/>
                <w:color w:val="auto"/>
                <w:szCs w:val="21"/>
                <w:highlight w:val="none"/>
                <w:u w:val="single"/>
              </w:rPr>
              <w:t xml:space="preserve"> 60</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rPr>
              <w:t>日。</w:t>
            </w:r>
          </w:p>
        </w:tc>
      </w:tr>
      <w:tr w14:paraId="626D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2763A93F">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8233" w:type="dxa"/>
            <w:vAlign w:val="center"/>
          </w:tcPr>
          <w:p w14:paraId="265F2A68">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p w14:paraId="081A8EDB">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eq \o\ac(□,√)</w:instrTex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本项目收取磋商保证金，具体规定如下：</w:t>
            </w:r>
          </w:p>
          <w:p w14:paraId="251FF115">
            <w:pPr>
              <w:widowControl/>
              <w:spacing w:line="38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磋商保证金</w:t>
            </w:r>
            <w:r>
              <w:rPr>
                <w:rFonts w:hint="eastAsia" w:ascii="宋体" w:hAnsi="宋体" w:eastAsia="宋体" w:cs="宋体"/>
                <w:b/>
                <w:bCs/>
                <w:color w:val="auto"/>
                <w:kern w:val="0"/>
                <w:szCs w:val="21"/>
                <w:highlight w:val="none"/>
                <w:lang w:val="en-US" w:eastAsia="zh-CN"/>
              </w:rPr>
              <w:t>：人民币壹万捌</w:t>
            </w:r>
            <w:r>
              <w:rPr>
                <w:rFonts w:hint="eastAsia" w:ascii="宋体" w:hAnsi="宋体" w:eastAsia="宋体" w:cs="宋体"/>
                <w:b/>
                <w:bCs/>
                <w:color w:val="auto"/>
                <w:kern w:val="0"/>
                <w:szCs w:val="21"/>
                <w:highlight w:val="none"/>
                <w:lang w:eastAsia="zh-CN"/>
              </w:rPr>
              <w:t>仟元整</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1800</w:t>
            </w:r>
            <w:r>
              <w:rPr>
                <w:rFonts w:hint="eastAsia" w:ascii="宋体" w:hAnsi="宋体" w:eastAsia="宋体" w:cs="宋体"/>
                <w:b/>
                <w:bCs/>
                <w:color w:val="auto"/>
                <w:kern w:val="0"/>
                <w:szCs w:val="21"/>
                <w:highlight w:val="none"/>
              </w:rPr>
              <w:t>0.00）</w:t>
            </w:r>
            <w:r>
              <w:rPr>
                <w:rFonts w:hint="eastAsia" w:ascii="宋体" w:hAnsi="宋体" w:eastAsia="宋体" w:cs="宋体"/>
                <w:b/>
                <w:bCs/>
                <w:color w:val="auto"/>
                <w:kern w:val="0"/>
                <w:szCs w:val="21"/>
                <w:highlight w:val="none"/>
                <w:lang w:eastAsia="zh-CN"/>
              </w:rPr>
              <w:t>。</w:t>
            </w:r>
          </w:p>
          <w:p w14:paraId="2A896752">
            <w:pPr>
              <w:widowControl/>
              <w:wordWrap w:val="0"/>
              <w:spacing w:line="380" w:lineRule="exact"/>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磋商保证金的交纳方式：银行转账、支票、汇票、本票或者银行、保险机构出具的保函、保险，禁止采用现钞方式。采用银行转账方式的，</w:t>
            </w:r>
            <w:r>
              <w:rPr>
                <w:rFonts w:hint="eastAsia" w:ascii="宋体" w:hAnsi="宋体" w:eastAsia="宋体" w:cs="宋体"/>
                <w:color w:val="auto"/>
                <w:kern w:val="0"/>
                <w:szCs w:val="21"/>
                <w:highlight w:val="none"/>
              </w:rPr>
              <w:t>在响应文件提交截止时间前</w:t>
            </w:r>
            <w:r>
              <w:rPr>
                <w:rFonts w:hint="eastAsia" w:ascii="宋体" w:hAnsi="宋体" w:eastAsia="宋体" w:cs="宋体"/>
                <w:color w:val="auto"/>
                <w:szCs w:val="21"/>
                <w:highlight w:val="none"/>
              </w:rPr>
              <w:t>交至指定账户并且到账【</w:t>
            </w:r>
            <w:r>
              <w:rPr>
                <w:rFonts w:hint="eastAsia" w:ascii="宋体" w:hAnsi="宋体" w:eastAsia="宋体" w:cs="宋体"/>
                <w:b/>
                <w:bCs/>
                <w:color w:val="auto"/>
                <w:szCs w:val="21"/>
                <w:highlight w:val="none"/>
              </w:rPr>
              <w:t>开户名称：广西正海招标有限公司，开户银行：广西北部湾银行南宁市兴宁支行（行号：313611014014），银行账号：800105504300012</w:t>
            </w:r>
            <w:r>
              <w:rPr>
                <w:rFonts w:hint="eastAsia" w:ascii="宋体" w:hAnsi="宋体" w:eastAsia="宋体" w:cs="宋体"/>
                <w:color w:val="auto"/>
                <w:szCs w:val="21"/>
                <w:highlight w:val="none"/>
              </w:rPr>
              <w:t>】；采用支票、汇票、本票或者保函、保险等方式的，</w:t>
            </w:r>
            <w:r>
              <w:rPr>
                <w:rFonts w:hint="eastAsia" w:ascii="宋体" w:hAnsi="宋体" w:eastAsia="宋体" w:cs="宋体"/>
                <w:color w:val="auto"/>
                <w:kern w:val="0"/>
                <w:szCs w:val="21"/>
                <w:highlight w:val="none"/>
              </w:rPr>
              <w:t>在响应文件提交截止时间前</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供应商必须提交单独密封的支票、汇票、本票或者保函</w:t>
            </w:r>
            <w:r>
              <w:rPr>
                <w:rFonts w:hint="eastAsia" w:ascii="宋体" w:hAnsi="宋体" w:eastAsia="宋体" w:cs="宋体"/>
                <w:color w:val="auto"/>
                <w:szCs w:val="21"/>
                <w:highlight w:val="none"/>
              </w:rPr>
              <w:t>、保险</w:t>
            </w:r>
            <w:r>
              <w:rPr>
                <w:rFonts w:hint="eastAsia" w:ascii="宋体" w:hAnsi="宋体" w:eastAsia="宋体" w:cs="宋体"/>
                <w:color w:val="auto"/>
                <w:kern w:val="0"/>
                <w:szCs w:val="21"/>
                <w:highlight w:val="none"/>
              </w:rPr>
              <w:t>原件</w:t>
            </w:r>
            <w:r>
              <w:rPr>
                <w:rFonts w:hint="eastAsia" w:ascii="宋体" w:hAnsi="宋体" w:eastAsia="宋体" w:cs="宋体"/>
                <w:color w:val="auto"/>
                <w:szCs w:val="21"/>
                <w:highlight w:val="none"/>
              </w:rPr>
              <w:t>。否则视为无效磋商保证金。</w:t>
            </w:r>
            <w:r>
              <w:rPr>
                <w:rFonts w:hint="eastAsia" w:ascii="宋体" w:hAnsi="宋体" w:eastAsia="宋体" w:cs="宋体"/>
                <w:b/>
                <w:bCs/>
                <w:color w:val="auto"/>
                <w:szCs w:val="21"/>
                <w:highlight w:val="none"/>
              </w:rPr>
              <w:t>注：磋商保证金转账时请备注“</w:t>
            </w:r>
            <w:r>
              <w:rPr>
                <w:rFonts w:hint="eastAsia" w:ascii="宋体" w:hAnsi="宋体" w:eastAsia="宋体" w:cs="宋体"/>
                <w:b/>
                <w:bCs/>
                <w:color w:val="auto"/>
                <w:szCs w:val="21"/>
                <w:highlight w:val="none"/>
                <w:lang w:eastAsia="zh-CN"/>
              </w:rPr>
              <w:t>项目编号</w:t>
            </w:r>
            <w:r>
              <w:rPr>
                <w:rFonts w:hint="eastAsia" w:ascii="宋体" w:hAnsi="宋体" w:eastAsia="宋体" w:cs="宋体"/>
                <w:b/>
                <w:bCs/>
                <w:color w:val="auto"/>
                <w:szCs w:val="21"/>
                <w:highlight w:val="none"/>
                <w:lang w:val="en-US" w:eastAsia="zh-CN"/>
              </w:rPr>
              <w:t>或项目名称</w:t>
            </w:r>
            <w:r>
              <w:rPr>
                <w:rFonts w:hint="eastAsia" w:ascii="宋体" w:hAnsi="宋体" w:eastAsia="宋体" w:cs="宋体"/>
                <w:b/>
                <w:bCs/>
                <w:color w:val="auto"/>
                <w:szCs w:val="21"/>
                <w:highlight w:val="none"/>
              </w:rPr>
              <w:t>”。</w:t>
            </w:r>
          </w:p>
          <w:p w14:paraId="62F82A09">
            <w:pPr>
              <w:widowControl/>
              <w:spacing w:line="38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相关要求：</w:t>
            </w:r>
          </w:p>
          <w:p w14:paraId="6763CC8F">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eastAsia="宋体" w:cs="宋体"/>
                <w:b/>
                <w:bCs/>
                <w:color w:val="auto"/>
                <w:szCs w:val="21"/>
                <w:highlight w:val="none"/>
              </w:rPr>
              <w:t>否则响应文件按无效响应处理</w:t>
            </w:r>
            <w:r>
              <w:rPr>
                <w:rFonts w:hint="eastAsia" w:ascii="宋体" w:hAnsi="宋体" w:eastAsia="宋体" w:cs="宋体"/>
                <w:color w:val="auto"/>
                <w:szCs w:val="21"/>
                <w:highlight w:val="none"/>
              </w:rPr>
              <w:t>。</w:t>
            </w:r>
          </w:p>
          <w:p w14:paraId="1547CE9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磋商保证金采用支票、汇票、本票或者银行、保险机构出具的保函、保险交纳方式的，供应商应将支票、汇票、本票或者银行、保险机构出具的保函、保险的复印件作为磋商保证金提交凭证，放置于报价商务技术文件中，</w:t>
            </w:r>
            <w:r>
              <w:rPr>
                <w:rFonts w:hint="eastAsia" w:ascii="宋体" w:hAnsi="宋体" w:eastAsia="宋体" w:cs="宋体"/>
                <w:b/>
                <w:bCs/>
                <w:color w:val="auto"/>
                <w:szCs w:val="21"/>
                <w:highlight w:val="none"/>
              </w:rPr>
              <w:t>否则响应文件按无效处理</w:t>
            </w:r>
            <w:r>
              <w:rPr>
                <w:rFonts w:hint="eastAsia" w:ascii="宋体" w:hAnsi="宋体" w:eastAsia="宋体" w:cs="宋体"/>
                <w:color w:val="auto"/>
                <w:szCs w:val="21"/>
                <w:highlight w:val="none"/>
              </w:rPr>
              <w:t>。供应商必须在响应文件提交截止时间前将单独密封的支票、汇票、本票或者银行、保险机构出具的保函、保险原件提交给采购人或者采购代理机构，由采购人或者采购代理机构向供应商出具回执，并妥善保管。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纸质保函</w:t>
            </w:r>
            <w:r>
              <w:rPr>
                <w:rFonts w:hint="eastAsia" w:ascii="宋体" w:hAnsi="宋体" w:eastAsia="宋体" w:cs="宋体"/>
                <w:color w:val="auto"/>
                <w:szCs w:val="21"/>
                <w:highlight w:val="none"/>
              </w:rPr>
              <w:t>现场提交或邮寄地址：南宁市青秀区茅桥路2号习艺基地A栋1号电梯3楼，联系人：覃相健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0771-2865989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电子保函发送到32970806@qq.com邮箱</w:t>
            </w:r>
            <w:r>
              <w:rPr>
                <w:rFonts w:hint="eastAsia" w:ascii="宋体" w:hAnsi="宋体" w:eastAsia="宋体" w:cs="宋体"/>
                <w:color w:val="auto"/>
                <w:szCs w:val="21"/>
                <w:highlight w:val="none"/>
              </w:rPr>
              <w:t>）</w:t>
            </w:r>
          </w:p>
          <w:p w14:paraId="0751B801">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3.供应商为联合体的，可以由联合体中的一方或者多方共同交纳磋商保证金，其交纳的保证金对联合体各方均具有约束力。</w:t>
            </w:r>
          </w:p>
          <w:p w14:paraId="6929DE32">
            <w:pPr>
              <w:widowControl/>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5592AD7E">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1.磋商保证金在响应文件提交截止时间后提交的，或者不按规定交纳方式交纳的，或者未足额交纳的（包含保函或保险额度不足的），视为无效磋商保证金。</w:t>
            </w:r>
          </w:p>
          <w:p w14:paraId="18EC028F">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2.供应商采用现钞方式或者从个人账户（自然人竞标除外）转出的磋商保证金，视为无效磋商保证金。</w:t>
            </w:r>
          </w:p>
          <w:p w14:paraId="73CD88D8">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3.支票、汇票或者本票出现无效或者背书情形的，视为无效磋商保证金。</w:t>
            </w:r>
          </w:p>
          <w:p w14:paraId="799A9DCE">
            <w:pPr>
              <w:widowControl/>
              <w:snapToGrid w:val="0"/>
              <w:spacing w:line="3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4.保函、保险有效期低于磋商有效期的，视为无效磋商保证金。</w:t>
            </w:r>
          </w:p>
          <w:p w14:paraId="60C42A1C">
            <w:pPr>
              <w:widowControl/>
              <w:snapToGrid w:val="0"/>
              <w:spacing w:line="3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5.采用银行、保险机构出具保函的，必须为无条件保函，否则视为无效投标保证金。</w:t>
            </w:r>
          </w:p>
          <w:p w14:paraId="6AA5C5CF">
            <w:pPr>
              <w:widowControl/>
              <w:spacing w:line="380" w:lineRule="exact"/>
              <w:jc w:val="left"/>
              <w:rPr>
                <w:rFonts w:ascii="宋体" w:hAnsi="宋体" w:eastAsia="宋体" w:cs="宋体"/>
                <w:b/>
                <w:bCs/>
                <w:color w:val="auto"/>
                <w:szCs w:val="21"/>
                <w:highlight w:val="none"/>
              </w:rPr>
            </w:pPr>
            <w:r>
              <w:rPr>
                <w:rFonts w:hint="eastAsia" w:ascii="宋体" w:hAnsi="宋体" w:eastAsia="宋体" w:cs="宋体"/>
                <w:b/>
                <w:color w:val="auto"/>
                <w:szCs w:val="21"/>
                <w:highlight w:val="none"/>
              </w:rPr>
              <w:t>6.采用磋商保证保险的，保单确定的受益人（本项目采购人）的权益应与采用银行保函形式同等，否则视为无效磋商保证金。</w:t>
            </w:r>
          </w:p>
        </w:tc>
      </w:tr>
      <w:tr w14:paraId="0582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FAA340B">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8233" w:type="dxa"/>
            <w:vAlign w:val="center"/>
          </w:tcPr>
          <w:p w14:paraId="7DB649CF">
            <w:pPr>
              <w:widowControl/>
              <w:spacing w:line="380" w:lineRule="exact"/>
              <w:contextualSpacing/>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14:paraId="1939E6B7">
            <w:pPr>
              <w:widowControl/>
              <w:spacing w:line="380" w:lineRule="exact"/>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p w14:paraId="3E2170A2">
            <w:pPr>
              <w:widowControl/>
              <w:spacing w:line="38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电子响应文件解密时间：响应文件提交截止时间后30分钟内，供应商必须在此时间段内登录</w:t>
            </w:r>
            <w:r>
              <w:rPr>
                <w:rFonts w:hint="eastAsia" w:ascii="宋体" w:hAnsi="宋体" w:eastAsia="宋体" w:cs="宋体"/>
                <w:b/>
                <w:bCs/>
                <w:color w:val="auto"/>
                <w:szCs w:val="21"/>
                <w:highlight w:val="none"/>
                <w:lang w:eastAsia="zh-CN"/>
              </w:rPr>
              <w:t>广西政府采购云平台</w:t>
            </w:r>
            <w:r>
              <w:rPr>
                <w:rFonts w:hint="eastAsia" w:ascii="宋体" w:hAnsi="宋体" w:eastAsia="宋体" w:cs="宋体"/>
                <w:b/>
                <w:bCs/>
                <w:color w:val="auto"/>
                <w:szCs w:val="21"/>
                <w:highlight w:val="none"/>
              </w:rPr>
              <w:t>，用“项目采购-开标评标”功能完成电子响应文件的解密。若供应商在规定时间内未按时解密的，视为响应文件撤回。</w:t>
            </w:r>
          </w:p>
        </w:tc>
      </w:tr>
      <w:tr w14:paraId="6AE1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12EEF5F">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8233" w:type="dxa"/>
            <w:vAlign w:val="center"/>
          </w:tcPr>
          <w:p w14:paraId="0336A962">
            <w:pPr>
              <w:widowControl/>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b/>
                <w:bCs/>
                <w:color w:val="auto"/>
                <w:szCs w:val="21"/>
                <w:highlight w:val="none"/>
                <w:u w:val="single"/>
              </w:rPr>
              <w:t xml:space="preserve"> 3 </w:t>
            </w:r>
            <w:r>
              <w:rPr>
                <w:rFonts w:hint="eastAsia" w:ascii="宋体" w:hAnsi="宋体" w:eastAsia="宋体" w:cs="宋体"/>
                <w:color w:val="auto"/>
                <w:szCs w:val="21"/>
                <w:highlight w:val="none"/>
              </w:rPr>
              <w:t>人。</w:t>
            </w:r>
          </w:p>
        </w:tc>
      </w:tr>
      <w:tr w14:paraId="45301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2A06CF0">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8233" w:type="dxa"/>
            <w:vAlign w:val="center"/>
          </w:tcPr>
          <w:p w14:paraId="7EE280FA">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tc>
      </w:tr>
      <w:tr w14:paraId="243B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0" w:type="dxa"/>
            <w:vMerge w:val="restart"/>
            <w:vAlign w:val="center"/>
          </w:tcPr>
          <w:p w14:paraId="5022BD61">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8233" w:type="dxa"/>
            <w:vAlign w:val="center"/>
          </w:tcPr>
          <w:p w14:paraId="4F898932">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b/>
                <w:bCs/>
                <w:color w:val="auto"/>
                <w:szCs w:val="21"/>
                <w:highlight w:val="none"/>
                <w:u w:val="single"/>
              </w:rPr>
              <w:t xml:space="preserve"> 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52AB39E1">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服务要求评审中允许负偏离的条款数为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0</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项。</w:t>
            </w:r>
          </w:p>
        </w:tc>
      </w:tr>
      <w:tr w14:paraId="1528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vAlign w:val="center"/>
          </w:tcPr>
          <w:p w14:paraId="0973EAF8">
            <w:pPr>
              <w:widowControl/>
              <w:spacing w:line="380" w:lineRule="exact"/>
              <w:jc w:val="center"/>
              <w:rPr>
                <w:rFonts w:ascii="宋体" w:hAnsi="宋体" w:eastAsia="宋体" w:cs="宋体"/>
                <w:color w:val="auto"/>
                <w:szCs w:val="21"/>
                <w:highlight w:val="none"/>
              </w:rPr>
            </w:pPr>
          </w:p>
        </w:tc>
        <w:tc>
          <w:tcPr>
            <w:tcW w:w="8233" w:type="dxa"/>
            <w:vAlign w:val="center"/>
          </w:tcPr>
          <w:p w14:paraId="5CD05601">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4977AE4F">
            <w:pPr>
              <w:widowControl/>
              <w:spacing w:line="380" w:lineRule="exact"/>
              <w:jc w:val="left"/>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fldChar w:fldCharType="begin"/>
            </w:r>
            <w:r>
              <w:rPr>
                <w:rFonts w:hint="eastAsia" w:ascii="宋体" w:hAnsi="宋体" w:eastAsia="宋体" w:cs="宋体"/>
                <w:b w:val="0"/>
                <w:bCs w:val="0"/>
                <w:color w:val="auto"/>
                <w:szCs w:val="21"/>
                <w:highlight w:val="none"/>
              </w:rPr>
              <w:instrText xml:space="preserve"> eq \o\ac(□)</w:instrText>
            </w:r>
            <w:r>
              <w:rPr>
                <w:rFonts w:hint="eastAsia" w:ascii="宋体" w:hAnsi="宋体" w:eastAsia="宋体" w:cs="宋体"/>
                <w:b w:val="0"/>
                <w:bCs w:val="0"/>
                <w:color w:val="auto"/>
                <w:szCs w:val="21"/>
                <w:highlight w:val="none"/>
              </w:rPr>
              <w:fldChar w:fldCharType="end"/>
            </w:r>
            <w:r>
              <w:rPr>
                <w:rFonts w:hint="eastAsia" w:ascii="宋体" w:hAnsi="宋体" w:eastAsia="宋体" w:cs="宋体"/>
                <w:b w:val="0"/>
                <w:bCs w:val="0"/>
                <w:color w:val="auto"/>
                <w:szCs w:val="21"/>
                <w:highlight w:val="none"/>
              </w:rPr>
              <w:t>按照响应文件的解密顺序。通知磋商时，若磋商过程中某供应商未能按时参加磋商（该供应商排序到最后磋商），按照响应文件的解密顺序由其下一位供应商先参与磋商。</w:t>
            </w:r>
          </w:p>
          <w:p w14:paraId="59AEF5C5">
            <w:pPr>
              <w:widowControl/>
              <w:spacing w:line="38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随机排序。</w:t>
            </w:r>
          </w:p>
        </w:tc>
      </w:tr>
      <w:tr w14:paraId="52A13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61419A25">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8233" w:type="dxa"/>
            <w:vAlign w:val="center"/>
          </w:tcPr>
          <w:p w14:paraId="7FBFE988">
            <w:pPr>
              <w:widowControl/>
              <w:spacing w:line="380" w:lineRule="exact"/>
              <w:jc w:val="left"/>
              <w:rPr>
                <w:rFonts w:ascii="宋体" w:hAnsi="宋体" w:eastAsia="宋体" w:cs="宋体"/>
                <w:b/>
                <w:bCs/>
                <w:color w:val="auto"/>
                <w:szCs w:val="21"/>
                <w:highlight w:val="none"/>
              </w:rPr>
            </w:pPr>
            <w:bookmarkStart w:id="5" w:name="OLE_LINK11"/>
            <w:r>
              <w:rPr>
                <w:rFonts w:hint="eastAsia" w:ascii="宋体" w:hAnsi="宋体" w:eastAsia="宋体" w:cs="宋体"/>
                <w:b/>
                <w:bCs/>
                <w:color w:val="auto"/>
                <w:szCs w:val="21"/>
                <w:highlight w:val="none"/>
              </w:rPr>
              <w:t>☑本项目不收取履约保证金。</w:t>
            </w:r>
          </w:p>
          <w:p w14:paraId="51CC423B">
            <w:pPr>
              <w:widowControl/>
              <w:spacing w:line="38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eq \o\ac(□)</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本项目收取履约保证金：</w:t>
            </w:r>
          </w:p>
          <w:p w14:paraId="7C8BC947">
            <w:pPr>
              <w:widowControl/>
              <w:tabs>
                <w:tab w:val="left" w:pos="8505"/>
              </w:tabs>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1.合同签订生效后，成交供应商应以转账、支票、汇票、本票、保函等非现金形式向采购人交纳合同总额的2%作为履约保证金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履约保证金账户信息由成交供应商在签订合同前咨询采购人获取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7FA188F2">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2.服务期结束后，</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个工作日予以退还（无息）。</w:t>
            </w:r>
            <w:bookmarkEnd w:id="5"/>
          </w:p>
        </w:tc>
      </w:tr>
      <w:tr w14:paraId="7F41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257F13F">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30.2</w:t>
            </w:r>
          </w:p>
        </w:tc>
        <w:tc>
          <w:tcPr>
            <w:tcW w:w="8233" w:type="dxa"/>
            <w:vAlign w:val="center"/>
          </w:tcPr>
          <w:p w14:paraId="2DB35B2C">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76ABB79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质疑联系部门及联系方式：广西正海招标有限公司，联系电话：0771-2865989，通讯地址：</w:t>
            </w:r>
            <w:r>
              <w:rPr>
                <w:rFonts w:hint="eastAsia" w:ascii="宋体" w:hAnsi="宋体" w:eastAsia="宋体" w:cs="宋体"/>
                <w:color w:val="auto"/>
                <w:szCs w:val="21"/>
                <w:highlight w:val="none"/>
                <w:lang w:eastAsia="zh-CN"/>
              </w:rPr>
              <w:t>南宁市青秀区茅桥路2号习艺基地A栋1号电梯3楼</w:t>
            </w:r>
            <w:r>
              <w:rPr>
                <w:rFonts w:hint="eastAsia" w:ascii="宋体" w:hAnsi="宋体" w:eastAsia="宋体" w:cs="宋体"/>
                <w:color w:val="auto"/>
                <w:szCs w:val="21"/>
                <w:highlight w:val="none"/>
              </w:rPr>
              <w:t>。</w:t>
            </w:r>
          </w:p>
          <w:p w14:paraId="761910C5">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业务时间：每天上午8时到12时，下午15时到18时，双休日和法定节假日不办理业务。</w:t>
            </w:r>
          </w:p>
        </w:tc>
      </w:tr>
      <w:tr w14:paraId="76FC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2440DB2">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8233" w:type="dxa"/>
            <w:vAlign w:val="center"/>
          </w:tcPr>
          <w:p w14:paraId="5B40405D">
            <w:pPr>
              <w:widowControl/>
              <w:spacing w:line="38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采购代理服务费支付方式：</w:t>
            </w:r>
          </w:p>
          <w:p w14:paraId="0C37CEEC">
            <w:pPr>
              <w:widowControl/>
              <w:spacing w:line="38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本项目采购代理服务费参考桂价费【2011】55号文标准采用差额定率累进计费方式（服务类）计算，</w:t>
            </w:r>
            <w:r>
              <w:rPr>
                <w:rFonts w:hint="eastAsia"/>
                <w:color w:val="auto"/>
                <w:kern w:val="0"/>
                <w:highlight w:val="none"/>
                <w:lang w:eastAsia="zh-CN"/>
              </w:rPr>
              <w:t>如低于壹万元的按壹万元</w:t>
            </w:r>
            <w:r>
              <w:rPr>
                <w:rFonts w:hint="eastAsia"/>
                <w:color w:val="auto"/>
                <w:kern w:val="0"/>
                <w:highlight w:val="none"/>
                <w:lang w:val="en-US" w:eastAsia="zh-CN"/>
              </w:rPr>
              <w:t>收取</w:t>
            </w:r>
            <w:r>
              <w:rPr>
                <w:rFonts w:hint="eastAsia"/>
                <w:color w:val="auto"/>
                <w:kern w:val="0"/>
                <w:highlight w:val="none"/>
                <w:lang w:eastAsia="zh-CN"/>
              </w:rPr>
              <w:t>，</w:t>
            </w:r>
            <w:r>
              <w:rPr>
                <w:rFonts w:hint="eastAsia" w:ascii="宋体" w:hAnsi="宋体" w:eastAsia="宋体" w:cs="宋体"/>
                <w:color w:val="auto"/>
                <w:kern w:val="0"/>
                <w:szCs w:val="21"/>
                <w:highlight w:val="none"/>
              </w:rPr>
              <w:t>由成交供应商在领取成交通知书前，一次性向采购代理机构支付。</w:t>
            </w:r>
          </w:p>
          <w:p w14:paraId="1E0807AD">
            <w:pPr>
              <w:widowControl/>
              <w:spacing w:line="380" w:lineRule="exact"/>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户名：广西正海招标有限公司</w:t>
            </w:r>
          </w:p>
          <w:p w14:paraId="14CC8BB6">
            <w:pPr>
              <w:widowControl/>
              <w:spacing w:line="380" w:lineRule="exact"/>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开户行：中国光大银行南宁长湖支行</w:t>
            </w:r>
          </w:p>
          <w:p w14:paraId="545B8900">
            <w:pPr>
              <w:widowControl/>
              <w:spacing w:line="380" w:lineRule="exact"/>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账号：79080188000035937</w:t>
            </w:r>
          </w:p>
        </w:tc>
      </w:tr>
      <w:tr w14:paraId="1941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A6C4AC7">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8233" w:type="dxa"/>
            <w:vAlign w:val="center"/>
          </w:tcPr>
          <w:p w14:paraId="61F33491">
            <w:pPr>
              <w:widowControl/>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解释：构成本磋商文件的各个组成文件应互为解释，互为说明；除磋商文件中有特别规定外，仅适用于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E08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57D0FEA">
            <w:pPr>
              <w:widowControl/>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8233" w:type="dxa"/>
            <w:vAlign w:val="center"/>
          </w:tcPr>
          <w:p w14:paraId="52D99FBE">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磋商文件中描述供应商的“公章”是指根据我国对公章的管理规定，用供应商法定主体行为名称制作的印章（CA签章），除本磋商文件有特殊规定外，供应商的财务章、部门章、分公司章、工会章、合同章、磋商/投标专用章、业务专用章及银行的转账章、现金收讫章、现金付讫章等其他形式印章均不能代替公章。</w:t>
            </w:r>
          </w:p>
          <w:p w14:paraId="5E61F133">
            <w:pPr>
              <w:keepNext w:val="0"/>
              <w:keepLines w:val="0"/>
              <w:pageBreakBefore w:val="0"/>
              <w:kinsoku/>
              <w:wordWrap/>
              <w:overflowPunct/>
              <w:topLinePunct w:val="0"/>
              <w:autoSpaceDE/>
              <w:autoSpaceDN/>
              <w:bidi w:val="0"/>
              <w:adjustRightInd/>
              <w:snapToGrid w:val="0"/>
              <w:spacing w:line="36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电子响应文件中须加盖供应商公章部分均建议采用CA签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4B92293">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3.供应商为其他组织或者自然人时，本磋商文件规定的法定代表人指负责人或者自然人。本磋商文件所称负责人是指参加磋商的其他组织</w:t>
            </w:r>
            <w:r>
              <w:rPr>
                <w:rFonts w:hint="eastAsia" w:ascii="宋体" w:hAnsi="宋体" w:eastAsia="宋体" w:cs="宋体"/>
                <w:bCs/>
                <w:color w:val="auto"/>
                <w:szCs w:val="21"/>
                <w:highlight w:val="none"/>
              </w:rPr>
              <w:t>营业执照或者执业许可证等证照上</w:t>
            </w:r>
            <w:r>
              <w:rPr>
                <w:rFonts w:hint="eastAsia" w:ascii="宋体" w:hAnsi="宋体" w:eastAsia="宋体" w:cs="宋体"/>
                <w:color w:val="auto"/>
                <w:szCs w:val="21"/>
                <w:highlight w:val="none"/>
              </w:rPr>
              <w:t>的负责人，本磋商文件所称自然人指参与竞标的自然人本人，</w:t>
            </w:r>
            <w:r>
              <w:rPr>
                <w:rFonts w:hint="eastAsia" w:ascii="宋体" w:hAnsi="宋体" w:eastAsia="宋体" w:cs="宋体"/>
                <w:bCs/>
                <w:color w:val="auto"/>
                <w:szCs w:val="21"/>
                <w:highlight w:val="none"/>
              </w:rPr>
              <w:t>且应具备独立承担民事责任能力，自然人应当为年满18岁以上成年人（十六周岁以上的未成年人，以自己的劳动收入为主要生活来源的，视为完全民事行为能力人）。</w:t>
            </w:r>
          </w:p>
          <w:p w14:paraId="46AD4300">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4.本磋商文件中描述供应商的“签字”是指供应商的法定代表人或者委托代理人亲自在文件规定签字处亲笔写上个人的名字的行为或CA签章。</w:t>
            </w:r>
          </w:p>
          <w:p w14:paraId="2D1EEFD4">
            <w:pPr>
              <w:keepNext w:val="0"/>
              <w:keepLines w:val="0"/>
              <w:pageBreakBefore w:val="0"/>
              <w:kinsoku/>
              <w:wordWrap/>
              <w:overflowPunct/>
              <w:topLinePunct w:val="0"/>
              <w:autoSpaceDE/>
              <w:autoSpaceDN/>
              <w:bidi w:val="0"/>
              <w:adjustRightInd/>
              <w:snapToGrid w:val="0"/>
              <w:spacing w:line="36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5.CA中没有法人（负责人）或授权代表签字信息，供应商在响应文件中涉及到签字的位置线下签好字然后扫描或者拍照做成PDF的格式亦可。响应文件中涉及到签字的位置未按要求签字的，提供的材料视为无效。</w:t>
            </w:r>
          </w:p>
          <w:p w14:paraId="46D17F01">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6.自然人竞标的，磋商文件规定盖公章处由自然人摁手指指印。</w:t>
            </w:r>
          </w:p>
          <w:p w14:paraId="39FCCCB8">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7.本磋商文件所称的“以上”“以下”“以内”“届满”，包括本数；所称的“不满”“超过”“以外”，不包括本数。</w:t>
            </w:r>
          </w:p>
        </w:tc>
      </w:tr>
      <w:tr w14:paraId="7F9C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77C9A35">
            <w:pPr>
              <w:spacing w:line="360" w:lineRule="auto"/>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其它</w:t>
            </w:r>
          </w:p>
        </w:tc>
        <w:tc>
          <w:tcPr>
            <w:tcW w:w="8233" w:type="dxa"/>
            <w:vAlign w:val="center"/>
          </w:tcPr>
          <w:p w14:paraId="34699993">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kern w:val="0"/>
                <w:szCs w:val="21"/>
                <w:highlight w:val="none"/>
                <w:lang w:val="en-US" w:eastAsia="zh-CN"/>
              </w:rPr>
              <w:t>成交供应商必须在签订合同后10个工作日内提供1份装订成册与上传广西政府采购云平台一致的响应文件纸质版给采购人存档。</w:t>
            </w:r>
          </w:p>
        </w:tc>
      </w:tr>
    </w:tbl>
    <w:p w14:paraId="23003072">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445B97B6">
      <w:pPr>
        <w:widowControl/>
        <w:jc w:val="left"/>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br w:type="page"/>
      </w:r>
    </w:p>
    <w:p w14:paraId="45520184">
      <w:pPr>
        <w:keepNext/>
        <w:keepLines/>
        <w:pageBreakBefore w:val="0"/>
        <w:widowControl/>
        <w:kinsoku/>
        <w:wordWrap/>
        <w:overflowPunct/>
        <w:topLinePunct w:val="0"/>
        <w:autoSpaceDE/>
        <w:autoSpaceDN/>
        <w:bidi w:val="0"/>
        <w:adjustRightInd/>
        <w:snapToGrid/>
        <w:spacing w:line="360" w:lineRule="auto"/>
        <w:jc w:val="center"/>
        <w:textAlignment w:val="auto"/>
        <w:outlineLvl w:val="1"/>
        <w:rPr>
          <w:rFonts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供应商须知正文</w:t>
      </w:r>
    </w:p>
    <w:p w14:paraId="48C3E2B1">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一、总则</w:t>
      </w:r>
    </w:p>
    <w:p w14:paraId="44BA0340">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23F1612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59A2C7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本竞争性磋商采购文件（以下简称磋商文件）适用于本项目的所有采购程序和环节（法律、法规另有规定的，从其规定）。</w:t>
      </w:r>
    </w:p>
    <w:p w14:paraId="14AA2CC2">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3CBBDE7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7B868BD9">
      <w:pPr>
        <w:widowControl/>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7F4D505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71A9B9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8B9979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2.5“磋商”是指供应商按照本项目竞争性磋商公告或者邀请函规定的方式获取磋商文件、提交响应文件并希望获得标的的行为。</w:t>
      </w:r>
    </w:p>
    <w:p w14:paraId="7E898EC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66C826C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E5F9D0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w:t>
      </w:r>
      <w:r>
        <w:rPr>
          <w:rFonts w:hint="eastAsia" w:ascii="宋体" w:hAnsi="宋体"/>
          <w:color w:val="auto"/>
          <w:szCs w:val="21"/>
          <w:highlight w:val="none"/>
        </w:rPr>
        <w:t>▲</w:t>
      </w:r>
      <w:r>
        <w:rPr>
          <w:rFonts w:hint="eastAsia" w:ascii="宋体" w:hAnsi="宋体" w:eastAsia="宋体" w:cs="宋体"/>
          <w:color w:val="auto"/>
          <w:szCs w:val="21"/>
          <w:highlight w:val="none"/>
        </w:rPr>
        <w:t>”的条款。</w:t>
      </w:r>
    </w:p>
    <w:p w14:paraId="1B2DE0D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789643D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090D42D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37C7260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5BB10A3">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3.供应商的资格条件</w:t>
      </w:r>
    </w:p>
    <w:p w14:paraId="50A0F2C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2DB580E">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4.磋商费用</w:t>
      </w:r>
    </w:p>
    <w:p w14:paraId="6F155DC5">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3988A0C2">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5.联合体磋商</w:t>
      </w:r>
    </w:p>
    <w:p w14:paraId="57505A2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5.1本项目是否接受联合体磋商，详见“供应商须知前附表”。</w:t>
      </w:r>
    </w:p>
    <w:p w14:paraId="2AC2C43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szCs w:val="24"/>
          <w:highlight w:val="none"/>
        </w:rPr>
        <w:t>如接受联合体磋商，</w:t>
      </w:r>
      <w:r>
        <w:rPr>
          <w:rFonts w:hint="eastAsia" w:ascii="宋体" w:hAnsi="宋体" w:eastAsia="宋体" w:cs="宋体"/>
          <w:color w:val="auto"/>
          <w:szCs w:val="21"/>
          <w:highlight w:val="none"/>
        </w:rPr>
        <w:t>联合体磋商要求详见“供应商须知前附表”。</w:t>
      </w:r>
    </w:p>
    <w:p w14:paraId="6F90A30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5.3根据</w:t>
      </w:r>
      <w:r>
        <w:rPr>
          <w:rFonts w:hint="eastAsia" w:ascii="宋体" w:hAnsi="宋体" w:cs="宋体"/>
          <w:bCs/>
          <w:color w:val="auto"/>
          <w:sz w:val="21"/>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F051B61">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6.转包与分包</w:t>
      </w:r>
    </w:p>
    <w:p w14:paraId="6CB59258">
      <w:pPr>
        <w:widowControl/>
        <w:spacing w:line="360" w:lineRule="auto"/>
        <w:ind w:firstLine="420" w:firstLineChars="200"/>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6.1本项目不允许转包。</w:t>
      </w:r>
    </w:p>
    <w:p w14:paraId="7F47AEC3">
      <w:pPr>
        <w:widowControl/>
        <w:spacing w:line="360" w:lineRule="auto"/>
        <w:ind w:firstLine="420" w:firstLineChars="200"/>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A91B149">
      <w:pPr>
        <w:widowControl/>
        <w:spacing w:line="360" w:lineRule="auto"/>
        <w:ind w:firstLine="420" w:firstLineChars="200"/>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F73E3C2">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7.特别说明</w:t>
      </w:r>
    </w:p>
    <w:p w14:paraId="35BF30F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7.1如果本磋商文件要求提供供应商或制造商（或承接服务供应商）的资格、信誉、荣誉、业绩与企业认证等材料的，资格、信誉、荣誉、业绩与企业认证等必须为供应商或者制造商（或承接服务供应商）的所拥有或自身获得。</w:t>
      </w:r>
    </w:p>
    <w:p w14:paraId="65129D4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F4B572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7.3</w:t>
      </w:r>
      <w:r>
        <w:rPr>
          <w:rFonts w:hint="eastAsia" w:ascii="宋体" w:hAnsi="宋体" w:eastAsia="宋体" w:cs="宋体"/>
          <w:color w:val="auto"/>
          <w:szCs w:val="21"/>
          <w:highlight w:val="none"/>
          <w:lang w:val="en-US" w:eastAsia="zh-CN"/>
        </w:rPr>
        <w:t>供应商在磋商活动中提供任何疑似虚假材料，将报监管部门查处；签订合同后发现的，成交供应商须依照《中华人民共和国民法典》规定赔偿采购人，且民事赔偿并不免除违法供应商的行政与刑事责任</w:t>
      </w:r>
      <w:r>
        <w:rPr>
          <w:rFonts w:hint="eastAsia" w:ascii="宋体" w:hAnsi="宋体" w:eastAsia="宋体" w:cs="宋体"/>
          <w:color w:val="auto"/>
          <w:szCs w:val="21"/>
          <w:highlight w:val="none"/>
        </w:rPr>
        <w:t>。</w:t>
      </w:r>
    </w:p>
    <w:p w14:paraId="1110D9F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3B6A6B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3DDB83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D68CB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0072B6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EB4F7F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E558F3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954DF5">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79AB2E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1EF89F3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87934A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7EAA6A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C4C161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9FE55F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2354F8E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AC6EDC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4F8507B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0C600875">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4656D93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251763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DBF226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2D660B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BC954D8">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bookmarkStart w:id="6" w:name="_Toc254970675"/>
      <w:bookmarkStart w:id="7" w:name="_Toc254970534"/>
      <w:r>
        <w:rPr>
          <w:rFonts w:hint="eastAsia" w:ascii="宋体" w:hAnsi="宋体" w:eastAsia="宋体" w:cs="宋体"/>
          <w:b/>
          <w:bCs/>
          <w:color w:val="auto"/>
          <w:sz w:val="30"/>
          <w:szCs w:val="24"/>
          <w:highlight w:val="none"/>
        </w:rPr>
        <w:t>二、磋商文件</w:t>
      </w:r>
      <w:bookmarkEnd w:id="6"/>
      <w:bookmarkEnd w:id="7"/>
    </w:p>
    <w:p w14:paraId="0FA9C387">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8.磋商文件的构成</w:t>
      </w:r>
    </w:p>
    <w:p w14:paraId="0FA6755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FF1B5A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7672F6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6F9F0BC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38C5C76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6B361CC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19F66238">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9.供应商的询问</w:t>
      </w:r>
    </w:p>
    <w:p w14:paraId="44F5C37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4760772">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10.磋商文件的澄清和修改</w:t>
      </w:r>
    </w:p>
    <w:p w14:paraId="285AAC5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4ACA169B">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三、响应文件的编制</w:t>
      </w:r>
    </w:p>
    <w:p w14:paraId="63B4E2CF">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11.响应文件的编制原则</w:t>
      </w:r>
    </w:p>
    <w:p w14:paraId="63D897F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48E5D174">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12.响应文件的组成</w:t>
      </w:r>
    </w:p>
    <w:p w14:paraId="0A231F1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12.1响应文件由资格证明文件、报价文件、商务技术文件叁部分组成。</w:t>
      </w:r>
    </w:p>
    <w:p w14:paraId="778B883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1A58183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60A53F9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32A4898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12.2电子响应文件：详见“供应商须知前附表”</w:t>
      </w:r>
    </w:p>
    <w:p w14:paraId="136F6E31">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13.计量单位</w:t>
      </w:r>
    </w:p>
    <w:p w14:paraId="0EE8826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57DF2A1">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14.竞标的风险</w:t>
      </w:r>
    </w:p>
    <w:p w14:paraId="729675A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0B47699">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15.磋商报价</w:t>
      </w:r>
    </w:p>
    <w:p w14:paraId="1DC02AA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15.1磋商报价应按磋商文件中“磋商报价表”格式填写。</w:t>
      </w:r>
    </w:p>
    <w:p w14:paraId="1F2E0E4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15.2磋商报价的内容见“供应商须知前附表”。</w:t>
      </w:r>
    </w:p>
    <w:p w14:paraId="1151159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15.3磋商报价要求</w:t>
      </w:r>
    </w:p>
    <w:p w14:paraId="3B9F22B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15.3.1供应商的磋商报价应符合以下要求，否则响应文件按无效响应处理：</w:t>
      </w:r>
    </w:p>
    <w:p w14:paraId="22C1835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（1）供应商必须就“采购需求”中所竞标的全部内容分别作完整唯一总价报价，不得存在漏项报价；</w:t>
      </w:r>
    </w:p>
    <w:p w14:paraId="2487D37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（2）供应商必须就所磋商的单项内容作唯一报价。</w:t>
      </w:r>
    </w:p>
    <w:p w14:paraId="3354581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15.3.2磋商报价（包含首次报价、最后报价）超过所竞标规定的采购预算金额或者最高限价的，其响应文件将按无效处理。</w:t>
      </w:r>
    </w:p>
    <w:p w14:paraId="6B9BA55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8" w:name="_Hlk42592874"/>
      <w:r>
        <w:rPr>
          <w:rFonts w:hint="eastAsia" w:ascii="宋体" w:hAnsi="宋体" w:eastAsia="宋体" w:cs="宋体"/>
          <w:color w:val="auto"/>
          <w:szCs w:val="21"/>
          <w:highlight w:val="none"/>
        </w:rPr>
        <w:t>磋商报价（包含首次报价、最后报价）超过采购预算金额或者最高限价的，其响应文件将按无效处理。</w:t>
      </w:r>
    </w:p>
    <w:bookmarkEnd w:id="8"/>
    <w:p w14:paraId="7A73D794">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16.磋商有效期</w:t>
      </w:r>
    </w:p>
    <w:p w14:paraId="5521F7C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16.1磋商有效期是指为保证采购人有足够的时间在提交响应文件后完成评审、确定成交供应商、合同签订等工作而要求供应商提交的响应文件在一定时间内保持有效的期限。</w:t>
      </w:r>
    </w:p>
    <w:p w14:paraId="7AB389C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16.2 磋商有效期应由供应商按“供应商须知前附表”规定的期限作出响应。</w:t>
      </w:r>
    </w:p>
    <w:p w14:paraId="3CB228A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16.3供应商的响应文件在磋商有效期内均保持有效。</w:t>
      </w:r>
    </w:p>
    <w:p w14:paraId="45275D0A">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17.磋商保证金</w:t>
      </w:r>
    </w:p>
    <w:p w14:paraId="10EE6A8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115F018B">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494CDB1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成交供应商的磋商保证金自成交通知书发出之日起4个工作日内退还；</w:t>
      </w:r>
      <w:r>
        <w:rPr>
          <w:rFonts w:hint="eastAsia" w:ascii="宋体" w:hAnsi="宋体" w:eastAsia="宋体" w:cs="宋体"/>
          <w:color w:val="auto"/>
          <w:szCs w:val="21"/>
          <w:highlight w:val="none"/>
        </w:rPr>
        <w:t xml:space="preserve">成交供应商的磋商保证金自签订合同之日起4个工作日内退还。 </w:t>
      </w:r>
    </w:p>
    <w:p w14:paraId="7FB0935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15FE0DD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4CF7F21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68F6BAA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09D7C53B">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786ED4F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14:paraId="5457486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273E49F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0B7088E3">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18.响应文件编制的要求</w:t>
      </w:r>
    </w:p>
    <w:p w14:paraId="506E9C4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18.1供应商应根据</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的要求及本磋商文件规定的格式和顺序编制响应文件并标注页码，响应文件内容不完整、编排混乱导致响应文件被误读、漏读或者查找不到相关内容的，由此引发的后果由供应商承担。</w:t>
      </w:r>
    </w:p>
    <w:p w14:paraId="76060D9A">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18.2响应文件应按资格证明文件、报价商务技术文件分别编制。</w:t>
      </w:r>
    </w:p>
    <w:p w14:paraId="5AC2A05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18.3响应文件须由供应商在规定位置盖公章并签字（具体以本须知前附表或响应文件格式规定为准），</w:t>
      </w:r>
      <w:r>
        <w:rPr>
          <w:rFonts w:hint="eastAsia" w:ascii="宋体" w:hAnsi="宋体" w:eastAsia="宋体" w:cs="宋体"/>
          <w:bCs/>
          <w:color w:val="auto"/>
          <w:szCs w:val="21"/>
          <w:highlight w:val="none"/>
        </w:rPr>
        <w:t>否则其响应文件按无效处理</w:t>
      </w:r>
      <w:r>
        <w:rPr>
          <w:rFonts w:hint="eastAsia" w:ascii="宋体" w:hAnsi="宋体" w:eastAsia="宋体" w:cs="宋体"/>
          <w:color w:val="auto"/>
          <w:szCs w:val="21"/>
          <w:highlight w:val="none"/>
        </w:rPr>
        <w:t>。</w:t>
      </w:r>
    </w:p>
    <w:p w14:paraId="5147543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18.4响应文件中标注的供应商名称应与营业执照（事业单位法人证书、执业许可证、自然人身份证）及公章一致，否则其响应文件按无效响应处理。</w:t>
      </w:r>
    </w:p>
    <w:p w14:paraId="687417C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24C680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18.6电子响应文件中须加盖供应商公章部分均建议采用CA签章，并根据《政府采购项目电子交易管理操作指南-供应商》及本竞争性磋商采购文件规定的格式和顺序编制电子响应文件并进行关联定位，以便磋商小组在评审时，点击评审项可直接定位到该评审项内容。如对竞争性磋商采购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6AD341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18.7 CA中没有法人（负责人）或授权代表签字信息的，供应商在响应文件中涉及到签字的位置线下签好字然后扫描或者拍照做成PDF的格式亦可。响应文件中涉及到签字的位置未按要求签字的，提供的材料视为无效。</w:t>
      </w:r>
    </w:p>
    <w:p w14:paraId="5391B324">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19.响应文件的提交</w:t>
      </w:r>
    </w:p>
    <w:p w14:paraId="1A46EE9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19.1供应商必须在“供应商须知前附表”规定的时间和地点提交响应文件。</w:t>
      </w:r>
    </w:p>
    <w:p w14:paraId="46EE50A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19.2供应商应当在响应文件提交截止时间前，将生成的“电子加密响应文件”上传递交至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响应文件提交截止时间前可以补充、修改或者撤回电子响应文件。补充或者修改电子响应文件的，应当先行撤回原文件，补充、修改后重新传输递交，响应文件提交截止时间前未完成传输的，视为撤回响应文件。</w:t>
      </w:r>
    </w:p>
    <w:p w14:paraId="30C4293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19.3通过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上传递交的“电子加密响应文件”无法按时解密，视为响应文件撤回。</w:t>
      </w:r>
    </w:p>
    <w:p w14:paraId="61103861">
      <w:pPr>
        <w:widowControl/>
        <w:wordWrap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19.4如有特殊情况，本项目延长截止时间和开启时间，采购人、采购代理机构和供应商的权利和义务将受到新的截止时间和开启时间的约束。</w:t>
      </w:r>
    </w:p>
    <w:p w14:paraId="37DE74C9">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20.响应文件的补充、修改与撤回</w:t>
      </w:r>
    </w:p>
    <w:p w14:paraId="105698E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供应商应当在</w:t>
      </w:r>
      <w:r>
        <w:rPr>
          <w:rFonts w:hint="eastAsia" w:ascii="宋体" w:hAnsi="宋体" w:eastAsia="宋体" w:cs="宋体"/>
          <w:color w:val="auto"/>
          <w:kern w:val="0"/>
          <w:szCs w:val="21"/>
          <w:highlight w:val="none"/>
        </w:rPr>
        <w:t>响应文件提交截止时间前</w:t>
      </w:r>
      <w:r>
        <w:rPr>
          <w:rFonts w:hint="eastAsia" w:ascii="宋体" w:hAnsi="宋体" w:eastAsia="宋体" w:cs="宋体"/>
          <w:color w:val="auto"/>
          <w:szCs w:val="21"/>
          <w:highlight w:val="none"/>
        </w:rPr>
        <w:t>，将生成的“电子加密响应文件”上传递交至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响应文件提交截止时间前</w:t>
      </w:r>
      <w:r>
        <w:rPr>
          <w:rFonts w:hint="eastAsia" w:ascii="宋体" w:hAnsi="宋体" w:eastAsia="宋体" w:cs="宋体"/>
          <w:color w:val="auto"/>
          <w:szCs w:val="21"/>
          <w:highlight w:val="none"/>
        </w:rPr>
        <w:t>可以补充、修改或者撤回电子响应文件。补充或者修改电子响应文件的，应当先行撤回原文件，补充、修改后重新传输递交，</w:t>
      </w:r>
      <w:r>
        <w:rPr>
          <w:rFonts w:hint="eastAsia" w:ascii="宋体" w:hAnsi="宋体" w:eastAsia="宋体" w:cs="宋体"/>
          <w:color w:val="auto"/>
          <w:kern w:val="0"/>
          <w:szCs w:val="21"/>
          <w:highlight w:val="none"/>
        </w:rPr>
        <w:t>响应文件提交截止时间前</w:t>
      </w:r>
      <w:r>
        <w:rPr>
          <w:rFonts w:hint="eastAsia" w:ascii="宋体" w:hAnsi="宋体" w:eastAsia="宋体" w:cs="宋体"/>
          <w:color w:val="auto"/>
          <w:szCs w:val="21"/>
          <w:highlight w:val="none"/>
        </w:rPr>
        <w:t>未完成传输的，视为撤回响应文件。</w:t>
      </w:r>
    </w:p>
    <w:p w14:paraId="0B0CE644">
      <w:pPr>
        <w:widowControl/>
        <w:spacing w:line="360" w:lineRule="auto"/>
        <w:ind w:firstLine="424" w:firstLineChars="176"/>
        <w:jc w:val="left"/>
        <w:outlineLvl w:val="3"/>
        <w:rPr>
          <w:rFonts w:ascii="宋体" w:hAnsi="宋体" w:eastAsia="宋体" w:cs="宋体"/>
          <w:b/>
          <w:bCs/>
          <w:color w:val="auto"/>
          <w:sz w:val="24"/>
          <w:szCs w:val="24"/>
          <w:highlight w:val="none"/>
        </w:rPr>
      </w:pPr>
      <w:bookmarkStart w:id="9" w:name="_Hlk45702405"/>
      <w:r>
        <w:rPr>
          <w:rFonts w:hint="eastAsia" w:ascii="宋体" w:hAnsi="宋体" w:eastAsia="宋体" w:cs="宋体"/>
          <w:b/>
          <w:bCs/>
          <w:color w:val="auto"/>
          <w:sz w:val="24"/>
          <w:szCs w:val="24"/>
          <w:highlight w:val="none"/>
        </w:rPr>
        <w:t>21.首次响应文件的退回</w:t>
      </w:r>
    </w:p>
    <w:p w14:paraId="17BCE5D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在响应文件提交截止时间止提交响应文件的供应商不足3家时，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自动退回电子响应文件。</w:t>
      </w:r>
    </w:p>
    <w:p w14:paraId="432D4CE7">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22.截止时间后的撤回</w:t>
      </w:r>
    </w:p>
    <w:p w14:paraId="5D13454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供应商在响应文件提交截止时间后向采购人、采购代理机构书面申请撤回响应文件的，将根据本须知正文17.4的规定不予退还其磋商保证金。</w:t>
      </w:r>
    </w:p>
    <w:bookmarkEnd w:id="9"/>
    <w:p w14:paraId="4247603B">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四、评审及磋商</w:t>
      </w:r>
    </w:p>
    <w:p w14:paraId="3E807532">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23.磋商小组成立</w:t>
      </w:r>
    </w:p>
    <w:p w14:paraId="0DAF422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AEDA2D">
      <w:pPr>
        <w:widowControl/>
        <w:spacing w:line="360" w:lineRule="auto"/>
        <w:ind w:firstLine="420" w:firstLineChars="20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897274F">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24.首次响应文件的开启</w:t>
      </w:r>
    </w:p>
    <w:p w14:paraId="2F763F5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首次响应文件由磋商小组或者采购代理机构在“供应商须知前附表”规定的时间开启。</w:t>
      </w:r>
    </w:p>
    <w:p w14:paraId="661331BE">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25.评审程序、评审方法和评审标准</w:t>
      </w:r>
    </w:p>
    <w:p w14:paraId="6EE9ACA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25.1本项目的评审方法为综合评分法。</w:t>
      </w:r>
    </w:p>
    <w:p w14:paraId="3D880E0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25.2磋商小组按照“第四章 评审程序、评审方法和评审标准”规定的方法、评审因素、标准和程序对响应文件进行评审。</w:t>
      </w:r>
    </w:p>
    <w:p w14:paraId="3474B43D">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26.确定成交供应商及结果公告</w:t>
      </w:r>
    </w:p>
    <w:p w14:paraId="1EE7A57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26.1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41444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26.2采购代理机构应当在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585377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26.3出现下列情形之一的，采购人或者采购代理机构应当终止竞争性磋商采购活动，发布项目终止公告并说明原因，重新开展采购活动：</w:t>
      </w:r>
    </w:p>
    <w:p w14:paraId="2B1C86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5E12B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3EF3B8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14:paraId="338517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26.4 在采购活动中因重大变故，采购任务取消的，采购人或者采购代理机构应当终止采购活动，通知所有参加采购活动的供应商，并将项目实施情况和采购任务取消原因报送本级财政部门。</w:t>
      </w:r>
    </w:p>
    <w:p w14:paraId="2BECC8F4">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27.履约保证金</w:t>
      </w:r>
    </w:p>
    <w:p w14:paraId="59BE793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27.1 履约保证金的金额、提交方式、退付的时间和条件详见 “供应商须知前附表”。成交供应商未按规定提交履约保证金的，视为拒绝</w:t>
      </w:r>
      <w:r>
        <w:rPr>
          <w:rFonts w:hint="eastAsia" w:ascii="宋体" w:hAnsi="宋体" w:eastAsia="宋体" w:cs="宋体"/>
          <w:color w:val="auto"/>
          <w:szCs w:val="24"/>
          <w:highlight w:val="none"/>
        </w:rPr>
        <w:t>与采购人</w:t>
      </w:r>
      <w:r>
        <w:rPr>
          <w:rFonts w:hint="eastAsia" w:ascii="宋体" w:hAnsi="宋体" w:eastAsia="宋体" w:cs="宋体"/>
          <w:color w:val="auto"/>
          <w:szCs w:val="21"/>
          <w:highlight w:val="none"/>
        </w:rPr>
        <w:t>签订合同。</w:t>
      </w:r>
    </w:p>
    <w:p w14:paraId="7900AC7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27.2在履约保证金退还日期前，若成交供应商的开户名称、开户银行、帐号有变动的，请以书面形式通知履约保证金收取单位，否则由此产生的后果由成交供应商自行承担。</w:t>
      </w:r>
    </w:p>
    <w:p w14:paraId="79491531">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28.签订合同</w:t>
      </w:r>
    </w:p>
    <w:p w14:paraId="37AF0EC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28.1 签订合同时间：按成交通知书规定的时间与采购人签订政府采购合同。</w:t>
      </w:r>
    </w:p>
    <w:p w14:paraId="69BD26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成交供应商拒绝签订政府采购合同（包括但不限于放弃成交、因不可抗力不能履行合同而放弃签订合同），采购人可以确定排名第二的成交候选供应商为成交供应商。排名第二的成交候选供应商因前款规定的同样原因不能签订合同的，采购人可以确定排名第三的成交候选供应商为成交供应商，以此类推。</w:t>
      </w:r>
    </w:p>
    <w:p w14:paraId="71F29B17">
      <w:pPr>
        <w:widowControl/>
        <w:spacing w:line="360"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29.政府采购合同公告</w:t>
      </w:r>
    </w:p>
    <w:p w14:paraId="08A82DEB">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6DD517">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30.询问、质疑和投诉</w:t>
      </w:r>
    </w:p>
    <w:p w14:paraId="2ECBDE97">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0255092B">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30.2供应商认为磋商文件、采购过程或者成交结果使自己的合法权益受到损害的，应当在知道或者应知其权益受到损害之日起7个工作日内，以书面形式向采购人、采购代理机构提出质疑，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。具体质疑起算时间如下：</w:t>
      </w:r>
    </w:p>
    <w:p w14:paraId="518879DD">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（1）对可以质疑的磋商文件提出质疑的，为收到磋商文件之日或者竞争性磋商公告期限届满之日；</w:t>
      </w:r>
    </w:p>
    <w:p w14:paraId="4154163D">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（2）对采购过程提出质疑的，为各采购程序环节结束之日；</w:t>
      </w:r>
    </w:p>
    <w:p w14:paraId="64D38FD5">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（3）对成交结果提出质疑的，为成交结果公告期限届满之日。</w:t>
      </w:r>
    </w:p>
    <w:p w14:paraId="01A0005F">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01866803">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30.4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4"/>
          <w:highlight w:val="none"/>
        </w:rPr>
        <w:t>（质疑函格式附后）</w:t>
      </w:r>
      <w:r>
        <w:rPr>
          <w:rFonts w:hint="eastAsia" w:ascii="宋体" w:hAnsi="宋体" w:eastAsia="宋体" w:cs="宋体"/>
          <w:color w:val="auto"/>
          <w:szCs w:val="24"/>
          <w:highlight w:val="none"/>
        </w:rPr>
        <w:t>：</w:t>
      </w:r>
    </w:p>
    <w:p w14:paraId="12A1C8A1">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14:paraId="29B7C80A">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5C57FAA1">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8C733FE">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15AEB8D4">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7F3999B2">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14:paraId="118B1247">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14:paraId="544E669C">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14:paraId="2F3439E3">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14:paraId="13186CA0">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51F30178">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14:paraId="745003C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4"/>
          <w:highlight w:val="none"/>
        </w:rPr>
        <w:t>30.6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附后）。</w:t>
      </w:r>
    </w:p>
    <w:p w14:paraId="573DE1DD">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31.其他内容</w:t>
      </w:r>
    </w:p>
    <w:p w14:paraId="1D295ED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31.1代理服务收取标准及缴费账户详见“供应商须知前附表”，供应商为联合体的，可以由联合体中的一方或者多方共同交纳代理服务费。</w:t>
      </w:r>
    </w:p>
    <w:p w14:paraId="2EEA637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31.2代理服务费收费计算标准：</w:t>
      </w:r>
    </w:p>
    <w:tbl>
      <w:tblPr>
        <w:tblStyle w:val="2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1738"/>
        <w:gridCol w:w="1767"/>
        <w:gridCol w:w="1738"/>
      </w:tblGrid>
      <w:tr w14:paraId="59B4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36" w:type="dxa"/>
            <w:tcBorders>
              <w:tl2br w:val="single" w:color="auto" w:sz="4" w:space="0"/>
            </w:tcBorders>
          </w:tcPr>
          <w:p w14:paraId="7BF947C2">
            <w:pPr>
              <w:rPr>
                <w:rFonts w:ascii="宋体" w:hAnsi="宋体" w:eastAsia="宋体" w:cs="宋体"/>
                <w:color w:val="auto"/>
                <w:highlight w:val="none"/>
              </w:rPr>
            </w:pPr>
            <w:r>
              <w:rPr>
                <w:rFonts w:hint="eastAsia" w:ascii="宋体" w:hAnsi="宋体" w:eastAsia="宋体" w:cs="宋体"/>
                <w:color w:val="auto"/>
                <w:highlight w:val="none"/>
              </w:rPr>
              <w:t xml:space="preserve">               费率</w:t>
            </w:r>
          </w:p>
          <w:p w14:paraId="7A259424">
            <w:pPr>
              <w:rPr>
                <w:rFonts w:ascii="宋体" w:hAnsi="宋体" w:eastAsia="宋体" w:cs="宋体"/>
                <w:color w:val="auto"/>
                <w:highlight w:val="none"/>
              </w:rPr>
            </w:pPr>
            <w:r>
              <w:rPr>
                <w:rFonts w:hint="eastAsia" w:ascii="宋体" w:hAnsi="宋体" w:eastAsia="宋体" w:cs="宋体"/>
                <w:color w:val="auto"/>
                <w:highlight w:val="none"/>
              </w:rPr>
              <w:t>金额</w:t>
            </w:r>
          </w:p>
        </w:tc>
        <w:tc>
          <w:tcPr>
            <w:tcW w:w="1738" w:type="dxa"/>
            <w:vAlign w:val="center"/>
          </w:tcPr>
          <w:p w14:paraId="7179F19F">
            <w:pPr>
              <w:jc w:val="center"/>
              <w:rPr>
                <w:rFonts w:ascii="宋体" w:hAnsi="宋体" w:eastAsia="宋体" w:cs="宋体"/>
                <w:color w:val="auto"/>
                <w:highlight w:val="none"/>
              </w:rPr>
            </w:pPr>
            <w:r>
              <w:rPr>
                <w:rFonts w:hint="eastAsia" w:ascii="宋体" w:hAnsi="宋体" w:eastAsia="宋体" w:cs="宋体"/>
                <w:color w:val="auto"/>
                <w:highlight w:val="none"/>
              </w:rPr>
              <w:t>货物类</w:t>
            </w:r>
          </w:p>
        </w:tc>
        <w:tc>
          <w:tcPr>
            <w:tcW w:w="1767" w:type="dxa"/>
            <w:vAlign w:val="center"/>
          </w:tcPr>
          <w:p w14:paraId="1E9AC39A">
            <w:pPr>
              <w:jc w:val="center"/>
              <w:rPr>
                <w:rFonts w:ascii="宋体" w:hAnsi="宋体" w:eastAsia="宋体" w:cs="宋体"/>
                <w:color w:val="auto"/>
                <w:highlight w:val="none"/>
              </w:rPr>
            </w:pPr>
            <w:r>
              <w:rPr>
                <w:rFonts w:hint="eastAsia" w:ascii="宋体" w:hAnsi="宋体" w:eastAsia="宋体" w:cs="宋体"/>
                <w:color w:val="auto"/>
                <w:highlight w:val="none"/>
              </w:rPr>
              <w:t>服务类</w:t>
            </w:r>
          </w:p>
        </w:tc>
        <w:tc>
          <w:tcPr>
            <w:tcW w:w="1738" w:type="dxa"/>
            <w:vAlign w:val="center"/>
          </w:tcPr>
          <w:p w14:paraId="64E57947">
            <w:pPr>
              <w:jc w:val="center"/>
              <w:rPr>
                <w:rFonts w:ascii="宋体" w:hAnsi="宋体" w:eastAsia="宋体" w:cs="宋体"/>
                <w:color w:val="auto"/>
                <w:highlight w:val="none"/>
              </w:rPr>
            </w:pPr>
            <w:r>
              <w:rPr>
                <w:rFonts w:hint="eastAsia" w:ascii="宋体" w:hAnsi="宋体" w:eastAsia="宋体" w:cs="宋体"/>
                <w:color w:val="auto"/>
                <w:highlight w:val="none"/>
              </w:rPr>
              <w:t>工程类</w:t>
            </w:r>
          </w:p>
        </w:tc>
      </w:tr>
      <w:tr w14:paraId="1B33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69C27203">
            <w:pPr>
              <w:rPr>
                <w:rFonts w:ascii="宋体" w:hAnsi="宋体" w:eastAsia="宋体" w:cs="宋体"/>
                <w:color w:val="auto"/>
                <w:highlight w:val="none"/>
              </w:rPr>
            </w:pPr>
            <w:r>
              <w:rPr>
                <w:rFonts w:hint="eastAsia" w:ascii="宋体" w:hAnsi="宋体" w:eastAsia="宋体" w:cs="宋体"/>
                <w:color w:val="auto"/>
                <w:highlight w:val="none"/>
              </w:rPr>
              <w:t>100万元以下</w:t>
            </w:r>
          </w:p>
        </w:tc>
        <w:tc>
          <w:tcPr>
            <w:tcW w:w="1738" w:type="dxa"/>
          </w:tcPr>
          <w:p w14:paraId="338005B7">
            <w:pPr>
              <w:ind w:left="315" w:leftChars="150"/>
              <w:rPr>
                <w:rFonts w:ascii="宋体" w:hAnsi="宋体" w:eastAsia="宋体" w:cs="宋体"/>
                <w:color w:val="auto"/>
                <w:highlight w:val="none"/>
              </w:rPr>
            </w:pPr>
            <w:r>
              <w:rPr>
                <w:rFonts w:hint="eastAsia" w:ascii="宋体" w:hAnsi="宋体" w:eastAsia="宋体" w:cs="宋体"/>
                <w:color w:val="auto"/>
                <w:kern w:val="0"/>
                <w:highlight w:val="none"/>
              </w:rPr>
              <w:t xml:space="preserve">  1.5%                </w:t>
            </w:r>
          </w:p>
        </w:tc>
        <w:tc>
          <w:tcPr>
            <w:tcW w:w="1767" w:type="dxa"/>
          </w:tcPr>
          <w:p w14:paraId="74BCAD63">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1.5%</w:t>
            </w:r>
          </w:p>
        </w:tc>
        <w:tc>
          <w:tcPr>
            <w:tcW w:w="1738" w:type="dxa"/>
          </w:tcPr>
          <w:p w14:paraId="7E6895BE">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1.0% </w:t>
            </w:r>
          </w:p>
        </w:tc>
      </w:tr>
      <w:tr w14:paraId="23E4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3684051F">
            <w:pPr>
              <w:rPr>
                <w:rFonts w:ascii="宋体" w:hAnsi="宋体" w:eastAsia="宋体" w:cs="宋体"/>
                <w:color w:val="auto"/>
                <w:highlight w:val="none"/>
              </w:rPr>
            </w:pPr>
            <w:r>
              <w:rPr>
                <w:rFonts w:hint="eastAsia" w:ascii="宋体" w:hAnsi="宋体" w:eastAsia="宋体" w:cs="宋体"/>
                <w:color w:val="auto"/>
                <w:highlight w:val="none"/>
              </w:rPr>
              <w:t>100～500万元</w:t>
            </w:r>
          </w:p>
        </w:tc>
        <w:tc>
          <w:tcPr>
            <w:tcW w:w="1738" w:type="dxa"/>
          </w:tcPr>
          <w:p w14:paraId="2E9474B6">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1.1%                 </w:t>
            </w:r>
          </w:p>
        </w:tc>
        <w:tc>
          <w:tcPr>
            <w:tcW w:w="1767" w:type="dxa"/>
          </w:tcPr>
          <w:p w14:paraId="30B687AD">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0.8%</w:t>
            </w:r>
          </w:p>
        </w:tc>
        <w:tc>
          <w:tcPr>
            <w:tcW w:w="1738" w:type="dxa"/>
          </w:tcPr>
          <w:p w14:paraId="128CA53C">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0.7% </w:t>
            </w:r>
          </w:p>
        </w:tc>
      </w:tr>
      <w:tr w14:paraId="03FC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4F65092E">
            <w:pPr>
              <w:rPr>
                <w:rFonts w:ascii="宋体" w:hAnsi="宋体" w:eastAsia="宋体" w:cs="宋体"/>
                <w:color w:val="auto"/>
                <w:highlight w:val="none"/>
              </w:rPr>
            </w:pPr>
            <w:r>
              <w:rPr>
                <w:rFonts w:hint="eastAsia" w:ascii="宋体" w:hAnsi="宋体" w:eastAsia="宋体" w:cs="宋体"/>
                <w:color w:val="auto"/>
                <w:highlight w:val="none"/>
              </w:rPr>
              <w:t>500～1000万元</w:t>
            </w:r>
          </w:p>
        </w:tc>
        <w:tc>
          <w:tcPr>
            <w:tcW w:w="1738" w:type="dxa"/>
          </w:tcPr>
          <w:p w14:paraId="0637F15F">
            <w:pPr>
              <w:ind w:left="315" w:leftChars="150"/>
              <w:rPr>
                <w:rFonts w:ascii="宋体" w:hAnsi="宋体" w:eastAsia="宋体" w:cs="宋体"/>
                <w:color w:val="auto"/>
                <w:highlight w:val="none"/>
              </w:rPr>
            </w:pPr>
            <w:r>
              <w:rPr>
                <w:rFonts w:hint="eastAsia" w:ascii="宋体" w:hAnsi="宋体" w:eastAsia="宋体" w:cs="宋体"/>
                <w:color w:val="auto"/>
                <w:kern w:val="0"/>
                <w:highlight w:val="none"/>
              </w:rPr>
              <w:t xml:space="preserve">  0.8%                </w:t>
            </w:r>
          </w:p>
        </w:tc>
        <w:tc>
          <w:tcPr>
            <w:tcW w:w="1767" w:type="dxa"/>
          </w:tcPr>
          <w:p w14:paraId="5E317AA3">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0.45%</w:t>
            </w:r>
          </w:p>
        </w:tc>
        <w:tc>
          <w:tcPr>
            <w:tcW w:w="1738" w:type="dxa"/>
          </w:tcPr>
          <w:p w14:paraId="01852D98">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0.55%</w:t>
            </w:r>
          </w:p>
        </w:tc>
      </w:tr>
      <w:tr w14:paraId="7181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39BCB0A7">
            <w:pPr>
              <w:rPr>
                <w:rFonts w:ascii="宋体" w:hAnsi="宋体" w:eastAsia="宋体" w:cs="宋体"/>
                <w:color w:val="auto"/>
                <w:highlight w:val="none"/>
              </w:rPr>
            </w:pPr>
            <w:r>
              <w:rPr>
                <w:rFonts w:hint="eastAsia" w:ascii="宋体" w:hAnsi="宋体" w:eastAsia="宋体" w:cs="宋体"/>
                <w:color w:val="auto"/>
                <w:highlight w:val="none"/>
              </w:rPr>
              <w:t>1000～5000万元</w:t>
            </w:r>
          </w:p>
        </w:tc>
        <w:tc>
          <w:tcPr>
            <w:tcW w:w="1738" w:type="dxa"/>
          </w:tcPr>
          <w:p w14:paraId="600A22D6">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0.5%                </w:t>
            </w:r>
          </w:p>
        </w:tc>
        <w:tc>
          <w:tcPr>
            <w:tcW w:w="1767" w:type="dxa"/>
          </w:tcPr>
          <w:p w14:paraId="315F9CE7">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0.25%</w:t>
            </w:r>
          </w:p>
        </w:tc>
        <w:tc>
          <w:tcPr>
            <w:tcW w:w="1738" w:type="dxa"/>
          </w:tcPr>
          <w:p w14:paraId="4ACB3589">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0.35% </w:t>
            </w:r>
          </w:p>
        </w:tc>
      </w:tr>
      <w:tr w14:paraId="6FDF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68D41FB8">
            <w:pPr>
              <w:rPr>
                <w:rFonts w:ascii="宋体" w:hAnsi="宋体" w:eastAsia="宋体" w:cs="宋体"/>
                <w:color w:val="auto"/>
                <w:highlight w:val="none"/>
              </w:rPr>
            </w:pPr>
            <w:r>
              <w:rPr>
                <w:rFonts w:hint="eastAsia" w:ascii="宋体" w:hAnsi="宋体" w:eastAsia="宋体" w:cs="宋体"/>
                <w:color w:val="auto"/>
                <w:highlight w:val="none"/>
              </w:rPr>
              <w:t>5000万元～1亿元</w:t>
            </w:r>
          </w:p>
        </w:tc>
        <w:tc>
          <w:tcPr>
            <w:tcW w:w="1738" w:type="dxa"/>
          </w:tcPr>
          <w:p w14:paraId="2A5ED6AE">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 xml:space="preserve">0.25%                 </w:t>
            </w:r>
          </w:p>
        </w:tc>
        <w:tc>
          <w:tcPr>
            <w:tcW w:w="1767" w:type="dxa"/>
          </w:tcPr>
          <w:p w14:paraId="0CEF7ACE">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0.1%</w:t>
            </w:r>
          </w:p>
        </w:tc>
        <w:tc>
          <w:tcPr>
            <w:tcW w:w="1738" w:type="dxa"/>
          </w:tcPr>
          <w:p w14:paraId="4D35898B">
            <w:pPr>
              <w:ind w:left="315" w:leftChars="150" w:firstLine="210" w:firstLineChars="100"/>
              <w:rPr>
                <w:rFonts w:ascii="宋体" w:hAnsi="宋体" w:eastAsia="宋体" w:cs="宋体"/>
                <w:color w:val="auto"/>
                <w:highlight w:val="none"/>
              </w:rPr>
            </w:pPr>
            <w:r>
              <w:rPr>
                <w:rFonts w:hint="eastAsia" w:ascii="宋体" w:hAnsi="宋体" w:eastAsia="宋体" w:cs="宋体"/>
                <w:color w:val="auto"/>
                <w:kern w:val="0"/>
                <w:highlight w:val="none"/>
              </w:rPr>
              <w:t>0.2%</w:t>
            </w:r>
          </w:p>
        </w:tc>
      </w:tr>
      <w:tr w14:paraId="4229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7D7B1F01">
            <w:pPr>
              <w:rPr>
                <w:rFonts w:ascii="宋体" w:hAnsi="宋体" w:eastAsia="宋体" w:cs="宋体"/>
                <w:color w:val="auto"/>
                <w:highlight w:val="none"/>
              </w:rPr>
            </w:pPr>
            <w:r>
              <w:rPr>
                <w:rFonts w:hint="eastAsia" w:ascii="宋体" w:hAnsi="宋体" w:eastAsia="宋体" w:cs="宋体"/>
                <w:color w:val="auto"/>
                <w:highlight w:val="none"/>
              </w:rPr>
              <w:t>1～5亿元</w:t>
            </w:r>
          </w:p>
        </w:tc>
        <w:tc>
          <w:tcPr>
            <w:tcW w:w="1738" w:type="dxa"/>
          </w:tcPr>
          <w:p w14:paraId="5D72F4A3">
            <w:pPr>
              <w:ind w:left="315" w:leftChars="150" w:firstLine="210" w:firstLineChars="100"/>
              <w:rPr>
                <w:rFonts w:ascii="宋体" w:hAnsi="宋体" w:eastAsia="宋体" w:cs="宋体"/>
                <w:color w:val="auto"/>
                <w:highlight w:val="none"/>
              </w:rPr>
            </w:pPr>
            <w:r>
              <w:rPr>
                <w:rFonts w:hint="eastAsia" w:ascii="宋体" w:hAnsi="宋体" w:eastAsia="宋体" w:cs="宋体"/>
                <w:color w:val="auto"/>
                <w:highlight w:val="none"/>
              </w:rPr>
              <w:t>0.05%</w:t>
            </w:r>
          </w:p>
        </w:tc>
        <w:tc>
          <w:tcPr>
            <w:tcW w:w="1767" w:type="dxa"/>
          </w:tcPr>
          <w:p w14:paraId="245B7C82">
            <w:pPr>
              <w:ind w:left="315" w:leftChars="150"/>
              <w:rPr>
                <w:rFonts w:ascii="宋体" w:hAnsi="宋体" w:eastAsia="宋体" w:cs="宋体"/>
                <w:color w:val="auto"/>
                <w:highlight w:val="none"/>
              </w:rPr>
            </w:pPr>
            <w:r>
              <w:rPr>
                <w:rFonts w:hint="eastAsia" w:ascii="宋体" w:hAnsi="宋体" w:eastAsia="宋体" w:cs="宋体"/>
                <w:color w:val="auto"/>
                <w:highlight w:val="none"/>
              </w:rPr>
              <w:t xml:space="preserve">  0.05%</w:t>
            </w:r>
          </w:p>
        </w:tc>
        <w:tc>
          <w:tcPr>
            <w:tcW w:w="1738" w:type="dxa"/>
          </w:tcPr>
          <w:p w14:paraId="5B0B4036">
            <w:pPr>
              <w:ind w:left="315" w:leftChars="150"/>
              <w:rPr>
                <w:rFonts w:ascii="宋体" w:hAnsi="宋体" w:eastAsia="宋体" w:cs="宋体"/>
                <w:color w:val="auto"/>
                <w:highlight w:val="none"/>
              </w:rPr>
            </w:pPr>
            <w:r>
              <w:rPr>
                <w:rFonts w:hint="eastAsia" w:ascii="宋体" w:hAnsi="宋体" w:eastAsia="宋体" w:cs="宋体"/>
                <w:color w:val="auto"/>
                <w:highlight w:val="none"/>
              </w:rPr>
              <w:t xml:space="preserve">  0.05%</w:t>
            </w:r>
          </w:p>
        </w:tc>
      </w:tr>
      <w:tr w14:paraId="142D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65349574">
            <w:pPr>
              <w:rPr>
                <w:rFonts w:ascii="宋体" w:hAnsi="宋体" w:eastAsia="宋体" w:cs="宋体"/>
                <w:color w:val="auto"/>
                <w:highlight w:val="none"/>
              </w:rPr>
            </w:pPr>
            <w:r>
              <w:rPr>
                <w:rFonts w:hint="eastAsia" w:ascii="宋体" w:hAnsi="宋体" w:eastAsia="宋体" w:cs="宋体"/>
                <w:color w:val="auto"/>
                <w:highlight w:val="none"/>
              </w:rPr>
              <w:t>5～10亿元</w:t>
            </w:r>
          </w:p>
        </w:tc>
        <w:tc>
          <w:tcPr>
            <w:tcW w:w="1738" w:type="dxa"/>
          </w:tcPr>
          <w:p w14:paraId="1DF26798">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0.035%</w:t>
            </w:r>
          </w:p>
        </w:tc>
        <w:tc>
          <w:tcPr>
            <w:tcW w:w="1767" w:type="dxa"/>
          </w:tcPr>
          <w:p w14:paraId="5DB6CFA8">
            <w:pPr>
              <w:ind w:left="315" w:leftChars="150"/>
              <w:rPr>
                <w:rFonts w:ascii="宋体" w:hAnsi="宋体" w:eastAsia="宋体" w:cs="宋体"/>
                <w:color w:val="auto"/>
                <w:highlight w:val="none"/>
              </w:rPr>
            </w:pPr>
            <w:r>
              <w:rPr>
                <w:rFonts w:hint="eastAsia" w:ascii="宋体" w:hAnsi="宋体" w:eastAsia="宋体" w:cs="宋体"/>
                <w:color w:val="auto"/>
                <w:highlight w:val="none"/>
              </w:rPr>
              <w:t xml:space="preserve">  0.035%</w:t>
            </w:r>
          </w:p>
        </w:tc>
        <w:tc>
          <w:tcPr>
            <w:tcW w:w="1738" w:type="dxa"/>
          </w:tcPr>
          <w:p w14:paraId="3FC6FB24">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0.035%</w:t>
            </w:r>
          </w:p>
        </w:tc>
      </w:tr>
      <w:tr w14:paraId="47C3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2AF45A08">
            <w:pPr>
              <w:rPr>
                <w:rFonts w:ascii="宋体" w:hAnsi="宋体" w:eastAsia="宋体" w:cs="宋体"/>
                <w:color w:val="auto"/>
                <w:highlight w:val="none"/>
              </w:rPr>
            </w:pPr>
            <w:r>
              <w:rPr>
                <w:rFonts w:hint="eastAsia" w:ascii="宋体" w:hAnsi="宋体" w:eastAsia="宋体" w:cs="宋体"/>
                <w:color w:val="auto"/>
                <w:highlight w:val="none"/>
              </w:rPr>
              <w:t>10～50亿元</w:t>
            </w:r>
          </w:p>
        </w:tc>
        <w:tc>
          <w:tcPr>
            <w:tcW w:w="1738" w:type="dxa"/>
          </w:tcPr>
          <w:p w14:paraId="33C7E69E">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0.008%</w:t>
            </w:r>
          </w:p>
        </w:tc>
        <w:tc>
          <w:tcPr>
            <w:tcW w:w="1767" w:type="dxa"/>
          </w:tcPr>
          <w:p w14:paraId="6C0BC63F">
            <w:pPr>
              <w:ind w:left="315" w:leftChars="150" w:firstLine="210" w:firstLineChars="100"/>
              <w:rPr>
                <w:rFonts w:ascii="宋体" w:hAnsi="宋体" w:eastAsia="宋体" w:cs="宋体"/>
                <w:color w:val="auto"/>
                <w:highlight w:val="none"/>
              </w:rPr>
            </w:pPr>
            <w:r>
              <w:rPr>
                <w:rFonts w:hint="eastAsia" w:ascii="宋体" w:hAnsi="宋体" w:eastAsia="宋体" w:cs="宋体"/>
                <w:color w:val="auto"/>
                <w:highlight w:val="none"/>
              </w:rPr>
              <w:t>0.008%</w:t>
            </w:r>
          </w:p>
        </w:tc>
        <w:tc>
          <w:tcPr>
            <w:tcW w:w="1738" w:type="dxa"/>
          </w:tcPr>
          <w:p w14:paraId="27D7E5DE">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0.008%</w:t>
            </w:r>
          </w:p>
        </w:tc>
      </w:tr>
      <w:tr w14:paraId="39D0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258C3A41">
            <w:pPr>
              <w:rPr>
                <w:rFonts w:ascii="宋体" w:hAnsi="宋体" w:eastAsia="宋体" w:cs="宋体"/>
                <w:color w:val="auto"/>
                <w:highlight w:val="none"/>
              </w:rPr>
            </w:pPr>
            <w:r>
              <w:rPr>
                <w:rFonts w:hint="eastAsia" w:ascii="宋体" w:hAnsi="宋体" w:eastAsia="宋体" w:cs="宋体"/>
                <w:color w:val="auto"/>
                <w:highlight w:val="none"/>
              </w:rPr>
              <w:t>50～100亿元</w:t>
            </w:r>
          </w:p>
        </w:tc>
        <w:tc>
          <w:tcPr>
            <w:tcW w:w="1738" w:type="dxa"/>
          </w:tcPr>
          <w:p w14:paraId="48F58E1D">
            <w:pPr>
              <w:ind w:left="315" w:leftChars="150"/>
              <w:rPr>
                <w:rFonts w:ascii="宋体" w:hAnsi="宋体" w:eastAsia="宋体" w:cs="宋体"/>
                <w:color w:val="auto"/>
                <w:highlight w:val="none"/>
              </w:rPr>
            </w:pPr>
            <w:r>
              <w:rPr>
                <w:rFonts w:hint="eastAsia" w:ascii="宋体" w:hAnsi="宋体" w:eastAsia="宋体" w:cs="宋体"/>
                <w:color w:val="auto"/>
                <w:highlight w:val="none"/>
              </w:rPr>
              <w:t xml:space="preserve"> 0.006%</w:t>
            </w:r>
          </w:p>
        </w:tc>
        <w:tc>
          <w:tcPr>
            <w:tcW w:w="1767" w:type="dxa"/>
          </w:tcPr>
          <w:p w14:paraId="52672392">
            <w:pPr>
              <w:ind w:left="315" w:leftChars="150" w:firstLine="210" w:firstLineChars="100"/>
              <w:rPr>
                <w:rFonts w:ascii="宋体" w:hAnsi="宋体" w:eastAsia="宋体" w:cs="宋体"/>
                <w:color w:val="auto"/>
                <w:highlight w:val="none"/>
              </w:rPr>
            </w:pPr>
            <w:r>
              <w:rPr>
                <w:rFonts w:hint="eastAsia" w:ascii="宋体" w:hAnsi="宋体" w:eastAsia="宋体" w:cs="宋体"/>
                <w:color w:val="auto"/>
                <w:highlight w:val="none"/>
              </w:rPr>
              <w:t>0.006%</w:t>
            </w:r>
          </w:p>
        </w:tc>
        <w:tc>
          <w:tcPr>
            <w:tcW w:w="1738" w:type="dxa"/>
          </w:tcPr>
          <w:p w14:paraId="5EF95067">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0.006%</w:t>
            </w:r>
          </w:p>
        </w:tc>
      </w:tr>
      <w:tr w14:paraId="04A9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36" w:type="dxa"/>
          </w:tcPr>
          <w:p w14:paraId="6D0EB95C">
            <w:pPr>
              <w:rPr>
                <w:rFonts w:ascii="宋体" w:hAnsi="宋体" w:eastAsia="宋体" w:cs="宋体"/>
                <w:color w:val="auto"/>
                <w:highlight w:val="none"/>
              </w:rPr>
            </w:pPr>
            <w:r>
              <w:rPr>
                <w:rFonts w:hint="eastAsia" w:ascii="宋体" w:hAnsi="宋体" w:eastAsia="宋体" w:cs="宋体"/>
                <w:color w:val="auto"/>
                <w:highlight w:val="none"/>
              </w:rPr>
              <w:t>100亿以上</w:t>
            </w:r>
          </w:p>
        </w:tc>
        <w:tc>
          <w:tcPr>
            <w:tcW w:w="1738" w:type="dxa"/>
          </w:tcPr>
          <w:p w14:paraId="13B6DE6C">
            <w:pPr>
              <w:ind w:left="315" w:leftChars="150"/>
              <w:rPr>
                <w:rFonts w:ascii="宋体" w:hAnsi="宋体" w:eastAsia="宋体" w:cs="宋体"/>
                <w:color w:val="auto"/>
                <w:highlight w:val="none"/>
              </w:rPr>
            </w:pPr>
            <w:r>
              <w:rPr>
                <w:rFonts w:hint="eastAsia" w:ascii="宋体" w:hAnsi="宋体" w:eastAsia="宋体" w:cs="宋体"/>
                <w:color w:val="auto"/>
                <w:highlight w:val="none"/>
              </w:rPr>
              <w:t xml:space="preserve"> 0.004%</w:t>
            </w:r>
          </w:p>
        </w:tc>
        <w:tc>
          <w:tcPr>
            <w:tcW w:w="1767" w:type="dxa"/>
          </w:tcPr>
          <w:p w14:paraId="10575370">
            <w:pPr>
              <w:ind w:left="315" w:leftChars="150" w:firstLine="210" w:firstLineChars="100"/>
              <w:rPr>
                <w:rFonts w:ascii="宋体" w:hAnsi="宋体" w:eastAsia="宋体" w:cs="宋体"/>
                <w:color w:val="auto"/>
                <w:highlight w:val="none"/>
              </w:rPr>
            </w:pPr>
            <w:r>
              <w:rPr>
                <w:rFonts w:hint="eastAsia" w:ascii="宋体" w:hAnsi="宋体" w:eastAsia="宋体" w:cs="宋体"/>
                <w:color w:val="auto"/>
                <w:highlight w:val="none"/>
              </w:rPr>
              <w:t>0.004%</w:t>
            </w:r>
          </w:p>
        </w:tc>
        <w:tc>
          <w:tcPr>
            <w:tcW w:w="1738" w:type="dxa"/>
          </w:tcPr>
          <w:p w14:paraId="422559AF">
            <w:pPr>
              <w:ind w:left="315" w:leftChars="150" w:firstLine="105" w:firstLineChars="50"/>
              <w:rPr>
                <w:rFonts w:ascii="宋体" w:hAnsi="宋体" w:eastAsia="宋体" w:cs="宋体"/>
                <w:color w:val="auto"/>
                <w:highlight w:val="none"/>
              </w:rPr>
            </w:pPr>
            <w:r>
              <w:rPr>
                <w:rFonts w:hint="eastAsia" w:ascii="宋体" w:hAnsi="宋体" w:eastAsia="宋体" w:cs="宋体"/>
                <w:color w:val="auto"/>
                <w:highlight w:val="none"/>
              </w:rPr>
              <w:t>0.004%</w:t>
            </w:r>
          </w:p>
        </w:tc>
      </w:tr>
    </w:tbl>
    <w:p w14:paraId="0AA766B7">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注：</w:t>
      </w:r>
    </w:p>
    <w:p w14:paraId="5036023F">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（1）按本表费率计算的收费为采购代理的收费基准价格；</w:t>
      </w:r>
    </w:p>
    <w:p w14:paraId="755BC88E">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（2）采购代理收费按差额定率累进法计算。</w:t>
      </w:r>
    </w:p>
    <w:p w14:paraId="191EC92B">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例如：某服务采购代理业务成交金额或者暂定价为150万元，计算采购代理收费额如下：</w:t>
      </w:r>
    </w:p>
    <w:p w14:paraId="2A24979B">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100万元×l.5%＝1.5万元</w:t>
      </w:r>
    </w:p>
    <w:p w14:paraId="17DA563F">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（150</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100）万元×0.8%＝0.4万元</w:t>
      </w:r>
    </w:p>
    <w:p w14:paraId="07DC5CE3">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合计收费＝1.5＋0.4＝1.9万元</w:t>
      </w:r>
    </w:p>
    <w:p w14:paraId="2952CE69">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32.需要补充的其他内容</w:t>
      </w:r>
    </w:p>
    <w:p w14:paraId="6FA5B64A">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32.1本磋商文件解释规则详见“供应商须知前附表”。</w:t>
      </w:r>
    </w:p>
    <w:p w14:paraId="34032B06">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32.2 其他事项详见“供应商须知前附表”。</w:t>
      </w:r>
    </w:p>
    <w:p w14:paraId="08662820">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32.3</w:t>
      </w:r>
      <w:bookmarkStart w:id="10" w:name="_Hlk65857140"/>
      <w:r>
        <w:rPr>
          <w:rFonts w:hint="eastAsia" w:ascii="宋体" w:hAnsi="宋体" w:eastAsia="宋体" w:cs="宋体"/>
          <w:color w:val="auto"/>
          <w:szCs w:val="24"/>
          <w:highlight w:val="none"/>
        </w:rPr>
        <w:t xml:space="preserve">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BCC07C9">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（1）在货物采购项目中，货物由中小企业制造，即货物由中小企业生产且使用该中小企业商号或者注册商标，不对其中涉及的工程承建商和服务的承接商作出要求；</w:t>
      </w:r>
    </w:p>
    <w:p w14:paraId="5AE9D2F6">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（2）在工程采购项目中，工程由中小企业承建，即工程施工单位为中小企业，不对其中涉及的货物的制造商和服务的承接商作出要求；</w:t>
      </w:r>
    </w:p>
    <w:p w14:paraId="4D583B80">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FB13FDB">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9752177">
      <w:pPr>
        <w:widowControl/>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依据本磋商文件规定享受扶持政策获得政府采购合同的，小微企业不得将合同分包给大中型企业，中型企业不得将合同分包给大型企业。</w:t>
      </w:r>
    </w:p>
    <w:bookmarkEnd w:id="10"/>
    <w:p w14:paraId="10C72CD3">
      <w:pPr>
        <w:widowControl/>
        <w:jc w:val="left"/>
        <w:rPr>
          <w:rFonts w:hint="eastAsia" w:ascii="宋体" w:hAnsi="宋体" w:eastAsia="宋体" w:cs="宋体"/>
          <w:b/>
          <w:color w:val="auto"/>
          <w:kern w:val="0"/>
          <w:sz w:val="32"/>
          <w:szCs w:val="32"/>
          <w:highlight w:val="none"/>
        </w:rPr>
      </w:pPr>
    </w:p>
    <w:p w14:paraId="50919719">
      <w:pPr>
        <w:widowControl/>
        <w:jc w:val="left"/>
        <w:rPr>
          <w:rFonts w:hint="eastAsia" w:ascii="宋体" w:hAnsi="宋体" w:eastAsia="宋体" w:cs="宋体"/>
          <w:b/>
          <w:color w:val="auto"/>
          <w:kern w:val="0"/>
          <w:sz w:val="32"/>
          <w:szCs w:val="32"/>
          <w:highlight w:val="none"/>
        </w:rPr>
      </w:pPr>
    </w:p>
    <w:p w14:paraId="65BEFB2E">
      <w:pPr>
        <w:widowControl/>
        <w:shd w:val="clea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附件1</w:t>
      </w:r>
    </w:p>
    <w:p w14:paraId="0A34905B">
      <w:pPr>
        <w:widowControl/>
        <w:shd w:val="clear" w:color="auto"/>
        <w:spacing w:line="480" w:lineRule="atLeast"/>
        <w:ind w:firstLine="643" w:firstLineChars="200"/>
        <w:jc w:val="cente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采购项目合同验收书（格式）</w:t>
      </w:r>
    </w:p>
    <w:p w14:paraId="008D59F0">
      <w:pPr>
        <w:widowControl/>
        <w:shd w:val="clear" w:color="auto"/>
        <w:snapToGrid w:val="0"/>
        <w:spacing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27"/>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0719BEFE">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7C850461">
            <w:pPr>
              <w:widowControl/>
              <w:shd w:val="clear"/>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74CEDF2B">
            <w:pPr>
              <w:widowControl/>
              <w:shd w:val="clear"/>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797379A0">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1305A866">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4D58E43A">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5301D1D0">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7052CF5D">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395BAFCF">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42B8C8B0">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438C20C5">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28206FFD">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68ACC0EF">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26CAFFEA">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1AA74FA">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EC58182">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2A71E26B">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12C78CB3">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45A75839">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000FACFF">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931D00D">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21A9460">
        <w:tblPrEx>
          <w:tblCellMar>
            <w:top w:w="0" w:type="dxa"/>
            <w:left w:w="0" w:type="dxa"/>
            <w:bottom w:w="0" w:type="dxa"/>
            <w:right w:w="0" w:type="dxa"/>
          </w:tblCellMar>
        </w:tblPrEx>
        <w:trPr>
          <w:trHeight w:val="454" w:hRule="exact"/>
          <w:jc w:val="center"/>
        </w:trPr>
        <w:tc>
          <w:tcPr>
            <w:tcW w:w="5940" w:type="dxa"/>
            <w:gridSpan w:val="4"/>
            <w:tcBorders>
              <w:top w:val="nil"/>
              <w:left w:val="single" w:color="auto" w:sz="8" w:space="0"/>
              <w:bottom w:val="single" w:color="auto" w:sz="8" w:space="0"/>
              <w:right w:val="single" w:color="auto" w:sz="8" w:space="0"/>
            </w:tcBorders>
            <w:vAlign w:val="center"/>
          </w:tcPr>
          <w:p w14:paraId="5911022B">
            <w:pPr>
              <w:widowControl/>
              <w:snapToGrid w:val="0"/>
              <w:spacing w:before="100" w:beforeAutospacing="1" w:after="100" w:afterAutospacing="1" w:line="320" w:lineRule="atLeast"/>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31C9E51A">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8520ECE">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962195">
        <w:tblPrEx>
          <w:tblCellMar>
            <w:top w:w="0" w:type="dxa"/>
            <w:left w:w="0" w:type="dxa"/>
            <w:bottom w:w="0" w:type="dxa"/>
            <w:right w:w="0" w:type="dxa"/>
          </w:tblCellMar>
        </w:tblPrEx>
        <w:trPr>
          <w:trHeight w:val="454" w:hRule="exact"/>
          <w:jc w:val="center"/>
        </w:trPr>
        <w:tc>
          <w:tcPr>
            <w:tcW w:w="8642" w:type="dxa"/>
            <w:gridSpan w:val="7"/>
            <w:tcBorders>
              <w:top w:val="nil"/>
              <w:left w:val="single" w:color="auto" w:sz="8" w:space="0"/>
              <w:bottom w:val="single" w:color="auto" w:sz="8" w:space="0"/>
              <w:right w:val="single" w:color="auto" w:sz="8" w:space="0"/>
            </w:tcBorders>
            <w:vAlign w:val="center"/>
          </w:tcPr>
          <w:p w14:paraId="0F587D12">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C3535C8">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58ECFFE6">
            <w:pPr>
              <w:widowControl/>
              <w:snapToGrid w:val="0"/>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6E1168F4">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4B05B45B">
            <w:pPr>
              <w:widowControl/>
              <w:snapToGrid w:val="0"/>
              <w:spacing w:before="100" w:beforeAutospacing="1" w:after="100" w:afterAutospacing="1" w:line="320" w:lineRule="atLeas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408D925F">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1D2DD59">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3AAE2231">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2407BA4E">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771FAA3A">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202F709B">
            <w:pPr>
              <w:widowControl/>
              <w:snapToGrid w:val="0"/>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A40BA54">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6513F8">
            <w:pPr>
              <w:widowControl/>
              <w:snapToGrid w:val="0"/>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65D1918F">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应按采购合同、采购文件、磋商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eastAsia="宋体" w:cs="宋体"/>
                <w:color w:val="auto"/>
                <w:kern w:val="0"/>
                <w:szCs w:val="21"/>
                <w:highlight w:val="none"/>
                <w:lang w:eastAsia="zh-CN"/>
              </w:rPr>
              <w:t>）</w:t>
            </w:r>
          </w:p>
        </w:tc>
      </w:tr>
      <w:tr w14:paraId="00BE1EB5">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D7AE61C">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213D6EE6">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p w14:paraId="642EF7A6">
            <w:pPr>
              <w:widowControl/>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A49B18F">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23606730">
            <w:pPr>
              <w:widowControl/>
              <w:spacing w:line="360" w:lineRule="auto"/>
              <w:ind w:firstLine="420" w:firstLineChars="200"/>
              <w:jc w:val="left"/>
              <w:rPr>
                <w:rFonts w:ascii="宋体" w:hAnsi="宋体" w:eastAsia="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71E5D69E">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2BC5EBC9">
            <w:pPr>
              <w:widowControl/>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44DAD3CF">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6AA3CB">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3210F559">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735AD4">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6479CB13">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5D89EFE4">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2849E04C">
            <w:pPr>
              <w:widowControl/>
              <w:spacing w:before="100" w:beforeAutospacing="1" w:after="100" w:afterAutospacing="1" w:line="320" w:lineRule="atLeast"/>
              <w:ind w:right="-222" w:rightChars="-10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60994C70">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719" w:type="dxa"/>
            <w:gridSpan w:val="4"/>
            <w:tcBorders>
              <w:top w:val="nil"/>
              <w:left w:val="nil"/>
              <w:bottom w:val="single" w:color="auto" w:sz="8" w:space="0"/>
              <w:right w:val="single" w:color="auto" w:sz="8" w:space="0"/>
            </w:tcBorders>
            <w:vAlign w:val="center"/>
          </w:tcPr>
          <w:p w14:paraId="288D26BB">
            <w:pPr>
              <w:widowControl/>
              <w:spacing w:before="100" w:beforeAutospacing="1" w:after="100" w:afterAutospacing="1" w:line="320" w:lineRule="atLeast"/>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采购人或受托机构的意见（盖章）：</w:t>
            </w:r>
          </w:p>
          <w:p w14:paraId="6AC5B82C">
            <w:pPr>
              <w:widowControl/>
              <w:spacing w:before="100" w:beforeAutospacing="1" w:after="100" w:afterAutospacing="1" w:line="320" w:lineRule="atLeast"/>
              <w:ind w:left="399" w:leftChars="19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589293C7">
      <w:pPr>
        <w:widowControl/>
        <w:spacing w:line="360" w:lineRule="auto"/>
        <w:ind w:firstLine="643" w:firstLineChars="200"/>
        <w:jc w:val="left"/>
        <w:rPr>
          <w:rFonts w:ascii="宋体" w:hAnsi="宋体" w:eastAsia="宋体" w:cs="宋体"/>
          <w:b/>
          <w:bCs/>
          <w:color w:val="auto"/>
          <w:sz w:val="32"/>
          <w:szCs w:val="32"/>
          <w:highlight w:val="none"/>
        </w:rPr>
        <w:sectPr>
          <w:footerReference r:id="rId5" w:type="default"/>
          <w:pgSz w:w="11906" w:h="16838"/>
          <w:pgMar w:top="1332" w:right="1434" w:bottom="1332" w:left="1434" w:header="850" w:footer="992" w:gutter="0"/>
          <w:pgNumType w:start="1"/>
          <w:cols w:space="0" w:num="1"/>
          <w:rtlGutter w:val="0"/>
          <w:docGrid w:type="lines" w:linePitch="315" w:charSpace="0"/>
        </w:sectPr>
      </w:pPr>
    </w:p>
    <w:p w14:paraId="76A67839">
      <w:pPr>
        <w:widowControl/>
        <w:spacing w:line="360" w:lineRule="auto"/>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附件2：</w:t>
      </w:r>
    </w:p>
    <w:p w14:paraId="774434F6">
      <w:pPr>
        <w:widowControl/>
        <w:spacing w:line="360" w:lineRule="auto"/>
        <w:ind w:firstLine="643" w:firstLineChars="2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履约保证金退付意见书（格式）</w:t>
      </w:r>
    </w:p>
    <w:tbl>
      <w:tblPr>
        <w:tblStyle w:val="27"/>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04"/>
      </w:tblGrid>
      <w:tr w14:paraId="355F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44FEEDFF">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w:t>
            </w:r>
          </w:p>
          <w:p w14:paraId="5D980E9D">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应</w:t>
            </w:r>
          </w:p>
          <w:p w14:paraId="231630E0">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商</w:t>
            </w:r>
          </w:p>
          <w:p w14:paraId="4361A1E7">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申</w:t>
            </w:r>
          </w:p>
          <w:p w14:paraId="57AA174B">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7604" w:type="dxa"/>
            <w:tcBorders>
              <w:top w:val="single" w:color="auto" w:sz="4" w:space="0"/>
              <w:left w:val="single" w:color="auto" w:sz="4" w:space="0"/>
              <w:bottom w:val="single" w:color="auto" w:sz="4" w:space="0"/>
              <w:right w:val="single" w:color="auto" w:sz="4" w:space="0"/>
            </w:tcBorders>
            <w:vAlign w:val="center"/>
          </w:tcPr>
          <w:p w14:paraId="07C9935F">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64CC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202E14C">
            <w:pPr>
              <w:widowControl/>
              <w:spacing w:line="360" w:lineRule="auto"/>
              <w:ind w:firstLine="420" w:firstLineChars="200"/>
              <w:rPr>
                <w:rFonts w:ascii="宋体" w:hAnsi="宋体" w:eastAsia="宋体" w:cs="宋体"/>
                <w:color w:val="auto"/>
                <w:szCs w:val="21"/>
                <w:highlight w:val="none"/>
              </w:rPr>
            </w:pPr>
          </w:p>
        </w:tc>
        <w:tc>
          <w:tcPr>
            <w:tcW w:w="7604" w:type="dxa"/>
            <w:tcBorders>
              <w:top w:val="single" w:color="auto" w:sz="4" w:space="0"/>
              <w:left w:val="single" w:color="auto" w:sz="4" w:space="0"/>
              <w:bottom w:val="single" w:color="auto" w:sz="4" w:space="0"/>
              <w:right w:val="single" w:color="auto" w:sz="4" w:space="0"/>
            </w:tcBorders>
            <w:vAlign w:val="center"/>
          </w:tcPr>
          <w:p w14:paraId="1C5C5777">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4CB0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BDC98DE">
            <w:pPr>
              <w:widowControl/>
              <w:spacing w:line="360" w:lineRule="auto"/>
              <w:ind w:firstLine="420" w:firstLineChars="200"/>
              <w:rPr>
                <w:rFonts w:ascii="宋体" w:hAnsi="宋体" w:eastAsia="宋体" w:cs="宋体"/>
                <w:color w:val="auto"/>
                <w:szCs w:val="21"/>
                <w:highlight w:val="none"/>
              </w:rPr>
            </w:pPr>
          </w:p>
        </w:tc>
        <w:tc>
          <w:tcPr>
            <w:tcW w:w="7604" w:type="dxa"/>
            <w:tcBorders>
              <w:top w:val="single" w:color="auto" w:sz="4" w:space="0"/>
              <w:left w:val="single" w:color="auto" w:sz="4" w:space="0"/>
              <w:bottom w:val="single" w:color="auto" w:sz="4" w:space="0"/>
              <w:right w:val="single" w:color="auto" w:sz="4" w:space="0"/>
            </w:tcBorders>
          </w:tcPr>
          <w:p w14:paraId="1968594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该项目已于年月日验收并交付使用。根据合同规定，该项目的履约保证金期限于年月日已满，请将履约保证金（大写）￥（小写）退付到达以下帐户。</w:t>
            </w:r>
          </w:p>
          <w:p w14:paraId="74A3F82B">
            <w:pPr>
              <w:widowControl/>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61182375">
            <w:pPr>
              <w:widowControl/>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71632C54">
            <w:pPr>
              <w:widowControl/>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帐   号：</w:t>
            </w:r>
          </w:p>
          <w:p w14:paraId="68D34FA2">
            <w:pPr>
              <w:widowControl/>
              <w:spacing w:line="400" w:lineRule="exact"/>
              <w:ind w:firstLine="63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31E7581B">
            <w:pPr>
              <w:widowControl/>
              <w:spacing w:line="400" w:lineRule="exact"/>
              <w:ind w:firstLine="420" w:firstLineChars="200"/>
              <w:jc w:val="left"/>
              <w:rPr>
                <w:rFonts w:ascii="宋体" w:hAnsi="宋体" w:eastAsia="宋体" w:cs="宋体"/>
                <w:color w:val="auto"/>
                <w:szCs w:val="21"/>
                <w:highlight w:val="none"/>
              </w:rPr>
            </w:pPr>
          </w:p>
          <w:p w14:paraId="074EA316">
            <w:pPr>
              <w:widowControl/>
              <w:spacing w:line="520" w:lineRule="exact"/>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0AC58953">
            <w:pPr>
              <w:widowControl/>
              <w:spacing w:line="520" w:lineRule="exact"/>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85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008" w:type="dxa"/>
            <w:tcBorders>
              <w:top w:val="single" w:color="auto" w:sz="4" w:space="0"/>
              <w:left w:val="single" w:color="auto" w:sz="4" w:space="0"/>
              <w:bottom w:val="single" w:color="auto" w:sz="4" w:space="0"/>
              <w:right w:val="single" w:color="auto" w:sz="4" w:space="0"/>
            </w:tcBorders>
            <w:vAlign w:val="center"/>
          </w:tcPr>
          <w:p w14:paraId="332DB26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w:t>
            </w:r>
          </w:p>
          <w:p w14:paraId="402451A8">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购</w:t>
            </w:r>
          </w:p>
          <w:p w14:paraId="73DDF480">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单</w:t>
            </w:r>
          </w:p>
          <w:p w14:paraId="38B52359">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位</w:t>
            </w:r>
          </w:p>
          <w:p w14:paraId="4938B8A2">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意</w:t>
            </w:r>
          </w:p>
          <w:p w14:paraId="78D84EEF">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7604" w:type="dxa"/>
            <w:tcBorders>
              <w:top w:val="single" w:color="auto" w:sz="4" w:space="0"/>
              <w:left w:val="single" w:color="auto" w:sz="4" w:space="0"/>
              <w:bottom w:val="single" w:color="auto" w:sz="4" w:space="0"/>
              <w:right w:val="single" w:color="auto" w:sz="4" w:space="0"/>
            </w:tcBorders>
          </w:tcPr>
          <w:p w14:paraId="7C04DB72">
            <w:pPr>
              <w:widowControl/>
              <w:spacing w:line="360" w:lineRule="auto"/>
              <w:ind w:firstLine="420" w:firstLineChars="200"/>
              <w:jc w:val="left"/>
              <w:rPr>
                <w:rFonts w:ascii="宋体" w:hAnsi="宋体" w:eastAsia="宋体" w:cs="宋体"/>
                <w:color w:val="auto"/>
                <w:szCs w:val="21"/>
                <w:highlight w:val="none"/>
              </w:rPr>
            </w:pPr>
          </w:p>
          <w:p w14:paraId="2C16CAC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2CBA138E">
            <w:pPr>
              <w:widowControl/>
              <w:spacing w:line="360" w:lineRule="auto"/>
              <w:ind w:firstLine="420" w:firstLineChars="200"/>
              <w:jc w:val="left"/>
              <w:rPr>
                <w:rFonts w:ascii="宋体" w:hAnsi="宋体" w:eastAsia="宋体" w:cs="宋体"/>
                <w:color w:val="auto"/>
                <w:szCs w:val="21"/>
                <w:highlight w:val="none"/>
              </w:rPr>
            </w:pPr>
          </w:p>
          <w:p w14:paraId="1A8C2D41">
            <w:pPr>
              <w:widowControl/>
              <w:spacing w:line="360" w:lineRule="auto"/>
              <w:ind w:firstLine="420" w:firstLineChars="200"/>
              <w:jc w:val="left"/>
              <w:rPr>
                <w:rFonts w:ascii="宋体" w:hAnsi="宋体" w:eastAsia="宋体" w:cs="宋体"/>
                <w:color w:val="auto"/>
                <w:szCs w:val="21"/>
                <w:highlight w:val="none"/>
              </w:rPr>
            </w:pPr>
          </w:p>
          <w:p w14:paraId="19A4F818">
            <w:pPr>
              <w:widowControl/>
              <w:spacing w:line="5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联系人及电话：                                 采购人签章</w:t>
            </w:r>
          </w:p>
          <w:p w14:paraId="07CCB2D3">
            <w:pPr>
              <w:widowControl/>
              <w:spacing w:line="520" w:lineRule="exact"/>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6DAE1D12">
      <w:pPr>
        <w:spacing w:line="380" w:lineRule="exact"/>
        <w:ind w:left="449" w:leftChars="114" w:hanging="210" w:hangingChars="100"/>
        <w:rPr>
          <w:rFonts w:ascii="宋体" w:hAnsi="宋体" w:eastAsia="宋体" w:cs="宋体"/>
          <w:b/>
          <w:color w:val="auto"/>
          <w:kern w:val="0"/>
          <w:szCs w:val="21"/>
          <w:highlight w:val="none"/>
          <w:lang w:val="zh-CN"/>
        </w:rPr>
      </w:pPr>
      <w:r>
        <w:rPr>
          <w:rFonts w:hint="eastAsia" w:ascii="宋体" w:hAnsi="宋体" w:eastAsia="宋体" w:cs="宋体"/>
          <w:bCs/>
          <w:color w:val="auto"/>
          <w:kern w:val="0"/>
          <w:szCs w:val="21"/>
          <w:highlight w:val="none"/>
          <w:lang w:val="zh-CN"/>
        </w:rPr>
        <w:t>注：供应商凭经采购人审批的退付意见书到保证金收取单位办理履约保证金退付事宜</w:t>
      </w:r>
      <w:r>
        <w:rPr>
          <w:rFonts w:hint="eastAsia" w:ascii="宋体" w:hAnsi="宋体" w:eastAsia="宋体" w:cs="宋体"/>
          <w:b/>
          <w:bCs/>
          <w:color w:val="auto"/>
          <w:kern w:val="0"/>
          <w:szCs w:val="21"/>
          <w:highlight w:val="none"/>
          <w:lang w:val="zh-CN"/>
        </w:rPr>
        <w:t>。</w:t>
      </w:r>
    </w:p>
    <w:p w14:paraId="2C000051">
      <w:pPr>
        <w:widowControl/>
        <w:jc w:val="left"/>
        <w:rPr>
          <w:rFonts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br w:type="page"/>
      </w:r>
    </w:p>
    <w:p w14:paraId="1C02E986">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bookmarkStart w:id="11" w:name="_Toc108596904"/>
      <w:r>
        <w:rPr>
          <w:rFonts w:hint="eastAsia" w:ascii="宋体" w:hAnsi="宋体" w:eastAsia="宋体" w:cs="宋体"/>
          <w:b/>
          <w:bCs/>
          <w:color w:val="auto"/>
          <w:kern w:val="44"/>
          <w:sz w:val="44"/>
          <w:szCs w:val="44"/>
          <w:highlight w:val="none"/>
        </w:rPr>
        <w:t>第三章 采购需求</w:t>
      </w:r>
      <w:bookmarkEnd w:id="11"/>
    </w:p>
    <w:p w14:paraId="170CCE4C">
      <w:pPr>
        <w:keepNext/>
        <w:keepLines/>
        <w:widowControl/>
        <w:spacing w:line="320" w:lineRule="exact"/>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F705C12">
      <w:pPr>
        <w:spacing w:line="320" w:lineRule="exact"/>
        <w:ind w:firstLine="420"/>
        <w:rPr>
          <w:rFonts w:ascii="宋体" w:hAnsi="宋体" w:eastAsia="宋体" w:cs="宋体"/>
          <w:color w:val="auto"/>
          <w:highlight w:val="none"/>
        </w:rPr>
      </w:pPr>
      <w:r>
        <w:rPr>
          <w:rFonts w:hint="eastAsia" w:ascii="宋体" w:hAnsi="宋体" w:eastAsia="宋体" w:cs="宋体"/>
          <w:color w:val="auto"/>
          <w:szCs w:val="24"/>
          <w:highlight w:val="none"/>
        </w:rPr>
        <w:t>1.为落实政府采购政策需满足的要求</w:t>
      </w:r>
    </w:p>
    <w:p w14:paraId="31FD50B3">
      <w:pPr>
        <w:spacing w:line="320" w:lineRule="exact"/>
        <w:ind w:firstLine="420"/>
        <w:rPr>
          <w:rFonts w:ascii="宋体" w:hAnsi="宋体" w:eastAsia="宋体" w:cs="宋体"/>
          <w:color w:val="auto"/>
          <w:highlight w:val="none"/>
        </w:rPr>
      </w:pPr>
      <w:r>
        <w:rPr>
          <w:rFonts w:hint="eastAsia" w:ascii="宋体" w:hAnsi="宋体" w:eastAsia="宋体" w:cs="宋体"/>
          <w:color w:val="auto"/>
          <w:highlight w:val="none"/>
        </w:rPr>
        <w:t>（1）本竞争性磋商采购文件所称中小企业必须符合《政府采购促进中小企业发展管理办法》（财库〔2020〕46号）的规定。</w:t>
      </w:r>
    </w:p>
    <w:p w14:paraId="2E24E57A">
      <w:pPr>
        <w:spacing w:line="320" w:lineRule="exact"/>
        <w:ind w:firstLine="420"/>
        <w:rPr>
          <w:rFonts w:ascii="宋体" w:hAnsi="宋体" w:eastAsia="宋体" w:cs="宋体"/>
          <w:color w:val="auto"/>
          <w:highlight w:val="none"/>
        </w:rPr>
      </w:pPr>
      <w:r>
        <w:rPr>
          <w:rFonts w:hint="eastAsia" w:ascii="宋体" w:hAnsi="宋体" w:eastAsia="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3FF3FA21">
      <w:pPr>
        <w:spacing w:line="320" w:lineRule="exact"/>
        <w:ind w:firstLine="420"/>
        <w:rPr>
          <w:rFonts w:ascii="宋体" w:hAnsi="宋体" w:eastAsia="宋体" w:cs="宋体"/>
          <w:color w:val="auto"/>
          <w:highlight w:val="none"/>
        </w:rPr>
      </w:pPr>
      <w:r>
        <w:rPr>
          <w:rFonts w:hint="eastAsia" w:ascii="宋体" w:hAnsi="宋体" w:eastAsia="宋体" w:cs="宋体"/>
          <w:color w:val="auto"/>
          <w:highlight w:val="none"/>
        </w:rPr>
        <w:t>（3）根据《财政部 发展改革委 生态环境部 市场监管总局关于调整优化节能产品、环境标志产品政府采购执行机制的通知》（财库〔2019〕9号）和《关于印发环境标志产品政府采购品目清单的通知》（财库〔2019〕18号）的规定，如本项目包含的配套货物属于环境标志产品政府采购品目清单内的产品时，应优先采购，具体详见“第四章 评审程序、评审方法和评审标准”。</w:t>
      </w:r>
    </w:p>
    <w:p w14:paraId="70D984C9">
      <w:pPr>
        <w:pageBreakBefore w:val="0"/>
        <w:widowControl w:val="0"/>
        <w:kinsoku/>
        <w:wordWrap/>
        <w:overflowPunct/>
        <w:topLinePunct w:val="0"/>
        <w:autoSpaceDE/>
        <w:autoSpaceDN/>
        <w:bidi w:val="0"/>
        <w:adjustRightInd/>
        <w:snapToGrid/>
        <w:spacing w:line="320" w:lineRule="exact"/>
        <w:ind w:firstLine="424" w:firstLineChars="202"/>
        <w:textAlignment w:val="auto"/>
        <w:rPr>
          <w:rFonts w:ascii="宋体" w:hAnsi="宋体" w:eastAsia="宋体" w:cs="宋体"/>
          <w:color w:val="auto"/>
          <w:highlight w:val="none"/>
        </w:rPr>
      </w:pPr>
      <w:r>
        <w:rPr>
          <w:rFonts w:hint="eastAsia" w:ascii="宋体" w:hAnsi="宋体" w:eastAsia="宋体" w:cs="宋体"/>
          <w:color w:val="auto"/>
          <w:highlight w:val="none"/>
        </w:rPr>
        <w:t>2.“实质性要求”是指采购需求中带“</w:t>
      </w:r>
      <w:r>
        <w:rPr>
          <w:rFonts w:hint="eastAsia" w:ascii="仿宋" w:hAnsi="仿宋" w:eastAsia="仿宋" w:cs="仿宋"/>
          <w:color w:val="auto"/>
          <w:highlight w:val="none"/>
        </w:rPr>
        <w:t>▲</w:t>
      </w:r>
      <w:r>
        <w:rPr>
          <w:rFonts w:hint="eastAsia" w:ascii="宋体" w:hAnsi="宋体" w:eastAsia="宋体" w:cs="宋体"/>
          <w:color w:val="auto"/>
          <w:highlight w:val="none"/>
        </w:rPr>
        <w:t>”的条款或者不能负偏离的条款或者已经指明不满足按响应文件按无效处理的条款。</w:t>
      </w:r>
    </w:p>
    <w:p w14:paraId="3F445D77">
      <w:pPr>
        <w:spacing w:line="320" w:lineRule="exact"/>
        <w:ind w:firstLine="424" w:firstLineChars="202"/>
        <w:rPr>
          <w:rFonts w:ascii="宋体" w:hAnsi="宋体" w:eastAsia="宋体" w:cs="宋体"/>
          <w:color w:val="auto"/>
          <w:highlight w:val="none"/>
        </w:rPr>
      </w:pPr>
      <w:r>
        <w:rPr>
          <w:rFonts w:hint="eastAsia" w:ascii="宋体" w:hAnsi="宋体" w:eastAsia="宋体" w:cs="宋体"/>
          <w:color w:val="auto"/>
          <w:highlight w:val="none"/>
        </w:rPr>
        <w:t>3.采购需求中出现的品牌、型号或者生产供应商仅起参考作用，不属于指定品牌、型号或者生产供应商的情形。供应商可参照或者选用其他相当的品牌、型号或者生产供应商替代。</w:t>
      </w:r>
    </w:p>
    <w:p w14:paraId="76D7E6A0">
      <w:pPr>
        <w:spacing w:line="320" w:lineRule="exact"/>
        <w:ind w:firstLine="42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.根据《关于信息安全产品实施政府采购的通知》（财库[2010]48号）的规定，凡涉及信息安全产品的设备，必须提供由中国信息安全认证中心按国家标准认证颁发的有效认证证书复印件。</w:t>
      </w:r>
    </w:p>
    <w:p w14:paraId="6AE11D2B">
      <w:pPr>
        <w:spacing w:line="320" w:lineRule="exact"/>
        <w:ind w:firstLine="42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4"/>
          <w:highlight w:val="none"/>
        </w:rPr>
        <w:t>供应商必须自行为其竞标产品侵犯他人的知识产权或者专利成果的行为承担相应法律责任。</w:t>
      </w:r>
    </w:p>
    <w:p w14:paraId="2D357F5B">
      <w:pPr>
        <w:spacing w:line="320" w:lineRule="exact"/>
        <w:ind w:firstLine="424" w:firstLineChars="202"/>
        <w:rPr>
          <w:rFonts w:ascii="宋体" w:hAnsi="宋体" w:eastAsia="宋体" w:cs="宋体"/>
          <w:b/>
          <w:bCs/>
          <w:color w:val="auto"/>
          <w:highlight w:val="none"/>
        </w:rPr>
      </w:pP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eastAsia="zh-CN"/>
        </w:rPr>
        <w:t>本项目</w:t>
      </w:r>
      <w:r>
        <w:rPr>
          <w:rFonts w:hint="eastAsia" w:ascii="宋体" w:hAnsi="宋体" w:eastAsia="宋体" w:cs="宋体"/>
          <w:b w:val="0"/>
          <w:bCs w:val="0"/>
          <w:color w:val="auto"/>
          <w:highlight w:val="none"/>
        </w:rPr>
        <w:t>所属行业：</w:t>
      </w:r>
      <w:r>
        <w:rPr>
          <w:rFonts w:hint="eastAsia" w:ascii="宋体" w:hAnsi="宋体" w:eastAsia="宋体" w:cs="宋体"/>
          <w:b/>
          <w:bCs/>
          <w:color w:val="auto"/>
          <w:highlight w:val="none"/>
        </w:rPr>
        <w:t>软件和信息技术服务业</w:t>
      </w:r>
      <w:r>
        <w:rPr>
          <w:rFonts w:hint="eastAsia" w:ascii="宋体" w:hAnsi="宋体" w:eastAsia="宋体" w:cs="宋体"/>
          <w:b/>
          <w:color w:val="auto"/>
          <w:szCs w:val="21"/>
          <w:highlight w:val="none"/>
        </w:rPr>
        <w:t>。</w:t>
      </w:r>
    </w:p>
    <w:tbl>
      <w:tblPr>
        <w:tblStyle w:val="2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35"/>
        <w:gridCol w:w="660"/>
        <w:gridCol w:w="705"/>
        <w:gridCol w:w="5975"/>
      </w:tblGrid>
      <w:tr w14:paraId="5B3A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14:paraId="55D377B0">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6D12E9A">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91F83D">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1B7F9C">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57933B15">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210" w:leftChars="100" w:firstLine="0" w:firstLineChars="0"/>
              <w:jc w:val="center"/>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服务</w:t>
            </w:r>
            <w:r>
              <w:rPr>
                <w:rFonts w:hint="eastAsia" w:ascii="宋体" w:hAnsi="宋体" w:cs="宋体"/>
                <w:b/>
                <w:bCs/>
                <w:color w:val="auto"/>
                <w:szCs w:val="21"/>
                <w:highlight w:val="none"/>
                <w:lang w:eastAsia="zh-CN"/>
              </w:rPr>
              <w:t>内容及要求</w:t>
            </w:r>
          </w:p>
        </w:tc>
      </w:tr>
      <w:tr w14:paraId="5918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74" w:type="dxa"/>
            <w:tcBorders>
              <w:top w:val="single" w:color="000000" w:sz="4" w:space="0"/>
              <w:left w:val="single" w:color="000000" w:sz="4" w:space="0"/>
              <w:bottom w:val="single" w:color="000000" w:sz="4" w:space="0"/>
              <w:right w:val="single" w:color="000000" w:sz="4" w:space="0"/>
            </w:tcBorders>
            <w:noWrap w:val="0"/>
            <w:vAlign w:val="center"/>
          </w:tcPr>
          <w:p w14:paraId="08C9EEE4">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BFC9A91">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210" w:leftChars="100" w:firstLine="0" w:firstLineChars="0"/>
              <w:jc w:val="center"/>
              <w:textAlignment w:val="auto"/>
              <w:rPr>
                <w:rFonts w:hint="eastAsia" w:ascii="宋体" w:hAnsi="宋体" w:cs="宋体" w:eastAsiaTheme="minorEastAsia"/>
                <w:color w:val="auto"/>
                <w:szCs w:val="21"/>
                <w:highlight w:val="none"/>
                <w:lang w:eastAsia="zh-CN"/>
              </w:rPr>
            </w:pPr>
            <w:r>
              <w:rPr>
                <w:rFonts w:hint="eastAsia" w:ascii="宋体" w:hAnsi="宋体"/>
                <w:color w:val="auto"/>
                <w:szCs w:val="21"/>
                <w:highlight w:val="none"/>
                <w:lang w:eastAsia="zh-CN"/>
              </w:rPr>
              <w:t>广西公共法律实体、网络、热线“三台”运维服务项目</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0688A6">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0CE558">
            <w:pPr>
              <w:keepNext w:val="0"/>
              <w:pageBreakBefore w:val="0"/>
              <w:widowControl/>
              <w:shd w:val="clear" w:color="auto" w:fill="auto"/>
              <w:tabs>
                <w:tab w:val="left" w:pos="180"/>
                <w:tab w:val="left" w:pos="1620"/>
              </w:tabs>
              <w:kinsoku/>
              <w:wordWrap/>
              <w:overflowPunct/>
              <w:topLinePunct w:val="0"/>
              <w:autoSpaceDE/>
              <w:autoSpaceDN/>
              <w:bidi w:val="0"/>
              <w:adjustRightInd/>
              <w:snapToGrid/>
              <w:spacing w:line="288" w:lineRule="auto"/>
              <w:ind w:left="0" w:leftChars="0" w:firstLine="0" w:firstLineChars="0"/>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5975" w:type="dxa"/>
            <w:tcBorders>
              <w:top w:val="single" w:color="000000" w:sz="4" w:space="0"/>
              <w:left w:val="single" w:color="000000" w:sz="4" w:space="0"/>
              <w:bottom w:val="single" w:color="000000" w:sz="4" w:space="0"/>
              <w:right w:val="single" w:color="000000" w:sz="4" w:space="0"/>
            </w:tcBorders>
            <w:noWrap w:val="0"/>
            <w:vAlign w:val="center"/>
          </w:tcPr>
          <w:p w14:paraId="79465B5B">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一、项目背景</w:t>
            </w:r>
          </w:p>
          <w:p w14:paraId="277B0223">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根据中华人民共和国司法部印发《公共法律服务网络平台 实体平台 热线平台融合发展实施方案》（司发通〔2019〕126号）、《自治区党委办公厅 自治区人民政府办公厅关于加快推进公共法律服务体系建设的实施意见》（桂办发〔2019〕32号）及《广西壮族自治区人民政府办公厅关于印发广西公共法律服务体系建设“十四五”规划的通知》（桂政办发〔2021〕92号）关于推进公共法律服务实体、热线、网络平台融合发展的有关规定。为贯彻落实好中央和自治区对公共法律服务工作的决策部署和安排，按照广西公共法律服务“三台融合”平台体系架构，需采购与之配套的服务人员和运维服务，以确保广西公共法律服务平台的正常运转，为人民群众提供覆盖城乡、均等普惠、高效便捷、智能精准的公共法律服务</w:t>
            </w:r>
            <w:r>
              <w:rPr>
                <w:rFonts w:hint="eastAsia" w:ascii="宋体" w:hAnsi="宋体" w:cs="宋体"/>
                <w:bCs/>
                <w:color w:val="auto"/>
                <w:kern w:val="0"/>
                <w:szCs w:val="21"/>
                <w:highlight w:val="none"/>
                <w:lang w:eastAsia="zh-CN"/>
              </w:rPr>
              <w:t>。</w:t>
            </w:r>
          </w:p>
          <w:p w14:paraId="35650DDB">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二、项目服务运维内容</w:t>
            </w:r>
          </w:p>
          <w:p w14:paraId="31B7BBCA">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（一）团队职能</w:t>
            </w:r>
          </w:p>
          <w:p w14:paraId="0593B38B">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1.实体平台团队及职能</w:t>
            </w:r>
          </w:p>
          <w:p w14:paraId="02B5CC78">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运营团队负责保障</w:t>
            </w:r>
            <w:r>
              <w:rPr>
                <w:rFonts w:hint="eastAsia" w:ascii="宋体" w:hAnsi="宋体" w:cs="宋体"/>
                <w:bCs/>
                <w:color w:val="auto"/>
                <w:kern w:val="0"/>
                <w:szCs w:val="21"/>
                <w:highlight w:val="none"/>
                <w:lang w:eastAsia="zh-CN"/>
              </w:rPr>
              <w:t>采购人</w:t>
            </w:r>
            <w:r>
              <w:rPr>
                <w:rFonts w:hint="eastAsia" w:ascii="宋体" w:hAnsi="宋体" w:cs="宋体"/>
                <w:bCs/>
                <w:color w:val="auto"/>
                <w:kern w:val="0"/>
                <w:szCs w:val="21"/>
                <w:highlight w:val="none"/>
              </w:rPr>
              <w:t>所属的公共法律服务实体平台各项工作的高效、规范、有序运作</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团队</w:t>
            </w:r>
            <w:r>
              <w:rPr>
                <w:rFonts w:hint="eastAsia" w:ascii="宋体" w:hAnsi="宋体" w:cs="宋体"/>
                <w:bCs/>
                <w:color w:val="auto"/>
                <w:kern w:val="0"/>
                <w:szCs w:val="21"/>
                <w:highlight w:val="none"/>
                <w:lang w:eastAsia="zh-CN"/>
              </w:rPr>
              <w:t>派驻</w:t>
            </w:r>
            <w:r>
              <w:rPr>
                <w:rFonts w:hint="eastAsia" w:ascii="宋体" w:hAnsi="宋体" w:cs="宋体"/>
                <w:bCs/>
                <w:color w:val="auto"/>
                <w:kern w:val="0"/>
                <w:szCs w:val="21"/>
                <w:highlight w:val="none"/>
                <w:lang w:val="en-US" w:eastAsia="zh-CN"/>
              </w:rPr>
              <w:t>管理</w:t>
            </w:r>
            <w:r>
              <w:rPr>
                <w:rFonts w:hint="eastAsia" w:ascii="宋体" w:hAnsi="宋体" w:cs="宋体"/>
                <w:bCs/>
                <w:color w:val="auto"/>
                <w:kern w:val="0"/>
                <w:szCs w:val="21"/>
                <w:highlight w:val="none"/>
                <w:lang w:eastAsia="zh-CN"/>
              </w:rPr>
              <w:t>人员、</w:t>
            </w:r>
            <w:r>
              <w:rPr>
                <w:rFonts w:hint="eastAsia" w:ascii="宋体" w:hAnsi="宋体" w:cs="宋体"/>
                <w:bCs/>
                <w:color w:val="auto"/>
                <w:kern w:val="0"/>
                <w:szCs w:val="21"/>
                <w:highlight w:val="none"/>
                <w:lang w:val="en-US" w:eastAsia="zh-CN"/>
              </w:rPr>
              <w:t>技术人员到广西壮族自治区司法厅、</w:t>
            </w:r>
            <w:r>
              <w:rPr>
                <w:rFonts w:hint="eastAsia" w:ascii="宋体" w:hAnsi="宋体" w:cs="宋体"/>
                <w:bCs/>
                <w:color w:val="auto"/>
                <w:kern w:val="0"/>
                <w:szCs w:val="21"/>
                <w:highlight w:val="none"/>
              </w:rPr>
              <w:t>中国（广西）自贸区公共法律服务中心（中国-东盟经贸中心12层）</w:t>
            </w:r>
            <w:r>
              <w:rPr>
                <w:rFonts w:hint="eastAsia" w:ascii="宋体" w:hAnsi="宋体" w:cs="宋体"/>
                <w:bCs/>
                <w:color w:val="auto"/>
                <w:kern w:val="0"/>
                <w:szCs w:val="21"/>
                <w:highlight w:val="none"/>
                <w:lang w:val="en-US" w:eastAsia="zh-CN"/>
              </w:rPr>
              <w:t>驻点值班</w:t>
            </w:r>
            <w:r>
              <w:rPr>
                <w:rFonts w:hint="eastAsia" w:ascii="宋体" w:hAnsi="宋体" w:cs="宋体"/>
                <w:bCs/>
                <w:color w:val="auto"/>
                <w:kern w:val="0"/>
                <w:szCs w:val="21"/>
                <w:highlight w:val="none"/>
                <w:lang w:eastAsia="zh-CN"/>
              </w:rPr>
              <w:t>，全面承担</w:t>
            </w:r>
            <w:r>
              <w:rPr>
                <w:rFonts w:hint="eastAsia" w:ascii="宋体" w:hAnsi="宋体" w:cs="宋体"/>
                <w:bCs/>
                <w:color w:val="auto"/>
                <w:kern w:val="0"/>
                <w:szCs w:val="21"/>
                <w:highlight w:val="none"/>
                <w:lang w:val="en-US" w:eastAsia="zh-CN"/>
              </w:rPr>
              <w:t>实体平台</w:t>
            </w:r>
            <w:r>
              <w:rPr>
                <w:rFonts w:hint="eastAsia" w:ascii="宋体" w:hAnsi="宋体" w:cs="宋体"/>
                <w:bCs/>
                <w:color w:val="auto"/>
                <w:kern w:val="0"/>
                <w:szCs w:val="21"/>
                <w:highlight w:val="none"/>
                <w:lang w:eastAsia="zh-CN"/>
              </w:rPr>
              <w:t>的日常运营、服务供给与管理协调工作</w:t>
            </w:r>
            <w:r>
              <w:rPr>
                <w:rFonts w:hint="eastAsia" w:ascii="宋体" w:hAnsi="宋体" w:cs="宋体"/>
                <w:bCs/>
                <w:color w:val="auto"/>
                <w:kern w:val="0"/>
                <w:szCs w:val="21"/>
                <w:highlight w:val="none"/>
                <w:lang w:val="en-US" w:eastAsia="zh-CN"/>
              </w:rPr>
              <w:t>以及网络、热线平台技术维护、系统维护工作</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通过配齐配强专业服务人员、严格规范各项服务活动</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优化服务流程</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完善平台工作管理制度</w:t>
            </w:r>
            <w:r>
              <w:rPr>
                <w:rFonts w:hint="eastAsia" w:ascii="宋体" w:hAnsi="宋体" w:cs="宋体"/>
                <w:bCs/>
                <w:color w:val="auto"/>
                <w:kern w:val="0"/>
                <w:szCs w:val="21"/>
                <w:highlight w:val="none"/>
              </w:rPr>
              <w:t>等</w:t>
            </w:r>
            <w:r>
              <w:rPr>
                <w:rFonts w:hint="eastAsia" w:ascii="宋体" w:hAnsi="宋体" w:cs="宋体"/>
                <w:bCs/>
                <w:color w:val="auto"/>
                <w:kern w:val="0"/>
                <w:szCs w:val="21"/>
                <w:highlight w:val="none"/>
                <w:lang w:val="en-US" w:eastAsia="zh-CN"/>
              </w:rPr>
              <w:t>举措提升服务效能</w:t>
            </w:r>
            <w:r>
              <w:rPr>
                <w:rFonts w:hint="eastAsia" w:ascii="宋体" w:hAnsi="宋体" w:cs="宋体"/>
                <w:bCs/>
                <w:color w:val="auto"/>
                <w:kern w:val="0"/>
                <w:szCs w:val="21"/>
                <w:highlight w:val="none"/>
              </w:rPr>
              <w:t>，确保为</w:t>
            </w:r>
            <w:r>
              <w:rPr>
                <w:rFonts w:hint="eastAsia" w:ascii="宋体" w:hAnsi="宋体" w:cs="宋体"/>
                <w:bCs/>
                <w:color w:val="auto"/>
                <w:kern w:val="0"/>
                <w:szCs w:val="21"/>
                <w:highlight w:val="none"/>
                <w:lang w:val="en-US" w:eastAsia="zh-CN"/>
              </w:rPr>
              <w:t>群众</w:t>
            </w:r>
            <w:r>
              <w:rPr>
                <w:rFonts w:hint="eastAsia" w:ascii="宋体" w:hAnsi="宋体" w:cs="宋体"/>
                <w:bCs/>
                <w:color w:val="auto"/>
                <w:kern w:val="0"/>
                <w:szCs w:val="21"/>
                <w:highlight w:val="none"/>
              </w:rPr>
              <w:t>提供高质量</w:t>
            </w:r>
            <w:r>
              <w:rPr>
                <w:rFonts w:hint="eastAsia" w:ascii="宋体" w:hAnsi="宋体" w:cs="宋体"/>
                <w:bCs/>
                <w:color w:val="auto"/>
                <w:kern w:val="0"/>
                <w:szCs w:val="21"/>
                <w:highlight w:val="none"/>
                <w:lang w:eastAsia="zh-CN"/>
              </w:rPr>
              <w:t>、一站式的综合性</w:t>
            </w:r>
            <w:r>
              <w:rPr>
                <w:rFonts w:hint="eastAsia" w:ascii="宋体" w:hAnsi="宋体" w:cs="宋体"/>
                <w:bCs/>
                <w:color w:val="auto"/>
                <w:kern w:val="0"/>
                <w:szCs w:val="21"/>
                <w:highlight w:val="none"/>
              </w:rPr>
              <w:t>法律服务。</w:t>
            </w:r>
          </w:p>
          <w:p w14:paraId="7D314DF8">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2.热线平台团队及职能</w:t>
            </w:r>
          </w:p>
          <w:p w14:paraId="0B731C45">
            <w:pPr>
              <w:keepNext w:val="0"/>
              <w:keepLines/>
              <w:pageBreakBefore w:val="0"/>
              <w:widowControl/>
              <w:shd w:val="clear" w:color="auto" w:fill="auto"/>
              <w:kinsoku/>
              <w:wordWrap/>
              <w:overflowPunct/>
              <w:topLinePunct w:val="0"/>
              <w:autoSpaceDE/>
              <w:autoSpaceDN/>
              <w:bidi w:val="0"/>
              <w:adjustRightInd/>
              <w:snapToGrid/>
              <w:spacing w:line="288" w:lineRule="auto"/>
              <w:ind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运营团队负责广西“12348”公共法律服务热线</w:t>
            </w:r>
            <w:r>
              <w:rPr>
                <w:rFonts w:hint="eastAsia" w:ascii="宋体" w:hAnsi="宋体" w:cs="宋体"/>
                <w:bCs/>
                <w:color w:val="auto"/>
                <w:kern w:val="0"/>
                <w:szCs w:val="21"/>
                <w:highlight w:val="none"/>
                <w:lang w:val="en-US" w:eastAsia="zh-CN"/>
              </w:rPr>
              <w:t>日常</w:t>
            </w:r>
            <w:r>
              <w:rPr>
                <w:rFonts w:hint="eastAsia" w:ascii="宋体" w:hAnsi="宋体" w:cs="宋体"/>
                <w:bCs/>
                <w:color w:val="auto"/>
                <w:kern w:val="0"/>
                <w:szCs w:val="21"/>
                <w:highlight w:val="none"/>
              </w:rPr>
              <w:t>运营</w:t>
            </w:r>
            <w:r>
              <w:rPr>
                <w:rFonts w:hint="eastAsia" w:ascii="宋体" w:hAnsi="宋体" w:cs="宋体"/>
                <w:bCs/>
                <w:color w:val="auto"/>
                <w:kern w:val="0"/>
                <w:szCs w:val="21"/>
                <w:highlight w:val="none"/>
                <w:lang w:eastAsia="zh-CN"/>
              </w:rPr>
              <w:t>工作，</w:t>
            </w:r>
            <w:r>
              <w:rPr>
                <w:rFonts w:hint="eastAsia" w:ascii="宋体" w:hAnsi="宋体" w:cs="宋体"/>
                <w:bCs/>
                <w:color w:val="auto"/>
                <w:kern w:val="0"/>
                <w:szCs w:val="21"/>
                <w:highlight w:val="none"/>
              </w:rPr>
              <w:t>为群众提供高效、专业、便捷的7*24小时法律咨询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法律援助引导服务</w:t>
            </w:r>
            <w:r>
              <w:rPr>
                <w:rFonts w:hint="eastAsia" w:ascii="宋体" w:hAnsi="宋体" w:cs="宋体"/>
                <w:bCs/>
                <w:color w:val="auto"/>
                <w:kern w:val="0"/>
                <w:szCs w:val="21"/>
                <w:highlight w:val="none"/>
              </w:rPr>
              <w:t>。主要包括广西“12348”公共法律服务热线平台日常运作管理、数据统计</w:t>
            </w:r>
            <w:r>
              <w:rPr>
                <w:rFonts w:hint="eastAsia" w:ascii="宋体" w:hAnsi="宋体" w:cs="宋体"/>
                <w:bCs/>
                <w:color w:val="auto"/>
                <w:kern w:val="0"/>
                <w:szCs w:val="21"/>
                <w:highlight w:val="none"/>
                <w:lang w:val="en-US" w:eastAsia="zh-CN"/>
              </w:rPr>
              <w:t>与</w:t>
            </w:r>
            <w:r>
              <w:rPr>
                <w:rFonts w:hint="eastAsia" w:ascii="宋体" w:hAnsi="宋体" w:cs="宋体"/>
                <w:bCs/>
                <w:color w:val="auto"/>
                <w:kern w:val="0"/>
                <w:szCs w:val="21"/>
                <w:highlight w:val="none"/>
              </w:rPr>
              <w:t>分析、监控</w:t>
            </w:r>
            <w:r>
              <w:rPr>
                <w:rFonts w:hint="eastAsia" w:ascii="宋体" w:hAnsi="宋体" w:cs="宋体"/>
                <w:bCs/>
                <w:color w:val="auto"/>
                <w:kern w:val="0"/>
                <w:szCs w:val="21"/>
                <w:highlight w:val="none"/>
                <w:lang w:val="en-US" w:eastAsia="zh-CN"/>
              </w:rPr>
              <w:t>与</w:t>
            </w:r>
            <w:r>
              <w:rPr>
                <w:rFonts w:hint="eastAsia" w:ascii="宋体" w:hAnsi="宋体" w:cs="宋体"/>
                <w:bCs/>
                <w:color w:val="auto"/>
                <w:kern w:val="0"/>
                <w:szCs w:val="21"/>
                <w:highlight w:val="none"/>
              </w:rPr>
              <w:t>质量管理，做好热线咨询</w:t>
            </w:r>
            <w:r>
              <w:rPr>
                <w:rFonts w:hint="eastAsia" w:ascii="宋体" w:hAnsi="宋体" w:cs="宋体"/>
                <w:bCs/>
                <w:color w:val="auto"/>
                <w:kern w:val="0"/>
                <w:szCs w:val="21"/>
                <w:highlight w:val="none"/>
                <w:lang w:eastAsia="zh-CN"/>
              </w:rPr>
              <w:t>解答</w:t>
            </w:r>
            <w:r>
              <w:rPr>
                <w:rFonts w:hint="eastAsia" w:ascii="宋体" w:hAnsi="宋体" w:cs="宋体"/>
                <w:bCs/>
                <w:color w:val="auto"/>
                <w:kern w:val="0"/>
                <w:szCs w:val="21"/>
                <w:highlight w:val="none"/>
                <w:lang w:val="en-US" w:eastAsia="zh-CN"/>
              </w:rPr>
              <w:t>与</w:t>
            </w:r>
            <w:r>
              <w:rPr>
                <w:rFonts w:hint="eastAsia" w:ascii="宋体" w:hAnsi="宋体" w:cs="宋体"/>
                <w:bCs/>
                <w:color w:val="auto"/>
                <w:kern w:val="0"/>
                <w:szCs w:val="21"/>
                <w:highlight w:val="none"/>
                <w:lang w:eastAsia="zh-CN"/>
              </w:rPr>
              <w:t>指引、</w:t>
            </w:r>
            <w:r>
              <w:rPr>
                <w:rFonts w:hint="eastAsia" w:ascii="宋体" w:hAnsi="宋体" w:cs="宋体"/>
                <w:bCs/>
                <w:color w:val="auto"/>
                <w:kern w:val="0"/>
                <w:szCs w:val="21"/>
                <w:highlight w:val="none"/>
              </w:rPr>
              <w:t>信息录入</w:t>
            </w:r>
            <w:r>
              <w:rPr>
                <w:rFonts w:hint="eastAsia" w:ascii="宋体" w:hAnsi="宋体" w:cs="宋体"/>
                <w:bCs/>
                <w:color w:val="auto"/>
                <w:kern w:val="0"/>
                <w:szCs w:val="21"/>
                <w:highlight w:val="none"/>
                <w:lang w:val="en-US" w:eastAsia="zh-CN"/>
              </w:rPr>
              <w:t>与</w:t>
            </w:r>
            <w:r>
              <w:rPr>
                <w:rFonts w:hint="eastAsia" w:ascii="宋体" w:hAnsi="宋体" w:cs="宋体"/>
                <w:bCs/>
                <w:color w:val="auto"/>
                <w:kern w:val="0"/>
                <w:szCs w:val="21"/>
                <w:highlight w:val="none"/>
              </w:rPr>
              <w:t>汇总、</w:t>
            </w:r>
            <w:r>
              <w:rPr>
                <w:rFonts w:hint="eastAsia" w:ascii="宋体" w:hAnsi="宋体" w:cs="宋体"/>
                <w:bCs/>
                <w:color w:val="auto"/>
                <w:kern w:val="0"/>
                <w:szCs w:val="21"/>
                <w:highlight w:val="none"/>
                <w:lang w:val="en-US" w:eastAsia="zh-CN"/>
              </w:rPr>
              <w:t>群众回访、解答质量抽检、与“12345”政务服务热线联动协作</w:t>
            </w:r>
            <w:r>
              <w:rPr>
                <w:rFonts w:hint="eastAsia" w:ascii="宋体" w:hAnsi="宋体" w:cs="宋体"/>
                <w:bCs/>
                <w:color w:val="auto"/>
                <w:kern w:val="0"/>
                <w:szCs w:val="21"/>
                <w:highlight w:val="none"/>
              </w:rPr>
              <w:t>等工作</w:t>
            </w:r>
            <w:r>
              <w:rPr>
                <w:rFonts w:hint="eastAsia" w:ascii="宋体" w:hAnsi="宋体" w:cs="宋体"/>
                <w:bCs/>
                <w:color w:val="auto"/>
                <w:kern w:val="0"/>
                <w:szCs w:val="21"/>
                <w:highlight w:val="none"/>
                <w:lang w:eastAsia="zh-CN"/>
              </w:rPr>
              <w:t>。</w:t>
            </w:r>
          </w:p>
          <w:p w14:paraId="6A5BE2DD">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3.网络平台团队及职能</w:t>
            </w:r>
          </w:p>
          <w:p w14:paraId="41091F43">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default" w:ascii="宋体" w:hAnsi="宋体" w:cs="宋体" w:eastAsiaTheme="minorEastAsia"/>
                <w:bCs/>
                <w:color w:val="auto"/>
                <w:kern w:val="0"/>
                <w:szCs w:val="21"/>
                <w:highlight w:val="none"/>
                <w:lang w:val="en-US" w:eastAsia="zh-CN"/>
              </w:rPr>
            </w:pPr>
            <w:r>
              <w:rPr>
                <w:rFonts w:hint="eastAsia" w:ascii="宋体" w:hAnsi="宋体" w:cs="宋体"/>
                <w:bCs/>
                <w:color w:val="auto"/>
                <w:kern w:val="0"/>
                <w:szCs w:val="21"/>
                <w:highlight w:val="none"/>
              </w:rPr>
              <w:t>运营团队负责广西公共法律服务网络平台运营服务，为群众提供全时段、立体化</w:t>
            </w:r>
            <w:r>
              <w:rPr>
                <w:rFonts w:hint="eastAsia" w:ascii="宋体" w:hAnsi="宋体" w:cs="宋体"/>
                <w:bCs/>
                <w:color w:val="auto"/>
                <w:kern w:val="0"/>
                <w:szCs w:val="21"/>
                <w:highlight w:val="none"/>
                <w:lang w:eastAsia="zh-CN"/>
              </w:rPr>
              <w:t>线上</w:t>
            </w:r>
            <w:r>
              <w:rPr>
                <w:rFonts w:hint="eastAsia" w:ascii="宋体" w:hAnsi="宋体" w:cs="宋体"/>
                <w:bCs/>
                <w:color w:val="auto"/>
                <w:kern w:val="0"/>
                <w:szCs w:val="21"/>
                <w:highlight w:val="none"/>
              </w:rPr>
              <w:t>法律咨询服务</w:t>
            </w:r>
            <w:r>
              <w:rPr>
                <w:rFonts w:hint="eastAsia" w:ascii="宋体" w:hAnsi="宋体" w:cs="宋体"/>
                <w:bCs/>
                <w:color w:val="auto"/>
                <w:kern w:val="0"/>
                <w:szCs w:val="21"/>
                <w:highlight w:val="none"/>
                <w:lang w:val="en-US" w:eastAsia="zh-CN"/>
              </w:rPr>
              <w:t>以及法律服务事项线上申办服务</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主要</w:t>
            </w:r>
            <w:r>
              <w:rPr>
                <w:rFonts w:hint="eastAsia" w:ascii="宋体" w:hAnsi="宋体" w:cs="宋体"/>
                <w:bCs/>
                <w:color w:val="auto"/>
                <w:kern w:val="0"/>
                <w:szCs w:val="21"/>
                <w:highlight w:val="none"/>
              </w:rPr>
              <w:t>包括广西法网及其</w:t>
            </w:r>
            <w:r>
              <w:rPr>
                <w:rFonts w:hint="eastAsia" w:ascii="宋体" w:hAnsi="宋体" w:cs="宋体"/>
                <w:bCs/>
                <w:color w:val="auto"/>
                <w:kern w:val="0"/>
                <w:szCs w:val="21"/>
                <w:highlight w:val="none"/>
                <w:lang w:eastAsia="zh-CN"/>
              </w:rPr>
              <w:t>手机端</w:t>
            </w:r>
            <w:r>
              <w:rPr>
                <w:rFonts w:hint="eastAsia" w:ascii="宋体" w:hAnsi="宋体" w:cs="宋体"/>
                <w:bCs/>
                <w:color w:val="auto"/>
                <w:kern w:val="0"/>
                <w:szCs w:val="21"/>
                <w:highlight w:val="none"/>
              </w:rPr>
              <w:t>APP</w:t>
            </w:r>
            <w:r>
              <w:rPr>
                <w:rFonts w:hint="eastAsia" w:ascii="宋体" w:hAnsi="宋体" w:cs="宋体"/>
                <w:bCs/>
                <w:color w:val="auto"/>
                <w:kern w:val="0"/>
                <w:szCs w:val="21"/>
                <w:highlight w:val="none"/>
                <w:lang w:eastAsia="zh-CN"/>
              </w:rPr>
              <w:t>日常运营服务，</w:t>
            </w:r>
            <w:r>
              <w:rPr>
                <w:rFonts w:hint="eastAsia" w:ascii="宋体" w:hAnsi="宋体" w:cs="宋体"/>
                <w:bCs/>
                <w:color w:val="auto"/>
                <w:kern w:val="0"/>
                <w:szCs w:val="21"/>
                <w:highlight w:val="none"/>
              </w:rPr>
              <w:t>提供</w:t>
            </w:r>
            <w:r>
              <w:rPr>
                <w:rFonts w:hint="eastAsia" w:ascii="宋体" w:hAnsi="宋体" w:cs="宋体"/>
                <w:bCs/>
                <w:color w:val="auto"/>
                <w:kern w:val="0"/>
                <w:szCs w:val="21"/>
                <w:highlight w:val="none"/>
                <w:lang w:eastAsia="zh-CN"/>
              </w:rPr>
              <w:t>法律问题</w:t>
            </w:r>
            <w:r>
              <w:rPr>
                <w:rFonts w:hint="eastAsia" w:ascii="宋体" w:hAnsi="宋体" w:cs="宋体"/>
                <w:bCs/>
                <w:color w:val="auto"/>
                <w:kern w:val="0"/>
                <w:szCs w:val="21"/>
                <w:highlight w:val="none"/>
                <w:lang w:val="en-US" w:eastAsia="zh-CN"/>
              </w:rPr>
              <w:t>智能咨询、</w:t>
            </w:r>
            <w:r>
              <w:rPr>
                <w:rFonts w:hint="eastAsia" w:ascii="宋体" w:hAnsi="宋体" w:cs="宋体"/>
                <w:bCs/>
                <w:color w:val="auto"/>
                <w:kern w:val="0"/>
                <w:szCs w:val="21"/>
                <w:highlight w:val="none"/>
                <w:lang w:eastAsia="zh-CN"/>
              </w:rPr>
              <w:t>留言咨询、法律业务申办</w:t>
            </w:r>
            <w:r>
              <w:rPr>
                <w:rFonts w:hint="eastAsia" w:ascii="宋体" w:hAnsi="宋体" w:cs="宋体"/>
                <w:bCs/>
                <w:color w:val="auto"/>
                <w:kern w:val="0"/>
                <w:szCs w:val="21"/>
                <w:highlight w:val="none"/>
              </w:rPr>
              <w:t>及时处理</w:t>
            </w:r>
            <w:r>
              <w:rPr>
                <w:rFonts w:hint="eastAsia" w:ascii="宋体" w:hAnsi="宋体" w:cs="宋体"/>
                <w:bCs/>
                <w:color w:val="auto"/>
                <w:kern w:val="0"/>
                <w:szCs w:val="21"/>
                <w:highlight w:val="none"/>
                <w:lang w:val="en-US" w:eastAsia="zh-CN"/>
              </w:rPr>
              <w:t>答</w:t>
            </w:r>
            <w:r>
              <w:rPr>
                <w:rFonts w:hint="eastAsia" w:ascii="宋体" w:hAnsi="宋体" w:cs="宋体"/>
                <w:bCs/>
                <w:color w:val="000000" w:themeColor="text1"/>
                <w:kern w:val="0"/>
                <w:szCs w:val="21"/>
                <w:highlight w:val="none"/>
                <w:lang w:val="en-US" w:eastAsia="zh-CN"/>
                <w14:textFill>
                  <w14:solidFill>
                    <w14:schemeClr w14:val="tx1"/>
                  </w14:solidFill>
                </w14:textFill>
              </w:rPr>
              <w:t>复。整合全区法律服务机构资源，打造一体化线上服务枢纽，提供法律服务机构相关信息查询、法律事项办理指引，提供法律法规与案例查询及其他法律资讯查询。</w:t>
            </w:r>
            <w:r>
              <w:rPr>
                <w:rFonts w:hint="eastAsia" w:ascii="宋体" w:hAnsi="宋体" w:cs="宋体"/>
                <w:bCs/>
                <w:color w:val="auto"/>
                <w:kern w:val="0"/>
                <w:szCs w:val="21"/>
                <w:highlight w:val="none"/>
                <w:lang w:val="en-US" w:eastAsia="zh-CN"/>
              </w:rPr>
              <w:t>同时承担</w:t>
            </w:r>
            <w:r>
              <w:rPr>
                <w:rFonts w:hint="eastAsia" w:ascii="宋体" w:hAnsi="宋体" w:cs="宋体"/>
                <w:bCs/>
                <w:color w:val="auto"/>
                <w:kern w:val="0"/>
                <w:szCs w:val="21"/>
                <w:highlight w:val="none"/>
              </w:rPr>
              <w:t>中国</w:t>
            </w:r>
            <w:r>
              <w:rPr>
                <w:rFonts w:hint="eastAsia" w:ascii="宋体" w:hAnsi="宋体" w:cs="宋体"/>
                <w:bCs/>
                <w:color w:val="auto"/>
                <w:kern w:val="0"/>
                <w:szCs w:val="21"/>
                <w:highlight w:val="none"/>
                <w:lang w:val="en-US" w:eastAsia="zh-CN"/>
              </w:rPr>
              <w:t>法律服务网</w:t>
            </w:r>
            <w:r>
              <w:rPr>
                <w:rFonts w:hint="eastAsia" w:ascii="宋体" w:hAnsi="宋体" w:cs="宋体"/>
                <w:bCs/>
                <w:color w:val="auto"/>
                <w:kern w:val="0"/>
                <w:szCs w:val="21"/>
                <w:highlight w:val="none"/>
                <w:lang w:eastAsia="zh-CN"/>
              </w:rPr>
              <w:t>的案件转办</w:t>
            </w:r>
            <w:r>
              <w:rPr>
                <w:rFonts w:hint="eastAsia" w:ascii="宋体" w:hAnsi="宋体" w:cs="宋体"/>
                <w:bCs/>
                <w:color w:val="auto"/>
                <w:kern w:val="0"/>
                <w:szCs w:val="21"/>
                <w:highlight w:val="none"/>
                <w:lang w:val="en-US" w:eastAsia="zh-CN"/>
              </w:rPr>
              <w:t>工作</w:t>
            </w:r>
            <w:r>
              <w:rPr>
                <w:rFonts w:hint="eastAsia" w:ascii="宋体" w:hAnsi="宋体" w:cs="宋体"/>
                <w:bCs/>
                <w:color w:val="auto"/>
                <w:kern w:val="0"/>
                <w:szCs w:val="21"/>
                <w:highlight w:val="none"/>
                <w:lang w:eastAsia="zh-CN"/>
              </w:rPr>
              <w:t>、中国</w:t>
            </w:r>
            <w:r>
              <w:rPr>
                <w:rFonts w:hint="eastAsia" w:ascii="宋体" w:hAnsi="宋体" w:cs="宋体"/>
                <w:bCs/>
                <w:color w:val="auto"/>
                <w:kern w:val="0"/>
                <w:szCs w:val="21"/>
                <w:highlight w:val="none"/>
                <w:lang w:val="en-US" w:eastAsia="zh-CN"/>
              </w:rPr>
              <w:t>法律服务网</w:t>
            </w:r>
            <w:r>
              <w:rPr>
                <w:rFonts w:hint="eastAsia" w:ascii="宋体" w:hAnsi="宋体" w:cs="宋体"/>
                <w:bCs/>
                <w:color w:val="auto"/>
                <w:kern w:val="0"/>
                <w:szCs w:val="21"/>
                <w:highlight w:val="none"/>
              </w:rPr>
              <w:t>广西驻场人员</w:t>
            </w:r>
            <w:r>
              <w:rPr>
                <w:rFonts w:hint="eastAsia" w:ascii="宋体" w:hAnsi="宋体" w:cs="宋体"/>
                <w:bCs/>
                <w:color w:val="auto"/>
                <w:kern w:val="0"/>
                <w:szCs w:val="21"/>
                <w:highlight w:val="none"/>
                <w:lang w:val="en-US" w:eastAsia="zh-CN"/>
              </w:rPr>
              <w:t>驻场服务</w:t>
            </w:r>
            <w:r>
              <w:rPr>
                <w:rFonts w:hint="eastAsia" w:ascii="宋体" w:hAnsi="宋体" w:cs="宋体"/>
                <w:bCs/>
                <w:color w:val="auto"/>
                <w:kern w:val="0"/>
                <w:szCs w:val="21"/>
                <w:highlight w:val="none"/>
              </w:rPr>
              <w:t>监督管理</w:t>
            </w:r>
            <w:r>
              <w:rPr>
                <w:rFonts w:hint="eastAsia" w:ascii="宋体" w:hAnsi="宋体" w:cs="宋体"/>
                <w:bCs/>
                <w:color w:val="auto"/>
                <w:kern w:val="0"/>
                <w:szCs w:val="21"/>
                <w:highlight w:val="none"/>
                <w:lang w:val="en-US" w:eastAsia="zh-CN"/>
              </w:rPr>
              <w:t>工作等。</w:t>
            </w:r>
          </w:p>
          <w:p w14:paraId="701217E2">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（二）服务内容</w:t>
            </w:r>
          </w:p>
          <w:p w14:paraId="0B601A43">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rPr>
              <w:t>1.</w:t>
            </w:r>
            <w:r>
              <w:rPr>
                <w:rFonts w:hint="eastAsia" w:ascii="宋体" w:hAnsi="宋体"/>
                <w:b/>
                <w:color w:val="auto"/>
                <w:szCs w:val="21"/>
                <w:highlight w:val="none"/>
              </w:rPr>
              <w:t xml:space="preserve"> </w:t>
            </w:r>
            <w:r>
              <w:rPr>
                <w:rFonts w:hint="eastAsia" w:ascii="宋体" w:hAnsi="宋体" w:cs="宋体"/>
                <w:b/>
                <w:bCs/>
                <w:color w:val="auto"/>
                <w:kern w:val="0"/>
                <w:szCs w:val="21"/>
                <w:highlight w:val="none"/>
              </w:rPr>
              <w:t>实体平台服务</w:t>
            </w:r>
          </w:p>
          <w:p w14:paraId="0CF5716C">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广西公共法律服务实体平台实行5*8小时值班制度。在</w:t>
            </w:r>
            <w:r>
              <w:rPr>
                <w:rFonts w:hint="eastAsia" w:ascii="宋体" w:hAnsi="宋体" w:cs="宋体"/>
                <w:bCs/>
                <w:color w:val="auto"/>
                <w:kern w:val="0"/>
                <w:szCs w:val="21"/>
                <w:highlight w:val="none"/>
                <w:lang w:val="en-US" w:eastAsia="zh-CN"/>
              </w:rPr>
              <w:t>广西壮族</w:t>
            </w:r>
            <w:r>
              <w:rPr>
                <w:rFonts w:hint="eastAsia" w:ascii="宋体" w:hAnsi="宋体" w:cs="宋体"/>
                <w:bCs/>
                <w:color w:val="auto"/>
                <w:kern w:val="0"/>
                <w:szCs w:val="21"/>
                <w:highlight w:val="none"/>
              </w:rPr>
              <w:t>自治区司法厅安排1名管理人员、1名技术人员驻点，负责沟通协调各部门相关业务、工作关联事项以及实体、网络、热线平台技术维护、系统维护工作。</w:t>
            </w:r>
            <w:r>
              <w:rPr>
                <w:rFonts w:hint="eastAsia" w:ascii="宋体" w:hAnsi="宋体" w:cs="宋体"/>
                <w:bCs/>
                <w:color w:val="auto"/>
                <w:kern w:val="0"/>
                <w:szCs w:val="21"/>
                <w:highlight w:val="none"/>
                <w:lang w:eastAsia="zh-CN"/>
              </w:rPr>
              <w:t>在</w:t>
            </w:r>
            <w:r>
              <w:rPr>
                <w:rFonts w:hint="eastAsia" w:ascii="宋体" w:hAnsi="宋体" w:cs="宋体"/>
                <w:bCs/>
                <w:color w:val="auto"/>
                <w:kern w:val="0"/>
                <w:szCs w:val="21"/>
                <w:highlight w:val="none"/>
              </w:rPr>
              <w:t>中国（广西）自贸区公共法律服务中心</w:t>
            </w:r>
            <w:r>
              <w:rPr>
                <w:rFonts w:hint="eastAsia" w:ascii="宋体" w:hAnsi="宋体"/>
                <w:color w:val="auto"/>
                <w:szCs w:val="21"/>
                <w:highlight w:val="none"/>
              </w:rPr>
              <w:t>安排</w:t>
            </w:r>
            <w:r>
              <w:rPr>
                <w:rFonts w:hint="eastAsia" w:ascii="宋体" w:hAnsi="宋体"/>
                <w:color w:val="auto"/>
                <w:szCs w:val="21"/>
                <w:highlight w:val="none"/>
                <w:lang w:val="en-US" w:eastAsia="zh-CN"/>
              </w:rPr>
              <w:t>1名</w:t>
            </w:r>
            <w:r>
              <w:rPr>
                <w:rFonts w:hint="eastAsia" w:ascii="宋体" w:hAnsi="宋体"/>
                <w:color w:val="auto"/>
                <w:szCs w:val="21"/>
                <w:highlight w:val="none"/>
                <w:lang w:eastAsia="zh-CN"/>
              </w:rPr>
              <w:t>服务</w:t>
            </w:r>
            <w:r>
              <w:rPr>
                <w:rFonts w:hint="eastAsia" w:ascii="宋体" w:hAnsi="宋体"/>
                <w:color w:val="auto"/>
                <w:szCs w:val="21"/>
                <w:highlight w:val="none"/>
              </w:rPr>
              <w:t>人员驻点，</w:t>
            </w:r>
            <w:r>
              <w:rPr>
                <w:rFonts w:hint="eastAsia" w:ascii="宋体" w:hAnsi="宋体" w:cs="宋体"/>
                <w:bCs/>
                <w:color w:val="auto"/>
                <w:kern w:val="0"/>
                <w:szCs w:val="21"/>
                <w:highlight w:val="none"/>
              </w:rPr>
              <w:t>负责为办事群众提供接待服务、大厅参观讲解服务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引导群众到相应窗口咨询或办理法律业务</w:t>
            </w:r>
            <w:r>
              <w:rPr>
                <w:rFonts w:hint="eastAsia" w:ascii="宋体" w:hAnsi="宋体" w:cs="宋体"/>
                <w:bCs/>
                <w:color w:val="auto"/>
                <w:kern w:val="0"/>
                <w:szCs w:val="21"/>
                <w:highlight w:val="none"/>
              </w:rPr>
              <w:t>；提供实体平台现场协调服务，引导办事群众充分利用智能终端</w:t>
            </w:r>
            <w:r>
              <w:rPr>
                <w:rFonts w:hint="eastAsia" w:ascii="宋体" w:hAnsi="宋体" w:cs="宋体"/>
                <w:bCs/>
                <w:color w:val="auto"/>
                <w:kern w:val="0"/>
                <w:szCs w:val="21"/>
                <w:highlight w:val="none"/>
                <w:lang w:val="en-US" w:eastAsia="zh-CN"/>
              </w:rPr>
              <w:t>设备</w:t>
            </w:r>
            <w:r>
              <w:rPr>
                <w:rFonts w:hint="eastAsia" w:ascii="宋体" w:hAnsi="宋体" w:cs="宋体"/>
                <w:bCs/>
                <w:color w:val="auto"/>
                <w:kern w:val="0"/>
                <w:szCs w:val="21"/>
                <w:highlight w:val="none"/>
              </w:rPr>
              <w:t>查询</w:t>
            </w:r>
            <w:r>
              <w:rPr>
                <w:rFonts w:hint="eastAsia" w:ascii="宋体" w:hAnsi="宋体" w:cs="宋体"/>
                <w:bCs/>
                <w:color w:val="auto"/>
                <w:kern w:val="0"/>
                <w:szCs w:val="21"/>
                <w:highlight w:val="none"/>
                <w:lang w:val="en-US" w:eastAsia="zh-CN"/>
              </w:rPr>
              <w:t>法律信息</w:t>
            </w:r>
            <w:r>
              <w:rPr>
                <w:rFonts w:hint="eastAsia" w:ascii="宋体" w:hAnsi="宋体" w:cs="宋体"/>
                <w:bCs/>
                <w:color w:val="auto"/>
                <w:kern w:val="0"/>
                <w:szCs w:val="21"/>
                <w:highlight w:val="none"/>
              </w:rPr>
              <w:t>、办理业务，</w:t>
            </w:r>
            <w:r>
              <w:rPr>
                <w:rFonts w:hint="eastAsia" w:ascii="宋体" w:hAnsi="宋体"/>
                <w:color w:val="auto"/>
                <w:szCs w:val="21"/>
                <w:highlight w:val="none"/>
              </w:rPr>
              <w:t>解答用户疑问</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提升服务大厅自助功能区、法治宣传区等各个区域的服务效能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对群众来访情况进行分类登记，同时</w:t>
            </w:r>
            <w:r>
              <w:rPr>
                <w:rFonts w:hint="eastAsia" w:ascii="宋体" w:hAnsi="宋体"/>
                <w:color w:val="auto"/>
                <w:szCs w:val="21"/>
                <w:highlight w:val="none"/>
                <w:lang w:eastAsia="zh-CN"/>
              </w:rPr>
              <w:t>及时反馈</w:t>
            </w:r>
            <w:r>
              <w:rPr>
                <w:rFonts w:hint="eastAsia" w:ascii="宋体" w:hAnsi="宋体" w:cs="宋体"/>
                <w:bCs/>
                <w:color w:val="000000" w:themeColor="text1"/>
                <w:kern w:val="0"/>
                <w:szCs w:val="21"/>
                <w:highlight w:val="none"/>
                <w14:textFill>
                  <w14:solidFill>
                    <w14:schemeClr w14:val="tx1"/>
                  </w14:solidFill>
                </w14:textFill>
              </w:rPr>
              <w:t>智能终端</w:t>
            </w:r>
            <w:r>
              <w:rPr>
                <w:rFonts w:hint="eastAsia" w:ascii="宋体" w:hAnsi="宋体" w:cs="宋体"/>
                <w:bCs/>
                <w:color w:val="000000" w:themeColor="text1"/>
                <w:kern w:val="0"/>
                <w:szCs w:val="21"/>
                <w:highlight w:val="none"/>
                <w:lang w:eastAsia="zh-CN"/>
                <w14:textFill>
                  <w14:solidFill>
                    <w14:schemeClr w14:val="tx1"/>
                  </w14:solidFill>
                </w14:textFill>
              </w:rPr>
              <w:t>机、智能机器人、“互联网+”智能展示平台等设备</w:t>
            </w:r>
            <w:r>
              <w:rPr>
                <w:rFonts w:hint="eastAsia" w:ascii="宋体" w:hAnsi="宋体"/>
                <w:color w:val="auto"/>
                <w:szCs w:val="21"/>
                <w:highlight w:val="none"/>
                <w:lang w:eastAsia="zh-CN"/>
              </w:rPr>
              <w:t>使用过程</w:t>
            </w:r>
            <w:r>
              <w:rPr>
                <w:rFonts w:hint="eastAsia" w:ascii="宋体" w:hAnsi="宋体"/>
                <w:color w:val="auto"/>
                <w:szCs w:val="21"/>
                <w:highlight w:val="none"/>
                <w:lang w:val="en-US" w:eastAsia="zh-CN"/>
              </w:rPr>
              <w:t>中出现</w:t>
            </w:r>
            <w:r>
              <w:rPr>
                <w:rFonts w:hint="eastAsia" w:ascii="宋体" w:hAnsi="宋体"/>
                <w:color w:val="auto"/>
                <w:szCs w:val="21"/>
                <w:highlight w:val="none"/>
              </w:rPr>
              <w:t>的问题</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并协调技术人员处理</w:t>
            </w:r>
            <w:r>
              <w:rPr>
                <w:rFonts w:hint="eastAsia" w:ascii="宋体" w:hAnsi="宋体" w:cs="宋体"/>
                <w:bCs/>
                <w:color w:val="auto"/>
                <w:kern w:val="0"/>
                <w:szCs w:val="21"/>
                <w:highlight w:val="none"/>
              </w:rPr>
              <w:t>。</w:t>
            </w:r>
          </w:p>
          <w:p w14:paraId="6DB00B81">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b/>
                <w:color w:val="auto"/>
                <w:szCs w:val="21"/>
                <w:highlight w:val="none"/>
              </w:rPr>
              <w:t xml:space="preserve"> </w:t>
            </w:r>
            <w:r>
              <w:rPr>
                <w:rFonts w:hint="eastAsia" w:ascii="宋体" w:hAnsi="宋体" w:cs="宋体"/>
                <w:b/>
                <w:bCs/>
                <w:color w:val="auto"/>
                <w:kern w:val="0"/>
                <w:szCs w:val="21"/>
                <w:highlight w:val="none"/>
              </w:rPr>
              <w:t>热线平台服务</w:t>
            </w:r>
          </w:p>
          <w:p w14:paraId="39808BFE">
            <w:pPr>
              <w:keepNext w:val="0"/>
              <w:keepLines/>
              <w:pageBreakBefore w:val="0"/>
              <w:widowControl/>
              <w:shd w:val="clear" w:color="auto" w:fill="auto"/>
              <w:kinsoku/>
              <w:wordWrap/>
              <w:overflowPunct/>
              <w:topLinePunct w:val="0"/>
              <w:autoSpaceDE/>
              <w:autoSpaceDN/>
              <w:bidi w:val="0"/>
              <w:adjustRightInd/>
              <w:snapToGrid/>
              <w:spacing w:line="288" w:lineRule="auto"/>
              <w:ind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广西“12348”</w:t>
            </w:r>
            <w:r>
              <w:rPr>
                <w:rFonts w:hint="eastAsia" w:ascii="宋体" w:hAnsi="宋体" w:cs="宋体"/>
                <w:bCs/>
                <w:color w:val="auto"/>
                <w:kern w:val="0"/>
                <w:szCs w:val="21"/>
                <w:highlight w:val="none"/>
                <w:lang w:eastAsia="zh-CN"/>
              </w:rPr>
              <w:t>公共法律服务</w:t>
            </w:r>
            <w:r>
              <w:rPr>
                <w:rFonts w:hint="eastAsia" w:ascii="宋体" w:hAnsi="宋体" w:cs="宋体"/>
                <w:bCs/>
                <w:color w:val="auto"/>
                <w:kern w:val="0"/>
                <w:szCs w:val="21"/>
                <w:highlight w:val="none"/>
              </w:rPr>
              <w:t>热线实行7*24小时值班制度。主要负责接听解答群众的法律咨询，指导</w:t>
            </w:r>
            <w:r>
              <w:rPr>
                <w:rFonts w:hint="eastAsia" w:ascii="宋体" w:hAnsi="宋体" w:cs="宋体"/>
                <w:bCs/>
                <w:color w:val="auto"/>
                <w:kern w:val="0"/>
                <w:szCs w:val="21"/>
                <w:highlight w:val="none"/>
                <w:lang w:eastAsia="zh-CN"/>
              </w:rPr>
              <w:t>群众</w:t>
            </w:r>
            <w:r>
              <w:rPr>
                <w:rFonts w:hint="eastAsia" w:ascii="宋体" w:hAnsi="宋体" w:cs="宋体"/>
                <w:bCs/>
                <w:color w:val="auto"/>
                <w:kern w:val="0"/>
                <w:szCs w:val="21"/>
                <w:highlight w:val="none"/>
              </w:rPr>
              <w:t>法律援助申请</w:t>
            </w:r>
            <w:r>
              <w:rPr>
                <w:rFonts w:hint="eastAsia" w:ascii="宋体" w:hAnsi="宋体" w:cs="宋体"/>
                <w:bCs/>
                <w:color w:val="auto"/>
                <w:kern w:val="0"/>
                <w:szCs w:val="21"/>
                <w:highlight w:val="none"/>
                <w:lang w:eastAsia="zh-CN"/>
              </w:rPr>
              <w:t>。统一规范</w:t>
            </w:r>
            <w:r>
              <w:rPr>
                <w:rFonts w:hint="eastAsia" w:ascii="宋体" w:hAnsi="宋体" w:cs="宋体"/>
                <w:bCs/>
                <w:color w:val="auto"/>
                <w:kern w:val="0"/>
                <w:szCs w:val="21"/>
                <w:highlight w:val="none"/>
                <w:lang w:val="en-US" w:eastAsia="zh-CN"/>
              </w:rPr>
              <w:t>接听</w:t>
            </w:r>
            <w:r>
              <w:rPr>
                <w:rFonts w:hint="eastAsia" w:ascii="宋体" w:hAnsi="宋体" w:cs="宋体"/>
                <w:bCs/>
                <w:color w:val="auto"/>
                <w:kern w:val="0"/>
                <w:szCs w:val="21"/>
                <w:highlight w:val="none"/>
                <w:lang w:eastAsia="zh-CN"/>
              </w:rPr>
              <w:t>流程，</w:t>
            </w:r>
            <w:r>
              <w:rPr>
                <w:rFonts w:hint="eastAsia" w:ascii="宋体" w:hAnsi="宋体" w:cs="宋体"/>
                <w:bCs/>
                <w:color w:val="auto"/>
                <w:kern w:val="0"/>
                <w:szCs w:val="21"/>
                <w:highlight w:val="none"/>
                <w:lang w:val="en-US" w:eastAsia="zh-CN"/>
              </w:rPr>
              <w:t>按要求</w:t>
            </w:r>
            <w:r>
              <w:rPr>
                <w:rFonts w:hint="eastAsia" w:ascii="宋体" w:hAnsi="宋体" w:cs="宋体"/>
                <w:bCs/>
                <w:color w:val="auto"/>
                <w:kern w:val="0"/>
                <w:szCs w:val="21"/>
                <w:highlight w:val="none"/>
              </w:rPr>
              <w:t>对群众咨询</w:t>
            </w:r>
            <w:r>
              <w:rPr>
                <w:rFonts w:hint="eastAsia" w:ascii="宋体" w:hAnsi="宋体" w:cs="宋体"/>
                <w:bCs/>
                <w:color w:val="auto"/>
                <w:kern w:val="0"/>
                <w:szCs w:val="21"/>
                <w:highlight w:val="none"/>
                <w:lang w:eastAsia="zh-CN"/>
              </w:rPr>
              <w:t>的</w:t>
            </w:r>
            <w:r>
              <w:rPr>
                <w:rFonts w:hint="eastAsia" w:ascii="宋体" w:hAnsi="宋体" w:cs="宋体"/>
                <w:bCs/>
                <w:color w:val="auto"/>
                <w:kern w:val="0"/>
                <w:szCs w:val="21"/>
                <w:highlight w:val="none"/>
                <w:lang w:val="en-US" w:eastAsia="zh-CN"/>
              </w:rPr>
              <w:t>法律</w:t>
            </w:r>
            <w:r>
              <w:rPr>
                <w:rFonts w:hint="eastAsia" w:ascii="宋体" w:hAnsi="宋体" w:cs="宋体"/>
                <w:bCs/>
                <w:color w:val="auto"/>
                <w:kern w:val="0"/>
                <w:szCs w:val="21"/>
                <w:highlight w:val="none"/>
              </w:rPr>
              <w:t>问题进行话务分流、转接</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分类纪录咨询问题及解答详情，</w:t>
            </w:r>
            <w:r>
              <w:rPr>
                <w:rFonts w:hint="eastAsia" w:ascii="宋体" w:hAnsi="宋体" w:cs="宋体"/>
                <w:bCs/>
                <w:color w:val="auto"/>
                <w:kern w:val="0"/>
                <w:szCs w:val="21"/>
                <w:highlight w:val="none"/>
              </w:rPr>
              <w:t>及时反映群众的法律需求信息</w:t>
            </w:r>
            <w:r>
              <w:rPr>
                <w:rFonts w:hint="eastAsia" w:ascii="宋体" w:hAnsi="宋体" w:cs="宋体"/>
                <w:bCs/>
                <w:color w:val="auto"/>
                <w:kern w:val="0"/>
                <w:szCs w:val="21"/>
                <w:highlight w:val="none"/>
                <w:lang w:val="en-US" w:eastAsia="zh-CN"/>
              </w:rPr>
              <w:t>。加强热线接听人员管理和质量监管，</w:t>
            </w:r>
            <w:r>
              <w:rPr>
                <w:rFonts w:hint="eastAsia" w:ascii="宋体" w:hAnsi="宋体" w:cs="宋体"/>
                <w:bCs/>
                <w:color w:val="auto"/>
                <w:kern w:val="0"/>
                <w:szCs w:val="21"/>
                <w:highlight w:val="none"/>
              </w:rPr>
              <w:t>定期对热线咨询解答进行质检，提出和落实改进“12348”法律服务热线工作的意见。</w:t>
            </w:r>
            <w:r>
              <w:rPr>
                <w:rFonts w:hint="eastAsia" w:ascii="宋体" w:hAnsi="宋体" w:cs="宋体"/>
                <w:bCs/>
                <w:color w:val="auto"/>
                <w:kern w:val="0"/>
                <w:szCs w:val="21"/>
                <w:highlight w:val="none"/>
                <w:lang w:eastAsia="zh-CN"/>
              </w:rPr>
              <w:t>接收</w:t>
            </w:r>
            <w:r>
              <w:rPr>
                <w:rFonts w:hint="eastAsia" w:ascii="宋体" w:hAnsi="宋体" w:cs="宋体"/>
                <w:bCs/>
                <w:color w:val="auto"/>
                <w:kern w:val="0"/>
                <w:szCs w:val="21"/>
                <w:highlight w:val="none"/>
              </w:rPr>
              <w:t>“12345”</w:t>
            </w:r>
            <w:r>
              <w:rPr>
                <w:rFonts w:hint="eastAsia" w:ascii="宋体" w:hAnsi="宋体" w:cs="宋体"/>
                <w:bCs/>
                <w:color w:val="auto"/>
                <w:kern w:val="0"/>
                <w:szCs w:val="21"/>
                <w:highlight w:val="none"/>
                <w:lang w:eastAsia="zh-CN"/>
              </w:rPr>
              <w:t>政务服务便民热线管理平台</w:t>
            </w:r>
            <w:r>
              <w:rPr>
                <w:rFonts w:hint="eastAsia" w:ascii="宋体" w:hAnsi="宋体" w:cs="宋体"/>
                <w:bCs/>
                <w:color w:val="auto"/>
                <w:kern w:val="0"/>
                <w:szCs w:val="21"/>
                <w:highlight w:val="none"/>
              </w:rPr>
              <w:t>转</w:t>
            </w:r>
            <w:r>
              <w:rPr>
                <w:rFonts w:hint="eastAsia" w:ascii="宋体" w:hAnsi="宋体" w:cs="宋体"/>
                <w:bCs/>
                <w:color w:val="auto"/>
                <w:kern w:val="0"/>
                <w:szCs w:val="21"/>
                <w:highlight w:val="none"/>
                <w:lang w:eastAsia="zh-CN"/>
              </w:rPr>
              <w:t>办工单，答复涉及法律问题咨询以及“</w:t>
            </w:r>
            <w:r>
              <w:rPr>
                <w:rFonts w:hint="eastAsia" w:ascii="宋体" w:hAnsi="宋体" w:cs="宋体"/>
                <w:bCs/>
                <w:color w:val="auto"/>
                <w:kern w:val="0"/>
                <w:szCs w:val="21"/>
                <w:highlight w:val="none"/>
                <w:lang w:val="en-US" w:eastAsia="zh-CN"/>
              </w:rPr>
              <w:t>12348</w:t>
            </w:r>
            <w:r>
              <w:rPr>
                <w:rFonts w:hint="eastAsia" w:ascii="宋体" w:hAnsi="宋体" w:cs="宋体"/>
                <w:bCs/>
                <w:color w:val="auto"/>
                <w:kern w:val="0"/>
                <w:szCs w:val="21"/>
                <w:highlight w:val="none"/>
                <w:lang w:eastAsia="zh-CN"/>
              </w:rPr>
              <w:t>”热线相关问题的工单，其他工单根据诉求内容转派到相关业务处室，督促相关业务处室按时反馈答复内容，将答复内容上传到“</w:t>
            </w:r>
            <w:r>
              <w:rPr>
                <w:rFonts w:hint="eastAsia" w:ascii="宋体" w:hAnsi="宋体" w:cs="宋体"/>
                <w:bCs/>
                <w:color w:val="auto"/>
                <w:kern w:val="0"/>
                <w:szCs w:val="21"/>
                <w:highlight w:val="none"/>
                <w:lang w:val="en-US" w:eastAsia="zh-CN"/>
              </w:rPr>
              <w:t>12345</w:t>
            </w:r>
            <w:r>
              <w:rPr>
                <w:rFonts w:hint="eastAsia" w:ascii="宋体" w:hAnsi="宋体" w:cs="宋体"/>
                <w:bCs/>
                <w:color w:val="auto"/>
                <w:kern w:val="0"/>
                <w:szCs w:val="21"/>
                <w:highlight w:val="none"/>
                <w:lang w:eastAsia="zh-CN"/>
              </w:rPr>
              <w:t>”政务服务便民热线管理平台进行答复。在自治区、市、县设立单独的接听热线坐席，系统通过12348统一接入全区群众来电，按归属地就近服务的原则，通过12条2M语音中继线路分配至当地服务坐席。</w:t>
            </w:r>
          </w:p>
          <w:p w14:paraId="0F14BA7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b/>
                <w:color w:val="auto"/>
                <w:szCs w:val="21"/>
                <w:highlight w:val="none"/>
              </w:rPr>
              <w:t xml:space="preserve"> </w:t>
            </w:r>
            <w:r>
              <w:rPr>
                <w:rFonts w:hint="eastAsia" w:ascii="宋体" w:hAnsi="宋体" w:cs="宋体"/>
                <w:b/>
                <w:bCs/>
                <w:color w:val="auto"/>
                <w:kern w:val="0"/>
                <w:szCs w:val="21"/>
                <w:highlight w:val="none"/>
              </w:rPr>
              <w:t>网络平台服务</w:t>
            </w:r>
          </w:p>
          <w:p w14:paraId="692B9129">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lang w:eastAsia="zh-CN"/>
                <w14:textFill>
                  <w14:solidFill>
                    <w14:schemeClr w14:val="tx1"/>
                  </w14:solidFill>
                </w14:textFill>
              </w:rPr>
              <w:t>广西法律服务网络平台提供</w:t>
            </w:r>
            <w:r>
              <w:rPr>
                <w:rFonts w:hint="eastAsia" w:ascii="宋体" w:hAnsi="宋体" w:cs="宋体"/>
                <w:bCs/>
                <w:color w:val="000000" w:themeColor="text1"/>
                <w:kern w:val="0"/>
                <w:szCs w:val="21"/>
                <w:highlight w:val="none"/>
                <w14:textFill>
                  <w14:solidFill>
                    <w14:schemeClr w14:val="tx1"/>
                  </w14:solidFill>
                </w14:textFill>
              </w:rPr>
              <w:t>24小时智能法律咨询服务</w:t>
            </w:r>
            <w:r>
              <w:rPr>
                <w:rFonts w:hint="eastAsia" w:ascii="宋体" w:hAnsi="宋体" w:cs="宋体"/>
                <w:bCs/>
                <w:color w:val="000000" w:themeColor="text1"/>
                <w:kern w:val="0"/>
                <w:szCs w:val="21"/>
                <w:highlight w:val="none"/>
                <w:lang w:val="en-US" w:eastAsia="zh-CN"/>
                <w14:textFill>
                  <w14:solidFill>
                    <w14:schemeClr w14:val="tx1"/>
                  </w14:solidFill>
                </w14:textFill>
              </w:rPr>
              <w:t>及留言咨询服务</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并规范答复时限，定期、按量对</w:t>
            </w:r>
            <w:r>
              <w:rPr>
                <w:rFonts w:hint="eastAsia" w:ascii="宋体" w:hAnsi="宋体" w:cs="宋体"/>
                <w:bCs/>
                <w:color w:val="000000" w:themeColor="text1"/>
                <w:kern w:val="0"/>
                <w:szCs w:val="21"/>
                <w:highlight w:val="none"/>
                <w14:textFill>
                  <w14:solidFill>
                    <w14:schemeClr w14:val="tx1"/>
                  </w14:solidFill>
                </w14:textFill>
              </w:rPr>
              <w:t>咨询解答进行抽检，提供满意度监督服务。</w:t>
            </w:r>
            <w:r>
              <w:rPr>
                <w:rFonts w:hint="eastAsia" w:ascii="宋体" w:hAnsi="宋体" w:cs="宋体"/>
                <w:bCs/>
                <w:color w:val="000000" w:themeColor="text1"/>
                <w:kern w:val="0"/>
                <w:szCs w:val="21"/>
                <w:highlight w:val="none"/>
                <w:lang w:val="en-US" w:eastAsia="zh-CN"/>
                <w14:textFill>
                  <w14:solidFill>
                    <w14:schemeClr w14:val="tx1"/>
                  </w14:solidFill>
                </w14:textFill>
              </w:rPr>
              <w:t>提供法律援助、公证业务在线申办工单响应及跟踪办理服务</w:t>
            </w:r>
            <w:r>
              <w:rPr>
                <w:rFonts w:hint="eastAsia" w:ascii="宋体" w:hAnsi="宋体" w:cs="宋体"/>
                <w:bCs/>
                <w:color w:val="000000" w:themeColor="text1"/>
                <w:kern w:val="0"/>
                <w:szCs w:val="21"/>
                <w:highlight w:val="none"/>
                <w:lang w:val="en" w:eastAsia="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提供</w:t>
            </w:r>
            <w:r>
              <w:rPr>
                <w:rFonts w:hint="eastAsia" w:ascii="宋体" w:hAnsi="宋体" w:cs="宋体"/>
                <w:bCs/>
                <w:color w:val="000000" w:themeColor="text1"/>
                <w:kern w:val="0"/>
                <w:szCs w:val="21"/>
                <w:highlight w:val="none"/>
                <w14:textFill>
                  <w14:solidFill>
                    <w14:schemeClr w14:val="tx1"/>
                  </w14:solidFill>
                </w14:textFill>
              </w:rPr>
              <w:t>新闻资讯、普法宣传内容</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通知公告、政策法规、</w:t>
            </w:r>
            <w:r>
              <w:rPr>
                <w:rFonts w:hint="eastAsia" w:ascii="宋体" w:hAnsi="宋体" w:cs="宋体"/>
                <w:bCs/>
                <w:color w:val="000000" w:themeColor="text1"/>
                <w:kern w:val="0"/>
                <w:szCs w:val="21"/>
                <w:highlight w:val="none"/>
                <w14:textFill>
                  <w14:solidFill>
                    <w14:schemeClr w14:val="tx1"/>
                  </w14:solidFill>
                </w14:textFill>
              </w:rPr>
              <w:t>人员机构信息</w:t>
            </w:r>
            <w:r>
              <w:rPr>
                <w:rFonts w:hint="eastAsia" w:ascii="宋体" w:hAnsi="宋体" w:cs="宋体"/>
                <w:bCs/>
                <w:color w:val="000000" w:themeColor="text1"/>
                <w:kern w:val="0"/>
                <w:szCs w:val="21"/>
                <w:highlight w:val="none"/>
                <w:lang w:val="en-US" w:eastAsia="zh-CN"/>
                <w14:textFill>
                  <w14:solidFill>
                    <w14:schemeClr w14:val="tx1"/>
                  </w14:solidFill>
                </w14:textFill>
              </w:rPr>
              <w:t>定期</w:t>
            </w:r>
            <w:r>
              <w:rPr>
                <w:rFonts w:hint="eastAsia" w:ascii="宋体" w:hAnsi="宋体" w:cs="宋体"/>
                <w:bCs/>
                <w:color w:val="000000" w:themeColor="text1"/>
                <w:kern w:val="0"/>
                <w:szCs w:val="21"/>
                <w:highlight w:val="none"/>
                <w14:textFill>
                  <w14:solidFill>
                    <w14:schemeClr w14:val="tx1"/>
                  </w14:solidFill>
                </w14:textFill>
              </w:rPr>
              <w:t>更新</w:t>
            </w:r>
            <w:r>
              <w:rPr>
                <w:rFonts w:hint="eastAsia" w:ascii="宋体" w:hAnsi="宋体" w:cs="宋体"/>
                <w:bCs/>
                <w:color w:val="000000" w:themeColor="text1"/>
                <w:kern w:val="0"/>
                <w:szCs w:val="21"/>
                <w:highlight w:val="none"/>
                <w:lang w:eastAsia="zh-CN"/>
                <w14:textFill>
                  <w14:solidFill>
                    <w14:schemeClr w14:val="tx1"/>
                  </w14:solidFill>
                </w14:textFill>
              </w:rPr>
              <w:t>服务，收集社会公众对司法行政机关的评价满意度情况</w:t>
            </w:r>
            <w:r>
              <w:rPr>
                <w:rFonts w:hint="eastAsia" w:ascii="宋体" w:hAnsi="宋体" w:cs="宋体"/>
                <w:bCs/>
                <w:color w:val="000000" w:themeColor="text1"/>
                <w:kern w:val="0"/>
                <w:szCs w:val="21"/>
                <w:highlight w:val="none"/>
                <w14:textFill>
                  <w14:solidFill>
                    <w14:schemeClr w14:val="tx1"/>
                  </w14:solidFill>
                </w14:textFill>
              </w:rPr>
              <w:t>，为司法行政机关政务管理提供数据支撑、决策依据。</w:t>
            </w:r>
            <w:r>
              <w:rPr>
                <w:rFonts w:hint="eastAsia" w:ascii="宋体" w:hAnsi="宋体" w:cs="宋体"/>
                <w:bCs/>
                <w:color w:val="000000" w:themeColor="text1"/>
                <w:kern w:val="0"/>
                <w:szCs w:val="21"/>
                <w:highlight w:val="none"/>
                <w:lang w:eastAsia="zh-CN"/>
                <w14:textFill>
                  <w14:solidFill>
                    <w14:schemeClr w14:val="tx1"/>
                  </w14:solidFill>
                </w14:textFill>
              </w:rPr>
              <w:t>提供</w:t>
            </w:r>
            <w:r>
              <w:rPr>
                <w:rFonts w:hint="eastAsia" w:ascii="宋体" w:hAnsi="宋体" w:cs="宋体"/>
                <w:bCs/>
                <w:color w:val="000000" w:themeColor="text1"/>
                <w:kern w:val="0"/>
                <w:szCs w:val="21"/>
                <w:highlight w:val="none"/>
                <w:lang w:val="en-US" w:eastAsia="zh-CN"/>
                <w14:textFill>
                  <w14:solidFill>
                    <w14:schemeClr w14:val="tx1"/>
                  </w14:solidFill>
                </w14:textFill>
              </w:rPr>
              <w:t>中国法网</w:t>
            </w:r>
            <w:r>
              <w:rPr>
                <w:rFonts w:hint="eastAsia" w:ascii="宋体" w:hAnsi="宋体" w:cs="宋体"/>
                <w:bCs/>
                <w:color w:val="auto"/>
                <w:kern w:val="0"/>
                <w:szCs w:val="21"/>
                <w:highlight w:val="none"/>
                <w:lang w:eastAsia="zh-CN"/>
              </w:rPr>
              <w:t>转办案件的接收及处理跟进服务</w:t>
            </w:r>
            <w:r>
              <w:rPr>
                <w:rFonts w:hint="eastAsia" w:ascii="宋体" w:hAnsi="宋体" w:cs="宋体"/>
                <w:bCs/>
                <w:color w:val="000000" w:themeColor="text1"/>
                <w:kern w:val="0"/>
                <w:szCs w:val="21"/>
                <w:highlight w:val="none"/>
                <w:lang w:eastAsia="zh-CN"/>
                <w14:textFill>
                  <w14:solidFill>
                    <w14:schemeClr w14:val="tx1"/>
                  </w14:solidFill>
                </w14:textFill>
              </w:rPr>
              <w:t>，对</w:t>
            </w:r>
            <w:r>
              <w:rPr>
                <w:rFonts w:hint="eastAsia" w:ascii="宋体" w:hAnsi="宋体" w:cs="宋体"/>
                <w:bCs/>
                <w:color w:val="000000" w:themeColor="text1"/>
                <w:kern w:val="0"/>
                <w:szCs w:val="21"/>
                <w:highlight w:val="none"/>
                <w:lang w:val="en-US" w:eastAsia="zh-CN"/>
                <w14:textFill>
                  <w14:solidFill>
                    <w14:schemeClr w14:val="tx1"/>
                  </w14:solidFill>
                </w14:textFill>
              </w:rPr>
              <w:t>中国法网广西驻场</w:t>
            </w:r>
            <w:r>
              <w:rPr>
                <w:rFonts w:hint="eastAsia" w:ascii="宋体" w:hAnsi="宋体" w:cs="宋体"/>
                <w:bCs/>
                <w:color w:val="000000" w:themeColor="text1"/>
                <w:kern w:val="0"/>
                <w:szCs w:val="21"/>
                <w:highlight w:val="none"/>
                <w14:textFill>
                  <w14:solidFill>
                    <w14:schemeClr w14:val="tx1"/>
                  </w14:solidFill>
                </w14:textFill>
              </w:rPr>
              <w:t>人员的上线</w:t>
            </w:r>
            <w:r>
              <w:rPr>
                <w:rFonts w:hint="eastAsia" w:ascii="宋体" w:hAnsi="宋体" w:cs="宋体"/>
                <w:bCs/>
                <w:color w:val="000000" w:themeColor="text1"/>
                <w:kern w:val="0"/>
                <w:szCs w:val="21"/>
                <w:highlight w:val="none"/>
                <w:lang w:val="en-US" w:eastAsia="zh-CN"/>
                <w14:textFill>
                  <w14:solidFill>
                    <w14:schemeClr w14:val="tx1"/>
                  </w14:solidFill>
                </w14:textFill>
              </w:rPr>
              <w:t>时长</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留言参与解答数量及解答</w:t>
            </w:r>
            <w:r>
              <w:rPr>
                <w:rFonts w:hint="eastAsia" w:ascii="宋体" w:hAnsi="宋体" w:cs="宋体"/>
                <w:bCs/>
                <w:color w:val="000000" w:themeColor="text1"/>
                <w:kern w:val="0"/>
                <w:szCs w:val="21"/>
                <w:highlight w:val="none"/>
                <w14:textFill>
                  <w14:solidFill>
                    <w14:schemeClr w14:val="tx1"/>
                  </w14:solidFill>
                </w14:textFill>
              </w:rPr>
              <w:t>质量等</w:t>
            </w:r>
            <w:r>
              <w:rPr>
                <w:rFonts w:hint="eastAsia" w:ascii="宋体" w:hAnsi="宋体" w:cs="宋体"/>
                <w:bCs/>
                <w:color w:val="000000" w:themeColor="text1"/>
                <w:kern w:val="0"/>
                <w:szCs w:val="21"/>
                <w:highlight w:val="none"/>
                <w:lang w:val="en-US" w:eastAsia="zh-CN"/>
                <w14:textFill>
                  <w14:solidFill>
                    <w14:schemeClr w14:val="tx1"/>
                  </w14:solidFill>
                </w14:textFill>
              </w:rPr>
              <w:t>情况的</w:t>
            </w:r>
            <w:r>
              <w:rPr>
                <w:rFonts w:hint="eastAsia" w:ascii="宋体" w:hAnsi="宋体" w:cs="宋体"/>
                <w:bCs/>
                <w:color w:val="000000" w:themeColor="text1"/>
                <w:kern w:val="0"/>
                <w:szCs w:val="21"/>
                <w:highlight w:val="none"/>
                <w14:textFill>
                  <w14:solidFill>
                    <w14:schemeClr w14:val="tx1"/>
                  </w14:solidFill>
                </w14:textFill>
              </w:rPr>
              <w:t>监督服务</w:t>
            </w:r>
            <w:r>
              <w:rPr>
                <w:rFonts w:hint="eastAsia" w:ascii="宋体" w:hAnsi="宋体" w:cs="宋体"/>
                <w:bCs/>
                <w:color w:val="000000" w:themeColor="text1"/>
                <w:kern w:val="0"/>
                <w:szCs w:val="21"/>
                <w:highlight w:val="none"/>
                <w:lang w:eastAsia="zh-CN"/>
                <w14:textFill>
                  <w14:solidFill>
                    <w14:schemeClr w14:val="tx1"/>
                  </w14:solidFill>
                </w14:textFill>
              </w:rPr>
              <w:t>。</w:t>
            </w:r>
          </w:p>
          <w:p w14:paraId="2F443C29">
            <w:pPr>
              <w:keepNext w:val="0"/>
              <w:keepLines/>
              <w:pageBreakBefore w:val="0"/>
              <w:widowControl/>
              <w:shd w:val="clear" w:color="auto" w:fill="auto"/>
              <w:kinsoku/>
              <w:wordWrap/>
              <w:overflowPunct/>
              <w:topLinePunct w:val="0"/>
              <w:autoSpaceDE/>
              <w:autoSpaceDN/>
              <w:bidi w:val="0"/>
              <w:adjustRightInd/>
              <w:snapToGrid/>
              <w:spacing w:line="288" w:lineRule="auto"/>
              <w:ind w:leftChars="0" w:firstLine="0" w:firstLineChars="0"/>
              <w:jc w:val="left"/>
              <w:textAlignment w:val="auto"/>
              <w:rPr>
                <w:rFonts w:hint="default"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auto"/>
                <w:kern w:val="0"/>
                <w:szCs w:val="21"/>
                <w:highlight w:val="none"/>
              </w:rPr>
              <w:t>▲4.</w:t>
            </w:r>
            <w:r>
              <w:rPr>
                <w:rFonts w:hint="eastAsia" w:ascii="宋体" w:hAnsi="宋体" w:cs="宋体"/>
                <w:b/>
                <w:bCs/>
                <w:color w:val="000000" w:themeColor="text1"/>
                <w:kern w:val="0"/>
                <w:szCs w:val="21"/>
                <w:highlight w:val="none"/>
                <w14:textFill>
                  <w14:solidFill>
                    <w14:schemeClr w14:val="tx1"/>
                  </w14:solidFill>
                </w14:textFill>
              </w:rPr>
              <w:t>运维保障服务</w:t>
            </w:r>
          </w:p>
          <w:p w14:paraId="1A039CF1">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提供实体平台、</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12348</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热线</w:t>
            </w:r>
            <w:r>
              <w:rPr>
                <w:rFonts w:hint="eastAsia" w:ascii="宋体" w:hAnsi="宋体" w:cs="宋体"/>
                <w:bCs/>
                <w:color w:val="000000" w:themeColor="text1"/>
                <w:kern w:val="0"/>
                <w:szCs w:val="21"/>
                <w:highlight w:val="none"/>
                <w:lang w:val="en-US" w:eastAsia="zh-CN"/>
                <w14:textFill>
                  <w14:solidFill>
                    <w14:schemeClr w14:val="tx1"/>
                  </w14:solidFill>
                </w14:textFill>
              </w:rPr>
              <w:t>平台、</w:t>
            </w:r>
            <w:r>
              <w:rPr>
                <w:rFonts w:hint="eastAsia" w:ascii="宋体" w:hAnsi="宋体" w:cs="宋体"/>
                <w:bCs/>
                <w:color w:val="000000" w:themeColor="text1"/>
                <w:kern w:val="0"/>
                <w:szCs w:val="21"/>
                <w:highlight w:val="none"/>
                <w14:textFill>
                  <w14:solidFill>
                    <w14:schemeClr w14:val="tx1"/>
                  </w14:solidFill>
                </w14:textFill>
              </w:rPr>
              <w:t>广西</w:t>
            </w:r>
            <w:r>
              <w:rPr>
                <w:rFonts w:hint="eastAsia" w:ascii="宋体" w:hAnsi="宋体" w:cs="宋体"/>
                <w:bCs/>
                <w:color w:val="000000" w:themeColor="text1"/>
                <w:kern w:val="0"/>
                <w:szCs w:val="21"/>
                <w:highlight w:val="none"/>
                <w:lang w:eastAsia="zh-CN"/>
                <w14:textFill>
                  <w14:solidFill>
                    <w14:schemeClr w14:val="tx1"/>
                  </w14:solidFill>
                </w14:textFill>
              </w:rPr>
              <w:t>法律服务网络</w:t>
            </w:r>
            <w:r>
              <w:rPr>
                <w:rFonts w:hint="eastAsia" w:ascii="宋体" w:hAnsi="宋体" w:cs="宋体"/>
                <w:bCs/>
                <w:color w:val="000000" w:themeColor="text1"/>
                <w:kern w:val="0"/>
                <w:szCs w:val="21"/>
                <w:highlight w:val="none"/>
                <w14:textFill>
                  <w14:solidFill>
                    <w14:schemeClr w14:val="tx1"/>
                  </w14:solidFill>
                </w14:textFill>
              </w:rPr>
              <w:t>平台</w:t>
            </w:r>
            <w:r>
              <w:rPr>
                <w:rFonts w:hint="eastAsia" w:ascii="宋体" w:hAnsi="宋体" w:cs="宋体"/>
                <w:bCs/>
                <w:color w:val="000000" w:themeColor="text1"/>
                <w:kern w:val="0"/>
                <w:szCs w:val="21"/>
                <w:highlight w:val="none"/>
                <w:lang w:eastAsia="zh-CN"/>
                <w14:textFill>
                  <w14:solidFill>
                    <w14:schemeClr w14:val="tx1"/>
                  </w14:solidFill>
                </w14:textFill>
              </w:rPr>
              <w:t>的</w:t>
            </w:r>
            <w:r>
              <w:rPr>
                <w:rFonts w:hint="eastAsia" w:ascii="宋体" w:hAnsi="宋体" w:cs="宋体"/>
                <w:bCs/>
                <w:color w:val="000000" w:themeColor="text1"/>
                <w:kern w:val="0"/>
                <w:szCs w:val="21"/>
                <w:highlight w:val="none"/>
                <w14:textFill>
                  <w14:solidFill>
                    <w14:schemeClr w14:val="tx1"/>
                  </w14:solidFill>
                </w14:textFill>
              </w:rPr>
              <w:t>运营保障</w:t>
            </w:r>
            <w:r>
              <w:rPr>
                <w:rFonts w:hint="eastAsia" w:ascii="宋体" w:hAnsi="宋体" w:cs="宋体"/>
                <w:bCs/>
                <w:color w:val="000000" w:themeColor="text1"/>
                <w:kern w:val="0"/>
                <w:szCs w:val="21"/>
                <w:highlight w:val="none"/>
                <w:lang w:val="en-US" w:eastAsia="zh-CN"/>
                <w14:textFill>
                  <w14:solidFill>
                    <w14:schemeClr w14:val="tx1"/>
                  </w14:solidFill>
                </w14:textFill>
              </w:rPr>
              <w:t>与</w:t>
            </w:r>
            <w:r>
              <w:rPr>
                <w:rFonts w:hint="eastAsia" w:ascii="宋体" w:hAnsi="宋体" w:cs="宋体"/>
                <w:bCs/>
                <w:color w:val="000000" w:themeColor="text1"/>
                <w:kern w:val="0"/>
                <w:szCs w:val="21"/>
                <w:highlight w:val="none"/>
                <w14:textFill>
                  <w14:solidFill>
                    <w14:schemeClr w14:val="tx1"/>
                  </w14:solidFill>
                </w14:textFill>
              </w:rPr>
              <w:t>技术支撑服务</w:t>
            </w:r>
            <w:r>
              <w:rPr>
                <w:rFonts w:hint="eastAsia" w:ascii="宋体" w:hAnsi="宋体" w:cs="宋体"/>
                <w:bCs/>
                <w:color w:val="000000" w:themeColor="text1"/>
                <w:kern w:val="0"/>
                <w:szCs w:val="21"/>
                <w:highlight w:val="none"/>
                <w:lang w:eastAsia="zh-CN"/>
                <w14:textFill>
                  <w14:solidFill>
                    <w14:schemeClr w14:val="tx1"/>
                  </w14:solidFill>
                </w14:textFill>
              </w:rPr>
              <w:t>，各</w:t>
            </w:r>
            <w:r>
              <w:rPr>
                <w:rFonts w:hint="eastAsia" w:ascii="宋体" w:hAnsi="宋体" w:cs="宋体"/>
                <w:bCs/>
                <w:color w:val="000000" w:themeColor="text1"/>
                <w:kern w:val="0"/>
                <w:szCs w:val="21"/>
                <w:highlight w:val="none"/>
                <w:lang w:val="en-US" w:eastAsia="zh-CN"/>
                <w14:textFill>
                  <w14:solidFill>
                    <w14:schemeClr w14:val="tx1"/>
                  </w14:solidFill>
                </w14:textFill>
              </w:rPr>
              <w:t>平台系统出现故障时，驻场技术人员应及时开展维修维护工作，确保平台正常运行，如现有驻场技术人员无法解决时，</w:t>
            </w:r>
            <w:r>
              <w:rPr>
                <w:rFonts w:hint="eastAsia" w:ascii="宋体" w:hAnsi="宋体" w:cs="宋体"/>
                <w:bCs/>
                <w:color w:val="000000" w:themeColor="text1"/>
                <w:kern w:val="0"/>
                <w:szCs w:val="21"/>
                <w:highlight w:val="none"/>
                <w:shd w:val="clear" w:color="FFFFFF"/>
                <w:lang w:val="en-US" w:eastAsia="zh-CN"/>
                <w14:textFill>
                  <w14:solidFill>
                    <w14:schemeClr w14:val="tx1"/>
                  </w14:solidFill>
                </w14:textFill>
              </w:rPr>
              <w:t>应自行聘请具备相应处理能力的技术团队进行维修，及时修复故障</w:t>
            </w:r>
            <w:r>
              <w:rPr>
                <w:rFonts w:hint="eastAsia" w:ascii="宋体" w:hAnsi="宋体" w:cs="宋体"/>
                <w:bCs/>
                <w:color w:val="000000" w:themeColor="text1"/>
                <w:kern w:val="0"/>
                <w:szCs w:val="21"/>
                <w:highlight w:val="none"/>
                <w:lang w:val="en-US" w:eastAsia="zh-CN"/>
                <w14:textFill>
                  <w14:solidFill>
                    <w14:schemeClr w14:val="tx1"/>
                  </w14:solidFill>
                </w14:textFill>
              </w:rPr>
              <w:t>，避免因平台故障引发舆情。</w:t>
            </w:r>
          </w:p>
          <w:p w14:paraId="2A7EBC42">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（1）实体平台</w:t>
            </w:r>
          </w:p>
          <w:p w14:paraId="4E2DC1A6">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提供实体平台智能终端</w:t>
            </w:r>
            <w:r>
              <w:rPr>
                <w:rFonts w:hint="eastAsia" w:ascii="宋体" w:hAnsi="宋体" w:cs="宋体"/>
                <w:bCs/>
                <w:color w:val="000000" w:themeColor="text1"/>
                <w:kern w:val="0"/>
                <w:szCs w:val="21"/>
                <w:highlight w:val="none"/>
                <w:lang w:eastAsia="zh-CN"/>
                <w14:textFill>
                  <w14:solidFill>
                    <w14:schemeClr w14:val="tx1"/>
                  </w14:solidFill>
                </w14:textFill>
              </w:rPr>
              <w:t>机、智能机器人、“互联网+”智能展示平台、数据展示大屏等设备的</w:t>
            </w:r>
            <w:r>
              <w:rPr>
                <w:rFonts w:hint="eastAsia" w:ascii="宋体" w:hAnsi="宋体" w:cs="宋体"/>
                <w:bCs/>
                <w:color w:val="000000" w:themeColor="text1"/>
                <w:kern w:val="0"/>
                <w:szCs w:val="21"/>
                <w:highlight w:val="none"/>
                <w14:textFill>
                  <w14:solidFill>
                    <w14:schemeClr w14:val="tx1"/>
                  </w14:solidFill>
                </w14:textFill>
              </w:rPr>
              <w:t>运营保障</w:t>
            </w:r>
            <w:r>
              <w:rPr>
                <w:rFonts w:hint="eastAsia" w:ascii="宋体" w:hAnsi="宋体" w:cs="宋体"/>
                <w:bCs/>
                <w:color w:val="000000" w:themeColor="text1"/>
                <w:kern w:val="0"/>
                <w:szCs w:val="21"/>
                <w:highlight w:val="none"/>
                <w:lang w:eastAsia="zh-CN"/>
                <w14:textFill>
                  <w14:solidFill>
                    <w14:schemeClr w14:val="tx1"/>
                  </w14:solidFill>
                </w14:textFill>
              </w:rPr>
              <w:t>和</w:t>
            </w:r>
            <w:r>
              <w:rPr>
                <w:rFonts w:hint="eastAsia" w:ascii="宋体" w:hAnsi="宋体" w:cs="宋体"/>
                <w:bCs/>
                <w:color w:val="000000" w:themeColor="text1"/>
                <w:kern w:val="0"/>
                <w:szCs w:val="21"/>
                <w:highlight w:val="none"/>
                <w14:textFill>
                  <w14:solidFill>
                    <w14:schemeClr w14:val="tx1"/>
                  </w14:solidFill>
                </w14:textFill>
              </w:rPr>
              <w:t>技术支撑服务</w:t>
            </w:r>
            <w:r>
              <w:rPr>
                <w:rFonts w:hint="eastAsia" w:ascii="宋体" w:hAnsi="宋体" w:cs="宋体"/>
                <w:bCs/>
                <w:color w:val="000000" w:themeColor="text1"/>
                <w:kern w:val="0"/>
                <w:szCs w:val="21"/>
                <w:highlight w:val="none"/>
                <w:lang w:eastAsia="zh-CN"/>
                <w14:textFill>
                  <w14:solidFill>
                    <w14:schemeClr w14:val="tx1"/>
                  </w14:solidFill>
                </w14:textFill>
              </w:rPr>
              <w:t>。</w:t>
            </w:r>
          </w:p>
          <w:p w14:paraId="61E1177F">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（2）热线平台</w:t>
            </w:r>
          </w:p>
          <w:p w14:paraId="1EB265A4">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highlight w:val="none"/>
                <w:lang w:val="en-US" w:eastAsia="zh-CN"/>
                <w14:textFill>
                  <w14:solidFill>
                    <w14:schemeClr w14:val="tx1"/>
                  </w14:solidFill>
                </w14:textFill>
              </w:rPr>
              <w:t>提供“12348”热线呼叫系统服务，</w:t>
            </w: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运维期间</w:t>
            </w:r>
            <w:r>
              <w:rPr>
                <w:rFonts w:hint="eastAsia" w:asciiTheme="minorEastAsia" w:hAnsiTheme="minorEastAsia" w:eastAsiaTheme="minorEastAsia" w:cstheme="minorEastAsia"/>
                <w:bCs/>
                <w:color w:val="000000" w:themeColor="text1"/>
                <w:kern w:val="0"/>
                <w:sz w:val="21"/>
                <w:szCs w:val="21"/>
                <w:highlight w:val="none"/>
                <w:lang w:val="en-US" w:eastAsia="zh-CN"/>
                <w14:textFill>
                  <w14:solidFill>
                    <w14:schemeClr w14:val="tx1"/>
                  </w14:solidFill>
                </w14:textFill>
              </w:rPr>
              <w:t>确保</w:t>
            </w: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自助语音服务、坐席话务控制、人工话务接续、系统管理、知识库管理、客户信息管理、服务质量管理、通话录音、公告便笺、工单管理、话务监控、业务接口维护</w:t>
            </w:r>
            <w:r>
              <w:rPr>
                <w:rFonts w:hint="eastAsia" w:asciiTheme="minorEastAsia" w:hAnsiTheme="minorEastAsia" w:eastAsiaTheme="minorEastAsia" w:cstheme="minorEastAsia"/>
                <w:bCs/>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1"/>
                <w:szCs w:val="21"/>
                <w:highlight w:val="none"/>
                <w:lang w:val="en-US" w:eastAsia="zh-CN"/>
                <w14:textFill>
                  <w14:solidFill>
                    <w14:schemeClr w14:val="tx1"/>
                  </w14:solidFill>
                </w14:textFill>
              </w:rPr>
              <w:t>12345</w:t>
            </w:r>
            <w:r>
              <w:rPr>
                <w:rFonts w:hint="eastAsia" w:asciiTheme="minorEastAsia" w:hAnsiTheme="minorEastAsia" w:eastAsiaTheme="minorEastAsia" w:cstheme="minorEastAsia"/>
                <w:bCs/>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1"/>
                <w:szCs w:val="21"/>
                <w:highlight w:val="none"/>
                <w:lang w:val="en-US" w:eastAsia="zh-CN"/>
                <w14:textFill>
                  <w14:solidFill>
                    <w14:schemeClr w14:val="tx1"/>
                  </w14:solidFill>
                </w14:textFill>
              </w:rPr>
              <w:t>热线平台系统对接等功能模块</w:t>
            </w: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正常运行</w:t>
            </w:r>
            <w:r>
              <w:rPr>
                <w:rFonts w:hint="eastAsia" w:asciiTheme="minorEastAsia" w:hAnsiTheme="minorEastAsia" w:eastAsiaTheme="minorEastAsia" w:cstheme="minorEastAsia"/>
                <w:bCs/>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1"/>
                <w:szCs w:val="21"/>
                <w:highlight w:val="none"/>
                <w:lang w:val="en-US" w:eastAsia="zh-CN"/>
                <w14:textFill>
                  <w14:solidFill>
                    <w14:schemeClr w14:val="tx1"/>
                  </w14:solidFill>
                </w14:textFill>
              </w:rPr>
              <w:t>完成</w:t>
            </w: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每月一次系统运行环境日常巡检</w:t>
            </w:r>
            <w:r>
              <w:rPr>
                <w:rFonts w:hint="eastAsia" w:asciiTheme="minorEastAsia" w:hAnsiTheme="minorEastAsia" w:eastAsiaTheme="minorEastAsia" w:cstheme="minorEastAsia"/>
                <w:bCs/>
                <w:color w:val="000000" w:themeColor="text1"/>
                <w:kern w:val="0"/>
                <w:sz w:val="21"/>
                <w:szCs w:val="21"/>
                <w:highlight w:val="none"/>
                <w:lang w:eastAsia="zh-CN"/>
                <w14:textFill>
                  <w14:solidFill>
                    <w14:schemeClr w14:val="tx1"/>
                  </w14:solidFill>
                </w14:textFill>
              </w:rPr>
              <w:t>。</w:t>
            </w:r>
          </w:p>
          <w:p w14:paraId="5E1051BC">
            <w:pPr>
              <w:pStyle w:val="12"/>
              <w:keepNext w:val="0"/>
              <w:keepLines w:val="0"/>
              <w:widowControl w:val="0"/>
              <w:numPr>
                <w:ilvl w:val="0"/>
                <w:numId w:val="0"/>
              </w:numPr>
              <w:suppressLineNumbers w:val="0"/>
              <w:spacing w:before="0" w:beforeAutospacing="0" w:after="0" w:afterAutospacing="0" w:line="400" w:lineRule="exact"/>
              <w:ind w:left="0" w:firstLine="420" w:firstLineChars="200"/>
              <w:jc w:val="both"/>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提供7*24小时售后服务，包含电话、微信、邮件、远程控制等远程服务</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一年两次上门巡检服务，对多媒体程控交换机工作状态、网络状态、CTI中间件运行环境进行巡检</w:t>
            </w:r>
            <w:r>
              <w:rPr>
                <w:rFonts w:hint="eastAsia" w:asciiTheme="minorEastAsia" w:hAnsiTheme="minorEastAsia" w:eastAsiaTheme="minorEastAsia" w:cstheme="minorEastAsia"/>
                <w:bCs/>
                <w:color w:val="000000" w:themeColor="text1"/>
                <w:kern w:val="0"/>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技术故障远程无法解决时，提供上门处理故障服务（不含移机）。</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多媒体程控交换机、CTI中间件设备原厂</w:t>
            </w:r>
            <w:r>
              <w:rPr>
                <w:rFonts w:hint="eastAsia" w:asciiTheme="minorEastAsia" w:hAnsiTheme="minorEastAsia" w:eastAsiaTheme="minorEastAsia" w:cstheme="minorEastAsia"/>
                <w:bCs/>
                <w:color w:val="000000" w:themeColor="text1"/>
                <w:kern w:val="0"/>
                <w:szCs w:val="21"/>
                <w:highlight w:val="none"/>
                <w:lang w:val="en-US" w:eastAsia="zh-CN"/>
                <w14:textFill>
                  <w14:solidFill>
                    <w14:schemeClr w14:val="tx1"/>
                  </w14:solidFill>
                </w14:textFill>
              </w:rPr>
              <w:t>质保服务及备品备件</w:t>
            </w:r>
            <w:r>
              <w:rPr>
                <w:rFonts w:hint="eastAsia" w:asciiTheme="minorEastAsia" w:hAnsiTheme="minorEastAsia" w:eastAsiaTheme="minorEastAsia" w:cstheme="minorEastAsia"/>
                <w:bCs/>
                <w:color w:val="000000" w:themeColor="text1"/>
                <w:kern w:val="0"/>
                <w:szCs w:val="21"/>
                <w:highlight w:val="none"/>
                <w14:textFill>
                  <w14:solidFill>
                    <w14:schemeClr w14:val="tx1"/>
                  </w14:solidFill>
                </w14:textFill>
              </w:rPr>
              <w:t>。</w:t>
            </w:r>
          </w:p>
          <w:p w14:paraId="2EEACB3F">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1"/>
                <w:szCs w:val="21"/>
                <w:highlight w:val="none"/>
                <w:lang w:val="en-US" w:eastAsia="zh-CN"/>
                <w14:textFill>
                  <w14:solidFill>
                    <w14:schemeClr w14:val="tx1"/>
                  </w14:solidFill>
                </w14:textFill>
              </w:rPr>
              <w:t>（3）网络平台</w:t>
            </w:r>
          </w:p>
          <w:p w14:paraId="5DF52544">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提供广西公共法律服务网及APP监控与巡检</w:t>
            </w:r>
            <w:r>
              <w:rPr>
                <w:rFonts w:hint="eastAsia" w:asciiTheme="minorEastAsia" w:hAnsiTheme="minorEastAsia" w:eastAsiaTheme="minorEastAsia" w:cstheme="minorEastAsia"/>
                <w:bCs/>
                <w:color w:val="auto"/>
                <w:kern w:val="0"/>
                <w:sz w:val="21"/>
                <w:szCs w:val="21"/>
                <w:highlight w:val="none"/>
                <w:lang w:eastAsia="zh-CN"/>
              </w:rPr>
              <w:t>。通过日常监测和定期检查，及时发现系统异常，预防故障发生。</w:t>
            </w:r>
            <w:r>
              <w:rPr>
                <w:rFonts w:hint="eastAsia" w:asciiTheme="minorEastAsia" w:hAnsiTheme="minorEastAsia" w:eastAsiaTheme="minorEastAsia" w:cstheme="minorEastAsia"/>
                <w:bCs/>
                <w:color w:val="auto"/>
                <w:kern w:val="0"/>
                <w:sz w:val="21"/>
                <w:szCs w:val="21"/>
                <w:highlight w:val="none"/>
                <w:lang w:val="en-US" w:eastAsia="zh-CN"/>
              </w:rPr>
              <w:t>日常服务器监控：服务器CPU、内存、磁盘空间、网络带宽等资源使用率。日常软件系统监控：应用程序响应时间、进程状态、数据库连接数等。</w:t>
            </w:r>
          </w:p>
          <w:p w14:paraId="65271E78">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both"/>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lang w:val="en-US" w:eastAsia="zh-CN"/>
              </w:rPr>
              <w:t>提供日常维护与管理。保障系统基础组件和数据的稳定运行。根据绿盟安全扫描报告，为系统、中间件、数据库安装安全补丁和版本更新。</w:t>
            </w:r>
          </w:p>
          <w:p w14:paraId="345E0ABE">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▲5.运营分析服务</w:t>
            </w:r>
          </w:p>
          <w:p w14:paraId="43A205B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提供广西公共法律服务实体、网络、热线平台数据采集和分析服务。</w:t>
            </w:r>
            <w:r>
              <w:rPr>
                <w:rFonts w:hint="eastAsia" w:ascii="宋体" w:hAnsi="宋体" w:cs="宋体"/>
                <w:bCs/>
                <w:color w:val="000000" w:themeColor="text1"/>
                <w:kern w:val="0"/>
                <w:szCs w:val="21"/>
                <w:highlight w:val="none"/>
                <w:lang w:val="en-US" w:eastAsia="zh-CN"/>
                <w14:textFill>
                  <w14:solidFill>
                    <w14:schemeClr w14:val="tx1"/>
                  </w14:solidFill>
                </w14:textFill>
              </w:rPr>
              <w:t>向</w:t>
            </w:r>
            <w:r>
              <w:rPr>
                <w:rFonts w:hint="eastAsia" w:ascii="宋体" w:hAnsi="宋体" w:cs="宋体"/>
                <w:bCs/>
                <w:color w:val="000000" w:themeColor="text1"/>
                <w:kern w:val="0"/>
                <w:szCs w:val="21"/>
                <w:highlight w:val="none"/>
                <w14:textFill>
                  <w14:solidFill>
                    <w14:schemeClr w14:val="tx1"/>
                  </w14:solidFill>
                </w14:textFill>
              </w:rPr>
              <w:t>各部门</w:t>
            </w:r>
            <w:r>
              <w:rPr>
                <w:rFonts w:hint="eastAsia" w:ascii="宋体" w:hAnsi="宋体" w:cs="宋体"/>
                <w:bCs/>
                <w:color w:val="000000" w:themeColor="text1"/>
                <w:kern w:val="0"/>
                <w:szCs w:val="21"/>
                <w:highlight w:val="none"/>
                <w:lang w:val="en-US" w:eastAsia="zh-CN"/>
                <w14:textFill>
                  <w14:solidFill>
                    <w14:schemeClr w14:val="tx1"/>
                  </w14:solidFill>
                </w14:textFill>
              </w:rPr>
              <w:t>提供</w:t>
            </w:r>
            <w:r>
              <w:rPr>
                <w:rFonts w:hint="eastAsia" w:ascii="宋体" w:hAnsi="宋体" w:cs="宋体"/>
                <w:bCs/>
                <w:color w:val="000000" w:themeColor="text1"/>
                <w:kern w:val="0"/>
                <w:szCs w:val="21"/>
                <w:highlight w:val="none"/>
                <w14:textFill>
                  <w14:solidFill>
                    <w14:schemeClr w14:val="tx1"/>
                  </w14:solidFill>
                </w14:textFill>
              </w:rPr>
              <w:t>日常所需</w:t>
            </w:r>
            <w:r>
              <w:rPr>
                <w:rFonts w:hint="eastAsia" w:ascii="宋体" w:hAnsi="宋体" w:cs="宋体"/>
                <w:bCs/>
                <w:color w:val="000000" w:themeColor="text1"/>
                <w:kern w:val="0"/>
                <w:szCs w:val="21"/>
                <w:highlight w:val="none"/>
                <w:lang w:val="en-US" w:eastAsia="zh-CN"/>
                <w14:textFill>
                  <w14:solidFill>
                    <w14:schemeClr w14:val="tx1"/>
                  </w14:solidFill>
                </w14:textFill>
              </w:rPr>
              <w:t>统计</w:t>
            </w:r>
            <w:r>
              <w:rPr>
                <w:rFonts w:hint="eastAsia" w:ascii="宋体" w:hAnsi="宋体" w:cs="宋体"/>
                <w:bCs/>
                <w:color w:val="000000" w:themeColor="text1"/>
                <w:kern w:val="0"/>
                <w:szCs w:val="21"/>
                <w:highlight w:val="none"/>
                <w14:textFill>
                  <w14:solidFill>
                    <w14:schemeClr w14:val="tx1"/>
                  </w14:solidFill>
                </w14:textFill>
              </w:rPr>
              <w:t>数据。</w:t>
            </w:r>
            <w:r>
              <w:rPr>
                <w:rFonts w:hint="eastAsia" w:ascii="宋体" w:hAnsi="宋体" w:cs="宋体"/>
                <w:bCs/>
                <w:color w:val="auto"/>
                <w:kern w:val="0"/>
                <w:szCs w:val="21"/>
                <w:highlight w:val="none"/>
              </w:rPr>
              <w:t>提供实体、网络、热线平台“三台融合”的总结和汇报材料的编写，包括但不限于</w:t>
            </w:r>
            <w:r>
              <w:rPr>
                <w:rFonts w:hint="eastAsia" w:ascii="宋体" w:hAnsi="宋体" w:cs="宋体"/>
                <w:bCs/>
                <w:color w:val="auto"/>
                <w:kern w:val="0"/>
                <w:szCs w:val="21"/>
                <w:highlight w:val="none"/>
                <w:lang w:eastAsia="zh-CN"/>
              </w:rPr>
              <w:t>日报、周报、</w:t>
            </w:r>
            <w:r>
              <w:rPr>
                <w:rFonts w:hint="eastAsia" w:ascii="宋体" w:hAnsi="宋体" w:cs="宋体"/>
                <w:bCs/>
                <w:color w:val="auto"/>
                <w:kern w:val="0"/>
                <w:szCs w:val="21"/>
                <w:highlight w:val="none"/>
              </w:rPr>
              <w:t>月报、季报、半年报、年报、阶段总结，为司法行政机关政务管理提供数据支撑、决策依据。收集并汇总实体、网络、热线平台服务数据，全区公共法律服务机构、人员数</w:t>
            </w:r>
            <w:r>
              <w:rPr>
                <w:rFonts w:hint="eastAsia" w:ascii="宋体" w:hAnsi="宋体" w:cs="宋体"/>
                <w:bCs/>
                <w:color w:val="auto"/>
                <w:kern w:val="0"/>
                <w:szCs w:val="21"/>
                <w:highlight w:val="none"/>
                <w:lang w:eastAsia="zh-CN"/>
              </w:rPr>
              <w:t>据</w:t>
            </w:r>
            <w:r>
              <w:rPr>
                <w:rFonts w:hint="eastAsia" w:ascii="宋体" w:hAnsi="宋体" w:cs="宋体"/>
                <w:bCs/>
                <w:color w:val="auto"/>
                <w:kern w:val="0"/>
                <w:szCs w:val="21"/>
                <w:highlight w:val="none"/>
              </w:rPr>
              <w:t>以及</w:t>
            </w:r>
            <w:r>
              <w:rPr>
                <w:rFonts w:hint="eastAsia" w:ascii="宋体" w:hAnsi="宋体" w:cs="宋体"/>
                <w:bCs/>
                <w:color w:val="auto"/>
                <w:kern w:val="0"/>
                <w:szCs w:val="21"/>
                <w:highlight w:val="none"/>
                <w:lang w:eastAsia="zh-CN"/>
              </w:rPr>
              <w:t>业务</w:t>
            </w:r>
            <w:r>
              <w:rPr>
                <w:rFonts w:hint="eastAsia" w:ascii="宋体" w:hAnsi="宋体" w:cs="宋体"/>
                <w:bCs/>
                <w:color w:val="auto"/>
                <w:kern w:val="0"/>
                <w:szCs w:val="21"/>
                <w:highlight w:val="none"/>
              </w:rPr>
              <w:t>数据，形成可视化演示数据在</w:t>
            </w:r>
            <w:r>
              <w:rPr>
                <w:rFonts w:hint="eastAsia" w:ascii="宋体" w:hAnsi="宋体" w:cs="宋体"/>
                <w:bCs/>
                <w:color w:val="auto"/>
                <w:kern w:val="0"/>
                <w:szCs w:val="21"/>
                <w:highlight w:val="none"/>
                <w:lang w:eastAsia="zh-CN"/>
              </w:rPr>
              <w:t>采购人及所属</w:t>
            </w:r>
            <w:r>
              <w:rPr>
                <w:rFonts w:hint="eastAsia" w:ascii="宋体" w:hAnsi="宋体" w:cs="宋体"/>
                <w:bCs/>
                <w:color w:val="auto"/>
                <w:kern w:val="0"/>
                <w:szCs w:val="21"/>
                <w:highlight w:val="none"/>
              </w:rPr>
              <w:t>公共法律服务实体平台</w:t>
            </w:r>
            <w:r>
              <w:rPr>
                <w:rFonts w:hint="eastAsia" w:ascii="宋体" w:hAnsi="宋体" w:cs="宋体"/>
                <w:bCs/>
                <w:color w:val="auto"/>
                <w:kern w:val="0"/>
                <w:szCs w:val="21"/>
                <w:highlight w:val="none"/>
                <w:lang w:eastAsia="zh-CN"/>
              </w:rPr>
              <w:t>等场所</w:t>
            </w:r>
            <w:r>
              <w:rPr>
                <w:rFonts w:hint="eastAsia" w:ascii="宋体" w:hAnsi="宋体" w:cs="宋体"/>
                <w:bCs/>
                <w:color w:val="auto"/>
                <w:kern w:val="0"/>
                <w:szCs w:val="21"/>
                <w:highlight w:val="none"/>
              </w:rPr>
              <w:t>进行展示，并按需求进行更新。</w:t>
            </w:r>
          </w:p>
          <w:p w14:paraId="02C824E6">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▲（三）运维服务目标和要求</w:t>
            </w:r>
          </w:p>
          <w:p w14:paraId="4CB2E68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运维</w:t>
            </w:r>
            <w:r>
              <w:rPr>
                <w:rFonts w:hint="eastAsia" w:ascii="宋体" w:hAnsi="宋体" w:cs="宋体"/>
                <w:b/>
                <w:bCs/>
                <w:color w:val="auto"/>
                <w:kern w:val="0"/>
                <w:szCs w:val="21"/>
                <w:highlight w:val="none"/>
              </w:rPr>
              <w:t>服务周期</w:t>
            </w:r>
          </w:p>
          <w:p w14:paraId="10DBF41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
                <w:bCs/>
                <w:color w:val="auto"/>
                <w:kern w:val="0"/>
                <w:szCs w:val="21"/>
                <w:highlight w:val="none"/>
              </w:rPr>
            </w:pPr>
            <w:r>
              <w:rPr>
                <w:rFonts w:hint="eastAsia" w:ascii="宋体" w:hAnsi="宋体" w:cs="宋体"/>
                <w:bCs/>
                <w:color w:val="auto"/>
                <w:kern w:val="0"/>
                <w:szCs w:val="21"/>
                <w:highlight w:val="none"/>
              </w:rPr>
              <w:t>本项目服务周期为壹年，自合同签订之日起</w:t>
            </w:r>
            <w:r>
              <w:rPr>
                <w:rFonts w:hint="eastAsia" w:ascii="宋体" w:hAnsi="宋体" w:cs="宋体"/>
                <w:bCs/>
                <w:color w:val="auto"/>
                <w:kern w:val="0"/>
                <w:szCs w:val="21"/>
                <w:highlight w:val="none"/>
                <w:lang w:val="en-US" w:eastAsia="zh-CN"/>
              </w:rPr>
              <w:t>计</w:t>
            </w:r>
            <w:r>
              <w:rPr>
                <w:rFonts w:hint="eastAsia" w:ascii="宋体" w:hAnsi="宋体" w:cs="宋体"/>
                <w:bCs/>
                <w:color w:val="auto"/>
                <w:kern w:val="0"/>
                <w:szCs w:val="21"/>
                <w:highlight w:val="none"/>
              </w:rPr>
              <w:t>算。</w:t>
            </w:r>
          </w:p>
          <w:p w14:paraId="5DD0193D">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运维</w:t>
            </w:r>
            <w:r>
              <w:rPr>
                <w:rFonts w:hint="eastAsia" w:ascii="宋体" w:hAnsi="宋体" w:cs="宋体"/>
                <w:b/>
                <w:bCs/>
                <w:color w:val="auto"/>
                <w:kern w:val="0"/>
                <w:szCs w:val="21"/>
                <w:highlight w:val="none"/>
              </w:rPr>
              <w:t>服务量</w:t>
            </w:r>
          </w:p>
          <w:p w14:paraId="2CE16A0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服务量包括人工话务服务量和互联网渠道服务量，互联网渠道服务量是指除去话务语音渠道外，包括但不限于网站、</w:t>
            </w:r>
            <w:r>
              <w:rPr>
                <w:rFonts w:hint="eastAsia" w:ascii="宋体" w:hAnsi="宋体" w:cs="宋体"/>
                <w:bCs/>
                <w:color w:val="auto"/>
                <w:kern w:val="0"/>
                <w:szCs w:val="21"/>
                <w:highlight w:val="none"/>
                <w:lang w:val="en-US" w:eastAsia="zh-CN"/>
              </w:rPr>
              <w:t>法网手机端</w:t>
            </w:r>
            <w:r>
              <w:rPr>
                <w:rFonts w:hint="eastAsia" w:ascii="宋体" w:hAnsi="宋体" w:cs="宋体"/>
                <w:bCs/>
                <w:color w:val="auto"/>
                <w:kern w:val="0"/>
                <w:szCs w:val="21"/>
                <w:highlight w:val="none"/>
              </w:rPr>
              <w:t>、自助查询机、一体机、智能机器人等渠道的工单受理总量。</w:t>
            </w:r>
          </w:p>
          <w:p w14:paraId="0BEDEC3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运维服务目标及质量指标</w:t>
            </w:r>
          </w:p>
          <w:p w14:paraId="05C3C5BC">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（1）实体平台</w:t>
            </w:r>
          </w:p>
          <w:p w14:paraId="36CBD98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lang w:val="en-US" w:eastAsia="zh-CN"/>
              </w:rPr>
              <w:t>通过实体平台运营，满足群众多样化法律服务需求，提供优质高效的线下法律服务。整合律师、公证、仲裁、法律援助、司法鉴定、调解等多种法律服务资源，为群众提供全方位、多层次的公共法律服务，满足不同群体的法律服务需求。优化服务流程，简化办事程序，推行“一站式”服务模式，减少群众办事环节和时间成本，提高服务效率和质量。同时，</w:t>
            </w:r>
            <w:r>
              <w:rPr>
                <w:rFonts w:hint="eastAsia" w:ascii="宋体" w:hAnsi="宋体" w:cs="宋体"/>
                <w:bCs/>
                <w:color w:val="auto"/>
                <w:kern w:val="0"/>
                <w:szCs w:val="21"/>
                <w:highlight w:val="none"/>
              </w:rPr>
              <w:t>将法治宣传融入法律服务的过程中，提高群众法治意识</w:t>
            </w:r>
            <w:r>
              <w:rPr>
                <w:rFonts w:hint="eastAsia" w:ascii="宋体" w:hAnsi="宋体" w:cs="宋体"/>
                <w:bCs/>
                <w:color w:val="auto"/>
                <w:kern w:val="0"/>
                <w:szCs w:val="21"/>
                <w:highlight w:val="none"/>
                <w:lang w:eastAsia="zh-CN"/>
              </w:rPr>
              <w:t>。</w:t>
            </w:r>
          </w:p>
          <w:p w14:paraId="186651A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实施实体平台工作管理制度，</w:t>
            </w:r>
            <w:r>
              <w:rPr>
                <w:rFonts w:hint="eastAsia" w:ascii="宋体" w:hAnsi="宋体" w:cs="宋体"/>
                <w:bCs/>
                <w:color w:val="000000" w:themeColor="text1"/>
                <w:kern w:val="0"/>
                <w:szCs w:val="21"/>
                <w:highlight w:val="none"/>
                <w:lang w:val="en-US" w:eastAsia="zh-CN"/>
                <w14:textFill>
                  <w14:solidFill>
                    <w14:schemeClr w14:val="tx1"/>
                  </w14:solidFill>
                </w14:textFill>
              </w:rPr>
              <w:t>包括</w:t>
            </w:r>
            <w:r>
              <w:rPr>
                <w:rFonts w:hint="eastAsia" w:ascii="宋体" w:hAnsi="宋体" w:cs="宋体"/>
                <w:bCs/>
                <w:color w:val="000000" w:themeColor="text1"/>
                <w:kern w:val="0"/>
                <w:szCs w:val="21"/>
                <w:highlight w:val="none"/>
                <w14:textFill>
                  <w14:solidFill>
                    <w14:schemeClr w14:val="tx1"/>
                  </w14:solidFill>
                </w14:textFill>
              </w:rPr>
              <w:t>服务规范制度、首问责任制度、限时办结制度、岗位责任</w:t>
            </w:r>
            <w:r>
              <w:rPr>
                <w:rFonts w:hint="eastAsia" w:ascii="宋体" w:hAnsi="宋体" w:cs="宋体"/>
                <w:bCs/>
                <w:color w:val="000000" w:themeColor="text1"/>
                <w:kern w:val="0"/>
                <w:szCs w:val="21"/>
                <w:highlight w:val="none"/>
                <w:lang w:val="en-US" w:eastAsia="zh-CN"/>
                <w14:textFill>
                  <w14:solidFill>
                    <w14:schemeClr w14:val="tx1"/>
                  </w14:solidFill>
                </w14:textFill>
              </w:rPr>
              <w:t>制度</w:t>
            </w:r>
            <w:r>
              <w:rPr>
                <w:rFonts w:hint="eastAsia" w:ascii="宋体" w:hAnsi="宋体" w:cs="宋体"/>
                <w:bCs/>
                <w:color w:val="000000" w:themeColor="text1"/>
                <w:kern w:val="0"/>
                <w:szCs w:val="21"/>
                <w:highlight w:val="none"/>
                <w14:textFill>
                  <w14:solidFill>
                    <w14:schemeClr w14:val="tx1"/>
                  </w14:solidFill>
                </w14:textFill>
              </w:rPr>
              <w:t>、一次性告知制度、责任追究制度、服务承诺制度、</w:t>
            </w:r>
            <w:r>
              <w:rPr>
                <w:rFonts w:hint="eastAsia" w:ascii="宋体" w:hAnsi="宋体" w:cs="宋体"/>
                <w:bCs/>
                <w:color w:val="000000" w:themeColor="text1"/>
                <w:kern w:val="0"/>
                <w:szCs w:val="21"/>
                <w:highlight w:val="none"/>
                <w:lang w:val="en-US" w:eastAsia="zh-CN"/>
                <w14:textFill>
                  <w14:solidFill>
                    <w14:schemeClr w14:val="tx1"/>
                  </w14:solidFill>
                </w14:textFill>
              </w:rPr>
              <w:t>服务公开制度</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auto"/>
                <w:kern w:val="0"/>
                <w:szCs w:val="21"/>
                <w:highlight w:val="none"/>
                <w:lang w:eastAsia="zh-CN"/>
              </w:rPr>
              <w:t>加强对服务过程和服务效果的动态监管，通过服务评分、群众反馈等手段强化服务监管，确保</w:t>
            </w:r>
            <w:r>
              <w:rPr>
                <w:rFonts w:hint="eastAsia" w:ascii="宋体" w:hAnsi="宋体" w:cs="宋体"/>
                <w:bCs/>
                <w:color w:val="auto"/>
                <w:kern w:val="0"/>
                <w:szCs w:val="21"/>
                <w:highlight w:val="none"/>
                <w:lang w:val="en-US" w:eastAsia="zh-CN"/>
              </w:rPr>
              <w:t>群众对</w:t>
            </w:r>
            <w:r>
              <w:rPr>
                <w:rFonts w:hint="eastAsia" w:ascii="宋体" w:hAnsi="宋体" w:cs="宋体"/>
                <w:bCs/>
                <w:color w:val="auto"/>
                <w:kern w:val="0"/>
                <w:szCs w:val="21"/>
                <w:highlight w:val="none"/>
              </w:rPr>
              <w:t>实体平台</w:t>
            </w:r>
            <w:r>
              <w:rPr>
                <w:rFonts w:hint="eastAsia" w:ascii="宋体" w:hAnsi="宋体" w:cs="宋体"/>
                <w:bCs/>
                <w:color w:val="auto"/>
                <w:kern w:val="0"/>
                <w:szCs w:val="21"/>
                <w:highlight w:val="none"/>
                <w:lang w:val="en-US" w:eastAsia="zh-CN"/>
              </w:rPr>
              <w:t>服务</w:t>
            </w:r>
            <w:r>
              <w:rPr>
                <w:rFonts w:hint="eastAsia" w:ascii="宋体" w:hAnsi="宋体" w:cs="宋体"/>
                <w:bCs/>
                <w:color w:val="auto"/>
                <w:kern w:val="0"/>
                <w:szCs w:val="21"/>
                <w:highlight w:val="none"/>
              </w:rPr>
              <w:t>满意率</w:t>
            </w:r>
            <w:r>
              <w:rPr>
                <w:rFonts w:hint="eastAsia" w:ascii="宋体" w:hAnsi="宋体" w:cs="宋体"/>
                <w:bCs/>
                <w:color w:val="auto"/>
                <w:kern w:val="0"/>
                <w:szCs w:val="21"/>
                <w:highlight w:val="none"/>
                <w:lang w:val="en-US" w:eastAsia="zh-CN"/>
              </w:rPr>
              <w:t>达</w:t>
            </w:r>
            <w:r>
              <w:rPr>
                <w:rFonts w:hint="eastAsia" w:ascii="宋体" w:hAnsi="宋体" w:cs="宋体"/>
                <w:bCs/>
                <w:color w:val="auto"/>
                <w:kern w:val="0"/>
                <w:szCs w:val="21"/>
                <w:highlight w:val="none"/>
              </w:rPr>
              <w:t>95%以上。</w:t>
            </w:r>
          </w:p>
          <w:p w14:paraId="06D5EB68">
            <w:pPr>
              <w:keepNext w:val="0"/>
              <w:keepLines/>
              <w:pageBreakBefore w:val="0"/>
              <w:widowControl/>
              <w:shd w:val="clear" w:color="auto" w:fill="auto"/>
              <w:kinsoku/>
              <w:wordWrap/>
              <w:overflowPunct/>
              <w:topLinePunct w:val="0"/>
              <w:autoSpaceDE/>
              <w:autoSpaceDN/>
              <w:bidi w:val="0"/>
              <w:adjustRightInd/>
              <w:snapToGrid/>
              <w:spacing w:line="288" w:lineRule="auto"/>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热线平台</w:t>
            </w:r>
          </w:p>
          <w:p w14:paraId="2244480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通过热线平台运营，实现7</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24小时不间断免费法律咨询服务，满足群众在任何时间（包括节假日和夜间）的咨询和求助需求。配备专业的客服人员和执业律师团队，建立快速处理机制，确保能够为群众提供快速、准确、专业的解答和建议，解决群众的问题。同时培训热线团队具备良好沟通技巧和服务态度，以亲切、耐心的方式为群众解答问题，通过优质的服务和良好的口碑，树立热线服务平台的品牌形象，成为群众信赖的公共法律服务品牌。</w:t>
            </w:r>
            <w:r>
              <w:rPr>
                <w:rFonts w:hint="eastAsia" w:ascii="宋体" w:hAnsi="宋体" w:cs="宋体"/>
                <w:bCs/>
                <w:color w:val="auto"/>
                <w:kern w:val="0"/>
                <w:szCs w:val="21"/>
                <w:highlight w:val="none"/>
              </w:rPr>
              <w:t>每年对热线话务人员进行全员业务培训不少于4次，培训计划</w:t>
            </w:r>
            <w:r>
              <w:rPr>
                <w:rFonts w:hint="eastAsia" w:ascii="宋体" w:hAnsi="宋体" w:cs="宋体"/>
                <w:bCs/>
                <w:color w:val="auto"/>
                <w:kern w:val="0"/>
                <w:szCs w:val="21"/>
                <w:highlight w:val="none"/>
                <w:lang w:eastAsia="zh-CN"/>
              </w:rPr>
              <w:t>须提前</w:t>
            </w:r>
            <w:r>
              <w:rPr>
                <w:rFonts w:hint="eastAsia" w:ascii="宋体" w:hAnsi="宋体" w:cs="宋体"/>
                <w:bCs/>
                <w:color w:val="auto"/>
                <w:kern w:val="0"/>
                <w:szCs w:val="21"/>
                <w:highlight w:val="none"/>
              </w:rPr>
              <w:t>报送</w:t>
            </w:r>
            <w:r>
              <w:rPr>
                <w:rFonts w:hint="eastAsia" w:ascii="宋体" w:hAnsi="宋体" w:cs="宋体"/>
                <w:bCs/>
                <w:color w:val="auto"/>
                <w:kern w:val="0"/>
                <w:szCs w:val="21"/>
                <w:highlight w:val="none"/>
                <w:lang w:eastAsia="zh-CN"/>
              </w:rPr>
              <w:t>采购人</w:t>
            </w:r>
            <w:r>
              <w:rPr>
                <w:rFonts w:hint="eastAsia" w:ascii="宋体" w:hAnsi="宋体" w:cs="宋体"/>
                <w:bCs/>
                <w:color w:val="auto"/>
                <w:kern w:val="0"/>
                <w:szCs w:val="21"/>
                <w:highlight w:val="none"/>
              </w:rPr>
              <w:t>审定。</w:t>
            </w:r>
            <w:r>
              <w:rPr>
                <w:rFonts w:hint="eastAsia" w:ascii="宋体" w:hAnsi="宋体" w:cs="宋体"/>
                <w:bCs/>
                <w:color w:val="auto"/>
                <w:kern w:val="0"/>
                <w:szCs w:val="21"/>
                <w:highlight w:val="none"/>
                <w:lang w:val="en-US" w:eastAsia="zh-CN"/>
              </w:rPr>
              <w:t>实施“12348”热线平台话务交接班制度、现场工作管理制度、安全管理制度、紧急法律事项处理机制等工作制度，推动“12348”热线团队接通话务量达到年度30万人次以上，热线接通率达到90%以上，热线质检率达4%以上，群众对话务服务满意率达95%以上。</w:t>
            </w:r>
          </w:p>
          <w:p w14:paraId="6F4E3679">
            <w:pPr>
              <w:keepNext w:val="0"/>
              <w:keepLines/>
              <w:pageBreakBefore w:val="0"/>
              <w:widowControl/>
              <w:shd w:val="clear" w:color="auto" w:fill="auto"/>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配合实施12348公共法律服务热线平台优化升级，租用12条2M语音中继线路，推动自治区、市、县12348热线三级联动，实现自治区、市、县三级坐席全覆盖，解决全区法律服务热线资源不足、群众拨打占线率高等问题。</w:t>
            </w:r>
          </w:p>
          <w:p w14:paraId="5F25EEDD">
            <w:pPr>
              <w:keepNext w:val="0"/>
              <w:keepLines/>
              <w:pageBreakBefore w:val="0"/>
              <w:widowControl/>
              <w:shd w:val="clear" w:color="auto" w:fill="auto"/>
              <w:kinsoku/>
              <w:wordWrap/>
              <w:overflowPunct/>
              <w:topLinePunct w:val="0"/>
              <w:autoSpaceDE/>
              <w:autoSpaceDN/>
              <w:bidi w:val="0"/>
              <w:adjustRightInd/>
              <w:snapToGrid/>
              <w:spacing w:line="288" w:lineRule="auto"/>
              <w:ind w:firstLine="422" w:firstLineChars="20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网络平台</w:t>
            </w:r>
          </w:p>
          <w:p w14:paraId="4F0D6716">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通过公共法律服务网络平台运营，为群众提供7</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24小时不间断实时在线法律服务。提供全区法律服务机构、人员、联系电话、地址等信息查询，包括法律援助、人民调解、司法鉴定、公证、律师、仲裁、公共法律服务中心等法律服务机构信息查询；获取政策法规、法律知识、案例分析等普法资讯。提供法律援助、公证业务在线申办服务，实现法律援助、公证业务“一网通办”。支持多种接入方式，包括电脑端、平板设备、手机APP等，方便群众根据自身习惯选择合适的平台获取法律服务。</w:t>
            </w:r>
          </w:p>
          <w:p w14:paraId="02D54F1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default" w:ascii="宋体" w:hAnsi="宋体" w:cs="宋体" w:eastAsiaTheme="minorEastAsia"/>
                <w:bCs/>
                <w:color w:val="auto"/>
                <w:kern w:val="0"/>
                <w:szCs w:val="21"/>
                <w:highlight w:val="none"/>
                <w:lang w:val="en-US" w:eastAsia="zh-CN"/>
              </w:rPr>
            </w:pPr>
            <w:r>
              <w:rPr>
                <w:rFonts w:hint="eastAsia" w:ascii="宋体" w:hAnsi="宋体" w:cs="宋体"/>
                <w:bCs/>
                <w:color w:val="auto"/>
                <w:kern w:val="0"/>
                <w:szCs w:val="21"/>
                <w:highlight w:val="none"/>
                <w:lang w:eastAsia="zh-CN"/>
              </w:rPr>
              <w:t>实施网络平台限时响应、动态跟踪、质量评估等机制。</w:t>
            </w:r>
            <w:r>
              <w:rPr>
                <w:rFonts w:hint="eastAsia" w:ascii="宋体" w:hAnsi="宋体" w:cs="宋体"/>
                <w:bCs/>
                <w:color w:val="auto"/>
                <w:kern w:val="0"/>
                <w:szCs w:val="21"/>
                <w:highlight w:val="none"/>
              </w:rPr>
              <w:t>广西法律服务网及APP运营提供</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24</w:t>
            </w:r>
            <w:r>
              <w:rPr>
                <w:rFonts w:hint="eastAsia" w:ascii="宋体" w:hAnsi="宋体" w:cs="宋体"/>
                <w:bCs/>
                <w:color w:val="auto"/>
                <w:kern w:val="0"/>
                <w:szCs w:val="21"/>
                <w:highlight w:val="none"/>
              </w:rPr>
              <w:t>小时智能法律咨询服务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7*8小时网络平台</w:t>
            </w:r>
            <w:r>
              <w:rPr>
                <w:rFonts w:hint="eastAsia" w:ascii="宋体" w:hAnsi="宋体" w:cs="宋体"/>
                <w:bCs/>
                <w:color w:val="auto"/>
                <w:kern w:val="0"/>
                <w:szCs w:val="21"/>
                <w:highlight w:val="none"/>
                <w:lang w:val="en-US" w:eastAsia="zh-CN"/>
              </w:rPr>
              <w:t>留言咨询、法律援助及公证业务在线申办</w:t>
            </w:r>
            <w:r>
              <w:rPr>
                <w:rFonts w:hint="eastAsia" w:ascii="宋体" w:hAnsi="宋体" w:cs="宋体"/>
                <w:bCs/>
                <w:color w:val="auto"/>
                <w:kern w:val="0"/>
                <w:szCs w:val="21"/>
                <w:highlight w:val="none"/>
              </w:rPr>
              <w:t>工单</w:t>
            </w:r>
            <w:r>
              <w:rPr>
                <w:rFonts w:hint="eastAsia" w:ascii="宋体" w:hAnsi="宋体" w:cs="宋体"/>
                <w:bCs/>
                <w:color w:val="auto"/>
                <w:kern w:val="0"/>
                <w:szCs w:val="21"/>
                <w:highlight w:val="none"/>
                <w:lang w:eastAsia="zh-CN"/>
              </w:rPr>
              <w:t>回复</w:t>
            </w:r>
            <w:r>
              <w:rPr>
                <w:rFonts w:hint="eastAsia" w:ascii="宋体" w:hAnsi="宋体" w:cs="宋体"/>
                <w:bCs/>
                <w:color w:val="auto"/>
                <w:kern w:val="0"/>
                <w:szCs w:val="21"/>
                <w:highlight w:val="none"/>
                <w:lang w:val="en-US" w:eastAsia="zh-CN"/>
              </w:rPr>
              <w:t>服务</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7*8小时工作时间内的工单</w:t>
            </w:r>
            <w:r>
              <w:rPr>
                <w:rFonts w:hint="eastAsia" w:ascii="宋体" w:hAnsi="宋体" w:cs="宋体"/>
                <w:bCs/>
                <w:color w:val="auto"/>
                <w:kern w:val="0"/>
                <w:szCs w:val="21"/>
                <w:highlight w:val="none"/>
              </w:rPr>
              <w:t>1小时内响应处理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其他时间的</w:t>
            </w:r>
            <w:r>
              <w:rPr>
                <w:rFonts w:hint="eastAsia" w:ascii="宋体" w:hAnsi="宋体" w:cs="宋体"/>
                <w:bCs/>
                <w:color w:val="auto"/>
                <w:kern w:val="0"/>
                <w:szCs w:val="21"/>
                <w:highlight w:val="none"/>
                <w:lang w:eastAsia="zh-CN"/>
              </w:rPr>
              <w:t>工单在次日12点前响应</w:t>
            </w:r>
            <w:r>
              <w:rPr>
                <w:rFonts w:hint="eastAsia" w:ascii="宋体" w:hAnsi="宋体" w:cs="宋体"/>
                <w:bCs/>
                <w:color w:val="auto"/>
                <w:kern w:val="0"/>
                <w:szCs w:val="21"/>
                <w:highlight w:val="none"/>
                <w:lang w:val="en-US" w:eastAsia="zh-CN"/>
              </w:rPr>
              <w:t>处理。其中</w:t>
            </w:r>
            <w:r>
              <w:rPr>
                <w:rFonts w:hint="eastAsia" w:ascii="宋体" w:hAnsi="宋体" w:cs="宋体"/>
                <w:bCs/>
                <w:color w:val="auto"/>
                <w:kern w:val="0"/>
                <w:szCs w:val="21"/>
                <w:highlight w:val="none"/>
              </w:rPr>
              <w:t>每个留言咨询答复时限</w:t>
            </w:r>
            <w:r>
              <w:rPr>
                <w:rFonts w:hint="eastAsia" w:ascii="宋体" w:hAnsi="宋体" w:cs="宋体"/>
                <w:bCs/>
                <w:color w:val="auto"/>
                <w:kern w:val="0"/>
                <w:szCs w:val="21"/>
                <w:highlight w:val="none"/>
                <w:lang w:val="en-US" w:eastAsia="zh-CN"/>
              </w:rPr>
              <w:t>为</w:t>
            </w: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0分钟内完成回复</w:t>
            </w:r>
            <w:r>
              <w:rPr>
                <w:rFonts w:hint="eastAsia" w:ascii="宋体" w:hAnsi="宋体" w:cs="宋体"/>
                <w:bCs/>
                <w:color w:val="auto"/>
                <w:kern w:val="0"/>
                <w:szCs w:val="21"/>
                <w:highlight w:val="none"/>
                <w:lang w:val="en-US" w:eastAsia="zh-CN"/>
              </w:rPr>
              <w:t>，每个业务申办工单及时督促相关业务部门在法定办理时限内完成办理。每月</w:t>
            </w:r>
            <w:r>
              <w:rPr>
                <w:rFonts w:hint="eastAsia" w:ascii="宋体" w:hAnsi="宋体" w:cs="宋体"/>
                <w:bCs/>
                <w:color w:val="auto"/>
                <w:kern w:val="0"/>
                <w:szCs w:val="21"/>
                <w:highlight w:val="none"/>
              </w:rPr>
              <w:t>对已解答问题</w:t>
            </w:r>
            <w:r>
              <w:rPr>
                <w:rFonts w:hint="eastAsia" w:ascii="宋体" w:hAnsi="宋体" w:cs="宋体"/>
                <w:bCs/>
                <w:color w:val="auto"/>
                <w:kern w:val="0"/>
                <w:szCs w:val="21"/>
                <w:highlight w:val="none"/>
                <w:lang w:eastAsia="zh-CN"/>
              </w:rPr>
              <w:t>进行</w:t>
            </w:r>
            <w:r>
              <w:rPr>
                <w:rFonts w:hint="eastAsia" w:ascii="宋体" w:hAnsi="宋体" w:cs="宋体"/>
                <w:bCs/>
                <w:color w:val="auto"/>
                <w:kern w:val="0"/>
                <w:szCs w:val="21"/>
                <w:highlight w:val="none"/>
              </w:rPr>
              <w:t>质检</w:t>
            </w:r>
            <w:r>
              <w:rPr>
                <w:rFonts w:hint="eastAsia" w:ascii="宋体" w:hAnsi="宋体" w:cs="宋体"/>
                <w:bCs/>
                <w:color w:val="auto"/>
                <w:kern w:val="0"/>
                <w:szCs w:val="21"/>
                <w:highlight w:val="none"/>
                <w:lang w:eastAsia="zh-CN"/>
              </w:rPr>
              <w:t>，质检</w:t>
            </w:r>
            <w:r>
              <w:rPr>
                <w:rFonts w:hint="eastAsia" w:ascii="宋体" w:hAnsi="宋体" w:cs="宋体"/>
                <w:bCs/>
                <w:color w:val="auto"/>
                <w:kern w:val="0"/>
                <w:szCs w:val="21"/>
                <w:highlight w:val="none"/>
              </w:rPr>
              <w:t>率达到</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%以上</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群众</w:t>
            </w:r>
            <w:r>
              <w:rPr>
                <w:rFonts w:hint="eastAsia" w:ascii="宋体" w:hAnsi="宋体" w:cs="宋体"/>
                <w:bCs/>
                <w:color w:val="auto"/>
                <w:kern w:val="0"/>
                <w:szCs w:val="21"/>
                <w:highlight w:val="none"/>
              </w:rPr>
              <w:t>对留言咨询解答的满意率达90%以上。</w:t>
            </w:r>
            <w:r>
              <w:rPr>
                <w:rFonts w:hint="eastAsia" w:ascii="宋体" w:hAnsi="宋体" w:cs="宋体"/>
                <w:bCs/>
                <w:color w:val="auto"/>
                <w:kern w:val="0"/>
                <w:szCs w:val="21"/>
                <w:highlight w:val="none"/>
                <w:lang w:eastAsia="zh-CN"/>
              </w:rPr>
              <w:t>确保</w:t>
            </w:r>
            <w:r>
              <w:rPr>
                <w:rFonts w:hint="eastAsia" w:ascii="宋体" w:hAnsi="宋体" w:cs="宋体"/>
                <w:bCs/>
                <w:color w:val="auto"/>
                <w:kern w:val="0"/>
                <w:szCs w:val="21"/>
                <w:highlight w:val="none"/>
                <w:lang w:val="en-US" w:eastAsia="zh-CN"/>
              </w:rPr>
              <w:t>每月更新广西法律服务网络平台法律资讯及普法宣传内容，每季度更新法律服务机构信息，每月汇报中国法律服务网广西驻场</w:t>
            </w:r>
            <w:r>
              <w:rPr>
                <w:rFonts w:hint="eastAsia" w:ascii="宋体" w:hAnsi="宋体" w:cs="宋体"/>
                <w:bCs/>
                <w:color w:val="auto"/>
                <w:kern w:val="0"/>
                <w:szCs w:val="21"/>
                <w:highlight w:val="none"/>
              </w:rPr>
              <w:t>人员的上线</w:t>
            </w:r>
            <w:r>
              <w:rPr>
                <w:rFonts w:hint="eastAsia" w:ascii="宋体" w:hAnsi="宋体" w:cs="宋体"/>
                <w:bCs/>
                <w:color w:val="auto"/>
                <w:kern w:val="0"/>
                <w:szCs w:val="21"/>
                <w:highlight w:val="none"/>
                <w:lang w:val="en-US" w:eastAsia="zh-CN"/>
              </w:rPr>
              <w:t>时长</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留言解答情况，确保</w:t>
            </w:r>
            <w:r>
              <w:rPr>
                <w:rFonts w:hint="eastAsia" w:ascii="宋体" w:hAnsi="宋体" w:cs="宋体"/>
                <w:bCs/>
                <w:color w:val="auto"/>
                <w:kern w:val="0"/>
                <w:szCs w:val="21"/>
                <w:highlight w:val="none"/>
              </w:rPr>
              <w:t>中国法</w:t>
            </w:r>
            <w:r>
              <w:rPr>
                <w:rFonts w:hint="eastAsia" w:ascii="宋体" w:hAnsi="宋体" w:cs="宋体"/>
                <w:bCs/>
                <w:color w:val="auto"/>
                <w:kern w:val="0"/>
                <w:szCs w:val="21"/>
                <w:highlight w:val="none"/>
                <w:lang w:eastAsia="zh-CN"/>
              </w:rPr>
              <w:t>律服务</w:t>
            </w:r>
            <w:r>
              <w:rPr>
                <w:rFonts w:hint="eastAsia" w:ascii="宋体" w:hAnsi="宋体" w:cs="宋体"/>
                <w:bCs/>
                <w:color w:val="auto"/>
                <w:kern w:val="0"/>
                <w:szCs w:val="21"/>
                <w:highlight w:val="none"/>
              </w:rPr>
              <w:t>网广西驻场人员日常登录上线</w:t>
            </w:r>
            <w:r>
              <w:rPr>
                <w:rFonts w:hint="eastAsia" w:ascii="宋体" w:hAnsi="宋体" w:cs="宋体"/>
                <w:bCs/>
                <w:color w:val="auto"/>
                <w:kern w:val="0"/>
                <w:szCs w:val="21"/>
                <w:highlight w:val="none"/>
                <w:lang w:val="en-US" w:eastAsia="zh-CN"/>
              </w:rPr>
              <w:t>时长</w:t>
            </w:r>
            <w:r>
              <w:rPr>
                <w:rFonts w:hint="eastAsia" w:ascii="宋体" w:hAnsi="宋体" w:cs="宋体"/>
                <w:bCs/>
                <w:color w:val="auto"/>
                <w:kern w:val="0"/>
                <w:szCs w:val="21"/>
                <w:highlight w:val="none"/>
              </w:rPr>
              <w:t>达到特定要求指标。</w:t>
            </w:r>
          </w:p>
          <w:p w14:paraId="56154868">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.人员要求</w:t>
            </w:r>
          </w:p>
          <w:p w14:paraId="2B0CE2F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FF0000"/>
                <w:kern w:val="0"/>
                <w:szCs w:val="21"/>
                <w:highlight w:val="none"/>
              </w:rPr>
            </w:pP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须承诺运营团队每月投入的工作人员不少</w:t>
            </w:r>
            <w:r>
              <w:rPr>
                <w:rFonts w:hint="eastAsia" w:ascii="宋体" w:hAnsi="宋体" w:cs="宋体"/>
                <w:bCs/>
                <w:color w:val="auto"/>
                <w:kern w:val="0"/>
                <w:szCs w:val="21"/>
                <w:highlight w:val="none"/>
                <w:lang w:eastAsia="zh-CN"/>
              </w:rPr>
              <w:t>于</w:t>
            </w:r>
            <w:r>
              <w:rPr>
                <w:rFonts w:ascii="宋体" w:hAnsi="宋体" w:cs="宋体"/>
                <w:bCs/>
                <w:color w:val="auto"/>
                <w:kern w:val="0"/>
                <w:szCs w:val="21"/>
                <w:highlight w:val="none"/>
              </w:rPr>
              <w:t>2</w:t>
            </w:r>
            <w:r>
              <w:rPr>
                <w:rFonts w:hint="default"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人，其中话务员不少于</w:t>
            </w:r>
            <w:r>
              <w:rPr>
                <w:rFonts w:ascii="宋体" w:hAnsi="宋体" w:cs="宋体"/>
                <w:bCs/>
                <w:color w:val="auto"/>
                <w:kern w:val="0"/>
                <w:szCs w:val="21"/>
                <w:highlight w:val="none"/>
              </w:rPr>
              <w:t>15</w:t>
            </w:r>
            <w:r>
              <w:rPr>
                <w:rFonts w:hint="eastAsia" w:ascii="宋体" w:hAnsi="宋体" w:cs="宋体"/>
                <w:bCs/>
                <w:color w:val="auto"/>
                <w:kern w:val="0"/>
                <w:szCs w:val="21"/>
                <w:highlight w:val="none"/>
              </w:rPr>
              <w:t>人，且话务员中至少有</w:t>
            </w:r>
            <w:r>
              <w:rPr>
                <w:rFonts w:ascii="宋体" w:hAnsi="宋体" w:cs="宋体"/>
                <w:bCs/>
                <w:color w:val="auto"/>
                <w:kern w:val="0"/>
                <w:szCs w:val="21"/>
                <w:highlight w:val="none"/>
              </w:rPr>
              <w:t>5</w:t>
            </w:r>
            <w:r>
              <w:rPr>
                <w:rFonts w:hint="eastAsia" w:ascii="宋体" w:hAnsi="宋体" w:cs="宋体"/>
                <w:bCs/>
                <w:color w:val="auto"/>
                <w:kern w:val="0"/>
                <w:szCs w:val="21"/>
                <w:highlight w:val="none"/>
              </w:rPr>
              <w:t>名以上执业律师</w:t>
            </w:r>
            <w:r>
              <w:rPr>
                <w:rFonts w:hint="eastAsia" w:ascii="宋体" w:hAnsi="宋体" w:cs="宋体"/>
                <w:bCs/>
                <w:color w:val="000000" w:themeColor="text1"/>
                <w:kern w:val="0"/>
                <w:szCs w:val="21"/>
                <w:highlight w:val="none"/>
                <w14:textFill>
                  <w14:solidFill>
                    <w14:schemeClr w14:val="tx1"/>
                  </w14:solidFill>
                </w14:textFill>
              </w:rPr>
              <w:t>。</w:t>
            </w:r>
          </w:p>
          <w:p w14:paraId="7EB01191">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（1）管理人员：负责公共法律服务实体、热线、网络平台日常管理工作，加强实体、热线、网络平台规范化管理，提</w:t>
            </w:r>
            <w:r>
              <w:rPr>
                <w:rFonts w:hint="eastAsia" w:ascii="宋体" w:hAnsi="宋体" w:cs="宋体"/>
                <w:bCs/>
                <w:color w:val="auto"/>
                <w:kern w:val="0"/>
                <w:szCs w:val="21"/>
                <w:highlight w:val="none"/>
                <w:lang w:eastAsia="zh-CN"/>
              </w:rPr>
              <w:t>升</w:t>
            </w:r>
            <w:r>
              <w:rPr>
                <w:rFonts w:hint="eastAsia" w:ascii="宋体" w:hAnsi="宋体" w:cs="宋体"/>
                <w:bCs/>
                <w:color w:val="auto"/>
                <w:kern w:val="0"/>
                <w:szCs w:val="21"/>
                <w:highlight w:val="none"/>
              </w:rPr>
              <w:t>公共法律服务效能。包括：排班管理、应急调度、现场管理、员工管理、法律服务事项分类处理、平台技术问题处理、收集、上报数据等相关工作。协助</w:t>
            </w:r>
            <w:r>
              <w:rPr>
                <w:rFonts w:hint="eastAsia" w:ascii="宋体" w:hAnsi="宋体" w:cs="宋体"/>
                <w:bCs/>
                <w:color w:val="auto"/>
                <w:kern w:val="0"/>
                <w:szCs w:val="21"/>
                <w:highlight w:val="none"/>
                <w:lang w:eastAsia="zh-CN"/>
              </w:rPr>
              <w:t>采购人</w:t>
            </w:r>
            <w:r>
              <w:rPr>
                <w:rFonts w:hint="eastAsia" w:ascii="宋体" w:hAnsi="宋体" w:cs="宋体"/>
                <w:bCs/>
                <w:color w:val="auto"/>
                <w:kern w:val="0"/>
                <w:szCs w:val="21"/>
                <w:highlight w:val="none"/>
              </w:rPr>
              <w:t>做好运营管理的监督工作，做好跨部门问题沟通和协调处理。</w:t>
            </w:r>
          </w:p>
          <w:p w14:paraId="3A241E3C">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（2）运营人员：</w:t>
            </w:r>
            <w:r>
              <w:rPr>
                <w:rFonts w:hint="eastAsia" w:ascii="宋体" w:hAnsi="宋体" w:cs="宋体"/>
                <w:bCs/>
                <w:color w:val="auto"/>
                <w:kern w:val="0"/>
                <w:szCs w:val="21"/>
                <w:highlight w:val="none"/>
                <w:lang w:val="en-US" w:eastAsia="zh-CN"/>
              </w:rPr>
              <w:t>负责</w:t>
            </w:r>
            <w:r>
              <w:rPr>
                <w:rFonts w:hint="eastAsia" w:ascii="宋体" w:hAnsi="宋体" w:cs="宋体"/>
                <w:bCs/>
                <w:color w:val="auto"/>
                <w:kern w:val="0"/>
                <w:szCs w:val="21"/>
                <w:highlight w:val="none"/>
              </w:rPr>
              <w:t>广西法</w:t>
            </w:r>
            <w:r>
              <w:rPr>
                <w:rFonts w:hint="eastAsia" w:ascii="宋体" w:hAnsi="宋体" w:cs="宋体"/>
                <w:bCs/>
                <w:color w:val="auto"/>
                <w:kern w:val="0"/>
                <w:szCs w:val="21"/>
                <w:highlight w:val="none"/>
                <w:lang w:eastAsia="zh-CN"/>
              </w:rPr>
              <w:t>律服务</w:t>
            </w:r>
            <w:r>
              <w:rPr>
                <w:rFonts w:hint="eastAsia" w:ascii="宋体" w:hAnsi="宋体" w:cs="宋体"/>
                <w:bCs/>
                <w:color w:val="auto"/>
                <w:kern w:val="0"/>
                <w:szCs w:val="21"/>
                <w:highlight w:val="none"/>
              </w:rPr>
              <w:t>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12348广西法网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热线</w:t>
            </w:r>
            <w:r>
              <w:rPr>
                <w:rFonts w:hint="eastAsia" w:ascii="宋体" w:hAnsi="宋体" w:cs="宋体"/>
                <w:bCs/>
                <w:color w:val="auto"/>
                <w:kern w:val="0"/>
                <w:szCs w:val="21"/>
                <w:highlight w:val="none"/>
              </w:rPr>
              <w:t>后台的日常管理工作</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具备一定的法律基础知识，熟悉司法行政各项业务基本情况，能熟练操作广西法</w:t>
            </w:r>
            <w:r>
              <w:rPr>
                <w:rFonts w:hint="eastAsia" w:ascii="宋体" w:hAnsi="宋体" w:cs="宋体"/>
                <w:bCs/>
                <w:color w:val="auto"/>
                <w:kern w:val="0"/>
                <w:szCs w:val="21"/>
                <w:highlight w:val="none"/>
                <w:lang w:eastAsia="zh-CN"/>
              </w:rPr>
              <w:t>律服务</w:t>
            </w:r>
            <w:r>
              <w:rPr>
                <w:rFonts w:hint="eastAsia" w:ascii="宋体" w:hAnsi="宋体" w:cs="宋体"/>
                <w:bCs/>
                <w:color w:val="auto"/>
                <w:kern w:val="0"/>
                <w:szCs w:val="21"/>
                <w:highlight w:val="none"/>
              </w:rPr>
              <w:t>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12348广西法网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热线</w:t>
            </w:r>
            <w:r>
              <w:rPr>
                <w:rFonts w:hint="eastAsia" w:ascii="宋体" w:hAnsi="宋体" w:cs="宋体"/>
                <w:bCs/>
                <w:color w:val="auto"/>
                <w:kern w:val="0"/>
                <w:szCs w:val="21"/>
                <w:highlight w:val="none"/>
              </w:rPr>
              <w:t>管理后台软件，以公共法律“三台融合”一体化运营为导向，建立和完善“12348”热线与广西公共法律服务网集中运营工作流程。</w:t>
            </w:r>
          </w:p>
          <w:p w14:paraId="1D305F2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（3）技术人员：负责配合相关厂家为广西法</w:t>
            </w:r>
            <w:r>
              <w:rPr>
                <w:rFonts w:hint="eastAsia" w:ascii="宋体" w:hAnsi="宋体" w:cs="宋体"/>
                <w:bCs/>
                <w:color w:val="auto"/>
                <w:kern w:val="0"/>
                <w:szCs w:val="21"/>
                <w:highlight w:val="none"/>
                <w:lang w:eastAsia="zh-CN"/>
              </w:rPr>
              <w:t>律服务</w:t>
            </w:r>
            <w:r>
              <w:rPr>
                <w:rFonts w:hint="eastAsia" w:ascii="宋体" w:hAnsi="宋体" w:cs="宋体"/>
                <w:bCs/>
                <w:color w:val="auto"/>
                <w:kern w:val="0"/>
                <w:szCs w:val="21"/>
                <w:highlight w:val="none"/>
              </w:rPr>
              <w:t>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12348广西法网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的正常运行提供技术支撑，并常驻</w:t>
            </w:r>
            <w:r>
              <w:rPr>
                <w:rFonts w:hint="eastAsia" w:ascii="宋体" w:hAnsi="宋体" w:cs="宋体"/>
                <w:bCs/>
                <w:color w:val="auto"/>
                <w:kern w:val="0"/>
                <w:szCs w:val="21"/>
                <w:highlight w:val="none"/>
                <w:lang w:val="en-US" w:eastAsia="zh-CN"/>
              </w:rPr>
              <w:t>广西壮族</w:t>
            </w:r>
            <w:r>
              <w:rPr>
                <w:rFonts w:hint="eastAsia" w:ascii="宋体" w:hAnsi="宋体" w:cs="宋体"/>
                <w:bCs/>
                <w:color w:val="auto"/>
                <w:kern w:val="0"/>
                <w:szCs w:val="21"/>
                <w:highlight w:val="none"/>
              </w:rPr>
              <w:t>自治区司法厅对“12348”热线团队使用设备进行日常的运行保障和技术维护，对</w:t>
            </w:r>
            <w:r>
              <w:rPr>
                <w:rFonts w:hint="eastAsia" w:ascii="宋体" w:hAnsi="宋体" w:cs="宋体"/>
                <w:bCs/>
                <w:color w:val="auto"/>
                <w:kern w:val="0"/>
                <w:szCs w:val="21"/>
                <w:highlight w:val="none"/>
                <w:lang w:eastAsia="zh-CN"/>
              </w:rPr>
              <w:t>实体平台</w:t>
            </w:r>
            <w:r>
              <w:rPr>
                <w:rFonts w:hint="eastAsia" w:ascii="宋体" w:hAnsi="宋体" w:cs="宋体"/>
                <w:bCs/>
                <w:color w:val="auto"/>
                <w:kern w:val="0"/>
                <w:szCs w:val="21"/>
                <w:highlight w:val="none"/>
              </w:rPr>
              <w:t>自助服务终端、“互联网+”智能展示平台、智能机器人进行维护服务。</w:t>
            </w:r>
          </w:p>
          <w:p w14:paraId="231EFA80">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（4）</w:t>
            </w:r>
            <w:r>
              <w:rPr>
                <w:rFonts w:hint="eastAsia" w:ascii="宋体" w:hAnsi="宋体" w:cs="宋体"/>
                <w:bCs/>
                <w:color w:val="000000" w:themeColor="text1"/>
                <w:kern w:val="0"/>
                <w:szCs w:val="21"/>
                <w:highlight w:val="none"/>
                <w:lang w:val="en-US" w:eastAsia="zh-CN"/>
                <w14:textFill>
                  <w14:solidFill>
                    <w14:schemeClr w14:val="tx1"/>
                  </w14:solidFill>
                </w14:textFill>
              </w:rPr>
              <w:t>热线系统</w:t>
            </w:r>
            <w:r>
              <w:rPr>
                <w:rFonts w:hint="eastAsia" w:ascii="宋体" w:hAnsi="宋体" w:cs="宋体"/>
                <w:bCs/>
                <w:color w:val="auto"/>
                <w:kern w:val="0"/>
                <w:szCs w:val="21"/>
                <w:highlight w:val="none"/>
              </w:rPr>
              <w:t>维护人员：</w:t>
            </w:r>
            <w:r>
              <w:rPr>
                <w:rFonts w:hint="eastAsia" w:ascii="宋体" w:hAnsi="宋体" w:cs="宋体"/>
                <w:bCs/>
                <w:color w:val="000000" w:themeColor="text1"/>
                <w:kern w:val="0"/>
                <w:szCs w:val="21"/>
                <w:highlight w:val="none"/>
                <w:lang w:eastAsia="zh-CN"/>
                <w14:textFill>
                  <w14:solidFill>
                    <w14:schemeClr w14:val="tx1"/>
                  </w14:solidFill>
                </w14:textFill>
              </w:rPr>
              <w:t>提供“</w:t>
            </w:r>
            <w:r>
              <w:rPr>
                <w:rFonts w:hint="eastAsia" w:ascii="宋体" w:hAnsi="宋体" w:cs="宋体"/>
                <w:bCs/>
                <w:color w:val="000000" w:themeColor="text1"/>
                <w:kern w:val="0"/>
                <w:szCs w:val="21"/>
                <w:highlight w:val="none"/>
                <w14:textFill>
                  <w14:solidFill>
                    <w14:schemeClr w14:val="tx1"/>
                  </w14:solidFill>
                </w14:textFill>
              </w:rPr>
              <w:t>12348</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热线系统运行维护、软件版本升级等</w:t>
            </w:r>
            <w:r>
              <w:rPr>
                <w:rFonts w:hint="eastAsia" w:ascii="宋体" w:hAnsi="宋体" w:cs="宋体"/>
                <w:bCs/>
                <w:color w:val="auto"/>
                <w:kern w:val="0"/>
                <w:szCs w:val="21"/>
                <w:highlight w:val="none"/>
              </w:rPr>
              <w:t>技术维护和</w:t>
            </w:r>
            <w:r>
              <w:rPr>
                <w:rFonts w:hint="eastAsia" w:ascii="宋体" w:hAnsi="宋体" w:cs="宋体"/>
                <w:bCs/>
                <w:color w:val="000000" w:themeColor="text1"/>
                <w:kern w:val="0"/>
                <w:szCs w:val="21"/>
                <w:highlight w:val="none"/>
                <w14:textFill>
                  <w14:solidFill>
                    <w14:schemeClr w14:val="tx1"/>
                  </w14:solidFill>
                </w14:textFill>
              </w:rPr>
              <w:t>服务</w:t>
            </w:r>
            <w:r>
              <w:rPr>
                <w:rFonts w:hint="eastAsia" w:ascii="宋体" w:hAnsi="宋体" w:cs="宋体"/>
                <w:bCs/>
                <w:color w:val="auto"/>
                <w:kern w:val="0"/>
                <w:szCs w:val="21"/>
                <w:highlight w:val="none"/>
              </w:rPr>
              <w:t>保障</w:t>
            </w:r>
            <w:r>
              <w:rPr>
                <w:rFonts w:hint="eastAsia" w:ascii="宋体" w:hAnsi="宋体" w:cs="宋体"/>
                <w:bCs/>
                <w:color w:val="000000" w:themeColor="text1"/>
                <w:kern w:val="0"/>
                <w:szCs w:val="21"/>
                <w:highlight w:val="none"/>
                <w14:textFill>
                  <w14:solidFill>
                    <w14:schemeClr w14:val="tx1"/>
                  </w14:solidFill>
                </w14:textFill>
              </w:rPr>
              <w:t>，具备与本项目相适宜的技术维护服务能力。驻场服务人员提供5*8小时驻场，7*24小时故障响应服务</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auto"/>
                <w:kern w:val="0"/>
                <w:szCs w:val="21"/>
                <w:highlight w:val="none"/>
              </w:rPr>
              <w:t>负责</w:t>
            </w:r>
            <w:r>
              <w:rPr>
                <w:rFonts w:hint="eastAsia" w:ascii="宋体" w:hAnsi="宋体" w:cs="宋体"/>
                <w:bCs/>
                <w:color w:val="auto"/>
                <w:kern w:val="0"/>
                <w:szCs w:val="21"/>
                <w:highlight w:val="none"/>
                <w:lang w:val="en-US" w:eastAsia="zh-CN"/>
              </w:rPr>
              <w:t>热线</w:t>
            </w:r>
            <w:r>
              <w:rPr>
                <w:rFonts w:hint="eastAsia" w:ascii="宋体" w:hAnsi="宋体" w:cs="宋体"/>
                <w:bCs/>
                <w:color w:val="auto"/>
                <w:kern w:val="0"/>
                <w:szCs w:val="21"/>
                <w:highlight w:val="none"/>
              </w:rPr>
              <w:t>平台运行监管、数据备份、系统安全管理、故障处理等</w:t>
            </w:r>
            <w:r>
              <w:rPr>
                <w:rFonts w:hint="eastAsia" w:ascii="宋体" w:hAnsi="宋体" w:cs="宋体"/>
                <w:bCs/>
                <w:color w:val="auto"/>
                <w:kern w:val="0"/>
                <w:szCs w:val="21"/>
                <w:highlight w:val="none"/>
                <w:lang w:eastAsia="zh-CN"/>
              </w:rPr>
              <w:t>。</w:t>
            </w:r>
          </w:p>
          <w:p w14:paraId="0FF87D83">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default"/>
                <w:highlight w:val="none"/>
                <w:lang w:val="en-US" w:eastAsia="zh-CN"/>
              </w:rPr>
            </w:pPr>
            <w:r>
              <w:rPr>
                <w:rFonts w:hint="eastAsia" w:ascii="宋体" w:hAnsi="宋体" w:cs="宋体"/>
                <w:bCs/>
                <w:color w:val="auto"/>
                <w:kern w:val="0"/>
                <w:szCs w:val="21"/>
                <w:highlight w:val="none"/>
              </w:rPr>
              <w:t>（5）</w:t>
            </w:r>
            <w:r>
              <w:rPr>
                <w:rFonts w:hint="eastAsia" w:ascii="宋体" w:hAnsi="宋体" w:cs="宋体"/>
                <w:bCs/>
                <w:color w:val="auto"/>
                <w:kern w:val="0"/>
                <w:szCs w:val="21"/>
                <w:highlight w:val="none"/>
                <w:lang w:eastAsia="zh-CN"/>
              </w:rPr>
              <w:t>网络平台维护人员</w:t>
            </w:r>
            <w:r>
              <w:rPr>
                <w:rFonts w:hint="eastAsia" w:ascii="宋体" w:hAnsi="宋体" w:cs="宋体"/>
                <w:bCs/>
                <w:color w:val="auto"/>
                <w:kern w:val="0"/>
                <w:szCs w:val="21"/>
                <w:highlight w:val="none"/>
              </w:rPr>
              <w:t>：</w:t>
            </w:r>
            <w:r>
              <w:rPr>
                <w:rFonts w:hint="eastAsia" w:ascii="宋体" w:hAnsi="宋体" w:cs="宋体"/>
                <w:bCs/>
                <w:color w:val="000000" w:themeColor="text1"/>
                <w:kern w:val="0"/>
                <w:szCs w:val="21"/>
                <w:highlight w:val="none"/>
                <w:lang w:eastAsia="zh-CN"/>
                <w14:textFill>
                  <w14:solidFill>
                    <w14:schemeClr w14:val="tx1"/>
                  </w14:solidFill>
                </w14:textFill>
              </w:rPr>
              <w:t>提供广西法律服务网及</w:t>
            </w:r>
            <w:r>
              <w:rPr>
                <w:rFonts w:hint="eastAsia" w:ascii="宋体" w:hAnsi="宋体" w:cs="宋体"/>
                <w:bCs/>
                <w:color w:val="000000" w:themeColor="text1"/>
                <w:kern w:val="0"/>
                <w:szCs w:val="21"/>
                <w:highlight w:val="none"/>
                <w:lang w:val="en-US" w:eastAsia="zh-CN"/>
                <w14:textFill>
                  <w14:solidFill>
                    <w14:schemeClr w14:val="tx1"/>
                  </w14:solidFill>
                </w14:textFill>
              </w:rPr>
              <w:t>APP</w:t>
            </w:r>
            <w:r>
              <w:rPr>
                <w:rFonts w:hint="eastAsia" w:ascii="宋体" w:hAnsi="宋体" w:cs="宋体"/>
                <w:bCs/>
                <w:color w:val="000000" w:themeColor="text1"/>
                <w:kern w:val="0"/>
                <w:szCs w:val="21"/>
                <w:highlight w:val="none"/>
                <w14:textFill>
                  <w14:solidFill>
                    <w14:schemeClr w14:val="tx1"/>
                  </w14:solidFill>
                </w14:textFill>
              </w:rPr>
              <w:t>系统运行维护、软件版本升级等</w:t>
            </w:r>
            <w:r>
              <w:rPr>
                <w:rFonts w:hint="eastAsia" w:ascii="宋体" w:hAnsi="宋体" w:cs="宋体"/>
                <w:bCs/>
                <w:color w:val="auto"/>
                <w:kern w:val="0"/>
                <w:szCs w:val="21"/>
                <w:highlight w:val="none"/>
              </w:rPr>
              <w:t>技术维护和</w:t>
            </w:r>
            <w:r>
              <w:rPr>
                <w:rFonts w:hint="eastAsia" w:ascii="宋体" w:hAnsi="宋体" w:cs="宋体"/>
                <w:bCs/>
                <w:color w:val="000000" w:themeColor="text1"/>
                <w:kern w:val="0"/>
                <w:szCs w:val="21"/>
                <w:highlight w:val="none"/>
                <w14:textFill>
                  <w14:solidFill>
                    <w14:schemeClr w14:val="tx1"/>
                  </w14:solidFill>
                </w14:textFill>
              </w:rPr>
              <w:t>服务</w:t>
            </w:r>
            <w:r>
              <w:rPr>
                <w:rFonts w:hint="eastAsia" w:ascii="宋体" w:hAnsi="宋体" w:cs="宋体"/>
                <w:bCs/>
                <w:color w:val="auto"/>
                <w:kern w:val="0"/>
                <w:szCs w:val="21"/>
                <w:highlight w:val="none"/>
              </w:rPr>
              <w:t>保障</w:t>
            </w:r>
            <w:r>
              <w:rPr>
                <w:rFonts w:hint="eastAsia" w:ascii="宋体" w:hAnsi="宋体" w:cs="宋体"/>
                <w:bCs/>
                <w:color w:val="000000" w:themeColor="text1"/>
                <w:kern w:val="0"/>
                <w:szCs w:val="21"/>
                <w:highlight w:val="none"/>
                <w14:textFill>
                  <w14:solidFill>
                    <w14:schemeClr w14:val="tx1"/>
                  </w14:solidFill>
                </w14:textFill>
              </w:rPr>
              <w:t>，具备与本项目相适宜的技术维护服务能力。驻场服务人员提供5*8小时驻场，7*24小时故障响应服务</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bCs/>
                <w:color w:val="auto"/>
                <w:kern w:val="0"/>
                <w:szCs w:val="21"/>
                <w:highlight w:val="none"/>
              </w:rPr>
              <w:t>负责</w:t>
            </w:r>
            <w:r>
              <w:rPr>
                <w:rFonts w:hint="eastAsia" w:ascii="宋体" w:hAnsi="宋体" w:cs="宋体"/>
                <w:bCs/>
                <w:color w:val="auto"/>
                <w:kern w:val="0"/>
                <w:szCs w:val="21"/>
                <w:highlight w:val="none"/>
                <w:lang w:val="en-US" w:eastAsia="zh-CN"/>
              </w:rPr>
              <w:t>网络</w:t>
            </w:r>
            <w:r>
              <w:rPr>
                <w:rFonts w:hint="eastAsia" w:ascii="宋体" w:hAnsi="宋体" w:cs="宋体"/>
                <w:bCs/>
                <w:color w:val="auto"/>
                <w:kern w:val="0"/>
                <w:szCs w:val="21"/>
                <w:highlight w:val="none"/>
              </w:rPr>
              <w:t>平台运行监管、数据备份、系统安全管理、故障处理等</w:t>
            </w:r>
            <w:r>
              <w:rPr>
                <w:rFonts w:hint="eastAsia" w:ascii="宋体" w:hAnsi="宋体" w:cs="宋体"/>
                <w:bCs/>
                <w:color w:val="auto"/>
                <w:kern w:val="0"/>
                <w:szCs w:val="21"/>
                <w:highlight w:val="none"/>
                <w:lang w:eastAsia="zh-CN"/>
              </w:rPr>
              <w:t>。</w:t>
            </w:r>
          </w:p>
          <w:p w14:paraId="4E88C28D">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）驻场人员：</w:t>
            </w:r>
            <w:r>
              <w:rPr>
                <w:rFonts w:hint="eastAsia" w:ascii="宋体" w:hAnsi="宋体" w:cs="宋体"/>
                <w:bCs/>
                <w:color w:val="auto"/>
                <w:kern w:val="0"/>
                <w:szCs w:val="21"/>
                <w:highlight w:val="none"/>
                <w:lang w:eastAsia="zh-CN"/>
              </w:rPr>
              <w:t>实体平台驻点人员</w:t>
            </w:r>
            <w:r>
              <w:rPr>
                <w:rFonts w:hint="eastAsia" w:ascii="宋体" w:hAnsi="宋体" w:cs="宋体"/>
                <w:bCs/>
                <w:color w:val="auto"/>
                <w:kern w:val="0"/>
                <w:szCs w:val="21"/>
                <w:highlight w:val="none"/>
              </w:rPr>
              <w:t>负责实体</w:t>
            </w:r>
            <w:r>
              <w:rPr>
                <w:rFonts w:hint="eastAsia" w:ascii="宋体" w:hAnsi="宋体" w:cs="宋体"/>
                <w:bCs/>
                <w:color w:val="auto"/>
                <w:kern w:val="0"/>
                <w:szCs w:val="21"/>
                <w:highlight w:val="none"/>
                <w:lang w:eastAsia="zh-CN"/>
              </w:rPr>
              <w:t>平台日常运营、服务供给与管理协调工作。供应商的驻点人员负责</w:t>
            </w:r>
            <w:r>
              <w:rPr>
                <w:rFonts w:hint="eastAsia" w:ascii="宋体" w:hAnsi="宋体" w:cs="宋体"/>
                <w:bCs/>
                <w:color w:val="auto"/>
                <w:kern w:val="0"/>
                <w:szCs w:val="21"/>
                <w:highlight w:val="none"/>
              </w:rPr>
              <w:t>沟通协调各部门相关业务</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工作关联等事项</w:t>
            </w:r>
            <w:r>
              <w:rPr>
                <w:rFonts w:hint="eastAsia" w:ascii="宋体" w:hAnsi="宋体" w:cs="宋体"/>
                <w:bCs/>
                <w:color w:val="auto"/>
                <w:kern w:val="0"/>
                <w:szCs w:val="21"/>
                <w:highlight w:val="none"/>
                <w:lang w:eastAsia="zh-CN"/>
              </w:rPr>
              <w:t>，以及</w:t>
            </w:r>
            <w:r>
              <w:rPr>
                <w:rFonts w:hint="eastAsia" w:ascii="宋体" w:hAnsi="宋体" w:cs="宋体"/>
                <w:bCs/>
                <w:color w:val="auto"/>
                <w:kern w:val="0"/>
                <w:szCs w:val="21"/>
                <w:highlight w:val="none"/>
                <w:lang w:val="en-US" w:eastAsia="zh-CN"/>
              </w:rPr>
              <w:t>三台运维工作相关公文拟定、三台运维工作情况阶段性汇报</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活动简讯采编、档案整理、培训工作筹备</w:t>
            </w:r>
            <w:r>
              <w:rPr>
                <w:rFonts w:hint="eastAsia" w:ascii="宋体" w:hAnsi="宋体" w:cs="宋体"/>
                <w:bCs/>
                <w:color w:val="auto"/>
                <w:kern w:val="0"/>
                <w:szCs w:val="21"/>
                <w:highlight w:val="none"/>
                <w:lang w:eastAsia="zh-CN"/>
              </w:rPr>
              <w:t>等。</w:t>
            </w:r>
          </w:p>
          <w:p w14:paraId="07ADB63D">
            <w:pPr>
              <w:keepNext w:val="0"/>
              <w:keepLines/>
              <w:pageBreakBefore w:val="0"/>
              <w:widowControl/>
              <w:shd w:val="clear" w:color="auto" w:fill="auto"/>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cs="宋体" w:eastAsiaTheme="minorEastAsia"/>
                <w:bCs/>
                <w:color w:val="auto"/>
                <w:kern w:val="0"/>
                <w:szCs w:val="21"/>
                <w:highlight w:val="none"/>
                <w:lang w:eastAsia="zh-CN"/>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）热线人员：</w:t>
            </w:r>
            <w:r>
              <w:rPr>
                <w:rFonts w:hint="eastAsia" w:ascii="宋体" w:hAnsi="宋体" w:cs="宋体"/>
                <w:bCs/>
                <w:color w:val="auto"/>
                <w:kern w:val="0"/>
                <w:szCs w:val="21"/>
                <w:highlight w:val="none"/>
                <w:lang w:eastAsia="zh-CN"/>
              </w:rPr>
              <w:t>包括客服人员及值班律师，能够</w:t>
            </w:r>
            <w:r>
              <w:rPr>
                <w:rFonts w:hint="eastAsia" w:ascii="宋体" w:hAnsi="宋体" w:cs="宋体"/>
                <w:bCs/>
                <w:color w:val="auto"/>
                <w:kern w:val="0"/>
                <w:szCs w:val="21"/>
                <w:highlight w:val="none"/>
              </w:rPr>
              <w:t>熟练掌握电脑操作技能</w:t>
            </w:r>
            <w:r>
              <w:rPr>
                <w:rFonts w:hint="eastAsia" w:ascii="宋体" w:hAnsi="宋体" w:cs="宋体"/>
                <w:bCs/>
                <w:color w:val="auto"/>
                <w:kern w:val="0"/>
                <w:szCs w:val="21"/>
                <w:highlight w:val="none"/>
                <w:lang w:eastAsia="zh-CN"/>
              </w:rPr>
              <w:t>以及使用</w:t>
            </w:r>
            <w:r>
              <w:rPr>
                <w:rFonts w:hint="eastAsia" w:ascii="宋体" w:hAnsi="宋体" w:cs="宋体"/>
                <w:bCs/>
                <w:color w:val="auto"/>
                <w:kern w:val="0"/>
                <w:szCs w:val="21"/>
                <w:highlight w:val="none"/>
              </w:rPr>
              <w:t>“12348”公共法律服务平台软件系统</w:t>
            </w:r>
            <w:r>
              <w:rPr>
                <w:rFonts w:hint="eastAsia" w:ascii="宋体" w:hAnsi="宋体" w:cs="宋体"/>
                <w:bCs/>
                <w:color w:val="auto"/>
                <w:kern w:val="0"/>
                <w:szCs w:val="21"/>
                <w:highlight w:val="none"/>
                <w:lang w:eastAsia="zh-CN"/>
              </w:rPr>
              <w:t>。其中客服人员坐席负责优先</w:t>
            </w:r>
            <w:r>
              <w:rPr>
                <w:rFonts w:hint="eastAsia" w:ascii="宋体" w:hAnsi="宋体" w:cs="宋体"/>
                <w:bCs/>
                <w:color w:val="auto"/>
                <w:kern w:val="0"/>
                <w:szCs w:val="21"/>
                <w:highlight w:val="none"/>
              </w:rPr>
              <w:t>接听</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w:t>
            </w:r>
            <w:r>
              <w:rPr>
                <w:rFonts w:hint="eastAsia" w:ascii="宋体" w:hAnsi="宋体" w:cs="宋体"/>
                <w:bCs/>
                <w:color w:val="auto"/>
                <w:kern w:val="0"/>
                <w:szCs w:val="21"/>
                <w:highlight w:val="none"/>
                <w:lang w:eastAsia="zh-CN"/>
              </w:rPr>
              <w:t>”热线群众来电，为群众解答较简单的法律问题，针对较复杂的法律问题转接专业律师坐席进一步解答，</w:t>
            </w:r>
            <w:r>
              <w:rPr>
                <w:rFonts w:hint="eastAsia" w:ascii="宋体" w:hAnsi="宋体" w:cs="宋体"/>
                <w:bCs/>
                <w:color w:val="auto"/>
                <w:kern w:val="0"/>
                <w:szCs w:val="21"/>
                <w:highlight w:val="none"/>
                <w:lang w:val="en-US" w:eastAsia="zh-CN"/>
              </w:rPr>
              <w:t>同时</w:t>
            </w:r>
            <w:r>
              <w:rPr>
                <w:rFonts w:hint="eastAsia" w:ascii="宋体" w:hAnsi="宋体" w:cs="宋体"/>
                <w:bCs/>
                <w:color w:val="auto"/>
                <w:kern w:val="0"/>
                <w:szCs w:val="21"/>
                <w:highlight w:val="none"/>
              </w:rPr>
              <w:t>引导群众通过法律程序解决民事纠纷、刑事纠纷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根据</w:t>
            </w:r>
            <w:r>
              <w:rPr>
                <w:rFonts w:hint="eastAsia" w:ascii="宋体" w:hAnsi="宋体" w:cs="宋体"/>
                <w:bCs/>
                <w:color w:val="auto"/>
                <w:kern w:val="0"/>
                <w:szCs w:val="21"/>
                <w:highlight w:val="none"/>
              </w:rPr>
              <w:t>群众</w:t>
            </w:r>
            <w:r>
              <w:rPr>
                <w:rFonts w:hint="eastAsia" w:ascii="宋体" w:hAnsi="宋体" w:cs="宋体"/>
                <w:bCs/>
                <w:color w:val="auto"/>
                <w:kern w:val="0"/>
                <w:szCs w:val="21"/>
                <w:highlight w:val="none"/>
                <w:lang w:val="en-US" w:eastAsia="zh-CN"/>
              </w:rPr>
              <w:t>咨询</w:t>
            </w:r>
            <w:r>
              <w:rPr>
                <w:rFonts w:hint="eastAsia" w:ascii="宋体" w:hAnsi="宋体" w:cs="宋体"/>
                <w:bCs/>
                <w:color w:val="auto"/>
                <w:kern w:val="0"/>
                <w:szCs w:val="21"/>
                <w:highlight w:val="none"/>
              </w:rPr>
              <w:t>问题进行分类</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并填写</w:t>
            </w:r>
            <w:r>
              <w:rPr>
                <w:rFonts w:hint="eastAsia" w:ascii="宋体" w:hAnsi="宋体" w:cs="宋体"/>
                <w:bCs/>
                <w:color w:val="auto"/>
                <w:kern w:val="0"/>
                <w:szCs w:val="21"/>
                <w:highlight w:val="none"/>
              </w:rPr>
              <w:t>工单</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纪录群众咨询问题类型、内容及给予解答情况。</w:t>
            </w:r>
          </w:p>
          <w:p w14:paraId="44844DAF">
            <w:pPr>
              <w:keepLines/>
              <w:widowControl/>
              <w:shd w:val="clear" w:color="auto" w:fill="auto"/>
              <w:adjustRightInd/>
              <w:spacing w:line="288" w:lineRule="auto"/>
              <w:ind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lang w:eastAsia="zh-CN"/>
              </w:rPr>
              <w:t>）热线质检人员：</w:t>
            </w:r>
            <w:r>
              <w:rPr>
                <w:rFonts w:hint="eastAsia" w:ascii="宋体" w:hAnsi="宋体" w:cs="宋体"/>
                <w:bCs/>
                <w:color w:val="auto"/>
                <w:kern w:val="0"/>
                <w:szCs w:val="21"/>
                <w:highlight w:val="none"/>
              </w:rPr>
              <w:t>熟练掌握电脑操作技能</w:t>
            </w:r>
            <w:r>
              <w:rPr>
                <w:rFonts w:hint="eastAsia" w:ascii="宋体" w:hAnsi="宋体" w:cs="宋体"/>
                <w:bCs/>
                <w:color w:val="auto"/>
                <w:kern w:val="0"/>
                <w:szCs w:val="21"/>
                <w:highlight w:val="none"/>
                <w:lang w:eastAsia="zh-CN"/>
              </w:rPr>
              <w:t>以及使用</w:t>
            </w:r>
            <w:r>
              <w:rPr>
                <w:rFonts w:hint="eastAsia" w:ascii="宋体" w:hAnsi="宋体" w:cs="宋体"/>
                <w:bCs/>
                <w:color w:val="auto"/>
                <w:kern w:val="0"/>
                <w:szCs w:val="21"/>
                <w:highlight w:val="none"/>
              </w:rPr>
              <w:t>“12348”公共法律服务平台软件系统</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按质检标准完成抽样监听及评分工作</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形成每周、月“12348”热线</w:t>
            </w:r>
            <w:r>
              <w:rPr>
                <w:rFonts w:hint="eastAsia" w:ascii="宋体" w:hAnsi="宋体" w:cs="宋体"/>
                <w:bCs/>
                <w:color w:val="auto"/>
                <w:kern w:val="0"/>
                <w:szCs w:val="21"/>
                <w:highlight w:val="none"/>
                <w:lang w:eastAsia="zh-CN"/>
              </w:rPr>
              <w:t>质检报告，</w:t>
            </w:r>
            <w:r>
              <w:rPr>
                <w:rFonts w:hint="eastAsia" w:ascii="宋体" w:hAnsi="宋体" w:cs="宋体"/>
                <w:bCs/>
                <w:color w:val="auto"/>
                <w:kern w:val="0"/>
                <w:szCs w:val="21"/>
                <w:highlight w:val="none"/>
              </w:rPr>
              <w:t>对热线平台工作质量进行汇报。</w:t>
            </w:r>
          </w:p>
          <w:p w14:paraId="79154697">
            <w:pPr>
              <w:keepNext w:val="0"/>
              <w:keepLines/>
              <w:pageBreakBefore w:val="0"/>
              <w:widowControl/>
              <w:shd w:val="clear" w:color="auto" w:fill="auto"/>
              <w:kinsoku/>
              <w:wordWrap/>
              <w:overflowPunct/>
              <w:topLinePunct w:val="0"/>
              <w:autoSpaceDE/>
              <w:autoSpaceDN/>
              <w:bidi w:val="0"/>
              <w:adjustRightInd/>
              <w:snapToGrid/>
              <w:spacing w:line="288" w:lineRule="auto"/>
              <w:jc w:val="lef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5.话务排班要求</w:t>
            </w:r>
          </w:p>
          <w:p w14:paraId="01973243">
            <w:pPr>
              <w:keepLines/>
              <w:widowControl/>
              <w:shd w:val="clear" w:color="auto" w:fill="auto"/>
              <w:adjustRightInd/>
              <w:spacing w:line="288" w:lineRule="auto"/>
              <w:ind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lang w:eastAsia="zh-CN"/>
              </w:rPr>
              <w:t>（1）时间：客服人员每天班次具体分为早班（</w:t>
            </w:r>
            <w:r>
              <w:rPr>
                <w:rFonts w:hint="eastAsia" w:ascii="宋体" w:hAnsi="宋体" w:cs="宋体"/>
                <w:bCs/>
                <w:color w:val="auto"/>
                <w:kern w:val="0"/>
                <w:szCs w:val="21"/>
                <w:highlight w:val="none"/>
                <w:lang w:val="en-US" w:eastAsia="zh-CN"/>
              </w:rPr>
              <w:t>8：00-15：00</w:t>
            </w:r>
            <w:r>
              <w:rPr>
                <w:rFonts w:hint="eastAsia" w:ascii="宋体" w:hAnsi="宋体" w:cs="宋体"/>
                <w:bCs/>
                <w:color w:val="auto"/>
                <w:kern w:val="0"/>
                <w:szCs w:val="21"/>
                <w:highlight w:val="none"/>
                <w:lang w:eastAsia="zh-CN"/>
              </w:rPr>
              <w:t>）、行政班（</w:t>
            </w:r>
            <w:r>
              <w:rPr>
                <w:rFonts w:hint="eastAsia" w:ascii="宋体" w:hAnsi="宋体" w:cs="宋体"/>
                <w:bCs/>
                <w:color w:val="auto"/>
                <w:kern w:val="0"/>
                <w:szCs w:val="21"/>
                <w:highlight w:val="none"/>
                <w:lang w:val="en-US" w:eastAsia="zh-CN"/>
              </w:rPr>
              <w:t>9：00-18：00</w:t>
            </w:r>
            <w:r>
              <w:rPr>
                <w:rFonts w:hint="eastAsia" w:ascii="宋体" w:hAnsi="宋体" w:cs="宋体"/>
                <w:bCs/>
                <w:color w:val="auto"/>
                <w:kern w:val="0"/>
                <w:szCs w:val="21"/>
                <w:highlight w:val="none"/>
                <w:lang w:eastAsia="zh-CN"/>
              </w:rPr>
              <w:t>）、晚班（</w:t>
            </w:r>
            <w:r>
              <w:rPr>
                <w:rFonts w:hint="eastAsia" w:ascii="宋体" w:hAnsi="宋体" w:cs="宋体"/>
                <w:bCs/>
                <w:color w:val="auto"/>
                <w:kern w:val="0"/>
                <w:szCs w:val="21"/>
                <w:highlight w:val="none"/>
                <w:lang w:val="en-US" w:eastAsia="zh-CN"/>
              </w:rPr>
              <w:t>15：00-22：00</w:t>
            </w:r>
            <w:r>
              <w:rPr>
                <w:rFonts w:hint="eastAsia" w:ascii="宋体" w:hAnsi="宋体" w:cs="宋体"/>
                <w:bCs/>
                <w:color w:val="auto"/>
                <w:kern w:val="0"/>
                <w:szCs w:val="21"/>
                <w:highlight w:val="none"/>
                <w:lang w:eastAsia="zh-CN"/>
              </w:rPr>
              <w:t>）、大夜班（</w:t>
            </w:r>
            <w:r>
              <w:rPr>
                <w:rFonts w:hint="eastAsia" w:ascii="宋体" w:hAnsi="宋体" w:cs="宋体"/>
                <w:bCs/>
                <w:color w:val="auto"/>
                <w:kern w:val="0"/>
                <w:szCs w:val="21"/>
                <w:highlight w:val="none"/>
                <w:lang w:val="en-US" w:eastAsia="zh-CN"/>
              </w:rPr>
              <w:t>22：00-次日8：00</w:t>
            </w:r>
            <w:r>
              <w:rPr>
                <w:rFonts w:hint="eastAsia" w:ascii="宋体" w:hAnsi="宋体" w:cs="宋体"/>
                <w:bCs/>
                <w:color w:val="auto"/>
                <w:kern w:val="0"/>
                <w:szCs w:val="21"/>
                <w:highlight w:val="none"/>
                <w:lang w:eastAsia="zh-CN"/>
              </w:rPr>
              <w:t>），执业律师每天班次具体分为行政班（</w:t>
            </w:r>
            <w:r>
              <w:rPr>
                <w:rFonts w:hint="eastAsia" w:ascii="宋体" w:hAnsi="宋体" w:cs="宋体"/>
                <w:bCs/>
                <w:color w:val="auto"/>
                <w:kern w:val="0"/>
                <w:szCs w:val="21"/>
                <w:highlight w:val="none"/>
                <w:lang w:val="en-US" w:eastAsia="zh-CN"/>
              </w:rPr>
              <w:t>8：00-17：00</w:t>
            </w:r>
            <w:r>
              <w:rPr>
                <w:rFonts w:hint="eastAsia" w:ascii="宋体" w:hAnsi="宋体" w:cs="宋体"/>
                <w:bCs/>
                <w:color w:val="auto"/>
                <w:kern w:val="0"/>
                <w:szCs w:val="21"/>
                <w:highlight w:val="none"/>
                <w:lang w:eastAsia="zh-CN"/>
              </w:rPr>
              <w:t>）、中班（</w:t>
            </w:r>
            <w:r>
              <w:rPr>
                <w:rFonts w:hint="eastAsia" w:ascii="宋体" w:hAnsi="宋体" w:cs="宋体"/>
                <w:bCs/>
                <w:color w:val="auto"/>
                <w:kern w:val="0"/>
                <w:szCs w:val="21"/>
                <w:highlight w:val="none"/>
                <w:lang w:val="en-US" w:eastAsia="zh-CN"/>
              </w:rPr>
              <w:t>12：00-18：00</w:t>
            </w:r>
            <w:r>
              <w:rPr>
                <w:rFonts w:hint="eastAsia" w:ascii="宋体" w:hAnsi="宋体" w:cs="宋体"/>
                <w:bCs/>
                <w:color w:val="auto"/>
                <w:kern w:val="0"/>
                <w:szCs w:val="21"/>
                <w:highlight w:val="none"/>
                <w:lang w:eastAsia="zh-CN"/>
              </w:rPr>
              <w:t>）、晚班（</w:t>
            </w:r>
            <w:r>
              <w:rPr>
                <w:rFonts w:hint="eastAsia" w:ascii="宋体" w:hAnsi="宋体" w:cs="宋体"/>
                <w:bCs/>
                <w:color w:val="auto"/>
                <w:kern w:val="0"/>
                <w:szCs w:val="21"/>
                <w:highlight w:val="none"/>
                <w:lang w:val="en-US" w:eastAsia="zh-CN"/>
              </w:rPr>
              <w:t>17：00-22：00</w:t>
            </w:r>
            <w:r>
              <w:rPr>
                <w:rFonts w:hint="eastAsia" w:ascii="宋体" w:hAnsi="宋体" w:cs="宋体"/>
                <w:bCs/>
                <w:color w:val="auto"/>
                <w:kern w:val="0"/>
                <w:szCs w:val="21"/>
                <w:highlight w:val="none"/>
                <w:lang w:eastAsia="zh-CN"/>
              </w:rPr>
              <w:t>）、大夜班（</w:t>
            </w:r>
            <w:r>
              <w:rPr>
                <w:rFonts w:hint="eastAsia" w:ascii="宋体" w:hAnsi="宋体" w:cs="宋体"/>
                <w:bCs/>
                <w:color w:val="auto"/>
                <w:kern w:val="0"/>
                <w:szCs w:val="21"/>
                <w:highlight w:val="none"/>
                <w:lang w:val="en-US" w:eastAsia="zh-CN"/>
              </w:rPr>
              <w:t>22：00-次日8：00</w:t>
            </w:r>
            <w:r>
              <w:rPr>
                <w:rFonts w:hint="eastAsia" w:ascii="宋体" w:hAnsi="宋体" w:cs="宋体"/>
                <w:bCs/>
                <w:color w:val="auto"/>
                <w:kern w:val="0"/>
                <w:szCs w:val="21"/>
                <w:highlight w:val="none"/>
                <w:lang w:eastAsia="zh-CN"/>
              </w:rPr>
              <w:t>），其中律师中班时间为灵活调整时间。</w:t>
            </w:r>
          </w:p>
          <w:p w14:paraId="3D85CD4A">
            <w:pPr>
              <w:keepLines/>
              <w:widowControl/>
              <w:shd w:val="clear" w:color="auto" w:fill="auto"/>
              <w:adjustRightInd/>
              <w:spacing w:line="288" w:lineRule="auto"/>
              <w:ind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lang w:eastAsia="zh-CN"/>
              </w:rPr>
              <w:t>（2）人员：周一至周五每天安排客服人员早班2人、行政班3人、晚班3人、大夜班1人，执业律师行政班5人、晚班1人、大夜班1人。周六、日每天安排客服人员早班2人、行政班2人、晚班2人、大夜班1人，执业律师行政班2人、晚班1人、大夜班1人。</w:t>
            </w:r>
          </w:p>
          <w:p w14:paraId="34645A97">
            <w:pPr>
              <w:keepLines/>
              <w:widowControl/>
              <w:shd w:val="clear" w:color="auto" w:fill="auto"/>
              <w:adjustRightInd/>
              <w:spacing w:line="288" w:lineRule="auto"/>
              <w:jc w:val="lef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6.其他要求</w:t>
            </w:r>
          </w:p>
          <w:p w14:paraId="7DD07CD3">
            <w:pPr>
              <w:keepNext w:val="0"/>
              <w:keepLines/>
              <w:pageBreakBefore w:val="0"/>
              <w:widowControl/>
              <w:shd w:val="clear" w:color="auto" w:fill="auto"/>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提供节假日应急响应服务，在此期间安排负责人及技术人员进行7*24小时值班，确保</w:t>
            </w:r>
            <w:r>
              <w:rPr>
                <w:rFonts w:hint="eastAsia" w:ascii="宋体" w:hAnsi="宋体" w:cs="宋体"/>
                <w:bCs/>
                <w:color w:val="auto"/>
                <w:kern w:val="0"/>
                <w:szCs w:val="21"/>
                <w:highlight w:val="none"/>
                <w:u w:val="none"/>
                <w:lang w:eastAsia="zh-CN"/>
              </w:rPr>
              <w:t>广西法律服务网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12348广西法网</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u w:val="none"/>
                <w:lang w:eastAsia="zh-CN"/>
              </w:rPr>
              <w:t>及其</w:t>
            </w:r>
            <w:r>
              <w:rPr>
                <w:rFonts w:hint="eastAsia" w:ascii="宋体" w:hAnsi="宋体" w:cs="宋体"/>
                <w:bCs/>
                <w:color w:val="auto"/>
                <w:kern w:val="0"/>
                <w:szCs w:val="21"/>
                <w:highlight w:val="none"/>
                <w:u w:val="none"/>
                <w:lang w:val="en-US" w:eastAsia="zh-CN"/>
              </w:rPr>
              <w:t>APP</w:t>
            </w:r>
            <w:r>
              <w:rPr>
                <w:rFonts w:hint="eastAsia" w:ascii="宋体" w:hAnsi="宋体" w:cs="宋体"/>
                <w:bCs/>
                <w:color w:val="auto"/>
                <w:kern w:val="0"/>
                <w:szCs w:val="21"/>
                <w:highlight w:val="none"/>
              </w:rPr>
              <w:t>的正常运行</w:t>
            </w:r>
            <w:r>
              <w:rPr>
                <w:rFonts w:hint="eastAsia" w:ascii="宋体" w:hAnsi="宋体" w:cs="宋体"/>
                <w:bCs/>
                <w:color w:val="auto"/>
                <w:kern w:val="0"/>
                <w:szCs w:val="21"/>
                <w:highlight w:val="none"/>
                <w:lang w:eastAsia="zh-CN"/>
              </w:rPr>
              <w:t>，以及</w:t>
            </w:r>
            <w:r>
              <w:rPr>
                <w:rFonts w:hint="eastAsia" w:ascii="宋体" w:hAnsi="宋体" w:cs="宋体"/>
                <w:bCs/>
                <w:color w:val="auto"/>
                <w:kern w:val="0"/>
                <w:szCs w:val="21"/>
                <w:highlight w:val="none"/>
              </w:rPr>
              <w:t>及时</w:t>
            </w:r>
            <w:r>
              <w:rPr>
                <w:rFonts w:hint="eastAsia" w:ascii="宋体" w:hAnsi="宋体" w:cs="宋体"/>
                <w:bCs/>
                <w:color w:val="auto"/>
                <w:kern w:val="0"/>
                <w:szCs w:val="21"/>
                <w:highlight w:val="none"/>
                <w:lang w:val="en-US" w:eastAsia="zh-CN"/>
              </w:rPr>
              <w:t>签收</w:t>
            </w:r>
            <w:r>
              <w:rPr>
                <w:rFonts w:hint="eastAsia" w:ascii="宋体" w:hAnsi="宋体" w:cs="宋体"/>
                <w:bCs/>
                <w:color w:val="auto"/>
                <w:kern w:val="0"/>
                <w:szCs w:val="21"/>
                <w:highlight w:val="none"/>
              </w:rPr>
              <w:t>“12345”</w:t>
            </w:r>
            <w:r>
              <w:rPr>
                <w:rFonts w:hint="eastAsia" w:ascii="宋体" w:hAnsi="宋体" w:cs="宋体"/>
                <w:bCs/>
                <w:color w:val="auto"/>
                <w:kern w:val="0"/>
                <w:szCs w:val="21"/>
                <w:highlight w:val="none"/>
                <w:lang w:eastAsia="zh-CN"/>
              </w:rPr>
              <w:t>政务服务</w:t>
            </w:r>
            <w:r>
              <w:rPr>
                <w:rFonts w:hint="eastAsia" w:ascii="宋体" w:hAnsi="宋体" w:cs="宋体"/>
                <w:bCs/>
                <w:color w:val="auto"/>
                <w:kern w:val="0"/>
                <w:szCs w:val="21"/>
                <w:highlight w:val="none"/>
              </w:rPr>
              <w:t>热线转办工单。</w:t>
            </w:r>
          </w:p>
          <w:p w14:paraId="0B8DA836">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（1）当日值班员按照流程及时处理业务流程、技术咨询及各种信息。</w:t>
            </w:r>
          </w:p>
          <w:p w14:paraId="10CC8C62">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（2）交接班时发生系统运行障碍，一般由交班人员负责处理后再行交接；本班未处理完的事项，交接班后由接班人员继续处理。</w:t>
            </w:r>
          </w:p>
          <w:p w14:paraId="5158944A">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（3）遇有重大系统故障，值班人员应立即通知主管部门领导，主管部门领导应迅速组织相关技术人员到达现场查明原因、排除故障、尽快恢复。</w:t>
            </w:r>
          </w:p>
          <w:p w14:paraId="3965A739">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四</w:t>
            </w:r>
            <w:r>
              <w:rPr>
                <w:rFonts w:hint="eastAsia" w:ascii="宋体" w:hAnsi="宋体"/>
                <w:b/>
                <w:bCs/>
                <w:color w:val="auto"/>
                <w:szCs w:val="21"/>
                <w:highlight w:val="none"/>
              </w:rPr>
              <w:t>）对运维服务商要求</w:t>
            </w:r>
          </w:p>
          <w:p w14:paraId="0BE3176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应当提交服务人员名单。</w:t>
            </w:r>
          </w:p>
          <w:p w14:paraId="775779E6">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应当提交整体服务方案。</w:t>
            </w:r>
          </w:p>
          <w:p w14:paraId="73677905">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有成熟的运维管理体系，能提供完整的管理细则。</w:t>
            </w:r>
          </w:p>
          <w:p w14:paraId="0D602CF9">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b/>
                <w:bCs/>
                <w:color w:val="auto"/>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eastAsia="zh-CN"/>
              </w:rPr>
              <w:t>五</w:t>
            </w:r>
            <w:r>
              <w:rPr>
                <w:rFonts w:hint="eastAsia" w:ascii="宋体" w:hAnsi="宋体"/>
                <w:b/>
                <w:bCs/>
                <w:color w:val="auto"/>
                <w:szCs w:val="21"/>
                <w:highlight w:val="none"/>
              </w:rPr>
              <w:t>）</w:t>
            </w:r>
            <w:r>
              <w:rPr>
                <w:rFonts w:hint="eastAsia" w:ascii="宋体" w:hAnsi="宋体"/>
                <w:b/>
                <w:bCs/>
                <w:color w:val="auto"/>
                <w:szCs w:val="21"/>
                <w:highlight w:val="none"/>
                <w:lang w:eastAsia="zh-CN"/>
              </w:rPr>
              <w:t>舆情处理要求</w:t>
            </w:r>
          </w:p>
          <w:p w14:paraId="033DC733">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lang w:eastAsia="zh-CN"/>
              </w:rPr>
              <w:t>针对运维服务中可能出现的各类舆情风险，运维团队应制定相应的舆情处置预案，确保在舆情出现时能够快速响应及处置。严禁任何团队人员在广西法律服务网络平台上发布未经审核、易引发舆情的相关内容，“</w:t>
            </w:r>
            <w:r>
              <w:rPr>
                <w:rFonts w:hint="eastAsia" w:ascii="宋体" w:hAnsi="宋体" w:cs="宋体"/>
                <w:bCs/>
                <w:color w:val="auto"/>
                <w:kern w:val="0"/>
                <w:szCs w:val="21"/>
                <w:highlight w:val="none"/>
                <w:lang w:val="en-US" w:eastAsia="zh-CN"/>
              </w:rPr>
              <w:t>12348</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热线人员需</w:t>
            </w:r>
            <w:r>
              <w:rPr>
                <w:rFonts w:hint="eastAsia" w:ascii="宋体" w:hAnsi="宋体" w:cs="宋体"/>
                <w:bCs/>
                <w:color w:val="auto"/>
                <w:kern w:val="0"/>
                <w:szCs w:val="21"/>
                <w:highlight w:val="none"/>
                <w:lang w:eastAsia="zh-CN"/>
              </w:rPr>
              <w:t>依法依规解答来电群众诉求。</w:t>
            </w:r>
          </w:p>
          <w:p w14:paraId="69A66702">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b/>
                <w:bCs/>
                <w:color w:val="auto"/>
                <w:szCs w:val="21"/>
                <w:highlight w:val="none"/>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对信息安全保密的要求</w:t>
            </w:r>
          </w:p>
          <w:p w14:paraId="70A5ABA2">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1.认真遵守相关规定，认真遵守采购人其它各项安全保密的相关规定。定期对运维服务人员进行安全保密管理和思想教育，加强保密意识和安全生产意识。</w:t>
            </w:r>
          </w:p>
          <w:p w14:paraId="75EF7919">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2.对在该项目过程中接触到的涉及资料、文件、数据等承担保密义务；在该项目过程中不去刺探或者以其他不正当手段获取机密信息。</w:t>
            </w:r>
          </w:p>
          <w:p w14:paraId="46D716CE">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3.任何情况下，不将机密信息</w:t>
            </w:r>
            <w:r>
              <w:rPr>
                <w:rFonts w:hint="eastAsia" w:ascii="宋体" w:hAnsi="宋体" w:cs="宋体"/>
                <w:bCs/>
                <w:color w:val="auto"/>
                <w:kern w:val="0"/>
                <w:szCs w:val="21"/>
                <w:highlight w:val="none"/>
                <w:lang w:eastAsia="zh-CN"/>
              </w:rPr>
              <w:t>泄露</w:t>
            </w:r>
            <w:r>
              <w:rPr>
                <w:rFonts w:hint="eastAsia" w:ascii="宋体" w:hAnsi="宋体" w:cs="宋体"/>
                <w:bCs/>
                <w:color w:val="auto"/>
                <w:kern w:val="0"/>
                <w:szCs w:val="21"/>
                <w:highlight w:val="none"/>
              </w:rPr>
              <w:t>、告知、公布、发布、出版、传授、转让给任何第三方或以其他任何方式予以披露。</w:t>
            </w:r>
          </w:p>
          <w:p w14:paraId="757901F4">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4.因该项目需要所持有或保管的一切记录着上述信息的文件、资料、报告、信件、传真、磁带、磁盘以及其他任何形式的载体，须在运维服务终止后交还，不得留有这些文件以及复制件。</w:t>
            </w:r>
          </w:p>
          <w:p w14:paraId="1A71A7ED">
            <w:pPr>
              <w:keepNext w:val="0"/>
              <w:keepLines/>
              <w:pageBreakBefore w:val="0"/>
              <w:widowControl/>
              <w:shd w:val="clear" w:color="auto" w:fill="auto"/>
              <w:kinsoku/>
              <w:wordWrap/>
              <w:overflowPunct/>
              <w:topLinePunct w:val="0"/>
              <w:autoSpaceDE/>
              <w:autoSpaceDN/>
              <w:bidi w:val="0"/>
              <w:adjustRightInd/>
              <w:snapToGrid/>
              <w:spacing w:line="288" w:lineRule="auto"/>
              <w:ind w:left="0" w:leftChars="0" w:firstLine="420" w:firstLineChars="200"/>
              <w:jc w:val="left"/>
              <w:textAlignment w:val="auto"/>
              <w:rPr>
                <w:rFonts w:ascii="宋体" w:hAnsi="宋体" w:cs="宋体"/>
                <w:b/>
                <w:color w:val="auto"/>
                <w:kern w:val="0"/>
                <w:szCs w:val="21"/>
                <w:highlight w:val="none"/>
              </w:rPr>
            </w:pPr>
            <w:r>
              <w:rPr>
                <w:rFonts w:hint="eastAsia" w:ascii="宋体" w:hAnsi="宋体" w:cs="宋体"/>
                <w:bCs/>
                <w:color w:val="auto"/>
                <w:kern w:val="0"/>
                <w:szCs w:val="21"/>
                <w:highlight w:val="none"/>
              </w:rPr>
              <w:t>5.如发生失泄密事件，按照国家相关法律法规要求办理。</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七</w:t>
            </w:r>
            <w:r>
              <w:rPr>
                <w:rFonts w:hint="eastAsia" w:ascii="宋体" w:hAnsi="宋体" w:cs="宋体"/>
                <w:b/>
                <w:color w:val="auto"/>
                <w:kern w:val="0"/>
                <w:szCs w:val="21"/>
                <w:highlight w:val="none"/>
              </w:rPr>
              <w:t>）禁止性要求</w:t>
            </w:r>
          </w:p>
          <w:p w14:paraId="49D3F7F7">
            <w:pPr>
              <w:pStyle w:val="12"/>
              <w:keepNext w:val="0"/>
              <w:pageBreakBefore w:val="0"/>
              <w:shd w:val="clear" w:color="auto" w:fill="auto"/>
              <w:kinsoku/>
              <w:wordWrap/>
              <w:overflowPunct/>
              <w:topLinePunct w:val="0"/>
              <w:autoSpaceDE/>
              <w:autoSpaceDN/>
              <w:bidi w:val="0"/>
              <w:adjustRightInd/>
              <w:snapToGrid/>
              <w:spacing w:line="288" w:lineRule="auto"/>
              <w:ind w:firstLine="420" w:firstLineChars="200"/>
              <w:jc w:val="left"/>
              <w:textAlignment w:val="auto"/>
              <w:rPr>
                <w:rFonts w:ascii="宋体" w:hAnsi="宋体" w:cs="宋体"/>
                <w:b/>
                <w:color w:val="auto"/>
                <w:kern w:val="0"/>
                <w:szCs w:val="21"/>
                <w:highlight w:val="none"/>
              </w:rPr>
            </w:pPr>
            <w:r>
              <w:rPr>
                <w:rFonts w:hint="eastAsia" w:ascii="宋体" w:hAnsi="宋体" w:cs="宋体"/>
                <w:bCs/>
                <w:color w:val="auto"/>
                <w:kern w:val="0"/>
                <w:szCs w:val="21"/>
                <w:highlight w:val="none"/>
                <w:lang w:eastAsia="zh-CN"/>
              </w:rPr>
              <w:t>成交</w:t>
            </w:r>
            <w:r>
              <w:rPr>
                <w:rFonts w:hint="eastAsia" w:ascii="宋体" w:hAnsi="宋体" w:cs="宋体"/>
                <w:bCs/>
                <w:color w:val="auto"/>
                <w:kern w:val="0"/>
                <w:szCs w:val="21"/>
                <w:highlight w:val="none"/>
              </w:rPr>
              <w:t>供应商不得向广西各级司法行政机关销售公共法律服务自助终端、“互联网+”智能展示平台、智能机器人等智能设备及参与上述设备项目的采购。</w:t>
            </w:r>
          </w:p>
        </w:tc>
      </w:tr>
      <w:tr w14:paraId="62BC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9" w:type="dxa"/>
            <w:gridSpan w:val="5"/>
            <w:tcBorders>
              <w:top w:val="single" w:color="auto" w:sz="4" w:space="0"/>
              <w:left w:val="single" w:color="auto" w:sz="4" w:space="0"/>
              <w:bottom w:val="single" w:color="auto" w:sz="4" w:space="0"/>
              <w:right w:val="single" w:color="auto" w:sz="4" w:space="0"/>
            </w:tcBorders>
            <w:noWrap w:val="0"/>
            <w:vAlign w:val="top"/>
          </w:tcPr>
          <w:p w14:paraId="38591354">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Theme="minorEastAsia"/>
                <w:color w:val="auto"/>
                <w:szCs w:val="21"/>
                <w:highlight w:val="none"/>
                <w:lang w:eastAsia="zh-CN"/>
              </w:rPr>
            </w:pPr>
            <w:r>
              <w:rPr>
                <w:rFonts w:hint="eastAsia" w:ascii="宋体" w:hAnsi="宋体"/>
                <w:b/>
                <w:color w:val="auto"/>
                <w:szCs w:val="21"/>
                <w:highlight w:val="none"/>
              </w:rPr>
              <w:t>商务条款</w:t>
            </w:r>
            <w:r>
              <w:rPr>
                <w:rFonts w:hint="eastAsia" w:ascii="宋体" w:hAnsi="宋体"/>
                <w:b/>
                <w:color w:val="auto"/>
                <w:szCs w:val="21"/>
                <w:highlight w:val="none"/>
                <w:lang w:eastAsia="zh-CN"/>
              </w:rPr>
              <w:t>要求</w:t>
            </w:r>
          </w:p>
        </w:tc>
      </w:tr>
      <w:tr w14:paraId="2931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4" w:hRule="atLeast"/>
          <w:jc w:val="center"/>
        </w:trPr>
        <w:tc>
          <w:tcPr>
            <w:tcW w:w="9349" w:type="dxa"/>
            <w:gridSpan w:val="5"/>
            <w:tcBorders>
              <w:top w:val="single" w:color="auto" w:sz="4" w:space="0"/>
              <w:left w:val="single" w:color="auto" w:sz="4" w:space="0"/>
              <w:bottom w:val="single" w:color="auto" w:sz="4" w:space="0"/>
              <w:right w:val="single" w:color="auto" w:sz="4" w:space="0"/>
            </w:tcBorders>
            <w:noWrap w:val="0"/>
            <w:vAlign w:val="center"/>
          </w:tcPr>
          <w:p w14:paraId="52F5B8D6">
            <w:pPr>
              <w:pStyle w:val="14"/>
              <w:shd w:val="clear" w:color="auto" w:fill="auto"/>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合同签订时间：自成交通知书发出之日起25日内。</w:t>
            </w:r>
          </w:p>
          <w:p w14:paraId="58C3E82F">
            <w:pPr>
              <w:pStyle w:val="14"/>
              <w:shd w:val="clear" w:color="auto" w:fill="auto"/>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运维服务时间：自合同签订之日起一年。</w:t>
            </w:r>
          </w:p>
          <w:p w14:paraId="6BF3A7FD">
            <w:pPr>
              <w:pStyle w:val="14"/>
              <w:shd w:val="clear" w:color="auto" w:fill="auto"/>
              <w:ind w:left="0" w:leftChars="0" w:firstLine="0" w:firstLineChars="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cs="Times New Roman"/>
                <w:b w:val="0"/>
                <w:bCs w:val="0"/>
                <w:color w:val="auto"/>
                <w:kern w:val="2"/>
                <w:sz w:val="21"/>
                <w:szCs w:val="21"/>
                <w:highlight w:val="none"/>
                <w:lang w:val="en-US" w:eastAsia="zh-CN" w:bidi="ar-SA"/>
              </w:rPr>
              <w:t>3、</w:t>
            </w:r>
            <w:r>
              <w:rPr>
                <w:rFonts w:hint="eastAsia" w:ascii="宋体" w:hAnsi="宋体" w:eastAsia="宋体" w:cs="Times New Roman"/>
                <w:b w:val="0"/>
                <w:bCs w:val="0"/>
                <w:color w:val="auto"/>
                <w:kern w:val="2"/>
                <w:sz w:val="21"/>
                <w:szCs w:val="21"/>
                <w:highlight w:val="none"/>
                <w:lang w:val="en-US" w:eastAsia="zh-CN" w:bidi="ar-SA"/>
              </w:rPr>
              <w:t>提交服务地点：采购人指定地点。</w:t>
            </w:r>
          </w:p>
          <w:p w14:paraId="65ED9538">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val="en-US" w:eastAsia="zh-CN"/>
              </w:rPr>
              <w:t>4、</w:t>
            </w:r>
            <w:r>
              <w:rPr>
                <w:rFonts w:hint="eastAsia" w:ascii="宋体" w:hAnsi="宋体" w:eastAsia="宋体" w:cs="Times New Roman"/>
                <w:b w:val="0"/>
                <w:bCs w:val="0"/>
                <w:color w:val="auto"/>
                <w:szCs w:val="21"/>
                <w:highlight w:val="none"/>
              </w:rPr>
              <w:t>售后服务：</w:t>
            </w:r>
          </w:p>
          <w:p w14:paraId="654168E6">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1</w:t>
            </w: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rPr>
              <w:t>响应时间：</w:t>
            </w:r>
            <w:r>
              <w:rPr>
                <w:rFonts w:hint="eastAsia" w:ascii="宋体" w:hAnsi="宋体" w:eastAsia="宋体" w:cs="Times New Roman"/>
                <w:b w:val="0"/>
                <w:bCs w:val="0"/>
                <w:color w:val="auto"/>
                <w:szCs w:val="21"/>
                <w:highlight w:val="none"/>
                <w:lang w:eastAsia="zh-CN"/>
              </w:rPr>
              <w:t>供应商</w:t>
            </w:r>
            <w:r>
              <w:rPr>
                <w:rFonts w:hint="eastAsia" w:ascii="宋体" w:hAnsi="宋体" w:eastAsia="宋体" w:cs="Times New Roman"/>
                <w:b w:val="0"/>
                <w:bCs w:val="0"/>
                <w:color w:val="auto"/>
                <w:szCs w:val="21"/>
                <w:highlight w:val="none"/>
              </w:rPr>
              <w:t>提供7*24小时电话支持服务，运维服务期内出现故障，要求60分钟内做出响应，2个小时内赶往现场，8小时内解决问题。</w:t>
            </w:r>
          </w:p>
          <w:p w14:paraId="365CB733">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eastAsia="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eastAsia="zh-CN"/>
              </w:rPr>
              <w:t>）供应商具备与本项目匹配的服务能力，提供必要的技术人员和技术服务能力，以响应采购人的售后服务要求。</w:t>
            </w:r>
          </w:p>
          <w:p w14:paraId="16E1E39C">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付款方式</w:t>
            </w:r>
            <w:r>
              <w:rPr>
                <w:rFonts w:hint="eastAsia" w:ascii="Calibri" w:hAnsi="Calibri" w:cs="Calibri"/>
                <w:b w:val="0"/>
                <w:bCs w:val="0"/>
                <w:color w:val="auto"/>
                <w:szCs w:val="21"/>
                <w:highlight w:val="none"/>
              </w:rPr>
              <w:t>：</w:t>
            </w:r>
            <w:r>
              <w:rPr>
                <w:rFonts w:hint="eastAsia" w:ascii="宋体" w:hAnsi="宋体" w:eastAsia="宋体" w:cs="Times New Roman"/>
                <w:b w:val="0"/>
                <w:bCs w:val="0"/>
                <w:color w:val="auto"/>
                <w:szCs w:val="21"/>
                <w:highlight w:val="none"/>
              </w:rPr>
              <w:t>签订合同之日起10个工作日内预付款合同总金额的35%，成交供应商正式入驻并提供服务6个月，支付合同总金额的50%，项目合同期满通过验收并完成移交工作后，支付合同总额的15%，供应商自收到合同款之日起7个工作日内开具发票给采购人。</w:t>
            </w:r>
          </w:p>
          <w:p w14:paraId="1285EC3F">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b w:val="0"/>
                <w:bCs w:val="0"/>
                <w:color w:val="auto"/>
                <w:szCs w:val="21"/>
                <w:highlight w:val="none"/>
              </w:rPr>
            </w:pPr>
            <w:r>
              <w:rPr>
                <w:rFonts w:hint="eastAsia" w:ascii="宋体" w:hAnsi="宋体" w:eastAsia="宋体" w:cs="Times New Roman"/>
                <w:b w:val="0"/>
                <w:bCs w:val="0"/>
                <w:color w:val="auto"/>
                <w:szCs w:val="21"/>
                <w:highlight w:val="none"/>
                <w:lang w:val="en-US" w:eastAsia="zh-CN"/>
              </w:rPr>
              <w:t>6、报价要求：</w:t>
            </w:r>
          </w:p>
          <w:p w14:paraId="07C694C6">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b w:val="0"/>
                <w:bCs w:val="0"/>
                <w:color w:val="auto"/>
                <w:szCs w:val="21"/>
                <w:highlight w:val="none"/>
              </w:rPr>
            </w:pPr>
            <w:r>
              <w:rPr>
                <w:rFonts w:hint="eastAsia" w:ascii="宋体" w:hAnsi="宋体"/>
                <w:b w:val="0"/>
                <w:bCs w:val="0"/>
                <w:color w:val="auto"/>
                <w:szCs w:val="21"/>
                <w:highlight w:val="none"/>
              </w:rPr>
              <w:t>（1）报价必须</w:t>
            </w:r>
            <w:r>
              <w:rPr>
                <w:rFonts w:hint="eastAsia" w:ascii="宋体" w:hAnsi="宋体"/>
                <w:b w:val="0"/>
                <w:bCs w:val="0"/>
                <w:color w:val="auto"/>
                <w:szCs w:val="21"/>
                <w:highlight w:val="none"/>
                <w:lang w:eastAsia="zh-CN"/>
              </w:rPr>
              <w:t>包</w:t>
            </w:r>
            <w:r>
              <w:rPr>
                <w:rFonts w:hint="eastAsia" w:ascii="宋体" w:hAnsi="宋体"/>
                <w:b w:val="0"/>
                <w:bCs w:val="0"/>
                <w:color w:val="auto"/>
                <w:szCs w:val="21"/>
                <w:highlight w:val="none"/>
              </w:rPr>
              <w:t>含</w:t>
            </w:r>
            <w:r>
              <w:rPr>
                <w:rFonts w:hint="eastAsia" w:ascii="宋体" w:hAnsi="宋体"/>
                <w:b w:val="0"/>
                <w:bCs w:val="0"/>
                <w:color w:val="auto"/>
                <w:szCs w:val="21"/>
                <w:highlight w:val="none"/>
                <w:lang w:eastAsia="zh-CN"/>
              </w:rPr>
              <w:t>但不限于</w:t>
            </w:r>
            <w:r>
              <w:rPr>
                <w:rFonts w:hint="eastAsia" w:ascii="宋体" w:hAnsi="宋体"/>
                <w:b w:val="0"/>
                <w:bCs w:val="0"/>
                <w:color w:val="auto"/>
                <w:szCs w:val="21"/>
                <w:highlight w:val="none"/>
              </w:rPr>
              <w:t>以下部分：</w:t>
            </w:r>
            <w:r>
              <w:rPr>
                <w:rFonts w:hint="eastAsia" w:ascii="宋体" w:hAnsi="宋体"/>
                <w:b w:val="0"/>
                <w:bCs w:val="0"/>
                <w:color w:val="auto"/>
                <w:szCs w:val="21"/>
                <w:highlight w:val="none"/>
                <w:lang w:eastAsia="zh-CN"/>
              </w:rPr>
              <w:t>服务的价格、</w:t>
            </w:r>
            <w:r>
              <w:rPr>
                <w:rFonts w:hint="eastAsia" w:ascii="宋体" w:hAnsi="宋体"/>
                <w:b w:val="0"/>
                <w:bCs w:val="0"/>
                <w:color w:val="auto"/>
                <w:szCs w:val="21"/>
                <w:highlight w:val="none"/>
              </w:rPr>
              <w:t>人工</w:t>
            </w:r>
            <w:r>
              <w:rPr>
                <w:rFonts w:hint="eastAsia" w:ascii="宋体" w:hAnsi="宋体"/>
                <w:b w:val="0"/>
                <w:bCs w:val="0"/>
                <w:color w:val="auto"/>
                <w:szCs w:val="21"/>
                <w:highlight w:val="none"/>
                <w:lang w:eastAsia="zh-CN"/>
              </w:rPr>
              <w:t>工资</w:t>
            </w:r>
            <w:r>
              <w:rPr>
                <w:rFonts w:hint="eastAsia" w:ascii="宋体" w:hAnsi="宋体"/>
                <w:b w:val="0"/>
                <w:bCs w:val="0"/>
                <w:color w:val="auto"/>
                <w:szCs w:val="21"/>
                <w:highlight w:val="none"/>
              </w:rPr>
              <w:t>、设备、</w:t>
            </w:r>
            <w:r>
              <w:rPr>
                <w:rFonts w:hint="eastAsia" w:ascii="宋体" w:hAnsi="宋体"/>
                <w:b w:val="0"/>
                <w:bCs w:val="0"/>
                <w:color w:val="auto"/>
                <w:szCs w:val="21"/>
                <w:highlight w:val="none"/>
                <w:lang w:val="en-US" w:eastAsia="zh-CN"/>
              </w:rPr>
              <w:t>运维</w:t>
            </w:r>
            <w:r>
              <w:rPr>
                <w:rFonts w:hint="eastAsia" w:ascii="宋体" w:hAnsi="宋体"/>
                <w:b w:val="0"/>
                <w:bCs w:val="0"/>
                <w:color w:val="auto"/>
                <w:szCs w:val="21"/>
                <w:highlight w:val="none"/>
              </w:rPr>
              <w:t>、编制报告、技术指导、</w:t>
            </w:r>
            <w:r>
              <w:rPr>
                <w:rFonts w:hint="eastAsia" w:ascii="宋体" w:hAnsi="宋体"/>
                <w:b w:val="0"/>
                <w:bCs w:val="0"/>
                <w:color w:val="auto"/>
                <w:szCs w:val="21"/>
                <w:highlight w:val="none"/>
                <w:lang w:eastAsia="zh-CN"/>
              </w:rPr>
              <w:t>售后服务、交通、通信、调试、培训、验收、保险、</w:t>
            </w:r>
            <w:r>
              <w:rPr>
                <w:rFonts w:hint="eastAsia" w:ascii="宋体" w:hAnsi="宋体"/>
                <w:b w:val="0"/>
                <w:bCs w:val="0"/>
                <w:color w:val="auto"/>
                <w:szCs w:val="21"/>
                <w:highlight w:val="none"/>
              </w:rPr>
              <w:t>税金</w:t>
            </w:r>
            <w:r>
              <w:rPr>
                <w:rFonts w:hint="eastAsia" w:ascii="宋体" w:hAnsi="宋体"/>
                <w:b w:val="0"/>
                <w:bCs w:val="0"/>
                <w:color w:val="auto"/>
                <w:szCs w:val="21"/>
                <w:highlight w:val="none"/>
                <w:lang w:eastAsia="zh-CN"/>
              </w:rPr>
              <w:t>等</w:t>
            </w:r>
            <w:r>
              <w:rPr>
                <w:rFonts w:hint="eastAsia" w:ascii="宋体" w:hAnsi="宋体"/>
                <w:b w:val="0"/>
                <w:bCs w:val="0"/>
                <w:color w:val="auto"/>
                <w:szCs w:val="21"/>
                <w:highlight w:val="none"/>
              </w:rPr>
              <w:t>和</w:t>
            </w:r>
            <w:r>
              <w:rPr>
                <w:rFonts w:hint="eastAsia" w:ascii="宋体" w:hAnsi="宋体"/>
                <w:b w:val="0"/>
                <w:bCs w:val="0"/>
                <w:color w:val="auto"/>
                <w:szCs w:val="21"/>
                <w:highlight w:val="none"/>
                <w:lang w:eastAsia="zh-CN"/>
              </w:rPr>
              <w:t>本项目</w:t>
            </w:r>
            <w:r>
              <w:rPr>
                <w:rFonts w:hint="eastAsia" w:ascii="宋体" w:hAnsi="宋体"/>
                <w:b w:val="0"/>
                <w:bCs w:val="0"/>
                <w:color w:val="auto"/>
                <w:szCs w:val="21"/>
                <w:highlight w:val="none"/>
              </w:rPr>
              <w:t>相关的所需要的一切费用。</w:t>
            </w:r>
          </w:p>
          <w:p w14:paraId="0F226655">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Times New Roman"/>
                <w:b w:val="0"/>
                <w:bCs w:val="0"/>
                <w:color w:val="auto"/>
                <w:szCs w:val="21"/>
                <w:highlight w:val="none"/>
                <w:lang w:eastAsia="zh-CN"/>
              </w:rPr>
            </w:pPr>
            <w:r>
              <w:rPr>
                <w:rFonts w:hint="eastAsia" w:ascii="宋体" w:hAnsi="宋体"/>
                <w:b w:val="0"/>
                <w:bCs w:val="0"/>
                <w:color w:val="auto"/>
                <w:szCs w:val="21"/>
                <w:highlight w:val="none"/>
              </w:rPr>
              <w:t>（2）对于本文件中明确列明须报价的服务，供应商存在漏报的，将导致响应</w:t>
            </w:r>
            <w:r>
              <w:rPr>
                <w:rFonts w:hint="eastAsia" w:ascii="宋体" w:hAnsi="宋体"/>
                <w:b w:val="0"/>
                <w:bCs w:val="0"/>
                <w:color w:val="auto"/>
                <w:szCs w:val="21"/>
                <w:highlight w:val="none"/>
                <w:lang w:eastAsia="zh-CN"/>
              </w:rPr>
              <w:t>无效</w:t>
            </w:r>
            <w:r>
              <w:rPr>
                <w:rFonts w:hint="eastAsia" w:ascii="宋体" w:hAnsi="宋体"/>
                <w:b w:val="0"/>
                <w:bCs w:val="0"/>
                <w:color w:val="auto"/>
                <w:szCs w:val="21"/>
                <w:highlight w:val="none"/>
              </w:rPr>
              <w:t>。对于本文件中未列明，而供应商认为必需的费用也需列入总报价。在合同实施时，采购人将不予支付成交供应商没有列入的项目费用，并认为此项目的费用已包括在响应总报价中。</w:t>
            </w:r>
          </w:p>
          <w:p w14:paraId="064DF464">
            <w:pPr>
              <w:keepNext w:val="0"/>
              <w:pageBreakBefore w:val="0"/>
              <w:widowControl/>
              <w:shd w:val="clear" w:color="auto" w:fill="auto"/>
              <w:kinsoku/>
              <w:wordWrap/>
              <w:overflowPunct/>
              <w:topLinePunct w:val="0"/>
              <w:autoSpaceDE/>
              <w:autoSpaceDN/>
              <w:bidi w:val="0"/>
              <w:adjustRightInd/>
              <w:snapToGrid/>
              <w:spacing w:line="288" w:lineRule="auto"/>
              <w:ind w:left="0" w:leftChars="0" w:firstLine="0" w:firstLineChars="0"/>
              <w:jc w:val="left"/>
              <w:textAlignment w:val="auto"/>
              <w:rPr>
                <w:rFonts w:ascii="宋体" w:hAnsi="宋体"/>
                <w:color w:val="auto"/>
                <w:szCs w:val="21"/>
                <w:highlight w:val="none"/>
              </w:rPr>
            </w:pP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为使采购人充分了解供应商的服务能力，供应商在响应文件中须提供实施方案。</w:t>
            </w:r>
          </w:p>
        </w:tc>
      </w:tr>
    </w:tbl>
    <w:p w14:paraId="75782C25">
      <w:pPr>
        <w:pStyle w:val="35"/>
        <w:ind w:left="0" w:leftChars="0" w:firstLine="0" w:firstLineChars="0"/>
        <w:rPr>
          <w:color w:val="auto"/>
          <w:highlight w:val="none"/>
        </w:rPr>
        <w:sectPr>
          <w:footerReference r:id="rId6" w:type="default"/>
          <w:pgSz w:w="11906" w:h="16838"/>
          <w:pgMar w:top="1332" w:right="1434" w:bottom="1332" w:left="1434" w:header="850" w:footer="992" w:gutter="0"/>
          <w:cols w:space="0" w:num="1"/>
          <w:rtlGutter w:val="0"/>
          <w:docGrid w:type="lines" w:linePitch="315" w:charSpace="0"/>
        </w:sectPr>
      </w:pPr>
    </w:p>
    <w:p w14:paraId="6516DD90">
      <w:pPr>
        <w:pStyle w:val="18"/>
        <w:jc w:val="left"/>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3</w:t>
      </w:r>
      <w:r>
        <w:rPr>
          <w:rFonts w:hint="eastAsia" w:hAnsi="宋体" w:cs="宋体"/>
          <w:color w:val="auto"/>
          <w:sz w:val="32"/>
          <w:szCs w:val="32"/>
          <w:highlight w:val="none"/>
        </w:rPr>
        <w:t>：</w:t>
      </w:r>
    </w:p>
    <w:p w14:paraId="01F05ADE">
      <w:pPr>
        <w:pStyle w:val="18"/>
        <w:jc w:val="center"/>
        <w:rPr>
          <w:rFonts w:hint="eastAsia" w:hAnsi="宋体" w:cs="宋体"/>
          <w:color w:val="auto"/>
          <w:sz w:val="32"/>
          <w:szCs w:val="32"/>
          <w:highlight w:val="none"/>
        </w:rPr>
      </w:pPr>
      <w:r>
        <w:rPr>
          <w:rFonts w:hint="eastAsia" w:hAnsi="宋体" w:cs="宋体"/>
          <w:color w:val="auto"/>
          <w:sz w:val="32"/>
          <w:szCs w:val="32"/>
          <w:highlight w:val="none"/>
        </w:rPr>
        <w:t>中小微企业划型标准</w:t>
      </w:r>
    </w:p>
    <w:tbl>
      <w:tblPr>
        <w:tblStyle w:val="27"/>
        <w:tblW w:w="9460" w:type="dxa"/>
        <w:jc w:val="center"/>
        <w:tblLayout w:type="fixed"/>
        <w:tblCellMar>
          <w:top w:w="0" w:type="dxa"/>
          <w:left w:w="108" w:type="dxa"/>
          <w:bottom w:w="0" w:type="dxa"/>
          <w:right w:w="108" w:type="dxa"/>
        </w:tblCellMar>
      </w:tblPr>
      <w:tblGrid>
        <w:gridCol w:w="2286"/>
        <w:gridCol w:w="1428"/>
        <w:gridCol w:w="1195"/>
        <w:gridCol w:w="1850"/>
        <w:gridCol w:w="1644"/>
        <w:gridCol w:w="1057"/>
      </w:tblGrid>
      <w:tr w14:paraId="77A3D73E">
        <w:tblPrEx>
          <w:tblCellMar>
            <w:top w:w="0" w:type="dxa"/>
            <w:left w:w="108" w:type="dxa"/>
            <w:bottom w:w="0" w:type="dxa"/>
            <w:right w:w="108" w:type="dxa"/>
          </w:tblCellMar>
        </w:tblPrEx>
        <w:trPr>
          <w:trHeight w:val="674"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14:paraId="23DD152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28" w:type="dxa"/>
            <w:tcBorders>
              <w:top w:val="single" w:color="auto" w:sz="4" w:space="0"/>
              <w:left w:val="nil"/>
              <w:bottom w:val="single" w:color="auto" w:sz="4" w:space="0"/>
              <w:right w:val="single" w:color="auto" w:sz="4" w:space="0"/>
            </w:tcBorders>
            <w:noWrap w:val="0"/>
            <w:vAlign w:val="center"/>
          </w:tcPr>
          <w:p w14:paraId="38500F28">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195" w:type="dxa"/>
            <w:tcBorders>
              <w:top w:val="single" w:color="auto" w:sz="4" w:space="0"/>
              <w:left w:val="nil"/>
              <w:bottom w:val="single" w:color="auto" w:sz="4" w:space="0"/>
              <w:right w:val="single" w:color="auto" w:sz="4" w:space="0"/>
            </w:tcBorders>
            <w:noWrap w:val="0"/>
            <w:vAlign w:val="center"/>
          </w:tcPr>
          <w:p w14:paraId="0D25CEB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50" w:type="dxa"/>
            <w:tcBorders>
              <w:top w:val="single" w:color="auto" w:sz="4" w:space="0"/>
              <w:left w:val="nil"/>
              <w:bottom w:val="single" w:color="auto" w:sz="4" w:space="0"/>
              <w:right w:val="single" w:color="auto" w:sz="4" w:space="0"/>
            </w:tcBorders>
            <w:noWrap w:val="0"/>
            <w:vAlign w:val="center"/>
          </w:tcPr>
          <w:p w14:paraId="224C67A1">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4" w:type="dxa"/>
            <w:tcBorders>
              <w:top w:val="single" w:color="auto" w:sz="4" w:space="0"/>
              <w:left w:val="nil"/>
              <w:bottom w:val="single" w:color="auto" w:sz="4" w:space="0"/>
              <w:right w:val="single" w:color="auto" w:sz="4" w:space="0"/>
            </w:tcBorders>
            <w:noWrap w:val="0"/>
            <w:vAlign w:val="center"/>
          </w:tcPr>
          <w:p w14:paraId="4E73587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57" w:type="dxa"/>
            <w:tcBorders>
              <w:top w:val="single" w:color="auto" w:sz="4" w:space="0"/>
              <w:left w:val="nil"/>
              <w:bottom w:val="single" w:color="auto" w:sz="4" w:space="0"/>
              <w:right w:val="single" w:color="auto" w:sz="4" w:space="0"/>
            </w:tcBorders>
            <w:noWrap w:val="0"/>
            <w:vAlign w:val="center"/>
          </w:tcPr>
          <w:p w14:paraId="064DF139">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64EBC9FA">
        <w:tblPrEx>
          <w:tblCellMar>
            <w:top w:w="0" w:type="dxa"/>
            <w:left w:w="108" w:type="dxa"/>
            <w:bottom w:w="0" w:type="dxa"/>
            <w:right w:w="108" w:type="dxa"/>
          </w:tblCellMar>
        </w:tblPrEx>
        <w:trPr>
          <w:trHeight w:val="342" w:hRule="atLeast"/>
          <w:jc w:val="center"/>
        </w:trPr>
        <w:tc>
          <w:tcPr>
            <w:tcW w:w="2286" w:type="dxa"/>
            <w:tcBorders>
              <w:top w:val="nil"/>
              <w:left w:val="single" w:color="auto" w:sz="4" w:space="0"/>
              <w:bottom w:val="single" w:color="auto" w:sz="4" w:space="0"/>
              <w:right w:val="single" w:color="auto" w:sz="4" w:space="0"/>
            </w:tcBorders>
            <w:noWrap w:val="0"/>
            <w:vAlign w:val="center"/>
          </w:tcPr>
          <w:p w14:paraId="1524538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28" w:type="dxa"/>
            <w:tcBorders>
              <w:top w:val="nil"/>
              <w:left w:val="nil"/>
              <w:bottom w:val="single" w:color="auto" w:sz="4" w:space="0"/>
              <w:right w:val="single" w:color="auto" w:sz="4" w:space="0"/>
            </w:tcBorders>
            <w:noWrap w:val="0"/>
            <w:vAlign w:val="center"/>
          </w:tcPr>
          <w:p w14:paraId="426275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6BABFD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FBA79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noWrap w:val="0"/>
            <w:vAlign w:val="center"/>
          </w:tcPr>
          <w:p w14:paraId="31CF51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57" w:type="dxa"/>
            <w:tcBorders>
              <w:top w:val="nil"/>
              <w:left w:val="nil"/>
              <w:bottom w:val="single" w:color="auto" w:sz="4" w:space="0"/>
              <w:right w:val="single" w:color="auto" w:sz="4" w:space="0"/>
            </w:tcBorders>
            <w:noWrap w:val="0"/>
            <w:vAlign w:val="center"/>
          </w:tcPr>
          <w:p w14:paraId="708747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380F7BB">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376D8BB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28" w:type="dxa"/>
            <w:tcBorders>
              <w:top w:val="nil"/>
              <w:left w:val="nil"/>
              <w:bottom w:val="single" w:color="auto" w:sz="4" w:space="0"/>
              <w:right w:val="single" w:color="auto" w:sz="4" w:space="0"/>
            </w:tcBorders>
            <w:noWrap w:val="0"/>
            <w:vAlign w:val="center"/>
          </w:tcPr>
          <w:p w14:paraId="08A04B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510B676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43E81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noWrap w:val="0"/>
            <w:vAlign w:val="center"/>
          </w:tcPr>
          <w:p w14:paraId="4A6DBD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noWrap w:val="0"/>
            <w:vAlign w:val="center"/>
          </w:tcPr>
          <w:p w14:paraId="649813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D6691F">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2945142C">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6D77FE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2DEA83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75008D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4" w:type="dxa"/>
            <w:tcBorders>
              <w:top w:val="nil"/>
              <w:left w:val="nil"/>
              <w:bottom w:val="single" w:color="auto" w:sz="4" w:space="0"/>
              <w:right w:val="single" w:color="auto" w:sz="4" w:space="0"/>
            </w:tcBorders>
            <w:noWrap w:val="0"/>
            <w:vAlign w:val="center"/>
          </w:tcPr>
          <w:p w14:paraId="0E8EF8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57" w:type="dxa"/>
            <w:tcBorders>
              <w:top w:val="nil"/>
              <w:left w:val="nil"/>
              <w:bottom w:val="single" w:color="auto" w:sz="4" w:space="0"/>
              <w:right w:val="single" w:color="auto" w:sz="4" w:space="0"/>
            </w:tcBorders>
            <w:noWrap w:val="0"/>
            <w:vAlign w:val="center"/>
          </w:tcPr>
          <w:p w14:paraId="23FB66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600AA74">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70FE0D5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28" w:type="dxa"/>
            <w:tcBorders>
              <w:top w:val="nil"/>
              <w:left w:val="nil"/>
              <w:bottom w:val="single" w:color="auto" w:sz="4" w:space="0"/>
              <w:right w:val="single" w:color="auto" w:sz="4" w:space="0"/>
            </w:tcBorders>
            <w:noWrap w:val="0"/>
            <w:vAlign w:val="center"/>
          </w:tcPr>
          <w:p w14:paraId="6102CC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6888C6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6029D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4" w:type="dxa"/>
            <w:tcBorders>
              <w:top w:val="nil"/>
              <w:left w:val="nil"/>
              <w:bottom w:val="single" w:color="auto" w:sz="4" w:space="0"/>
              <w:right w:val="single" w:color="auto" w:sz="4" w:space="0"/>
            </w:tcBorders>
            <w:noWrap w:val="0"/>
            <w:vAlign w:val="center"/>
          </w:tcPr>
          <w:p w14:paraId="587B15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57" w:type="dxa"/>
            <w:tcBorders>
              <w:top w:val="nil"/>
              <w:left w:val="nil"/>
              <w:bottom w:val="single" w:color="auto" w:sz="4" w:space="0"/>
              <w:right w:val="single" w:color="auto" w:sz="4" w:space="0"/>
            </w:tcBorders>
            <w:noWrap w:val="0"/>
            <w:vAlign w:val="center"/>
          </w:tcPr>
          <w:p w14:paraId="1EFF74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01C4D0A">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075FFCB7">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038EEA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95" w:type="dxa"/>
            <w:tcBorders>
              <w:top w:val="nil"/>
              <w:left w:val="nil"/>
              <w:bottom w:val="single" w:color="auto" w:sz="4" w:space="0"/>
              <w:right w:val="single" w:color="auto" w:sz="4" w:space="0"/>
            </w:tcBorders>
            <w:noWrap w:val="0"/>
            <w:vAlign w:val="center"/>
          </w:tcPr>
          <w:p w14:paraId="7F310A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ABBAA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4" w:type="dxa"/>
            <w:tcBorders>
              <w:top w:val="nil"/>
              <w:left w:val="nil"/>
              <w:bottom w:val="single" w:color="auto" w:sz="4" w:space="0"/>
              <w:right w:val="single" w:color="auto" w:sz="4" w:space="0"/>
            </w:tcBorders>
            <w:noWrap w:val="0"/>
            <w:vAlign w:val="center"/>
          </w:tcPr>
          <w:p w14:paraId="3B33F3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57" w:type="dxa"/>
            <w:tcBorders>
              <w:top w:val="nil"/>
              <w:left w:val="nil"/>
              <w:bottom w:val="single" w:color="auto" w:sz="4" w:space="0"/>
              <w:right w:val="single" w:color="auto" w:sz="4" w:space="0"/>
            </w:tcBorders>
            <w:noWrap w:val="0"/>
            <w:vAlign w:val="center"/>
          </w:tcPr>
          <w:p w14:paraId="27384D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C4072E8">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096D698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28" w:type="dxa"/>
            <w:tcBorders>
              <w:top w:val="nil"/>
              <w:left w:val="nil"/>
              <w:bottom w:val="single" w:color="auto" w:sz="4" w:space="0"/>
              <w:right w:val="single" w:color="auto" w:sz="4" w:space="0"/>
            </w:tcBorders>
            <w:noWrap w:val="0"/>
            <w:vAlign w:val="center"/>
          </w:tcPr>
          <w:p w14:paraId="118209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02F01F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078C61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4" w:type="dxa"/>
            <w:tcBorders>
              <w:top w:val="nil"/>
              <w:left w:val="nil"/>
              <w:bottom w:val="single" w:color="auto" w:sz="4" w:space="0"/>
              <w:right w:val="single" w:color="auto" w:sz="4" w:space="0"/>
            </w:tcBorders>
            <w:noWrap w:val="0"/>
            <w:vAlign w:val="center"/>
          </w:tcPr>
          <w:p w14:paraId="1EFDDC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57" w:type="dxa"/>
            <w:tcBorders>
              <w:top w:val="nil"/>
              <w:left w:val="nil"/>
              <w:bottom w:val="single" w:color="auto" w:sz="4" w:space="0"/>
              <w:right w:val="single" w:color="auto" w:sz="4" w:space="0"/>
            </w:tcBorders>
            <w:noWrap w:val="0"/>
            <w:vAlign w:val="center"/>
          </w:tcPr>
          <w:p w14:paraId="24B9A9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FCDC36B">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6D867B89">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270FAC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07E2FE9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4D0728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4" w:type="dxa"/>
            <w:tcBorders>
              <w:top w:val="nil"/>
              <w:left w:val="nil"/>
              <w:bottom w:val="single" w:color="auto" w:sz="4" w:space="0"/>
              <w:right w:val="single" w:color="auto" w:sz="4" w:space="0"/>
            </w:tcBorders>
            <w:noWrap w:val="0"/>
            <w:vAlign w:val="center"/>
          </w:tcPr>
          <w:p w14:paraId="35F414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57" w:type="dxa"/>
            <w:tcBorders>
              <w:top w:val="nil"/>
              <w:left w:val="nil"/>
              <w:bottom w:val="single" w:color="auto" w:sz="4" w:space="0"/>
              <w:right w:val="single" w:color="auto" w:sz="4" w:space="0"/>
            </w:tcBorders>
            <w:noWrap w:val="0"/>
            <w:vAlign w:val="center"/>
          </w:tcPr>
          <w:p w14:paraId="3F9F4C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8548FA7">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47F4FA8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28" w:type="dxa"/>
            <w:tcBorders>
              <w:top w:val="nil"/>
              <w:left w:val="nil"/>
              <w:bottom w:val="single" w:color="auto" w:sz="4" w:space="0"/>
              <w:right w:val="single" w:color="auto" w:sz="4" w:space="0"/>
            </w:tcBorders>
            <w:noWrap w:val="0"/>
            <w:vAlign w:val="center"/>
          </w:tcPr>
          <w:p w14:paraId="52C888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280D40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0FB9B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4" w:type="dxa"/>
            <w:tcBorders>
              <w:top w:val="nil"/>
              <w:left w:val="nil"/>
              <w:bottom w:val="single" w:color="auto" w:sz="4" w:space="0"/>
              <w:right w:val="single" w:color="auto" w:sz="4" w:space="0"/>
            </w:tcBorders>
            <w:noWrap w:val="0"/>
            <w:vAlign w:val="center"/>
          </w:tcPr>
          <w:p w14:paraId="70F6D5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57" w:type="dxa"/>
            <w:tcBorders>
              <w:top w:val="nil"/>
              <w:left w:val="nil"/>
              <w:bottom w:val="single" w:color="auto" w:sz="4" w:space="0"/>
              <w:right w:val="single" w:color="auto" w:sz="4" w:space="0"/>
            </w:tcBorders>
            <w:noWrap w:val="0"/>
            <w:vAlign w:val="center"/>
          </w:tcPr>
          <w:p w14:paraId="4C4C0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6290EB">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053E5F2">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5FBF70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1FF1AC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36CE09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noWrap w:val="0"/>
            <w:vAlign w:val="center"/>
          </w:tcPr>
          <w:p w14:paraId="71C7DA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57" w:type="dxa"/>
            <w:tcBorders>
              <w:top w:val="nil"/>
              <w:left w:val="nil"/>
              <w:bottom w:val="single" w:color="auto" w:sz="4" w:space="0"/>
              <w:right w:val="single" w:color="auto" w:sz="4" w:space="0"/>
            </w:tcBorders>
            <w:noWrap w:val="0"/>
            <w:vAlign w:val="center"/>
          </w:tcPr>
          <w:p w14:paraId="28746D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8388FB">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6141627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28" w:type="dxa"/>
            <w:tcBorders>
              <w:top w:val="nil"/>
              <w:left w:val="nil"/>
              <w:bottom w:val="single" w:color="auto" w:sz="4" w:space="0"/>
              <w:right w:val="single" w:color="auto" w:sz="4" w:space="0"/>
            </w:tcBorders>
            <w:noWrap w:val="0"/>
            <w:vAlign w:val="center"/>
          </w:tcPr>
          <w:p w14:paraId="120B87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43AA3D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58AAFE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noWrap w:val="0"/>
            <w:vAlign w:val="center"/>
          </w:tcPr>
          <w:p w14:paraId="371C16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noWrap w:val="0"/>
            <w:vAlign w:val="center"/>
          </w:tcPr>
          <w:p w14:paraId="0382F4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5BD4088">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0A699FC">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58C61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2E8FDB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2E023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4" w:type="dxa"/>
            <w:tcBorders>
              <w:top w:val="nil"/>
              <w:left w:val="nil"/>
              <w:bottom w:val="single" w:color="auto" w:sz="4" w:space="0"/>
              <w:right w:val="single" w:color="auto" w:sz="4" w:space="0"/>
            </w:tcBorders>
            <w:noWrap w:val="0"/>
            <w:vAlign w:val="center"/>
          </w:tcPr>
          <w:p w14:paraId="03A514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57" w:type="dxa"/>
            <w:tcBorders>
              <w:top w:val="nil"/>
              <w:left w:val="nil"/>
              <w:bottom w:val="single" w:color="auto" w:sz="4" w:space="0"/>
              <w:right w:val="single" w:color="auto" w:sz="4" w:space="0"/>
            </w:tcBorders>
            <w:noWrap w:val="0"/>
            <w:vAlign w:val="center"/>
          </w:tcPr>
          <w:p w14:paraId="7A8630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FB70782">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1D550E5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28" w:type="dxa"/>
            <w:tcBorders>
              <w:top w:val="nil"/>
              <w:left w:val="nil"/>
              <w:bottom w:val="single" w:color="auto" w:sz="4" w:space="0"/>
              <w:right w:val="single" w:color="auto" w:sz="4" w:space="0"/>
            </w:tcBorders>
            <w:noWrap w:val="0"/>
            <w:vAlign w:val="center"/>
          </w:tcPr>
          <w:p w14:paraId="50358C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5EFC08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330B84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4" w:type="dxa"/>
            <w:tcBorders>
              <w:top w:val="nil"/>
              <w:left w:val="nil"/>
              <w:bottom w:val="single" w:color="auto" w:sz="4" w:space="0"/>
              <w:right w:val="single" w:color="auto" w:sz="4" w:space="0"/>
            </w:tcBorders>
            <w:noWrap w:val="0"/>
            <w:vAlign w:val="center"/>
          </w:tcPr>
          <w:p w14:paraId="7DAF58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57" w:type="dxa"/>
            <w:tcBorders>
              <w:top w:val="nil"/>
              <w:left w:val="nil"/>
              <w:bottom w:val="single" w:color="auto" w:sz="4" w:space="0"/>
              <w:right w:val="single" w:color="auto" w:sz="4" w:space="0"/>
            </w:tcBorders>
            <w:noWrap w:val="0"/>
            <w:vAlign w:val="center"/>
          </w:tcPr>
          <w:p w14:paraId="5CFCA1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F534382">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E355796">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2B061C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1BAFC5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7C7F9F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4" w:type="dxa"/>
            <w:tcBorders>
              <w:top w:val="nil"/>
              <w:left w:val="nil"/>
              <w:bottom w:val="single" w:color="auto" w:sz="4" w:space="0"/>
              <w:right w:val="single" w:color="auto" w:sz="4" w:space="0"/>
            </w:tcBorders>
            <w:noWrap w:val="0"/>
            <w:vAlign w:val="center"/>
          </w:tcPr>
          <w:p w14:paraId="319F02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noWrap w:val="0"/>
            <w:vAlign w:val="center"/>
          </w:tcPr>
          <w:p w14:paraId="6B3EDD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171BBA">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2962A95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28" w:type="dxa"/>
            <w:tcBorders>
              <w:top w:val="nil"/>
              <w:left w:val="nil"/>
              <w:bottom w:val="single" w:color="auto" w:sz="4" w:space="0"/>
              <w:right w:val="single" w:color="auto" w:sz="4" w:space="0"/>
            </w:tcBorders>
            <w:noWrap w:val="0"/>
            <w:vAlign w:val="center"/>
          </w:tcPr>
          <w:p w14:paraId="526C06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35FFC7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025252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noWrap w:val="0"/>
            <w:vAlign w:val="center"/>
          </w:tcPr>
          <w:p w14:paraId="7D9F7D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noWrap w:val="0"/>
            <w:vAlign w:val="center"/>
          </w:tcPr>
          <w:p w14:paraId="1EC576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C4A62A9">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C2AA857">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2D2E6C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7FAB9F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3FC6A8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4" w:type="dxa"/>
            <w:tcBorders>
              <w:top w:val="nil"/>
              <w:left w:val="nil"/>
              <w:bottom w:val="single" w:color="auto" w:sz="4" w:space="0"/>
              <w:right w:val="single" w:color="auto" w:sz="4" w:space="0"/>
            </w:tcBorders>
            <w:noWrap w:val="0"/>
            <w:vAlign w:val="center"/>
          </w:tcPr>
          <w:p w14:paraId="4F49F5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noWrap w:val="0"/>
            <w:vAlign w:val="center"/>
          </w:tcPr>
          <w:p w14:paraId="7DCDDA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44A8AB">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301226E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28" w:type="dxa"/>
            <w:tcBorders>
              <w:top w:val="nil"/>
              <w:left w:val="nil"/>
              <w:bottom w:val="single" w:color="auto" w:sz="4" w:space="0"/>
              <w:right w:val="single" w:color="auto" w:sz="4" w:space="0"/>
            </w:tcBorders>
            <w:noWrap w:val="0"/>
            <w:vAlign w:val="center"/>
          </w:tcPr>
          <w:p w14:paraId="74E984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69FE1E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7061A5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noWrap w:val="0"/>
            <w:vAlign w:val="center"/>
          </w:tcPr>
          <w:p w14:paraId="13D1B1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5ABD20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A76FB2">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FD5BE8D">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7C64EC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10E0D6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1F8A0E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noWrap w:val="0"/>
            <w:vAlign w:val="center"/>
          </w:tcPr>
          <w:p w14:paraId="480E49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noWrap w:val="0"/>
            <w:vAlign w:val="center"/>
          </w:tcPr>
          <w:p w14:paraId="77671E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DC18ED">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5DC158F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28" w:type="dxa"/>
            <w:tcBorders>
              <w:top w:val="nil"/>
              <w:left w:val="nil"/>
              <w:bottom w:val="single" w:color="auto" w:sz="4" w:space="0"/>
              <w:right w:val="single" w:color="auto" w:sz="4" w:space="0"/>
            </w:tcBorders>
            <w:noWrap w:val="0"/>
            <w:vAlign w:val="center"/>
          </w:tcPr>
          <w:p w14:paraId="533E18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5EEC7D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425923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noWrap w:val="0"/>
            <w:vAlign w:val="center"/>
          </w:tcPr>
          <w:p w14:paraId="76CA80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70797D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C98C10">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07C1353C">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3490DD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6AE4C2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76AB84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noWrap w:val="0"/>
            <w:vAlign w:val="center"/>
          </w:tcPr>
          <w:p w14:paraId="645F3E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noWrap w:val="0"/>
            <w:vAlign w:val="center"/>
          </w:tcPr>
          <w:p w14:paraId="6E2EE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080DE6">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207AD8B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28" w:type="dxa"/>
            <w:tcBorders>
              <w:top w:val="nil"/>
              <w:left w:val="nil"/>
              <w:bottom w:val="single" w:color="auto" w:sz="4" w:space="0"/>
              <w:right w:val="single" w:color="auto" w:sz="4" w:space="0"/>
            </w:tcBorders>
            <w:noWrap w:val="0"/>
            <w:vAlign w:val="center"/>
          </w:tcPr>
          <w:p w14:paraId="4E4092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2789E6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4BDFA4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4" w:type="dxa"/>
            <w:tcBorders>
              <w:top w:val="nil"/>
              <w:left w:val="nil"/>
              <w:bottom w:val="single" w:color="auto" w:sz="4" w:space="0"/>
              <w:right w:val="single" w:color="auto" w:sz="4" w:space="0"/>
            </w:tcBorders>
            <w:noWrap w:val="0"/>
            <w:vAlign w:val="center"/>
          </w:tcPr>
          <w:p w14:paraId="7B9C32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4C285E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44BABB">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1C268B00">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5B1C35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4C88EB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5DBAB1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4" w:type="dxa"/>
            <w:tcBorders>
              <w:top w:val="nil"/>
              <w:left w:val="nil"/>
              <w:bottom w:val="single" w:color="auto" w:sz="4" w:space="0"/>
              <w:right w:val="single" w:color="auto" w:sz="4" w:space="0"/>
            </w:tcBorders>
            <w:noWrap w:val="0"/>
            <w:vAlign w:val="center"/>
          </w:tcPr>
          <w:p w14:paraId="24CAA3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noWrap w:val="0"/>
            <w:vAlign w:val="center"/>
          </w:tcPr>
          <w:p w14:paraId="15D480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28C3A9">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0524C8F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28" w:type="dxa"/>
            <w:tcBorders>
              <w:top w:val="nil"/>
              <w:left w:val="nil"/>
              <w:bottom w:val="single" w:color="auto" w:sz="4" w:space="0"/>
              <w:right w:val="single" w:color="auto" w:sz="4" w:space="0"/>
            </w:tcBorders>
            <w:noWrap w:val="0"/>
            <w:vAlign w:val="center"/>
          </w:tcPr>
          <w:p w14:paraId="5F7623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6C94DD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742216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noWrap w:val="0"/>
            <w:vAlign w:val="center"/>
          </w:tcPr>
          <w:p w14:paraId="4E4E3C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5E74B1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910047">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4B531417">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56A593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6D3C1B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3DC9E5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4" w:type="dxa"/>
            <w:tcBorders>
              <w:top w:val="nil"/>
              <w:left w:val="nil"/>
              <w:bottom w:val="single" w:color="auto" w:sz="4" w:space="0"/>
              <w:right w:val="single" w:color="auto" w:sz="4" w:space="0"/>
            </w:tcBorders>
            <w:noWrap w:val="0"/>
            <w:vAlign w:val="center"/>
          </w:tcPr>
          <w:p w14:paraId="7B35BC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57" w:type="dxa"/>
            <w:tcBorders>
              <w:top w:val="nil"/>
              <w:left w:val="nil"/>
              <w:bottom w:val="single" w:color="auto" w:sz="4" w:space="0"/>
              <w:right w:val="single" w:color="auto" w:sz="4" w:space="0"/>
            </w:tcBorders>
            <w:noWrap w:val="0"/>
            <w:vAlign w:val="center"/>
          </w:tcPr>
          <w:p w14:paraId="16D59D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EFEE176">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4E330AC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28" w:type="dxa"/>
            <w:tcBorders>
              <w:top w:val="nil"/>
              <w:left w:val="nil"/>
              <w:bottom w:val="single" w:color="auto" w:sz="4" w:space="0"/>
              <w:right w:val="single" w:color="auto" w:sz="4" w:space="0"/>
            </w:tcBorders>
            <w:noWrap w:val="0"/>
            <w:vAlign w:val="center"/>
          </w:tcPr>
          <w:p w14:paraId="329B50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3F499D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21CC7C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4" w:type="dxa"/>
            <w:tcBorders>
              <w:top w:val="nil"/>
              <w:left w:val="nil"/>
              <w:bottom w:val="single" w:color="auto" w:sz="4" w:space="0"/>
              <w:right w:val="single" w:color="auto" w:sz="4" w:space="0"/>
            </w:tcBorders>
            <w:noWrap w:val="0"/>
            <w:vAlign w:val="center"/>
          </w:tcPr>
          <w:p w14:paraId="7E630E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57" w:type="dxa"/>
            <w:tcBorders>
              <w:top w:val="nil"/>
              <w:left w:val="nil"/>
              <w:bottom w:val="single" w:color="auto" w:sz="4" w:space="0"/>
              <w:right w:val="single" w:color="auto" w:sz="4" w:space="0"/>
            </w:tcBorders>
            <w:noWrap w:val="0"/>
            <w:vAlign w:val="center"/>
          </w:tcPr>
          <w:p w14:paraId="176841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3D95476">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0C45057C">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285EF4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95" w:type="dxa"/>
            <w:tcBorders>
              <w:top w:val="nil"/>
              <w:left w:val="nil"/>
              <w:bottom w:val="single" w:color="auto" w:sz="4" w:space="0"/>
              <w:right w:val="single" w:color="auto" w:sz="4" w:space="0"/>
            </w:tcBorders>
            <w:noWrap w:val="0"/>
            <w:vAlign w:val="center"/>
          </w:tcPr>
          <w:p w14:paraId="187616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4DCD8B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4" w:type="dxa"/>
            <w:tcBorders>
              <w:top w:val="nil"/>
              <w:left w:val="nil"/>
              <w:bottom w:val="single" w:color="auto" w:sz="4" w:space="0"/>
              <w:right w:val="single" w:color="auto" w:sz="4" w:space="0"/>
            </w:tcBorders>
            <w:noWrap w:val="0"/>
            <w:vAlign w:val="center"/>
          </w:tcPr>
          <w:p w14:paraId="7B65E3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57" w:type="dxa"/>
            <w:tcBorders>
              <w:top w:val="nil"/>
              <w:left w:val="nil"/>
              <w:bottom w:val="single" w:color="auto" w:sz="4" w:space="0"/>
              <w:right w:val="single" w:color="auto" w:sz="4" w:space="0"/>
            </w:tcBorders>
            <w:noWrap w:val="0"/>
            <w:vAlign w:val="center"/>
          </w:tcPr>
          <w:p w14:paraId="069FBF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E6CCFB5">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0C2F53A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28" w:type="dxa"/>
            <w:tcBorders>
              <w:top w:val="nil"/>
              <w:left w:val="nil"/>
              <w:bottom w:val="single" w:color="auto" w:sz="4" w:space="0"/>
              <w:right w:val="single" w:color="auto" w:sz="4" w:space="0"/>
            </w:tcBorders>
            <w:noWrap w:val="0"/>
            <w:vAlign w:val="center"/>
          </w:tcPr>
          <w:p w14:paraId="57490F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0E0C8D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0894F8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noWrap w:val="0"/>
            <w:vAlign w:val="center"/>
          </w:tcPr>
          <w:p w14:paraId="2609DE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57" w:type="dxa"/>
            <w:tcBorders>
              <w:top w:val="nil"/>
              <w:left w:val="nil"/>
              <w:bottom w:val="single" w:color="auto" w:sz="4" w:space="0"/>
              <w:right w:val="single" w:color="auto" w:sz="4" w:space="0"/>
            </w:tcBorders>
            <w:noWrap w:val="0"/>
            <w:vAlign w:val="center"/>
          </w:tcPr>
          <w:p w14:paraId="31E0A4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7D3EE95">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5C6D271B">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53491A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195" w:type="dxa"/>
            <w:tcBorders>
              <w:top w:val="nil"/>
              <w:left w:val="nil"/>
              <w:bottom w:val="single" w:color="auto" w:sz="4" w:space="0"/>
              <w:right w:val="single" w:color="auto" w:sz="4" w:space="0"/>
            </w:tcBorders>
            <w:noWrap w:val="0"/>
            <w:vAlign w:val="center"/>
          </w:tcPr>
          <w:p w14:paraId="462595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0F65B4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4" w:type="dxa"/>
            <w:tcBorders>
              <w:top w:val="nil"/>
              <w:left w:val="nil"/>
              <w:bottom w:val="single" w:color="auto" w:sz="4" w:space="0"/>
              <w:right w:val="single" w:color="auto" w:sz="4" w:space="0"/>
            </w:tcBorders>
            <w:noWrap w:val="0"/>
            <w:vAlign w:val="center"/>
          </w:tcPr>
          <w:p w14:paraId="0146DD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57" w:type="dxa"/>
            <w:tcBorders>
              <w:top w:val="nil"/>
              <w:left w:val="nil"/>
              <w:bottom w:val="single" w:color="auto" w:sz="4" w:space="0"/>
              <w:right w:val="single" w:color="auto" w:sz="4" w:space="0"/>
            </w:tcBorders>
            <w:noWrap w:val="0"/>
            <w:vAlign w:val="center"/>
          </w:tcPr>
          <w:p w14:paraId="09275A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DA9CD30">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noWrap w:val="0"/>
            <w:vAlign w:val="center"/>
          </w:tcPr>
          <w:p w14:paraId="5A10EE5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28" w:type="dxa"/>
            <w:tcBorders>
              <w:top w:val="nil"/>
              <w:left w:val="nil"/>
              <w:bottom w:val="single" w:color="auto" w:sz="4" w:space="0"/>
              <w:right w:val="single" w:color="auto" w:sz="4" w:space="0"/>
            </w:tcBorders>
            <w:noWrap w:val="0"/>
            <w:vAlign w:val="center"/>
          </w:tcPr>
          <w:p w14:paraId="04CE1C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2D17DF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1E49D7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noWrap w:val="0"/>
            <w:vAlign w:val="center"/>
          </w:tcPr>
          <w:p w14:paraId="3E2055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70BF17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222B2A">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noWrap w:val="0"/>
            <w:vAlign w:val="center"/>
          </w:tcPr>
          <w:p w14:paraId="60AFDB67">
            <w:pPr>
              <w:widowControl/>
              <w:jc w:val="center"/>
              <w:rPr>
                <w:rFonts w:hint="eastAsia" w:ascii="宋体" w:hAnsi="宋体" w:cs="宋体"/>
                <w:b/>
                <w:bCs/>
                <w:color w:val="auto"/>
                <w:kern w:val="0"/>
                <w:sz w:val="18"/>
                <w:szCs w:val="18"/>
                <w:highlight w:val="none"/>
              </w:rPr>
            </w:pPr>
          </w:p>
        </w:tc>
        <w:tc>
          <w:tcPr>
            <w:tcW w:w="1428" w:type="dxa"/>
            <w:tcBorders>
              <w:top w:val="nil"/>
              <w:left w:val="nil"/>
              <w:bottom w:val="single" w:color="auto" w:sz="4" w:space="0"/>
              <w:right w:val="single" w:color="auto" w:sz="4" w:space="0"/>
            </w:tcBorders>
            <w:noWrap w:val="0"/>
            <w:vAlign w:val="center"/>
          </w:tcPr>
          <w:p w14:paraId="3EDB60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195" w:type="dxa"/>
            <w:tcBorders>
              <w:top w:val="nil"/>
              <w:left w:val="nil"/>
              <w:bottom w:val="single" w:color="auto" w:sz="4" w:space="0"/>
              <w:right w:val="single" w:color="auto" w:sz="4" w:space="0"/>
            </w:tcBorders>
            <w:noWrap w:val="0"/>
            <w:vAlign w:val="center"/>
          </w:tcPr>
          <w:p w14:paraId="7134AB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noWrap w:val="0"/>
            <w:vAlign w:val="center"/>
          </w:tcPr>
          <w:p w14:paraId="19D2EE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4" w:type="dxa"/>
            <w:tcBorders>
              <w:top w:val="nil"/>
              <w:left w:val="nil"/>
              <w:bottom w:val="single" w:color="auto" w:sz="4" w:space="0"/>
              <w:right w:val="single" w:color="auto" w:sz="4" w:space="0"/>
            </w:tcBorders>
            <w:noWrap w:val="0"/>
            <w:vAlign w:val="center"/>
          </w:tcPr>
          <w:p w14:paraId="1019B8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57" w:type="dxa"/>
            <w:tcBorders>
              <w:top w:val="nil"/>
              <w:left w:val="nil"/>
              <w:bottom w:val="single" w:color="auto" w:sz="4" w:space="0"/>
              <w:right w:val="single" w:color="auto" w:sz="4" w:space="0"/>
            </w:tcBorders>
            <w:noWrap w:val="0"/>
            <w:vAlign w:val="center"/>
          </w:tcPr>
          <w:p w14:paraId="68A726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85C5821">
        <w:tblPrEx>
          <w:tblCellMar>
            <w:top w:w="0" w:type="dxa"/>
            <w:left w:w="108" w:type="dxa"/>
            <w:bottom w:w="0" w:type="dxa"/>
            <w:right w:w="108" w:type="dxa"/>
          </w:tblCellMar>
        </w:tblPrEx>
        <w:trPr>
          <w:trHeight w:val="352" w:hRule="atLeast"/>
          <w:jc w:val="center"/>
        </w:trPr>
        <w:tc>
          <w:tcPr>
            <w:tcW w:w="2286" w:type="dxa"/>
            <w:tcBorders>
              <w:top w:val="nil"/>
              <w:left w:val="single" w:color="auto" w:sz="4" w:space="0"/>
              <w:bottom w:val="single" w:color="auto" w:sz="4" w:space="0"/>
              <w:right w:val="single" w:color="auto" w:sz="4" w:space="0"/>
            </w:tcBorders>
            <w:noWrap w:val="0"/>
            <w:vAlign w:val="center"/>
          </w:tcPr>
          <w:p w14:paraId="154F1F9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28" w:type="dxa"/>
            <w:tcBorders>
              <w:top w:val="nil"/>
              <w:left w:val="nil"/>
              <w:bottom w:val="single" w:color="auto" w:sz="4" w:space="0"/>
              <w:right w:val="single" w:color="auto" w:sz="4" w:space="0"/>
            </w:tcBorders>
            <w:noWrap w:val="0"/>
            <w:vAlign w:val="center"/>
          </w:tcPr>
          <w:p w14:paraId="7B113C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195" w:type="dxa"/>
            <w:tcBorders>
              <w:top w:val="nil"/>
              <w:left w:val="nil"/>
              <w:bottom w:val="single" w:color="auto" w:sz="4" w:space="0"/>
              <w:right w:val="single" w:color="auto" w:sz="4" w:space="0"/>
            </w:tcBorders>
            <w:noWrap w:val="0"/>
            <w:vAlign w:val="center"/>
          </w:tcPr>
          <w:p w14:paraId="3C913B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noWrap w:val="0"/>
            <w:vAlign w:val="center"/>
          </w:tcPr>
          <w:p w14:paraId="777FB4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noWrap w:val="0"/>
            <w:vAlign w:val="center"/>
          </w:tcPr>
          <w:p w14:paraId="64B6A4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noWrap w:val="0"/>
            <w:vAlign w:val="center"/>
          </w:tcPr>
          <w:p w14:paraId="387116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A392D98">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4B35183">
      <w:pPr>
        <w:widowControl/>
        <w:jc w:val="left"/>
        <w:rPr>
          <w:rFonts w:hint="eastAsia" w:ascii="宋体" w:hAnsi="宋体" w:cs="宋体"/>
          <w:color w:val="auto"/>
          <w:szCs w:val="20"/>
          <w:highlight w:val="none"/>
        </w:rPr>
        <w:sectPr>
          <w:pgSz w:w="11906" w:h="16838"/>
          <w:pgMar w:top="1332" w:right="1434" w:bottom="1332" w:left="1434" w:header="850" w:footer="992" w:gutter="0"/>
          <w:cols w:space="0" w:num="1"/>
          <w:rtlGutter w:val="0"/>
          <w:docGrid w:type="lines" w:linePitch="315" w:charSpace="0"/>
        </w:sectPr>
      </w:pPr>
    </w:p>
    <w:p w14:paraId="3122E132">
      <w:pPr>
        <w:widowControl/>
        <w:tabs>
          <w:tab w:val="left" w:pos="0"/>
          <w:tab w:val="left" w:pos="3165"/>
          <w:tab w:val="center" w:pos="4153"/>
        </w:tabs>
        <w:autoSpaceDE w:val="0"/>
        <w:autoSpaceDN w:val="0"/>
        <w:adjustRightInd w:val="0"/>
        <w:spacing w:before="340" w:after="340" w:line="360" w:lineRule="auto"/>
        <w:ind w:firstLine="420"/>
        <w:jc w:val="center"/>
        <w:outlineLvl w:val="0"/>
        <w:rPr>
          <w:rFonts w:ascii="宋体" w:hAnsi="宋体" w:eastAsia="宋体" w:cs="宋体"/>
          <w:b/>
          <w:bCs/>
          <w:color w:val="auto"/>
          <w:kern w:val="44"/>
          <w:sz w:val="44"/>
          <w:szCs w:val="44"/>
          <w:highlight w:val="none"/>
        </w:rPr>
      </w:pPr>
      <w:bookmarkStart w:id="12" w:name="_Toc108596905"/>
      <w:bookmarkStart w:id="13" w:name="_Toc14106"/>
      <w:r>
        <w:rPr>
          <w:rFonts w:hint="eastAsia" w:ascii="宋体" w:hAnsi="宋体" w:eastAsia="宋体" w:cs="宋体"/>
          <w:b/>
          <w:bCs/>
          <w:color w:val="auto"/>
          <w:kern w:val="44"/>
          <w:sz w:val="44"/>
          <w:szCs w:val="44"/>
          <w:highlight w:val="none"/>
        </w:rPr>
        <w:t>第四章 评审程序、评审方法和评审标准</w:t>
      </w:r>
      <w:bookmarkEnd w:id="12"/>
      <w:bookmarkEnd w:id="13"/>
    </w:p>
    <w:p w14:paraId="1973D069">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一、评审程序和评审方法</w:t>
      </w:r>
    </w:p>
    <w:p w14:paraId="204F74DA">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1.资格审查</w:t>
      </w:r>
    </w:p>
    <w:p w14:paraId="6DF1F69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106BF0D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0CC97BF3">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397CF7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2ABA61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1311C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3D4FD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4DCB8131">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E6D7E9E">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（2）未按磋商文件规定的方式获取本磋商文件的供应商；</w:t>
      </w:r>
    </w:p>
    <w:p w14:paraId="425BE9C5">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14:paraId="3B37198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6FE54B2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F9E6B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1B309AB6">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2.符合性审查</w:t>
      </w:r>
    </w:p>
    <w:p w14:paraId="63DB8AE6">
      <w:pPr>
        <w:spacing w:line="360" w:lineRule="auto"/>
        <w:ind w:firstLine="420" w:firstLineChars="200"/>
        <w:rPr>
          <w:rFonts w:ascii="宋体" w:hAnsi="宋体" w:eastAsia="宋体" w:cs="宋体"/>
          <w:color w:val="auto"/>
          <w:szCs w:val="21"/>
          <w:highlight w:val="none"/>
        </w:rPr>
      </w:pPr>
      <w:bookmarkStart w:id="14" w:name="_Hlk42528882"/>
      <w:r>
        <w:rPr>
          <w:rFonts w:hint="eastAsia" w:ascii="宋体" w:hAnsi="宋体" w:eastAsia="宋体" w:cs="宋体"/>
          <w:color w:val="auto"/>
          <w:szCs w:val="21"/>
          <w:highlight w:val="none"/>
        </w:rPr>
        <w:t>2.1由磋商小组对通过资格审查的合格供应商的响应文件的磋商报价、商务、技术等实质性要求进行符合性审查，以确定其是否满足磋商文件的实质性要求。</w:t>
      </w:r>
    </w:p>
    <w:bookmarkEnd w:id="14"/>
    <w:p w14:paraId="33D6E1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69A946">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pacing w:val="-6"/>
          <w:szCs w:val="21"/>
          <w:highlight w:val="none"/>
        </w:rPr>
        <w:t>。供应商为自然人的，必须由本人签字并附身份证明。</w:t>
      </w:r>
    </w:p>
    <w:p w14:paraId="201516AF">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34A2DE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1B58E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93342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6171A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43FB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D7359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1C9349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31C35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145EC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1）提供响应文件正、副本数量不足；</w:t>
      </w:r>
    </w:p>
    <w:p w14:paraId="4F1E9D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2）响应文件未按磋商文件要求签署、盖章；</w:t>
      </w:r>
    </w:p>
    <w:p w14:paraId="5811CC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3）委托代理人未能出具有效身份证或者出具的身份证与授权委托书中的信息不符的； </w:t>
      </w:r>
    </w:p>
    <w:p w14:paraId="3AC54F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4）提交的磋商保证金无效的或者未按照磋商文件的规定提交磋商保证金；</w:t>
      </w:r>
    </w:p>
    <w:p w14:paraId="65499D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BBB60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6）商务要求允许负偏离的条款数超过“供应商须知前附表”规定项数的；</w:t>
      </w:r>
    </w:p>
    <w:p w14:paraId="7B15A0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7）未对磋商有效期作出响应或者响应文件承诺的磋商有效期不满足磋商文件要求；</w:t>
      </w:r>
    </w:p>
    <w:p w14:paraId="157C19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8）响应文件的实质性内容未使用中文表述、使用计量单位不符合磋商文件要求；</w:t>
      </w:r>
    </w:p>
    <w:p w14:paraId="381799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9）响应文件中的文件资料因填写不齐全或者内容虚假或者出现其他情形而导致被磋商小组认定无效；</w:t>
      </w:r>
    </w:p>
    <w:p w14:paraId="26D09D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10）响应文件含有采购人不能接受的附加条件；</w:t>
      </w:r>
    </w:p>
    <w:p w14:paraId="692280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11）属于“供应商须知正文”第7.5条情形；</w:t>
      </w:r>
    </w:p>
    <w:p w14:paraId="5E8B05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12）技术要求允许负偏离的条款数超过“供应商须知前附表”规定项数；</w:t>
      </w:r>
    </w:p>
    <w:p w14:paraId="4CB2C1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13）虚假竞标，或者出现其他情形而导致被磋商小组认定无效；</w:t>
      </w:r>
    </w:p>
    <w:p w14:paraId="3ADA28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w:t>
      </w:r>
      <w:bookmarkStart w:id="15"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15"/>
    </w:p>
    <w:p w14:paraId="151CBA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15）响应文件标注的项目名称或者项目编号与磋商文件标注的项目名称或者项目编号不一致的；</w:t>
      </w:r>
    </w:p>
    <w:p w14:paraId="03C43A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16）竞争性磋商采购文件明确不允许分包，响应文件拟分包的；</w:t>
      </w:r>
    </w:p>
    <w:p w14:paraId="19AD79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17）未响应磋商文件实质性要求；</w:t>
      </w:r>
    </w:p>
    <w:p w14:paraId="624703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18）法律、法规和磋商文件规定的其他无效情形。</w:t>
      </w:r>
    </w:p>
    <w:p w14:paraId="4518E0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E065FC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响应文件未提供“供应商须知前附表” 报价商务技术文件中规定的“磋商报价表”；</w:t>
      </w:r>
    </w:p>
    <w:p w14:paraId="07ED27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47A4A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完整唯一报价；供应商未就所竞标分标的全部内容作唯一总价报价；供应商响应文件中存在有选择、有条件报价的（磋商文件允许有备选方案或者其他约定的除外）；</w:t>
      </w:r>
    </w:p>
    <w:p w14:paraId="1AA09B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4）磋商报价（包含首次报价、最后报价）超过所竞标分标规定的采购预算金额或者最高限价的（如本项目公布了最高限价）；</w:t>
      </w:r>
      <w:bookmarkStart w:id="16" w:name="_Hlk42596405"/>
      <w:r>
        <w:rPr>
          <w:rFonts w:hint="eastAsia" w:ascii="宋体" w:hAnsi="宋体" w:eastAsia="宋体" w:cs="宋体"/>
          <w:color w:val="auto"/>
          <w:szCs w:val="21"/>
          <w:highlight w:val="none"/>
        </w:rPr>
        <w:t>磋商报价（包含首次报价、最后报价）</w:t>
      </w:r>
      <w:bookmarkEnd w:id="16"/>
      <w:bookmarkStart w:id="17" w:name="_Hlk42596276"/>
      <w:r>
        <w:rPr>
          <w:rFonts w:hint="eastAsia" w:ascii="宋体" w:hAnsi="宋体" w:eastAsia="宋体" w:cs="宋体"/>
          <w:color w:val="auto"/>
          <w:szCs w:val="21"/>
          <w:highlight w:val="none"/>
        </w:rPr>
        <w:t>超过磋商文件分项采购预算金额或者最高限价的</w:t>
      </w:r>
      <w:bookmarkEnd w:id="17"/>
      <w:r>
        <w:rPr>
          <w:rFonts w:hint="eastAsia" w:ascii="宋体" w:hAnsi="宋体" w:eastAsia="宋体" w:cs="宋体"/>
          <w:color w:val="auto"/>
          <w:szCs w:val="21"/>
          <w:highlight w:val="none"/>
        </w:rPr>
        <w:t>（如本项目公布了最高限价）；</w:t>
      </w:r>
    </w:p>
    <w:p w14:paraId="0BDF05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磋商报价（包含首次报价、最后报价）超过所竞标分标规定的采购预算金额或者最高限价（如本项目公布了最高限价）；或者经供应商确认修正后磋商报价（包含首次报价、最后报价）超过磋商文件分项采购预算金额或者最高限价的（如本项目公布了最高限价）。</w:t>
      </w:r>
    </w:p>
    <w:p w14:paraId="42D5FF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52B67F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8C09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35BFAA87">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3.磋商程序</w:t>
      </w:r>
    </w:p>
    <w:p w14:paraId="290A5EFE">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71CC6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86E60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04AD2D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49CE37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78D4FB14">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209BF5D0">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3.7磋商过程中重新提交的响应文件，供应商可以在开启前补充、修改。</w:t>
      </w:r>
    </w:p>
    <w:p w14:paraId="539768DA">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3.8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2F6009D">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3.9对磋商过程提交的响应文件进行有效性、完整性和响应程度审查，通过审查的合格供应商不足3家的，采购人或者采购代理机构应当重新开展采购活动。</w:t>
      </w:r>
    </w:p>
    <w:p w14:paraId="136BAB98">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4.最后报价</w:t>
      </w:r>
    </w:p>
    <w:p w14:paraId="56A55F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20AC14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A7808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 和本章第3.8条情形的，提交最后报价的供应商可以为2家。</w:t>
      </w:r>
    </w:p>
    <w:p w14:paraId="7FAF96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2E7D30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w:t>
      </w:r>
    </w:p>
    <w:p w14:paraId="2C90F5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77258D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647947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30F149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046905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（2）经供应商确认修正后的磋商报价（包含首次报价、最后报价）超过所竞标分标规定的采购预算金额或者最高限价的（如本项目公布了最高限价）；</w:t>
      </w:r>
    </w:p>
    <w:p w14:paraId="3CA55F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（3）经供应商确认修正后的磋商报价（包含首次报价、最后报价）超过分项采购预算金额或者最高限价的（如本项目公布了最高限价）。</w:t>
      </w:r>
    </w:p>
    <w:p w14:paraId="747E8E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449C50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highlight w:val="none"/>
        </w:rPr>
        <w:t>，磋商小组应当告知有关供应商</w:t>
      </w:r>
      <w:r>
        <w:rPr>
          <w:rFonts w:hint="eastAsia" w:ascii="宋体" w:hAnsi="宋体" w:eastAsia="宋体" w:cs="宋体"/>
          <w:color w:val="auto"/>
          <w:szCs w:val="21"/>
          <w:highlight w:val="none"/>
        </w:rPr>
        <w:t>。</w:t>
      </w:r>
    </w:p>
    <w:p w14:paraId="5D6D61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23DDD7F5">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5.比较与评价</w:t>
      </w:r>
    </w:p>
    <w:p w14:paraId="3583C3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55BC9A2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4F57CC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69F40D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BF444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62193D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3D542107">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BF9F25A">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27884F">
      <w:pPr>
        <w:keepNext/>
        <w:keepLines/>
        <w:pageBreakBefore w:val="0"/>
        <w:widowControl/>
        <w:kinsoku/>
        <w:wordWrap/>
        <w:overflowPunct/>
        <w:topLinePunct w:val="0"/>
        <w:autoSpaceDE/>
        <w:autoSpaceDN/>
        <w:bidi w:val="0"/>
        <w:adjustRightInd/>
        <w:snapToGrid/>
        <w:jc w:val="center"/>
        <w:textAlignment w:val="auto"/>
        <w:outlineLvl w:val="2"/>
        <w:rPr>
          <w:rFonts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二、评审标准</w:t>
      </w:r>
    </w:p>
    <w:p w14:paraId="590C13B1">
      <w:pPr>
        <w:widowControl/>
        <w:spacing w:line="360" w:lineRule="auto"/>
        <w:ind w:firstLine="424" w:firstLineChars="176"/>
        <w:jc w:val="left"/>
        <w:outlineLvl w:val="3"/>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6.评审依据</w:t>
      </w:r>
    </w:p>
    <w:p w14:paraId="1E5419D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磋商小组将以磋商响应文件为评审依据，对供应商的报价、技术、商务等方面内容按百分制打分。（计分方法按四舍五入取至百分位）</w:t>
      </w:r>
    </w:p>
    <w:tbl>
      <w:tblPr>
        <w:tblStyle w:val="27"/>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889"/>
        <w:gridCol w:w="1353"/>
        <w:gridCol w:w="6430"/>
        <w:gridCol w:w="763"/>
      </w:tblGrid>
      <w:tr w14:paraId="5D3B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77" w:type="dxa"/>
            <w:noWrap w:val="0"/>
            <w:vAlign w:val="center"/>
          </w:tcPr>
          <w:p w14:paraId="13518091">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bookmarkStart w:id="111" w:name="_GoBack"/>
            <w:r>
              <w:rPr>
                <w:rFonts w:hint="eastAsia" w:hAnsi="宋体" w:cs="Tahoma"/>
                <w:b/>
                <w:bCs/>
                <w:color w:val="auto"/>
                <w:kern w:val="0"/>
                <w:highlight w:val="none"/>
              </w:rPr>
              <w:t>序号</w:t>
            </w:r>
          </w:p>
        </w:tc>
        <w:tc>
          <w:tcPr>
            <w:tcW w:w="2242" w:type="dxa"/>
            <w:gridSpan w:val="2"/>
            <w:noWrap w:val="0"/>
            <w:vAlign w:val="center"/>
          </w:tcPr>
          <w:p w14:paraId="1E584B42">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r>
              <w:rPr>
                <w:rFonts w:hint="eastAsia" w:hAnsi="宋体" w:cs="Tahoma"/>
                <w:b/>
                <w:bCs/>
                <w:color w:val="auto"/>
                <w:kern w:val="0"/>
                <w:highlight w:val="none"/>
              </w:rPr>
              <w:t>评审因素</w:t>
            </w:r>
          </w:p>
        </w:tc>
        <w:tc>
          <w:tcPr>
            <w:tcW w:w="6430" w:type="dxa"/>
            <w:noWrap w:val="0"/>
            <w:vAlign w:val="center"/>
          </w:tcPr>
          <w:p w14:paraId="5AA7855D">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r>
              <w:rPr>
                <w:rFonts w:hint="eastAsia" w:hAnsi="宋体" w:cs="Tahoma"/>
                <w:b/>
                <w:bCs/>
                <w:color w:val="auto"/>
                <w:kern w:val="0"/>
                <w:highlight w:val="none"/>
              </w:rPr>
              <w:t>评审因素具体内容</w:t>
            </w:r>
          </w:p>
        </w:tc>
        <w:tc>
          <w:tcPr>
            <w:tcW w:w="763" w:type="dxa"/>
            <w:noWrap w:val="0"/>
            <w:vAlign w:val="center"/>
          </w:tcPr>
          <w:p w14:paraId="526D5EE3">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r>
              <w:rPr>
                <w:rFonts w:hint="eastAsia" w:hAnsi="宋体" w:cs="Tahoma"/>
                <w:b/>
                <w:bCs/>
                <w:color w:val="auto"/>
                <w:kern w:val="0"/>
                <w:highlight w:val="none"/>
              </w:rPr>
              <w:t>分值</w:t>
            </w:r>
          </w:p>
        </w:tc>
      </w:tr>
      <w:tr w14:paraId="184F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577" w:type="dxa"/>
            <w:noWrap w:val="0"/>
            <w:vAlign w:val="center"/>
          </w:tcPr>
          <w:p w14:paraId="68607D1C">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r>
              <w:rPr>
                <w:rFonts w:hint="eastAsia" w:hAnsi="宋体" w:cs="Tahoma"/>
                <w:b/>
                <w:bCs/>
                <w:color w:val="auto"/>
                <w:kern w:val="0"/>
                <w:highlight w:val="none"/>
              </w:rPr>
              <w:t>1</w:t>
            </w:r>
          </w:p>
        </w:tc>
        <w:tc>
          <w:tcPr>
            <w:tcW w:w="2242" w:type="dxa"/>
            <w:gridSpan w:val="2"/>
            <w:noWrap w:val="0"/>
            <w:vAlign w:val="center"/>
          </w:tcPr>
          <w:p w14:paraId="0C0F5106">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b/>
                <w:bCs/>
                <w:color w:val="auto"/>
                <w:highlight w:val="none"/>
              </w:rPr>
            </w:pPr>
            <w:r>
              <w:rPr>
                <w:rFonts w:hint="eastAsia"/>
                <w:b/>
                <w:bCs/>
                <w:color w:val="auto"/>
                <w:highlight w:val="none"/>
              </w:rPr>
              <w:t>价格分</w:t>
            </w:r>
          </w:p>
          <w:p w14:paraId="3D213BB4">
            <w:pPr>
              <w:pStyle w:val="14"/>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eastAsia="宋体"/>
                <w:b/>
                <w:bCs/>
                <w:color w:val="auto"/>
                <w:highlight w:val="none"/>
                <w:lang w:eastAsia="zh-CN"/>
              </w:rPr>
            </w:pPr>
            <w:r>
              <w:rPr>
                <w:rFonts w:hint="eastAsia" w:ascii="宋体" w:hAnsi="Calibri"/>
                <w:b/>
                <w:bCs/>
                <w:color w:val="auto"/>
                <w:kern w:val="2"/>
                <w:sz w:val="21"/>
                <w:szCs w:val="21"/>
                <w:highlight w:val="none"/>
                <w:lang w:val="en-US" w:eastAsia="zh-CN"/>
              </w:rPr>
              <w:t>（</w:t>
            </w:r>
            <w:r>
              <w:rPr>
                <w:rFonts w:hint="eastAsia" w:ascii="宋体" w:hAnsi="Calibri"/>
                <w:b/>
                <w:bCs/>
                <w:color w:val="auto"/>
                <w:kern w:val="2"/>
                <w:sz w:val="21"/>
                <w:szCs w:val="21"/>
                <w:highlight w:val="none"/>
                <w:lang w:val="en-US"/>
              </w:rPr>
              <w:t>满分</w:t>
            </w:r>
            <w:r>
              <w:rPr>
                <w:rFonts w:hint="eastAsia" w:ascii="宋体" w:hAnsi="Calibri"/>
                <w:b/>
                <w:bCs/>
                <w:color w:val="auto"/>
                <w:kern w:val="2"/>
                <w:sz w:val="21"/>
                <w:szCs w:val="21"/>
                <w:highlight w:val="none"/>
                <w:lang w:val="en-US" w:eastAsia="zh-CN"/>
              </w:rPr>
              <w:t>10</w:t>
            </w:r>
            <w:r>
              <w:rPr>
                <w:rFonts w:hint="eastAsia" w:ascii="宋体" w:hAnsi="Calibri"/>
                <w:b/>
                <w:bCs/>
                <w:color w:val="auto"/>
                <w:kern w:val="2"/>
                <w:sz w:val="21"/>
                <w:szCs w:val="21"/>
                <w:highlight w:val="none"/>
                <w:lang w:val="en-US"/>
              </w:rPr>
              <w:t>分</w:t>
            </w:r>
            <w:r>
              <w:rPr>
                <w:rFonts w:hint="eastAsia" w:ascii="宋体" w:hAnsi="Calibri"/>
                <w:b/>
                <w:bCs/>
                <w:color w:val="auto"/>
                <w:kern w:val="2"/>
                <w:sz w:val="21"/>
                <w:szCs w:val="21"/>
                <w:highlight w:val="none"/>
                <w:lang w:val="en-US" w:eastAsia="zh-CN"/>
              </w:rPr>
              <w:t>）</w:t>
            </w:r>
          </w:p>
        </w:tc>
        <w:tc>
          <w:tcPr>
            <w:tcW w:w="6430" w:type="dxa"/>
            <w:noWrap w:val="0"/>
            <w:vAlign w:val="top"/>
          </w:tcPr>
          <w:p w14:paraId="6935E1C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hAnsi="宋体" w:cs="Courier New"/>
                <w:bCs/>
                <w:color w:val="auto"/>
                <w:kern w:val="2"/>
                <w:sz w:val="21"/>
                <w:highlight w:val="none"/>
                <w:lang w:val="en-US"/>
              </w:rPr>
            </w:pPr>
            <w:r>
              <w:rPr>
                <w:rFonts w:hint="eastAsia" w:hAnsi="宋体" w:cs="Courier New"/>
                <w:bCs/>
                <w:color w:val="auto"/>
                <w:kern w:val="2"/>
                <w:sz w:val="21"/>
                <w:highlight w:val="none"/>
                <w:lang w:val="en-US" w:eastAsia="zh-CN"/>
              </w:rPr>
              <w:t>（1）</w:t>
            </w:r>
            <w:r>
              <w:rPr>
                <w:rFonts w:hint="eastAsia" w:hAnsi="宋体" w:cs="Courier New"/>
                <w:bCs/>
                <w:color w:val="auto"/>
                <w:kern w:val="2"/>
                <w:sz w:val="21"/>
                <w:highlight w:val="none"/>
                <w:lang w:val="en-US"/>
              </w:rPr>
              <w:t>评标价为磋商供应商的磋商报价进行政策性扣除后的价格，评标价只是作为评标时使用。最终成交人的成交=磋商报价。</w:t>
            </w:r>
          </w:p>
          <w:p w14:paraId="248B0BD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hAnsi="宋体" w:cs="Courier New"/>
                <w:bCs/>
                <w:color w:val="auto"/>
                <w:kern w:val="2"/>
                <w:sz w:val="21"/>
                <w:highlight w:val="none"/>
                <w:lang w:val="en-US"/>
              </w:rPr>
            </w:pPr>
            <w:r>
              <w:rPr>
                <w:rFonts w:hint="eastAsia" w:hAnsi="宋体" w:cs="Courier New"/>
                <w:bCs/>
                <w:color w:val="auto"/>
                <w:kern w:val="2"/>
                <w:sz w:val="21"/>
                <w:highlight w:val="none"/>
                <w:lang w:val="en-US" w:eastAsia="zh-CN"/>
              </w:rPr>
              <w:t>（2）</w:t>
            </w:r>
            <w:r>
              <w:rPr>
                <w:rFonts w:hint="eastAsia" w:hAnsi="宋体" w:cs="Courier New"/>
                <w:bCs/>
                <w:color w:val="auto"/>
                <w:kern w:val="2"/>
                <w:sz w:val="21"/>
                <w:highlight w:val="none"/>
                <w:lang w:val="en-US"/>
              </w:rPr>
              <w:t>按照《广西壮族自治区财政厅关于持续优化政府采购营商环境推动高质量发展的通知》（桂财采〔2024〕55号）规定，磋商供应商为小型和微型企业，并在其响应文件中提供《中小企业声明函》，对其竞标价格给予</w:t>
            </w:r>
            <w:r>
              <w:rPr>
                <w:rFonts w:hint="eastAsia" w:hAnsi="宋体" w:cs="Courier New"/>
                <w:bCs/>
                <w:color w:val="auto"/>
                <w:kern w:val="2"/>
                <w:sz w:val="21"/>
                <w:highlight w:val="none"/>
                <w:lang w:val="en-US" w:eastAsia="zh-CN"/>
              </w:rPr>
              <w:t>10</w:t>
            </w:r>
            <w:r>
              <w:rPr>
                <w:rFonts w:hint="eastAsia" w:hAnsi="宋体" w:cs="Courier New"/>
                <w:bCs/>
                <w:color w:val="auto"/>
                <w:kern w:val="2"/>
                <w:sz w:val="21"/>
                <w:highlight w:val="none"/>
                <w:lang w:val="en-US"/>
              </w:rPr>
              <w:t>%的扣除。</w:t>
            </w:r>
          </w:p>
          <w:p w14:paraId="19EFC19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Ansi="宋体" w:cs="Courier New"/>
                <w:bCs/>
                <w:color w:val="auto"/>
                <w:kern w:val="2"/>
                <w:sz w:val="21"/>
                <w:highlight w:val="none"/>
                <w:lang w:val="en-US"/>
              </w:rPr>
            </w:pP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lang w:val="en-US"/>
              </w:rPr>
              <w:t>按照《财政部、司法部关于政府采购支持监狱企业发展有关问题的通知》</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财库</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2014</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68号</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的规定，监狱企业视同小型、微型企业，享受预留份额、评审中价格扣除等促进中小企业发展的政府采购政策。监狱企业参加政府采购活动时，应当提供由省级以上监狱管理局、戒毒管理局</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含新疆生产建设兵团</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出具的属于监狱企业的证明文件。</w:t>
            </w:r>
          </w:p>
          <w:p w14:paraId="5568931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rPr>
                <w:rFonts w:hAnsi="宋体" w:cs="Courier New"/>
                <w:bCs/>
                <w:color w:val="auto"/>
                <w:kern w:val="2"/>
                <w:sz w:val="21"/>
                <w:highlight w:val="none"/>
                <w:lang w:val="en-US"/>
              </w:rPr>
            </w:pP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lang w:val="en-US"/>
              </w:rPr>
              <w:t>按照《关于促进残疾人就业政府采购政策的通知》</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财库</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2017</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141号</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C8B08B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Ansi="宋体" w:cs="Courier New"/>
                <w:bCs/>
                <w:color w:val="auto"/>
                <w:kern w:val="2"/>
                <w:sz w:val="21"/>
                <w:highlight w:val="none"/>
                <w:lang w:val="en-US"/>
              </w:rPr>
            </w:pPr>
            <w:r>
              <w:rPr>
                <w:rFonts w:hint="eastAsia" w:hAnsi="宋体" w:cs="Courier New"/>
                <w:bCs/>
                <w:color w:val="auto"/>
                <w:kern w:val="2"/>
                <w:sz w:val="21"/>
                <w:highlight w:val="none"/>
                <w:lang w:val="en-US" w:eastAsia="zh-CN"/>
              </w:rPr>
              <w:t>（4）</w:t>
            </w:r>
            <w:r>
              <w:rPr>
                <w:rFonts w:hint="eastAsia" w:hAnsi="宋体" w:cs="Courier New"/>
                <w:bCs/>
                <w:color w:val="auto"/>
                <w:kern w:val="2"/>
                <w:sz w:val="21"/>
                <w:highlight w:val="none"/>
                <w:lang w:val="en-US"/>
              </w:rPr>
              <w:t>政策性扣除计算方法。磋商供应商被评定为监狱企业或残疾人福利性单位或小型、微型企业的，该磋商供应商的磋商报价给予</w:t>
            </w:r>
            <w:r>
              <w:rPr>
                <w:rFonts w:hint="eastAsia" w:hAnsi="宋体" w:cs="Courier New"/>
                <w:bCs/>
                <w:color w:val="auto"/>
                <w:kern w:val="2"/>
                <w:sz w:val="21"/>
                <w:highlight w:val="none"/>
                <w:lang w:val="en-US" w:eastAsia="zh-CN"/>
              </w:rPr>
              <w:t>10</w:t>
            </w:r>
            <w:r>
              <w:rPr>
                <w:rFonts w:hint="eastAsia" w:hAnsi="宋体" w:cs="Courier New"/>
                <w:bCs/>
                <w:color w:val="auto"/>
                <w:kern w:val="2"/>
                <w:sz w:val="21"/>
                <w:highlight w:val="none"/>
                <w:lang w:val="en-US"/>
              </w:rPr>
              <w:t>%的扣除，扣除后的价格为评标报价，即评标报价=磋商报价×</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1-</w:t>
            </w:r>
            <w:r>
              <w:rPr>
                <w:rFonts w:hint="eastAsia" w:hAnsi="宋体" w:cs="Courier New"/>
                <w:bCs/>
                <w:color w:val="auto"/>
                <w:kern w:val="2"/>
                <w:sz w:val="21"/>
                <w:highlight w:val="none"/>
                <w:lang w:val="en-US" w:eastAsia="zh-CN"/>
              </w:rPr>
              <w:t>10</w:t>
            </w:r>
            <w:r>
              <w:rPr>
                <w:rFonts w:hint="eastAsia" w:hAnsi="宋体" w:cs="Courier New"/>
                <w:bCs/>
                <w:color w:val="auto"/>
                <w:kern w:val="2"/>
                <w:sz w:val="21"/>
                <w:highlight w:val="none"/>
                <w:lang w:val="en-US"/>
              </w:rPr>
              <w:t>%</w:t>
            </w:r>
            <w:r>
              <w:rPr>
                <w:rFonts w:hint="eastAsia" w:hAnsi="宋体" w:cs="Courier New"/>
                <w:bCs/>
                <w:color w:val="auto"/>
                <w:kern w:val="2"/>
                <w:sz w:val="21"/>
                <w:highlight w:val="none"/>
                <w:lang w:val="en-US" w:eastAsia="zh-CN"/>
              </w:rPr>
              <w:t>）；</w:t>
            </w:r>
            <w:r>
              <w:rPr>
                <w:rFonts w:hint="eastAsia" w:hAnsi="宋体" w:cs="Courier New"/>
                <w:bCs/>
                <w:color w:val="auto"/>
                <w:kern w:val="2"/>
                <w:sz w:val="21"/>
                <w:highlight w:val="none"/>
                <w:lang w:val="en-US"/>
              </w:rPr>
              <w:t>除上述情况外，评标报价=磋商报价。</w:t>
            </w:r>
          </w:p>
          <w:p w14:paraId="6B4E23C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Ansi="宋体" w:cs="Courier New"/>
                <w:bCs/>
                <w:color w:val="auto"/>
                <w:kern w:val="2"/>
                <w:sz w:val="21"/>
                <w:highlight w:val="none"/>
                <w:lang w:val="en-US"/>
              </w:rPr>
            </w:pPr>
            <w:r>
              <w:rPr>
                <w:rFonts w:hint="eastAsia" w:hAnsi="宋体" w:cs="Courier New"/>
                <w:bCs/>
                <w:color w:val="auto"/>
                <w:kern w:val="2"/>
                <w:sz w:val="21"/>
                <w:highlight w:val="none"/>
                <w:lang w:val="en-US" w:eastAsia="zh-CN"/>
              </w:rPr>
              <w:t>（5）</w:t>
            </w:r>
            <w:r>
              <w:rPr>
                <w:rFonts w:hint="eastAsia" w:hAnsi="宋体" w:cs="Courier New"/>
                <w:bCs/>
                <w:color w:val="auto"/>
                <w:kern w:val="2"/>
                <w:sz w:val="21"/>
                <w:highlight w:val="none"/>
                <w:lang w:val="en-US"/>
              </w:rPr>
              <w:t>以进入综合评分环节的最低的评标报价为基准价，基准价报价得分为10分。</w:t>
            </w:r>
          </w:p>
          <w:p w14:paraId="02BE5F6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hAnsi="宋体" w:cs="Courier New" w:eastAsiaTheme="minorEastAsia"/>
                <w:bCs/>
                <w:color w:val="auto"/>
                <w:kern w:val="2"/>
                <w:sz w:val="21"/>
                <w:highlight w:val="none"/>
                <w:lang w:val="en-US" w:eastAsia="zh-CN"/>
              </w:rPr>
            </w:pPr>
            <w:r>
              <w:rPr>
                <w:rFonts w:hint="eastAsia" w:hAnsi="宋体" w:cs="Courier New"/>
                <w:bCs/>
                <w:color w:val="auto"/>
                <w:kern w:val="2"/>
                <w:sz w:val="21"/>
                <w:highlight w:val="none"/>
                <w:lang w:val="en-US" w:eastAsia="zh-CN"/>
              </w:rPr>
              <w:t>（6）</w:t>
            </w:r>
            <w:r>
              <w:rPr>
                <w:rFonts w:hint="eastAsia" w:hAnsi="宋体" w:cs="Courier New"/>
                <w:bCs/>
                <w:color w:val="auto"/>
                <w:kern w:val="2"/>
                <w:sz w:val="21"/>
                <w:highlight w:val="none"/>
                <w:lang w:val="en-US"/>
              </w:rPr>
              <w:t>价格分计算公式</w:t>
            </w:r>
            <w:r>
              <w:rPr>
                <w:rFonts w:hint="eastAsia" w:hAnsi="宋体" w:cs="Courier New"/>
                <w:bCs/>
                <w:color w:val="auto"/>
                <w:kern w:val="2"/>
                <w:sz w:val="21"/>
                <w:highlight w:val="none"/>
                <w:lang w:val="en-US" w:eastAsia="zh-CN"/>
              </w:rPr>
              <w:t>：</w:t>
            </w:r>
          </w:p>
          <w:p w14:paraId="55B8748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right"/>
              <w:textAlignment w:val="auto"/>
              <w:rPr>
                <w:rFonts w:hint="eastAsia" w:hAnsi="宋体" w:eastAsia="宋体" w:cs="Courier New"/>
                <w:bCs/>
                <w:color w:val="auto"/>
                <w:kern w:val="2"/>
                <w:sz w:val="21"/>
                <w:highlight w:val="none"/>
                <w:lang w:val="en-US" w:eastAsia="zh-CN"/>
              </w:rPr>
            </w:pPr>
            <w:r>
              <w:rPr>
                <w:rFonts w:hint="eastAsia" w:hAnsi="宋体" w:cs="Courier New"/>
                <w:bCs/>
                <w:color w:val="auto"/>
                <w:kern w:val="2"/>
                <w:sz w:val="21"/>
                <w:highlight w:val="none"/>
                <w:lang w:val="en-US"/>
              </w:rPr>
              <w:t>某磋商供应商价格分=基准价/某磋商供应商评标报价金额×</w:t>
            </w:r>
            <w:r>
              <w:rPr>
                <w:rFonts w:hint="eastAsia" w:hAnsi="宋体" w:cs="Courier New"/>
                <w:bCs/>
                <w:color w:val="auto"/>
                <w:kern w:val="2"/>
                <w:sz w:val="21"/>
                <w:highlight w:val="none"/>
                <w:lang w:val="en-US" w:eastAsia="zh-CN"/>
              </w:rPr>
              <w:t>10</w:t>
            </w:r>
            <w:r>
              <w:rPr>
                <w:rFonts w:hint="eastAsia" w:hAnsi="宋体" w:cs="Courier New"/>
                <w:bCs/>
                <w:color w:val="auto"/>
                <w:kern w:val="2"/>
                <w:sz w:val="21"/>
                <w:highlight w:val="none"/>
                <w:lang w:val="en-US"/>
              </w:rPr>
              <w:t>分</w:t>
            </w:r>
            <w:r>
              <w:rPr>
                <w:rFonts w:hint="eastAsia" w:hAnsi="宋体" w:cs="Courier New"/>
                <w:bCs/>
                <w:color w:val="auto"/>
                <w:kern w:val="2"/>
                <w:sz w:val="21"/>
                <w:highlight w:val="none"/>
                <w:lang w:val="en-US" w:eastAsia="zh-CN"/>
              </w:rPr>
              <w:t>。</w:t>
            </w:r>
          </w:p>
        </w:tc>
        <w:tc>
          <w:tcPr>
            <w:tcW w:w="763" w:type="dxa"/>
            <w:noWrap w:val="0"/>
            <w:vAlign w:val="center"/>
          </w:tcPr>
          <w:p w14:paraId="6C4DB222">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color w:val="auto"/>
                <w:kern w:val="0"/>
                <w:highlight w:val="none"/>
              </w:rPr>
            </w:pPr>
            <w:r>
              <w:rPr>
                <w:rFonts w:hint="eastAsia" w:hAnsi="宋体" w:cs="Courier New"/>
                <w:bCs/>
                <w:color w:val="auto"/>
                <w:kern w:val="2"/>
                <w:sz w:val="21"/>
                <w:highlight w:val="none"/>
                <w:lang w:val="en-US" w:eastAsia="zh-CN"/>
              </w:rPr>
              <w:t>10</w:t>
            </w:r>
            <w:r>
              <w:rPr>
                <w:rFonts w:hint="eastAsia" w:hAnsi="宋体" w:cs="Courier New"/>
                <w:bCs/>
                <w:color w:val="auto"/>
                <w:kern w:val="2"/>
                <w:sz w:val="21"/>
                <w:highlight w:val="none"/>
                <w:lang w:val="en-US"/>
              </w:rPr>
              <w:t>分</w:t>
            </w:r>
          </w:p>
        </w:tc>
      </w:tr>
      <w:tr w14:paraId="1778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7" w:type="dxa"/>
            <w:noWrap w:val="0"/>
            <w:vAlign w:val="center"/>
          </w:tcPr>
          <w:p w14:paraId="11EA5210">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val="0"/>
                <w:color w:val="auto"/>
                <w:kern w:val="0"/>
                <w:highlight w:val="none"/>
              </w:rPr>
            </w:pPr>
            <w:r>
              <w:rPr>
                <w:rFonts w:hint="eastAsia" w:hAnsi="宋体"/>
                <w:b/>
                <w:bCs w:val="0"/>
                <w:color w:val="auto"/>
                <w:kern w:val="0"/>
                <w:highlight w:val="none"/>
              </w:rPr>
              <w:t>2</w:t>
            </w:r>
          </w:p>
        </w:tc>
        <w:tc>
          <w:tcPr>
            <w:tcW w:w="2242" w:type="dxa"/>
            <w:gridSpan w:val="2"/>
            <w:noWrap w:val="0"/>
            <w:vAlign w:val="center"/>
          </w:tcPr>
          <w:p w14:paraId="469D6F2E">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eastAsia="宋体"/>
                <w:b/>
                <w:bCs w:val="0"/>
                <w:color w:val="auto"/>
                <w:highlight w:val="none"/>
                <w:lang w:eastAsia="zh-CN"/>
              </w:rPr>
            </w:pPr>
            <w:r>
              <w:rPr>
                <w:rFonts w:hint="eastAsia"/>
                <w:b/>
                <w:bCs w:val="0"/>
                <w:color w:val="auto"/>
                <w:highlight w:val="none"/>
              </w:rPr>
              <w:t>技术分</w:t>
            </w:r>
            <w:r>
              <w:rPr>
                <w:rFonts w:hint="eastAsia"/>
                <w:b/>
                <w:bCs w:val="0"/>
                <w:color w:val="auto"/>
                <w:highlight w:val="none"/>
                <w:lang w:eastAsia="zh-CN"/>
              </w:rPr>
              <w:t>（满分</w:t>
            </w:r>
            <w:r>
              <w:rPr>
                <w:rFonts w:hint="eastAsia"/>
                <w:b/>
                <w:bCs w:val="0"/>
                <w:color w:val="auto"/>
                <w:highlight w:val="none"/>
                <w:lang w:val="en-US" w:eastAsia="zh-CN"/>
              </w:rPr>
              <w:t>80分</w:t>
            </w:r>
            <w:r>
              <w:rPr>
                <w:rFonts w:hint="eastAsia"/>
                <w:b/>
                <w:bCs w:val="0"/>
                <w:color w:val="auto"/>
                <w:highlight w:val="none"/>
                <w:lang w:eastAsia="zh-CN"/>
              </w:rPr>
              <w:t>）</w:t>
            </w:r>
          </w:p>
        </w:tc>
        <w:tc>
          <w:tcPr>
            <w:tcW w:w="7193" w:type="dxa"/>
            <w:gridSpan w:val="2"/>
            <w:noWrap w:val="0"/>
            <w:vAlign w:val="center"/>
          </w:tcPr>
          <w:p w14:paraId="3E3E96E8">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val="0"/>
                <w:color w:val="auto"/>
                <w:kern w:val="0"/>
                <w:highlight w:val="none"/>
              </w:rPr>
            </w:pPr>
            <w:r>
              <w:rPr>
                <w:rFonts w:hint="eastAsia" w:hAnsi="宋体" w:cs="Tahoma"/>
                <w:b/>
                <w:bCs w:val="0"/>
                <w:color w:val="auto"/>
                <w:kern w:val="0"/>
                <w:highlight w:val="none"/>
              </w:rPr>
              <w:t>评审因素</w:t>
            </w:r>
          </w:p>
        </w:tc>
      </w:tr>
      <w:tr w14:paraId="430B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77" w:type="dxa"/>
            <w:vMerge w:val="restart"/>
            <w:noWrap w:val="0"/>
            <w:vAlign w:val="center"/>
          </w:tcPr>
          <w:p w14:paraId="39C27E23">
            <w:pPr>
              <w:keepNext w:val="0"/>
              <w:keepLines w:val="0"/>
              <w:pageBreakBefore w:val="0"/>
              <w:shd w:val="clear" w:color="auto" w:fill="auto"/>
              <w:kinsoku/>
              <w:wordWrap/>
              <w:overflowPunct/>
              <w:topLinePunct w:val="0"/>
              <w:autoSpaceDE/>
              <w:autoSpaceDN/>
              <w:bidi w:val="0"/>
              <w:adjustRightInd w:val="0"/>
              <w:snapToGrid/>
              <w:spacing w:line="360" w:lineRule="auto"/>
              <w:ind w:right="0" w:rightChars="0" w:firstLine="0" w:firstLineChars="0"/>
              <w:jc w:val="center"/>
              <w:textAlignment w:val="baseline"/>
              <w:rPr>
                <w:rFonts w:hint="eastAsia" w:hAnsi="宋体"/>
                <w:b/>
                <w:bCs w:val="0"/>
                <w:color w:val="auto"/>
                <w:kern w:val="0"/>
                <w:highlight w:val="none"/>
              </w:rPr>
            </w:pPr>
            <w:r>
              <w:rPr>
                <w:rFonts w:hint="eastAsia" w:hAnsi="宋体"/>
                <w:b/>
                <w:bCs w:val="0"/>
                <w:color w:val="auto"/>
                <w:kern w:val="0"/>
                <w:highlight w:val="none"/>
              </w:rPr>
              <w:t>2</w:t>
            </w:r>
            <w:r>
              <w:rPr>
                <w:rFonts w:hAnsi="宋体"/>
                <w:b/>
                <w:bCs w:val="0"/>
                <w:color w:val="auto"/>
                <w:kern w:val="0"/>
                <w:highlight w:val="none"/>
              </w:rPr>
              <w:t>.1</w:t>
            </w:r>
          </w:p>
        </w:tc>
        <w:tc>
          <w:tcPr>
            <w:tcW w:w="889" w:type="dxa"/>
            <w:vMerge w:val="restart"/>
            <w:noWrap w:val="0"/>
            <w:vAlign w:val="center"/>
          </w:tcPr>
          <w:p w14:paraId="56CED018">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hAnsi="宋体" w:eastAsia="宋体"/>
                <w:b/>
                <w:bCs w:val="0"/>
                <w:color w:val="auto"/>
                <w:highlight w:val="none"/>
                <w:lang w:eastAsia="zh-CN"/>
              </w:rPr>
            </w:pPr>
            <w:r>
              <w:rPr>
                <w:rFonts w:hint="eastAsia" w:hAnsi="宋体" w:eastAsia="宋体"/>
                <w:b/>
                <w:bCs w:val="0"/>
                <w:color w:val="auto"/>
                <w:highlight w:val="none"/>
                <w:lang w:eastAsia="zh-CN"/>
              </w:rPr>
              <w:t>项目</w:t>
            </w:r>
            <w:r>
              <w:rPr>
                <w:rFonts w:hint="eastAsia" w:hAnsi="宋体" w:eastAsia="宋体"/>
                <w:b/>
                <w:bCs w:val="0"/>
                <w:color w:val="auto"/>
                <w:highlight w:val="none"/>
                <w:lang w:val="en-US" w:eastAsia="zh-CN"/>
              </w:rPr>
              <w:t>技术</w:t>
            </w:r>
            <w:r>
              <w:rPr>
                <w:rFonts w:hint="eastAsia" w:hAnsi="宋体" w:eastAsia="宋体"/>
                <w:b/>
                <w:bCs w:val="0"/>
                <w:color w:val="auto"/>
                <w:highlight w:val="none"/>
                <w:lang w:eastAsia="zh-CN"/>
              </w:rPr>
              <w:t>方案分</w:t>
            </w:r>
          </w:p>
        </w:tc>
        <w:tc>
          <w:tcPr>
            <w:tcW w:w="1353" w:type="dxa"/>
            <w:noWrap w:val="0"/>
            <w:vAlign w:val="center"/>
          </w:tcPr>
          <w:p w14:paraId="19EEE3F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Courier New"/>
                <w:b/>
                <w:bCs w:val="0"/>
                <w:color w:val="auto"/>
                <w:kern w:val="2"/>
                <w:sz w:val="21"/>
                <w:highlight w:val="none"/>
                <w:lang w:val="en-US" w:eastAsia="zh-CN"/>
              </w:rPr>
            </w:pPr>
            <w:r>
              <w:rPr>
                <w:rFonts w:hint="eastAsia" w:ascii="宋体" w:hAnsi="宋体" w:eastAsia="宋体" w:cs="Courier New"/>
                <w:b/>
                <w:bCs w:val="0"/>
                <w:color w:val="auto"/>
                <w:kern w:val="2"/>
                <w:sz w:val="21"/>
                <w:highlight w:val="none"/>
                <w:lang w:val="en-US"/>
              </w:rPr>
              <w:t>（</w:t>
            </w:r>
            <w:r>
              <w:rPr>
                <w:rFonts w:hint="default" w:ascii="宋体" w:hAnsi="宋体" w:eastAsia="宋体" w:cs="Courier New"/>
                <w:b/>
                <w:bCs w:val="0"/>
                <w:color w:val="auto"/>
                <w:kern w:val="2"/>
                <w:sz w:val="21"/>
                <w:highlight w:val="none"/>
                <w:lang w:val="en-US"/>
              </w:rPr>
              <w:t>1</w:t>
            </w:r>
            <w:r>
              <w:rPr>
                <w:rFonts w:hint="eastAsia" w:ascii="宋体" w:hAnsi="宋体" w:eastAsia="宋体" w:cs="Courier New"/>
                <w:b/>
                <w:bCs w:val="0"/>
                <w:color w:val="auto"/>
                <w:kern w:val="2"/>
                <w:sz w:val="21"/>
                <w:highlight w:val="none"/>
                <w:lang w:val="en-US"/>
              </w:rPr>
              <w:t>）</w:t>
            </w:r>
            <w:r>
              <w:rPr>
                <w:rFonts w:hint="eastAsia" w:ascii="宋体" w:hAnsi="宋体" w:eastAsia="宋体" w:cs="Courier New"/>
                <w:b/>
                <w:bCs w:val="0"/>
                <w:color w:val="auto"/>
                <w:kern w:val="2"/>
                <w:sz w:val="21"/>
                <w:highlight w:val="none"/>
                <w:lang w:val="en-US" w:eastAsia="zh-CN"/>
              </w:rPr>
              <w:t>项目实施方案分</w:t>
            </w:r>
          </w:p>
        </w:tc>
        <w:tc>
          <w:tcPr>
            <w:tcW w:w="6430" w:type="dxa"/>
            <w:noWrap w:val="0"/>
            <w:vAlign w:val="center"/>
          </w:tcPr>
          <w:p w14:paraId="4094FC4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
                <w:bCs w:val="0"/>
                <w:color w:val="auto"/>
                <w:kern w:val="2"/>
                <w:sz w:val="21"/>
                <w:highlight w:val="none"/>
                <w:lang w:val="en-US" w:eastAsia="zh-CN"/>
              </w:rPr>
              <w:t>一档（16分）：</w:t>
            </w:r>
            <w:r>
              <w:rPr>
                <w:rFonts w:hint="eastAsia" w:ascii="宋体" w:hAnsi="宋体" w:eastAsia="宋体" w:cs="Courier New"/>
                <w:bCs/>
                <w:color w:val="auto"/>
                <w:kern w:val="2"/>
                <w:sz w:val="21"/>
                <w:highlight w:val="none"/>
                <w:lang w:val="en-US" w:eastAsia="zh-CN"/>
              </w:rPr>
              <w:t>项目实施方案等方面描述满足采购文件要求，拟投入本项目实施人员不少于21人。</w:t>
            </w:r>
          </w:p>
          <w:p w14:paraId="70538F7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
                <w:bCs w:val="0"/>
                <w:color w:val="auto"/>
                <w:kern w:val="2"/>
                <w:sz w:val="21"/>
                <w:highlight w:val="none"/>
                <w:lang w:val="en-US" w:eastAsia="zh-CN"/>
              </w:rPr>
              <w:t>二档（21分）：</w:t>
            </w:r>
            <w:r>
              <w:rPr>
                <w:rFonts w:hint="eastAsia" w:ascii="宋体" w:hAnsi="宋体" w:eastAsia="宋体" w:cs="Courier New"/>
                <w:bCs/>
                <w:color w:val="auto"/>
                <w:kern w:val="2"/>
                <w:sz w:val="21"/>
                <w:highlight w:val="none"/>
                <w:lang w:val="en-US" w:eastAsia="zh-CN"/>
              </w:rPr>
              <w:t>项目实施方案等方面描述详细、具体，安排进度计划合理，维护调试方案合理，项目实施方案切实可行。拟投入本项目实施人员21人及以上（含本数）；且有1名项目负责人须具有</w:t>
            </w:r>
            <w:r>
              <w:rPr>
                <w:rFonts w:hint="eastAsia" w:ascii="宋体" w:hAnsi="宋体" w:eastAsia="宋体" w:cs="Courier New"/>
                <w:bCs/>
                <w:color w:val="auto"/>
                <w:kern w:val="2"/>
                <w:sz w:val="21"/>
                <w:highlight w:val="none"/>
                <w:u w:val="none"/>
                <w:lang w:val="en-US" w:eastAsia="zh-CN"/>
              </w:rPr>
              <w:t>信息系统项目管理师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lang w:val="en-US" w:eastAsia="zh-CN"/>
              </w:rPr>
              <w:fldChar w:fldCharType="begin"/>
            </w:r>
            <w:r>
              <w:rPr>
                <w:rFonts w:hint="eastAsia" w:ascii="宋体" w:hAnsi="宋体" w:eastAsia="宋体" w:cs="Courier New"/>
                <w:bCs/>
                <w:color w:val="auto"/>
                <w:kern w:val="2"/>
                <w:sz w:val="21"/>
                <w:highlight w:val="none"/>
                <w:lang w:val="en-US" w:eastAsia="zh-CN"/>
              </w:rPr>
              <w:instrText xml:space="preserve"> HYPERLINK "https://www.ruankao.org.cn/platform/details?code=03_02" \o "系统分析师" </w:instrText>
            </w:r>
            <w:r>
              <w:rPr>
                <w:rFonts w:hint="eastAsia" w:ascii="宋体" w:hAnsi="宋体" w:eastAsia="宋体" w:cs="Courier New"/>
                <w:bCs/>
                <w:color w:val="auto"/>
                <w:kern w:val="2"/>
                <w:sz w:val="21"/>
                <w:highlight w:val="none"/>
                <w:lang w:val="en-US" w:eastAsia="zh-CN"/>
              </w:rPr>
              <w:fldChar w:fldCharType="separate"/>
            </w:r>
            <w:r>
              <w:rPr>
                <w:rFonts w:hint="eastAsia" w:ascii="宋体" w:hAnsi="宋体" w:eastAsia="宋体" w:cs="Courier New"/>
                <w:bCs/>
                <w:color w:val="auto"/>
                <w:kern w:val="2"/>
                <w:sz w:val="21"/>
                <w:highlight w:val="none"/>
                <w:lang w:val="en-US" w:eastAsia="zh-CN"/>
              </w:rPr>
              <w:t>系统分析师</w:t>
            </w:r>
            <w:r>
              <w:rPr>
                <w:rFonts w:hint="eastAsia" w:ascii="宋体" w:hAnsi="宋体" w:eastAsia="宋体" w:cs="Courier New"/>
                <w:bCs/>
                <w:color w:val="auto"/>
                <w:kern w:val="2"/>
                <w:sz w:val="21"/>
                <w:highlight w:val="none"/>
                <w:lang w:val="en-US" w:eastAsia="zh-CN"/>
              </w:rPr>
              <w:fldChar w:fldCharType="end"/>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系统架构设计师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网络规划设计师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系统规划与管理师证书</w:t>
            </w:r>
            <w:r>
              <w:rPr>
                <w:rFonts w:hint="eastAsia" w:ascii="宋体" w:hAnsi="宋体" w:eastAsia="宋体" w:cs="Courier New"/>
                <w:bCs/>
                <w:color w:val="auto"/>
                <w:kern w:val="2"/>
                <w:sz w:val="21"/>
                <w:highlight w:val="none"/>
                <w:lang w:val="en-US" w:eastAsia="zh-CN"/>
              </w:rPr>
              <w:t>（须提供近半年内任意1个月为其缴纳的社保证明材料复印件）。</w:t>
            </w:r>
          </w:p>
          <w:p w14:paraId="276F9D4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rPr>
            </w:pPr>
            <w:r>
              <w:rPr>
                <w:rFonts w:hint="eastAsia" w:ascii="宋体" w:hAnsi="宋体" w:eastAsia="宋体" w:cs="Courier New"/>
                <w:b/>
                <w:bCs w:val="0"/>
                <w:color w:val="auto"/>
                <w:kern w:val="2"/>
                <w:sz w:val="21"/>
                <w:highlight w:val="none"/>
                <w:lang w:val="en-US" w:eastAsia="zh-CN"/>
              </w:rPr>
              <w:t>三档（26分）：</w:t>
            </w:r>
            <w:r>
              <w:rPr>
                <w:rFonts w:hint="eastAsia" w:ascii="宋体" w:hAnsi="宋体" w:eastAsia="宋体" w:cs="Courier New"/>
                <w:bCs/>
                <w:color w:val="auto"/>
                <w:kern w:val="2"/>
                <w:sz w:val="21"/>
                <w:highlight w:val="none"/>
                <w:lang w:val="en-US" w:eastAsia="zh-CN"/>
              </w:rPr>
              <w:t>项目实施方案描述详细、具体，对质量有详细的管控措施，质量保证到位；有明确的项目实施保障措施，有详细的现场管理方案，有详细具体的人员培训执行方案；拟投入本项目实施人员25人及以上（含本数）；且具有2名项目负责人：1名项目负责人须具有</w:t>
            </w:r>
            <w:r>
              <w:rPr>
                <w:rFonts w:hint="eastAsia" w:ascii="宋体" w:hAnsi="宋体" w:eastAsia="宋体" w:cs="Courier New"/>
                <w:bCs/>
                <w:color w:val="auto"/>
                <w:kern w:val="2"/>
                <w:sz w:val="21"/>
                <w:highlight w:val="none"/>
                <w:u w:val="none"/>
                <w:lang w:val="en-US" w:eastAsia="zh-CN"/>
              </w:rPr>
              <w:t>信息系统项目管理师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系统分析师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系统架构设计师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网络规划设计师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系统规划与管理师证书</w:t>
            </w:r>
            <w:r>
              <w:rPr>
                <w:rFonts w:hint="eastAsia" w:ascii="宋体" w:hAnsi="宋体" w:eastAsia="宋体" w:cs="Courier New"/>
                <w:bCs/>
                <w:color w:val="auto"/>
                <w:kern w:val="2"/>
                <w:sz w:val="21"/>
                <w:highlight w:val="none"/>
                <w:lang w:val="en-US" w:eastAsia="zh-CN"/>
              </w:rPr>
              <w:t>和1名项目负责人须具有5年以上（含本数）法律职业资格证书（须提供近半年内任意1个月为其缴纳的社保证明材料复印件）。</w:t>
            </w:r>
          </w:p>
        </w:tc>
        <w:tc>
          <w:tcPr>
            <w:tcW w:w="763" w:type="dxa"/>
            <w:noWrap w:val="0"/>
            <w:vAlign w:val="center"/>
          </w:tcPr>
          <w:p w14:paraId="0B019FE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Courier New"/>
                <w:bCs/>
                <w:color w:val="auto"/>
                <w:kern w:val="2"/>
                <w:sz w:val="21"/>
                <w:highlight w:val="none"/>
                <w:lang w:val="en-US"/>
              </w:rPr>
            </w:pPr>
            <w:r>
              <w:rPr>
                <w:rFonts w:hint="eastAsia" w:ascii="宋体" w:hAnsi="宋体" w:eastAsia="宋体" w:cs="Courier New"/>
                <w:bCs/>
                <w:color w:val="auto"/>
                <w:kern w:val="2"/>
                <w:sz w:val="21"/>
                <w:highlight w:val="none"/>
                <w:lang w:val="en-US" w:eastAsia="zh-CN"/>
              </w:rPr>
              <w:t>26分</w:t>
            </w:r>
          </w:p>
        </w:tc>
      </w:tr>
      <w:tr w14:paraId="0C31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77" w:type="dxa"/>
            <w:vMerge w:val="continue"/>
            <w:noWrap w:val="0"/>
            <w:vAlign w:val="center"/>
          </w:tcPr>
          <w:p w14:paraId="742AC022">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color w:val="auto"/>
                <w:highlight w:val="none"/>
              </w:rPr>
            </w:pPr>
          </w:p>
        </w:tc>
        <w:tc>
          <w:tcPr>
            <w:tcW w:w="889" w:type="dxa"/>
            <w:vMerge w:val="continue"/>
            <w:noWrap w:val="0"/>
            <w:vAlign w:val="center"/>
          </w:tcPr>
          <w:p w14:paraId="6B262418">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color w:val="auto"/>
                <w:highlight w:val="none"/>
              </w:rPr>
            </w:pPr>
          </w:p>
        </w:tc>
        <w:tc>
          <w:tcPr>
            <w:tcW w:w="1353" w:type="dxa"/>
            <w:noWrap w:val="0"/>
            <w:vAlign w:val="center"/>
          </w:tcPr>
          <w:p w14:paraId="0DFF4F8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
                <w:bCs w:val="0"/>
                <w:color w:val="auto"/>
                <w:kern w:val="2"/>
                <w:sz w:val="21"/>
                <w:highlight w:val="none"/>
                <w:lang w:val="en-US" w:eastAsia="zh-CN"/>
              </w:rPr>
              <w:t>（</w:t>
            </w:r>
            <w:r>
              <w:rPr>
                <w:rFonts w:hint="default" w:ascii="宋体" w:hAnsi="宋体" w:eastAsia="宋体" w:cs="Courier New"/>
                <w:b/>
                <w:bCs w:val="0"/>
                <w:color w:val="auto"/>
                <w:kern w:val="2"/>
                <w:sz w:val="21"/>
                <w:highlight w:val="none"/>
                <w:lang w:val="en-US" w:eastAsia="zh-CN"/>
              </w:rPr>
              <w:t>2</w:t>
            </w:r>
            <w:r>
              <w:rPr>
                <w:rFonts w:hint="eastAsia" w:ascii="宋体" w:hAnsi="宋体" w:eastAsia="宋体" w:cs="Courier New"/>
                <w:b/>
                <w:bCs w:val="0"/>
                <w:color w:val="auto"/>
                <w:kern w:val="2"/>
                <w:sz w:val="21"/>
                <w:highlight w:val="none"/>
                <w:lang w:val="en-US" w:eastAsia="zh-CN"/>
              </w:rPr>
              <w:t>）运维服务方案分</w:t>
            </w:r>
          </w:p>
        </w:tc>
        <w:tc>
          <w:tcPr>
            <w:tcW w:w="6430" w:type="dxa"/>
            <w:noWrap w:val="0"/>
            <w:vAlign w:val="center"/>
          </w:tcPr>
          <w:p w14:paraId="6E068AB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
                <w:bCs w:val="0"/>
                <w:color w:val="auto"/>
                <w:kern w:val="2"/>
                <w:sz w:val="21"/>
                <w:highlight w:val="none"/>
                <w:lang w:val="en-US" w:eastAsia="zh-CN"/>
              </w:rPr>
              <w:t>一</w:t>
            </w:r>
            <w:r>
              <w:rPr>
                <w:rFonts w:hint="eastAsia" w:ascii="宋体" w:hAnsi="宋体" w:eastAsia="宋体" w:cs="Courier New"/>
                <w:b/>
                <w:bCs w:val="0"/>
                <w:color w:val="auto"/>
                <w:kern w:val="2"/>
                <w:sz w:val="21"/>
                <w:highlight w:val="none"/>
                <w:lang w:val="en-US"/>
              </w:rPr>
              <w:t>档（</w:t>
            </w:r>
            <w:r>
              <w:rPr>
                <w:rFonts w:hint="eastAsia" w:hAnsi="宋体" w:eastAsia="宋体" w:cs="Courier New"/>
                <w:b/>
                <w:bCs w:val="0"/>
                <w:color w:val="auto"/>
                <w:kern w:val="2"/>
                <w:sz w:val="21"/>
                <w:highlight w:val="none"/>
                <w:lang w:val="en-US" w:eastAsia="zh-CN"/>
              </w:rPr>
              <w:t>15</w:t>
            </w:r>
            <w:r>
              <w:rPr>
                <w:rFonts w:hint="eastAsia" w:ascii="宋体" w:hAnsi="宋体" w:eastAsia="宋体" w:cs="Courier New"/>
                <w:b/>
                <w:bCs w:val="0"/>
                <w:color w:val="auto"/>
                <w:kern w:val="2"/>
                <w:sz w:val="21"/>
                <w:highlight w:val="none"/>
                <w:lang w:val="en-US"/>
              </w:rPr>
              <w:t>分）：</w:t>
            </w:r>
            <w:r>
              <w:rPr>
                <w:rFonts w:hint="eastAsia" w:ascii="宋体" w:hAnsi="宋体" w:eastAsia="宋体" w:cs="Courier New"/>
                <w:bCs/>
                <w:color w:val="auto"/>
                <w:kern w:val="2"/>
                <w:sz w:val="21"/>
                <w:highlight w:val="none"/>
                <w:lang w:val="en-US"/>
              </w:rPr>
              <w:t>对项目总体需求理解全面，提出的项目</w:t>
            </w:r>
            <w:r>
              <w:rPr>
                <w:rFonts w:hint="eastAsia" w:ascii="宋体" w:hAnsi="宋体" w:eastAsia="宋体" w:cs="Courier New"/>
                <w:bCs/>
                <w:color w:val="auto"/>
                <w:kern w:val="2"/>
                <w:sz w:val="21"/>
                <w:highlight w:val="none"/>
                <w:lang w:val="en-US" w:eastAsia="zh-CN"/>
              </w:rPr>
              <w:t>服务</w:t>
            </w:r>
            <w:r>
              <w:rPr>
                <w:rFonts w:hint="eastAsia" w:ascii="宋体" w:hAnsi="宋体" w:eastAsia="宋体" w:cs="Courier New"/>
                <w:bCs/>
                <w:color w:val="auto"/>
                <w:kern w:val="2"/>
                <w:sz w:val="21"/>
                <w:highlight w:val="none"/>
                <w:lang w:val="en-US"/>
              </w:rPr>
              <w:t>计划安排、组织管理、培训安排、项目质量管控等方案完整、具有可行性</w:t>
            </w:r>
            <w:r>
              <w:rPr>
                <w:rFonts w:hint="eastAsia" w:ascii="宋体" w:hAnsi="宋体" w:eastAsia="宋体" w:cs="Courier New"/>
                <w:bCs/>
                <w:color w:val="auto"/>
                <w:kern w:val="2"/>
                <w:sz w:val="21"/>
                <w:highlight w:val="none"/>
                <w:lang w:val="en-US" w:eastAsia="zh-CN"/>
              </w:rPr>
              <w:t>；</w:t>
            </w:r>
          </w:p>
          <w:p w14:paraId="726572D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rPr>
            </w:pPr>
            <w:r>
              <w:rPr>
                <w:rFonts w:hint="eastAsia" w:ascii="宋体" w:hAnsi="宋体" w:eastAsia="宋体" w:cs="Courier New"/>
                <w:b/>
                <w:bCs w:val="0"/>
                <w:color w:val="auto"/>
                <w:kern w:val="2"/>
                <w:sz w:val="21"/>
                <w:highlight w:val="none"/>
                <w:lang w:val="en-US" w:eastAsia="zh-CN"/>
              </w:rPr>
              <w:t>二</w:t>
            </w:r>
            <w:r>
              <w:rPr>
                <w:rFonts w:hint="eastAsia" w:ascii="宋体" w:hAnsi="宋体" w:eastAsia="宋体" w:cs="Courier New"/>
                <w:b/>
                <w:bCs w:val="0"/>
                <w:color w:val="auto"/>
                <w:kern w:val="2"/>
                <w:sz w:val="21"/>
                <w:highlight w:val="none"/>
                <w:lang w:val="en-US"/>
              </w:rPr>
              <w:t>档（</w:t>
            </w:r>
            <w:r>
              <w:rPr>
                <w:rFonts w:hint="eastAsia" w:hAnsi="宋体" w:eastAsia="宋体" w:cs="Courier New"/>
                <w:b/>
                <w:bCs w:val="0"/>
                <w:color w:val="auto"/>
                <w:kern w:val="2"/>
                <w:sz w:val="21"/>
                <w:highlight w:val="none"/>
                <w:lang w:val="en-US" w:eastAsia="zh-CN"/>
              </w:rPr>
              <w:t>20</w:t>
            </w:r>
            <w:r>
              <w:rPr>
                <w:rFonts w:hint="eastAsia" w:ascii="宋体" w:hAnsi="宋体" w:eastAsia="宋体" w:cs="Courier New"/>
                <w:b/>
                <w:bCs w:val="0"/>
                <w:color w:val="auto"/>
                <w:kern w:val="2"/>
                <w:sz w:val="21"/>
                <w:highlight w:val="none"/>
                <w:lang w:val="en-US"/>
              </w:rPr>
              <w:t>分）：</w:t>
            </w:r>
            <w:r>
              <w:rPr>
                <w:rFonts w:hint="eastAsia" w:ascii="宋体" w:hAnsi="宋体" w:eastAsia="宋体" w:cs="Courier New"/>
                <w:bCs/>
                <w:color w:val="auto"/>
                <w:kern w:val="2"/>
                <w:sz w:val="21"/>
                <w:highlight w:val="none"/>
                <w:lang w:val="en-US"/>
              </w:rPr>
              <w:t>方案详细，有具体服务人员安排计划；响应时间优于磋商文件要求，对服务措施、响应时间等有描述，服务方案能结合采购人实际情况，详细描述运维目标；能提供服务运维方案，包括服务内容，实体平台和网络平台、广西12348热线平台的维护管理方案；</w:t>
            </w:r>
            <w:r>
              <w:rPr>
                <w:rFonts w:hint="eastAsia" w:ascii="宋体" w:hAnsi="宋体" w:eastAsia="宋体" w:cs="Courier New"/>
                <w:bCs/>
                <w:color w:val="auto"/>
                <w:kern w:val="2"/>
                <w:sz w:val="21"/>
                <w:highlight w:val="none"/>
                <w:lang w:val="en-US" w:eastAsia="zh-CN"/>
              </w:rPr>
              <w:t>为确保运行维护质量，要求至少5名运维管理人员具有</w:t>
            </w:r>
            <w:r>
              <w:rPr>
                <w:rFonts w:hint="eastAsia" w:ascii="宋体" w:hAnsi="宋体" w:eastAsia="宋体" w:cs="Courier New"/>
                <w:bCs/>
                <w:color w:val="auto"/>
                <w:kern w:val="2"/>
                <w:sz w:val="21"/>
                <w:highlight w:val="none"/>
                <w:lang w:val="en-US" w:eastAsia="zh-CN"/>
              </w:rPr>
              <w:fldChar w:fldCharType="begin"/>
            </w:r>
            <w:r>
              <w:rPr>
                <w:rFonts w:hint="eastAsia" w:ascii="宋体" w:hAnsi="宋体" w:eastAsia="宋体" w:cs="Courier New"/>
                <w:bCs/>
                <w:color w:val="auto"/>
                <w:kern w:val="2"/>
                <w:sz w:val="21"/>
                <w:highlight w:val="none"/>
                <w:lang w:val="en-US" w:eastAsia="zh-CN"/>
              </w:rPr>
              <w:instrText xml:space="preserve"> HYPERLINK "https://www.ruankao.org.cn/platform/details?code=03_01" \o "信息系统项目管理师" </w:instrText>
            </w:r>
            <w:r>
              <w:rPr>
                <w:rFonts w:hint="eastAsia" w:ascii="宋体" w:hAnsi="宋体" w:eastAsia="宋体" w:cs="Courier New"/>
                <w:bCs/>
                <w:color w:val="auto"/>
                <w:kern w:val="2"/>
                <w:sz w:val="21"/>
                <w:highlight w:val="none"/>
                <w:lang w:val="en-US" w:eastAsia="zh-CN"/>
              </w:rPr>
              <w:fldChar w:fldCharType="separate"/>
            </w:r>
            <w:r>
              <w:rPr>
                <w:rFonts w:hint="eastAsia" w:ascii="宋体" w:hAnsi="宋体" w:eastAsia="宋体" w:cs="Courier New"/>
                <w:bCs/>
                <w:color w:val="auto"/>
                <w:kern w:val="2"/>
                <w:sz w:val="21"/>
                <w:highlight w:val="none"/>
                <w:lang w:val="en-US" w:eastAsia="zh-CN"/>
              </w:rPr>
              <w:t>信息系统项目管理师</w:t>
            </w:r>
            <w:r>
              <w:rPr>
                <w:rFonts w:hint="eastAsia" w:ascii="宋体" w:hAnsi="宋体" w:eastAsia="宋体" w:cs="Courier New"/>
                <w:bCs/>
                <w:color w:val="auto"/>
                <w:kern w:val="2"/>
                <w:sz w:val="21"/>
                <w:highlight w:val="none"/>
                <w:lang w:val="en-US" w:eastAsia="zh-CN"/>
              </w:rPr>
              <w:fldChar w:fldCharType="end"/>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lang w:val="en-US" w:eastAsia="zh-CN"/>
              </w:rPr>
              <w:fldChar w:fldCharType="begin"/>
            </w:r>
            <w:r>
              <w:rPr>
                <w:rFonts w:hint="eastAsia" w:ascii="宋体" w:hAnsi="宋体" w:eastAsia="宋体" w:cs="Courier New"/>
                <w:bCs/>
                <w:color w:val="auto"/>
                <w:kern w:val="2"/>
                <w:sz w:val="21"/>
                <w:highlight w:val="none"/>
                <w:lang w:val="en-US" w:eastAsia="zh-CN"/>
              </w:rPr>
              <w:instrText xml:space="preserve"> HYPERLINK "https://www.ruankao.org.cn/platform/details?code=03_02" \o "系统分析师" </w:instrText>
            </w:r>
            <w:r>
              <w:rPr>
                <w:rFonts w:hint="eastAsia" w:ascii="宋体" w:hAnsi="宋体" w:eastAsia="宋体" w:cs="Courier New"/>
                <w:bCs/>
                <w:color w:val="auto"/>
                <w:kern w:val="2"/>
                <w:sz w:val="21"/>
                <w:highlight w:val="none"/>
                <w:lang w:val="en-US" w:eastAsia="zh-CN"/>
              </w:rPr>
              <w:fldChar w:fldCharType="separate"/>
            </w:r>
            <w:r>
              <w:rPr>
                <w:rFonts w:hint="eastAsia" w:ascii="宋体" w:hAnsi="宋体" w:eastAsia="宋体" w:cs="Courier New"/>
                <w:bCs/>
                <w:color w:val="auto"/>
                <w:kern w:val="2"/>
                <w:sz w:val="21"/>
                <w:highlight w:val="none"/>
                <w:lang w:val="en-US" w:eastAsia="zh-CN"/>
              </w:rPr>
              <w:t>系统分析师</w:t>
            </w:r>
            <w:r>
              <w:rPr>
                <w:rFonts w:hint="eastAsia" w:ascii="宋体" w:hAnsi="宋体" w:eastAsia="宋体" w:cs="Courier New"/>
                <w:bCs/>
                <w:color w:val="auto"/>
                <w:kern w:val="2"/>
                <w:sz w:val="21"/>
                <w:highlight w:val="none"/>
                <w:lang w:val="en-US" w:eastAsia="zh-CN"/>
              </w:rPr>
              <w:fldChar w:fldCharType="end"/>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lang w:val="en-US" w:eastAsia="zh-CN"/>
              </w:rPr>
              <w:fldChar w:fldCharType="begin"/>
            </w:r>
            <w:r>
              <w:rPr>
                <w:rFonts w:hint="eastAsia" w:ascii="宋体" w:hAnsi="宋体" w:eastAsia="宋体" w:cs="Courier New"/>
                <w:bCs/>
                <w:color w:val="auto"/>
                <w:kern w:val="2"/>
                <w:sz w:val="21"/>
                <w:highlight w:val="none"/>
                <w:lang w:val="en-US" w:eastAsia="zh-CN"/>
              </w:rPr>
              <w:instrText xml:space="preserve"> HYPERLINK "https://www.ruankao.org.cn/platform/details?code=03_03" \o "系统架构设计师" </w:instrText>
            </w:r>
            <w:r>
              <w:rPr>
                <w:rFonts w:hint="eastAsia" w:ascii="宋体" w:hAnsi="宋体" w:eastAsia="宋体" w:cs="Courier New"/>
                <w:bCs/>
                <w:color w:val="auto"/>
                <w:kern w:val="2"/>
                <w:sz w:val="21"/>
                <w:highlight w:val="none"/>
                <w:lang w:val="en-US" w:eastAsia="zh-CN"/>
              </w:rPr>
              <w:fldChar w:fldCharType="separate"/>
            </w:r>
            <w:r>
              <w:rPr>
                <w:rFonts w:hint="eastAsia" w:ascii="宋体" w:hAnsi="宋体" w:eastAsia="宋体" w:cs="Courier New"/>
                <w:bCs/>
                <w:color w:val="auto"/>
                <w:kern w:val="2"/>
                <w:sz w:val="21"/>
                <w:highlight w:val="none"/>
                <w:lang w:val="en-US" w:eastAsia="zh-CN"/>
              </w:rPr>
              <w:t>系统架构设计师</w:t>
            </w:r>
            <w:r>
              <w:rPr>
                <w:rFonts w:hint="eastAsia" w:ascii="宋体" w:hAnsi="宋体" w:eastAsia="宋体" w:cs="Courier New"/>
                <w:bCs/>
                <w:color w:val="auto"/>
                <w:kern w:val="2"/>
                <w:sz w:val="21"/>
                <w:highlight w:val="none"/>
                <w:lang w:val="en-US" w:eastAsia="zh-CN"/>
              </w:rPr>
              <w:fldChar w:fldCharType="end"/>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lang w:val="en-US" w:eastAsia="zh-CN"/>
              </w:rPr>
              <w:fldChar w:fldCharType="begin"/>
            </w:r>
            <w:r>
              <w:rPr>
                <w:rFonts w:hint="eastAsia" w:ascii="宋体" w:hAnsi="宋体" w:eastAsia="宋体" w:cs="Courier New"/>
                <w:bCs/>
                <w:color w:val="auto"/>
                <w:kern w:val="2"/>
                <w:sz w:val="21"/>
                <w:highlight w:val="none"/>
                <w:lang w:val="en-US" w:eastAsia="zh-CN"/>
              </w:rPr>
              <w:instrText xml:space="preserve"> HYPERLINK "https://www.ruankao.org.cn/platform/details?code=03_04" \o "网络规划设计师" </w:instrText>
            </w:r>
            <w:r>
              <w:rPr>
                <w:rFonts w:hint="eastAsia" w:ascii="宋体" w:hAnsi="宋体" w:eastAsia="宋体" w:cs="Courier New"/>
                <w:bCs/>
                <w:color w:val="auto"/>
                <w:kern w:val="2"/>
                <w:sz w:val="21"/>
                <w:highlight w:val="none"/>
                <w:lang w:val="en-US" w:eastAsia="zh-CN"/>
              </w:rPr>
              <w:fldChar w:fldCharType="separate"/>
            </w:r>
            <w:r>
              <w:rPr>
                <w:rFonts w:hint="eastAsia" w:ascii="宋体" w:hAnsi="宋体" w:eastAsia="宋体" w:cs="Courier New"/>
                <w:bCs/>
                <w:color w:val="auto"/>
                <w:kern w:val="2"/>
                <w:sz w:val="21"/>
                <w:highlight w:val="none"/>
                <w:lang w:val="en-US" w:eastAsia="zh-CN"/>
              </w:rPr>
              <w:t>网络规划设计师</w:t>
            </w:r>
            <w:r>
              <w:rPr>
                <w:rFonts w:hint="eastAsia" w:ascii="宋体" w:hAnsi="宋体" w:eastAsia="宋体" w:cs="Courier New"/>
                <w:bCs/>
                <w:color w:val="auto"/>
                <w:kern w:val="2"/>
                <w:sz w:val="21"/>
                <w:highlight w:val="none"/>
                <w:lang w:val="en-US" w:eastAsia="zh-CN"/>
              </w:rPr>
              <w:fldChar w:fldCharType="end"/>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系统规划与管理师证书</w:t>
            </w:r>
            <w:r>
              <w:rPr>
                <w:rFonts w:hint="eastAsia" w:ascii="宋体" w:hAnsi="宋体" w:eastAsia="宋体" w:cs="Courier New"/>
                <w:bCs/>
                <w:color w:val="auto"/>
                <w:kern w:val="2"/>
                <w:sz w:val="21"/>
                <w:highlight w:val="none"/>
                <w:lang w:val="en-US" w:eastAsia="zh-CN"/>
              </w:rPr>
              <w:t>（须</w:t>
            </w:r>
            <w:r>
              <w:rPr>
                <w:rFonts w:hint="eastAsia" w:ascii="宋体" w:hAnsi="宋体" w:eastAsia="宋体" w:cs="Courier New"/>
                <w:bCs/>
                <w:color w:val="auto"/>
                <w:kern w:val="2"/>
                <w:sz w:val="21"/>
                <w:highlight w:val="none"/>
                <w:lang w:val="en-US"/>
              </w:rPr>
              <w:t>提供近</w:t>
            </w:r>
            <w:r>
              <w:rPr>
                <w:rFonts w:hint="eastAsia" w:ascii="宋体" w:hAnsi="宋体" w:eastAsia="宋体" w:cs="Courier New"/>
                <w:bCs/>
                <w:color w:val="auto"/>
                <w:kern w:val="2"/>
                <w:sz w:val="21"/>
                <w:highlight w:val="none"/>
                <w:lang w:val="en-US" w:eastAsia="zh-CN"/>
              </w:rPr>
              <w:t>半年内</w:t>
            </w:r>
            <w:r>
              <w:rPr>
                <w:rFonts w:hint="eastAsia" w:ascii="宋体" w:hAnsi="宋体" w:eastAsia="宋体" w:cs="Courier New"/>
                <w:bCs/>
                <w:color w:val="auto"/>
                <w:kern w:val="2"/>
                <w:sz w:val="21"/>
                <w:highlight w:val="none"/>
                <w:lang w:val="en-US"/>
              </w:rPr>
              <w:t>任意</w:t>
            </w:r>
            <w:r>
              <w:rPr>
                <w:rFonts w:hint="eastAsia" w:ascii="宋体" w:hAnsi="宋体" w:eastAsia="宋体" w:cs="Courier New"/>
                <w:bCs/>
                <w:color w:val="auto"/>
                <w:kern w:val="2"/>
                <w:sz w:val="21"/>
                <w:highlight w:val="none"/>
                <w:lang w:val="en-US" w:eastAsia="zh-CN"/>
              </w:rPr>
              <w:t>1</w:t>
            </w:r>
            <w:r>
              <w:rPr>
                <w:rFonts w:hint="eastAsia" w:ascii="宋体" w:hAnsi="宋体" w:eastAsia="宋体" w:cs="Courier New"/>
                <w:bCs/>
                <w:color w:val="auto"/>
                <w:kern w:val="2"/>
                <w:sz w:val="21"/>
                <w:highlight w:val="none"/>
                <w:lang w:val="en-US"/>
              </w:rPr>
              <w:t>个月为其缴纳的社保证明复印件</w:t>
            </w:r>
            <w:r>
              <w:rPr>
                <w:rFonts w:hint="eastAsia" w:ascii="宋体" w:hAnsi="宋体" w:eastAsia="宋体" w:cs="Courier New"/>
                <w:bCs/>
                <w:color w:val="auto"/>
                <w:kern w:val="2"/>
                <w:sz w:val="21"/>
                <w:highlight w:val="none"/>
                <w:lang w:val="en-US" w:eastAsia="zh-CN"/>
              </w:rPr>
              <w:t>）；</w:t>
            </w:r>
          </w:p>
          <w:p w14:paraId="21CBCCD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
                <w:bCs w:val="0"/>
                <w:color w:val="auto"/>
                <w:kern w:val="2"/>
                <w:sz w:val="21"/>
                <w:highlight w:val="none"/>
                <w:lang w:val="en-US" w:eastAsia="zh-CN"/>
              </w:rPr>
              <w:t>三</w:t>
            </w:r>
            <w:r>
              <w:rPr>
                <w:rFonts w:hint="eastAsia" w:ascii="宋体" w:hAnsi="宋体" w:eastAsia="宋体" w:cs="Courier New"/>
                <w:b/>
                <w:bCs w:val="0"/>
                <w:color w:val="auto"/>
                <w:kern w:val="2"/>
                <w:sz w:val="21"/>
                <w:highlight w:val="none"/>
                <w:lang w:val="en-US"/>
              </w:rPr>
              <w:t>档（</w:t>
            </w:r>
            <w:r>
              <w:rPr>
                <w:rFonts w:hint="eastAsia" w:hAnsi="宋体" w:eastAsia="宋体" w:cs="Courier New"/>
                <w:b/>
                <w:bCs w:val="0"/>
                <w:color w:val="auto"/>
                <w:kern w:val="2"/>
                <w:sz w:val="21"/>
                <w:highlight w:val="none"/>
                <w:lang w:val="en-US" w:eastAsia="zh-CN"/>
              </w:rPr>
              <w:t>25</w:t>
            </w:r>
            <w:r>
              <w:rPr>
                <w:rFonts w:hint="eastAsia" w:ascii="宋体" w:hAnsi="宋体" w:eastAsia="宋体" w:cs="Courier New"/>
                <w:b/>
                <w:bCs w:val="0"/>
                <w:color w:val="auto"/>
                <w:kern w:val="2"/>
                <w:sz w:val="21"/>
                <w:highlight w:val="none"/>
                <w:lang w:val="en-US"/>
              </w:rPr>
              <w:t>分）：</w:t>
            </w:r>
            <w:r>
              <w:rPr>
                <w:rFonts w:hint="eastAsia" w:ascii="宋体" w:hAnsi="宋体" w:eastAsia="宋体" w:cs="Courier New"/>
                <w:bCs/>
                <w:color w:val="auto"/>
                <w:kern w:val="2"/>
                <w:sz w:val="21"/>
                <w:highlight w:val="none"/>
                <w:lang w:val="en-US"/>
              </w:rPr>
              <w:t>方案具体</w:t>
            </w:r>
            <w:r>
              <w:rPr>
                <w:rFonts w:hint="eastAsia" w:ascii="宋体" w:hAnsi="宋体" w:eastAsia="宋体" w:cs="Courier New"/>
                <w:bCs/>
                <w:color w:val="auto"/>
                <w:kern w:val="2"/>
                <w:sz w:val="21"/>
                <w:highlight w:val="none"/>
                <w:lang w:val="en-US" w:eastAsia="zh-CN"/>
              </w:rPr>
              <w:t>、</w:t>
            </w:r>
            <w:r>
              <w:rPr>
                <w:rFonts w:hint="eastAsia" w:ascii="宋体" w:hAnsi="宋体" w:eastAsia="宋体" w:cs="Courier New"/>
                <w:bCs/>
                <w:color w:val="auto"/>
                <w:kern w:val="2"/>
                <w:sz w:val="21"/>
                <w:highlight w:val="none"/>
                <w:lang w:val="en-US"/>
              </w:rPr>
              <w:t>科学、</w:t>
            </w:r>
            <w:r>
              <w:rPr>
                <w:rFonts w:hint="eastAsia" w:ascii="宋体" w:hAnsi="宋体" w:eastAsia="宋体" w:cs="Courier New"/>
                <w:bCs/>
                <w:color w:val="auto"/>
                <w:kern w:val="2"/>
                <w:sz w:val="21"/>
                <w:highlight w:val="none"/>
                <w:lang w:val="en-US" w:eastAsia="zh-CN"/>
              </w:rPr>
              <w:t>有针对性</w:t>
            </w:r>
            <w:r>
              <w:rPr>
                <w:rFonts w:hint="eastAsia" w:ascii="宋体" w:hAnsi="宋体" w:eastAsia="宋体" w:cs="Courier New"/>
                <w:bCs/>
                <w:color w:val="auto"/>
                <w:kern w:val="2"/>
                <w:sz w:val="21"/>
                <w:highlight w:val="none"/>
                <w:lang w:val="en-US"/>
              </w:rPr>
              <w:t>，人员配置合理，计划详细周到；能对“三台融合”的运维服务提出针对性服务方案措施，内容符合项目业务需要</w:t>
            </w:r>
            <w:r>
              <w:rPr>
                <w:rFonts w:hint="eastAsia" w:ascii="宋体" w:hAnsi="宋体" w:eastAsia="宋体" w:cs="Courier New"/>
                <w:bCs/>
                <w:color w:val="auto"/>
                <w:kern w:val="2"/>
                <w:sz w:val="21"/>
                <w:highlight w:val="none"/>
                <w:lang w:val="en-US" w:eastAsia="zh-CN"/>
              </w:rPr>
              <w:t>、与采购需求相切合</w:t>
            </w:r>
            <w:r>
              <w:rPr>
                <w:rFonts w:hint="eastAsia" w:ascii="宋体" w:hAnsi="宋体" w:eastAsia="宋体" w:cs="Courier New"/>
                <w:bCs/>
                <w:color w:val="auto"/>
                <w:kern w:val="2"/>
                <w:sz w:val="21"/>
                <w:highlight w:val="none"/>
                <w:lang w:val="en-US"/>
              </w:rPr>
              <w:t>，能提供除磋商文件要求以外的优化服务措施。</w:t>
            </w:r>
            <w:r>
              <w:rPr>
                <w:rFonts w:hint="eastAsia" w:ascii="宋体" w:hAnsi="宋体" w:eastAsia="宋体" w:cs="Courier New"/>
                <w:bCs/>
                <w:color w:val="auto"/>
                <w:kern w:val="2"/>
                <w:sz w:val="21"/>
                <w:highlight w:val="none"/>
                <w:lang w:val="en-US" w:eastAsia="zh-CN"/>
              </w:rPr>
              <w:t>为确保运行维护质量，要求至少8名运维管理人员具有</w:t>
            </w:r>
            <w:r>
              <w:rPr>
                <w:rFonts w:hint="eastAsia" w:ascii="宋体" w:hAnsi="宋体" w:eastAsia="宋体" w:cs="Courier New"/>
                <w:bCs/>
                <w:color w:val="auto"/>
                <w:kern w:val="2"/>
                <w:sz w:val="21"/>
                <w:highlight w:val="none"/>
                <w:u w:val="none"/>
                <w:lang w:val="en-US" w:eastAsia="zh-CN"/>
              </w:rPr>
              <w:t>信息系统项目管理师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系统分析师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系统架构设计师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网络规划设计师</w:t>
            </w:r>
            <w:r>
              <w:rPr>
                <w:rFonts w:hint="eastAsia" w:ascii="宋体" w:hAnsi="宋体" w:eastAsia="宋体" w:cs="Courier New"/>
                <w:bCs/>
                <w:color w:val="auto"/>
                <w:kern w:val="2"/>
                <w:sz w:val="21"/>
                <w:highlight w:val="none"/>
                <w:lang w:val="en-US" w:eastAsia="zh-CN"/>
              </w:rPr>
              <w:t>或</w:t>
            </w:r>
            <w:r>
              <w:rPr>
                <w:rFonts w:hint="eastAsia" w:ascii="宋体" w:hAnsi="宋体" w:eastAsia="宋体" w:cs="Courier New"/>
                <w:bCs/>
                <w:color w:val="auto"/>
                <w:kern w:val="2"/>
                <w:sz w:val="21"/>
                <w:highlight w:val="none"/>
                <w:u w:val="none"/>
                <w:lang w:val="en-US" w:eastAsia="zh-CN"/>
              </w:rPr>
              <w:t>系统规划与管理师证书</w:t>
            </w:r>
            <w:r>
              <w:rPr>
                <w:rFonts w:hint="eastAsia" w:ascii="宋体" w:hAnsi="宋体" w:eastAsia="宋体" w:cs="Courier New"/>
                <w:bCs/>
                <w:color w:val="auto"/>
                <w:kern w:val="2"/>
                <w:sz w:val="21"/>
                <w:highlight w:val="none"/>
                <w:lang w:val="en-US" w:eastAsia="zh-CN"/>
              </w:rPr>
              <w:t>（须</w:t>
            </w:r>
            <w:r>
              <w:rPr>
                <w:rFonts w:hint="eastAsia" w:ascii="宋体" w:hAnsi="宋体" w:eastAsia="宋体" w:cs="Courier New"/>
                <w:bCs/>
                <w:color w:val="auto"/>
                <w:kern w:val="2"/>
                <w:sz w:val="21"/>
                <w:highlight w:val="none"/>
                <w:lang w:val="en-US"/>
              </w:rPr>
              <w:t>提供近</w:t>
            </w:r>
            <w:r>
              <w:rPr>
                <w:rFonts w:hint="eastAsia" w:ascii="宋体" w:hAnsi="宋体" w:eastAsia="宋体" w:cs="Courier New"/>
                <w:bCs/>
                <w:color w:val="auto"/>
                <w:kern w:val="2"/>
                <w:sz w:val="21"/>
                <w:highlight w:val="none"/>
                <w:lang w:val="en-US" w:eastAsia="zh-CN"/>
              </w:rPr>
              <w:t>半年</w:t>
            </w:r>
            <w:r>
              <w:rPr>
                <w:rFonts w:hint="eastAsia" w:ascii="宋体" w:hAnsi="宋体" w:eastAsia="宋体" w:cs="Courier New"/>
                <w:bCs/>
                <w:color w:val="auto"/>
                <w:kern w:val="2"/>
                <w:sz w:val="21"/>
                <w:highlight w:val="none"/>
                <w:lang w:val="en-US"/>
              </w:rPr>
              <w:t>内任意</w:t>
            </w:r>
            <w:r>
              <w:rPr>
                <w:rFonts w:hint="eastAsia" w:ascii="宋体" w:hAnsi="宋体" w:eastAsia="宋体" w:cs="Courier New"/>
                <w:bCs/>
                <w:color w:val="auto"/>
                <w:kern w:val="2"/>
                <w:sz w:val="21"/>
                <w:highlight w:val="none"/>
                <w:lang w:val="en-US" w:eastAsia="zh-CN"/>
              </w:rPr>
              <w:t>1</w:t>
            </w:r>
            <w:r>
              <w:rPr>
                <w:rFonts w:hint="eastAsia" w:ascii="宋体" w:hAnsi="宋体" w:eastAsia="宋体" w:cs="Courier New"/>
                <w:bCs/>
                <w:color w:val="auto"/>
                <w:kern w:val="2"/>
                <w:sz w:val="21"/>
                <w:highlight w:val="none"/>
                <w:lang w:val="en-US"/>
              </w:rPr>
              <w:t>个月为其缴纳的社保证明复印件</w:t>
            </w:r>
            <w:r>
              <w:rPr>
                <w:rFonts w:hint="eastAsia" w:ascii="宋体" w:hAnsi="宋体" w:eastAsia="宋体" w:cs="Courier New"/>
                <w:bCs/>
                <w:color w:val="auto"/>
                <w:kern w:val="2"/>
                <w:sz w:val="21"/>
                <w:highlight w:val="none"/>
                <w:lang w:val="en-US" w:eastAsia="zh-CN"/>
              </w:rPr>
              <w:t>）。</w:t>
            </w:r>
          </w:p>
        </w:tc>
        <w:tc>
          <w:tcPr>
            <w:tcW w:w="763" w:type="dxa"/>
            <w:noWrap w:val="0"/>
            <w:vAlign w:val="center"/>
          </w:tcPr>
          <w:p w14:paraId="5CF4226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25分</w:t>
            </w:r>
          </w:p>
        </w:tc>
      </w:tr>
      <w:tr w14:paraId="0739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577" w:type="dxa"/>
            <w:vMerge w:val="continue"/>
            <w:noWrap w:val="0"/>
            <w:vAlign w:val="center"/>
          </w:tcPr>
          <w:p w14:paraId="15A94858">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hAnsi="宋体" w:eastAsia="宋体"/>
                <w:color w:val="auto"/>
                <w:highlight w:val="none"/>
                <w:lang w:eastAsia="zh-CN"/>
              </w:rPr>
            </w:pPr>
          </w:p>
        </w:tc>
        <w:tc>
          <w:tcPr>
            <w:tcW w:w="889" w:type="dxa"/>
            <w:vMerge w:val="continue"/>
            <w:noWrap w:val="0"/>
            <w:vAlign w:val="center"/>
          </w:tcPr>
          <w:p w14:paraId="0367ED5C">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int="eastAsia" w:hAnsi="宋体" w:eastAsia="宋体"/>
                <w:color w:val="auto"/>
                <w:highlight w:val="none"/>
                <w:lang w:eastAsia="zh-CN"/>
              </w:rPr>
            </w:pPr>
          </w:p>
        </w:tc>
        <w:tc>
          <w:tcPr>
            <w:tcW w:w="1353" w:type="dxa"/>
            <w:noWrap w:val="0"/>
            <w:vAlign w:val="center"/>
          </w:tcPr>
          <w:p w14:paraId="23C29021">
            <w:pPr>
              <w:bidi w:val="0"/>
              <w:spacing w:line="360" w:lineRule="auto"/>
              <w:jc w:val="center"/>
              <w:rPr>
                <w:rFonts w:hint="eastAsia" w:ascii="宋体" w:hAnsi="宋体" w:eastAsia="宋体" w:cs="Courier New"/>
                <w:b/>
                <w:bCs w:val="0"/>
                <w:color w:val="auto"/>
                <w:kern w:val="2"/>
                <w:sz w:val="21"/>
                <w:highlight w:val="none"/>
                <w:lang w:val="en-US" w:eastAsia="zh-CN"/>
              </w:rPr>
            </w:pPr>
            <w:r>
              <w:rPr>
                <w:rFonts w:hint="eastAsia"/>
                <w:b/>
                <w:bCs/>
                <w:color w:val="auto"/>
                <w:highlight w:val="none"/>
                <w:lang w:val="en-US" w:eastAsia="zh-CN"/>
              </w:rPr>
              <w:t>（3）售后服务方案、应急保障措施分</w:t>
            </w:r>
          </w:p>
        </w:tc>
        <w:tc>
          <w:tcPr>
            <w:tcW w:w="6430" w:type="dxa"/>
            <w:noWrap w:val="0"/>
            <w:vAlign w:val="center"/>
          </w:tcPr>
          <w:p w14:paraId="11EA5B47">
            <w:pPr>
              <w:bidi w:val="0"/>
              <w:spacing w:line="360" w:lineRule="auto"/>
              <w:rPr>
                <w:rFonts w:hint="eastAsia"/>
                <w:color w:val="auto"/>
                <w:highlight w:val="none"/>
                <w:lang w:val="en-US" w:eastAsia="zh-CN"/>
              </w:rPr>
            </w:pPr>
            <w:r>
              <w:rPr>
                <w:rFonts w:hint="eastAsia"/>
                <w:b/>
                <w:bCs/>
                <w:color w:val="auto"/>
                <w:highlight w:val="none"/>
                <w:lang w:val="en-US" w:eastAsia="zh-CN"/>
              </w:rPr>
              <w:t>一档（10分）：</w:t>
            </w:r>
            <w:r>
              <w:rPr>
                <w:rFonts w:hint="eastAsia"/>
                <w:color w:val="auto"/>
                <w:highlight w:val="none"/>
                <w:lang w:val="en-US" w:eastAsia="zh-CN"/>
              </w:rPr>
              <w:t>基本满足采购文件要求，提供有售后服务承诺，售后服务方案总体评述符合采购需求，但内容存在前后表述不一致或前后矛盾。</w:t>
            </w:r>
          </w:p>
          <w:p w14:paraId="5DF1FDDA">
            <w:pPr>
              <w:bidi w:val="0"/>
              <w:spacing w:line="360" w:lineRule="auto"/>
              <w:rPr>
                <w:rFonts w:hint="eastAsia"/>
                <w:color w:val="auto"/>
                <w:highlight w:val="none"/>
                <w:lang w:val="en-US" w:eastAsia="zh-CN"/>
              </w:rPr>
            </w:pPr>
            <w:r>
              <w:rPr>
                <w:rFonts w:hint="eastAsia"/>
                <w:b/>
                <w:bCs/>
                <w:color w:val="auto"/>
                <w:highlight w:val="none"/>
                <w:lang w:val="en-US" w:eastAsia="zh-CN"/>
              </w:rPr>
              <w:t>二档（15分）：</w:t>
            </w:r>
            <w:r>
              <w:rPr>
                <w:rFonts w:hint="eastAsia"/>
                <w:color w:val="auto"/>
                <w:highlight w:val="none"/>
                <w:lang w:val="en-US" w:eastAsia="zh-CN"/>
              </w:rPr>
              <w:t>提供合理的售后服务承诺，有售后服务制度，有实施事项分析，售后服务方案总体评述较全面；提出有建设性的应急保障措施，接到采购人临时需求或突发紧急状况提供有效的解决方案。</w:t>
            </w:r>
          </w:p>
          <w:p w14:paraId="78F67407">
            <w:pPr>
              <w:bidi w:val="0"/>
              <w:spacing w:line="360" w:lineRule="auto"/>
              <w:rPr>
                <w:rFonts w:hint="eastAsia" w:ascii="宋体" w:hAnsi="宋体" w:eastAsia="宋体" w:cs="Courier New"/>
                <w:bCs/>
                <w:color w:val="auto"/>
                <w:kern w:val="2"/>
                <w:sz w:val="21"/>
                <w:highlight w:val="none"/>
                <w:lang w:val="en-US" w:eastAsia="zh-CN"/>
              </w:rPr>
            </w:pPr>
            <w:r>
              <w:rPr>
                <w:rFonts w:hint="eastAsia"/>
                <w:b/>
                <w:bCs/>
                <w:color w:val="auto"/>
                <w:highlight w:val="none"/>
                <w:lang w:val="en-US" w:eastAsia="zh-CN"/>
              </w:rPr>
              <w:t>三档（20分）：</w:t>
            </w:r>
            <w:r>
              <w:rPr>
                <w:rFonts w:hint="eastAsia"/>
                <w:color w:val="auto"/>
                <w:highlight w:val="none"/>
                <w:lang w:val="en-US" w:eastAsia="zh-CN"/>
              </w:rPr>
              <w:t>提供详细、具体的售后服务承诺，有完整的售后服务制度，对内容、流程详尽有操作性，跟踪指导服务及时，后续跟踪服务内容与采购需求相对应，方案总体评述全面、科学；提出具体的、有针采购需求的应急保障措施，接到采购人临时需求或突发紧急状况能结合采购人的情况和采购需求提供有效、切合采购需求的解决方案。</w:t>
            </w:r>
          </w:p>
        </w:tc>
        <w:tc>
          <w:tcPr>
            <w:tcW w:w="763" w:type="dxa"/>
            <w:noWrap w:val="0"/>
            <w:vAlign w:val="center"/>
          </w:tcPr>
          <w:p w14:paraId="6FAA474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20分</w:t>
            </w:r>
          </w:p>
        </w:tc>
      </w:tr>
      <w:tr w14:paraId="5179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77" w:type="dxa"/>
            <w:vMerge w:val="continue"/>
            <w:noWrap w:val="0"/>
            <w:vAlign w:val="center"/>
          </w:tcPr>
          <w:p w14:paraId="5DEE6A2E">
            <w:pPr>
              <w:bidi w:val="0"/>
              <w:spacing w:line="360" w:lineRule="auto"/>
              <w:rPr>
                <w:highlight w:val="none"/>
              </w:rPr>
            </w:pPr>
          </w:p>
        </w:tc>
        <w:tc>
          <w:tcPr>
            <w:tcW w:w="889" w:type="dxa"/>
            <w:vMerge w:val="continue"/>
            <w:noWrap w:val="0"/>
            <w:vAlign w:val="center"/>
          </w:tcPr>
          <w:p w14:paraId="0F38D29F">
            <w:pPr>
              <w:bidi w:val="0"/>
              <w:spacing w:line="360" w:lineRule="auto"/>
              <w:rPr>
                <w:highlight w:val="none"/>
              </w:rPr>
            </w:pPr>
          </w:p>
        </w:tc>
        <w:tc>
          <w:tcPr>
            <w:tcW w:w="1353" w:type="dxa"/>
            <w:noWrap w:val="0"/>
            <w:vAlign w:val="center"/>
          </w:tcPr>
          <w:p w14:paraId="7C7F435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highlight w:val="none"/>
              </w:rPr>
            </w:pPr>
            <w:r>
              <w:rPr>
                <w:rFonts w:hint="eastAsia" w:ascii="宋体" w:hAnsi="宋体" w:eastAsia="宋体" w:cs="Courier New"/>
                <w:b/>
                <w:bCs w:val="0"/>
                <w:color w:val="auto"/>
                <w:kern w:val="2"/>
                <w:sz w:val="21"/>
                <w:highlight w:val="none"/>
                <w:lang w:val="en-US" w:eastAsia="zh-CN"/>
              </w:rPr>
              <w:t>（4）可视化能力分</w:t>
            </w:r>
          </w:p>
        </w:tc>
        <w:tc>
          <w:tcPr>
            <w:tcW w:w="6430" w:type="dxa"/>
            <w:noWrap w:val="0"/>
            <w:vAlign w:val="center"/>
          </w:tcPr>
          <w:p w14:paraId="39A61E3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为确保提升智能化服务能力水平和履约能力。</w:t>
            </w:r>
          </w:p>
          <w:p w14:paraId="3BA9155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①供应商通过图片或软件截图或照片等形式能实现可从法律咨询历史数据中提炼学习、让数据成为数字资产、实现咨询标准化的全流程的得3分，缺项不得分。</w:t>
            </w:r>
          </w:p>
          <w:p w14:paraId="68EE2D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②供应商通过图片或软件截图或照片等形式能实现对法律服务座席人员实现实时咨询智能提示、辅助快速回答的的得3分，缺项不得分。</w:t>
            </w:r>
          </w:p>
          <w:p w14:paraId="4273449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b/>
                <w:bCs/>
                <w:color w:val="auto"/>
                <w:highlight w:val="none"/>
                <w:lang w:val="en-US" w:eastAsia="zh-CN"/>
              </w:rPr>
            </w:pPr>
            <w:r>
              <w:rPr>
                <w:rFonts w:hint="eastAsia" w:ascii="宋体" w:hAnsi="宋体" w:eastAsia="宋体" w:cs="Courier New"/>
                <w:bCs/>
                <w:color w:val="auto"/>
                <w:kern w:val="2"/>
                <w:sz w:val="21"/>
                <w:highlight w:val="none"/>
                <w:lang w:val="en-US" w:eastAsia="zh-CN"/>
              </w:rPr>
              <w:t>③供应商通过图片或软件截图或照片等形式能实现对咨询数据实现自动分类、自动分析、自动报表智能化运营的流程的得3分，缺项不得分。</w:t>
            </w:r>
          </w:p>
        </w:tc>
        <w:tc>
          <w:tcPr>
            <w:tcW w:w="763" w:type="dxa"/>
            <w:noWrap w:val="0"/>
            <w:vAlign w:val="center"/>
          </w:tcPr>
          <w:p w14:paraId="3D4524E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color w:val="auto"/>
                <w:highlight w:val="none"/>
                <w:lang w:val="en-US" w:eastAsia="zh-CN"/>
              </w:rPr>
            </w:pPr>
            <w:r>
              <w:rPr>
                <w:rFonts w:hint="eastAsia" w:ascii="宋体" w:hAnsi="宋体" w:eastAsia="宋体" w:cs="Courier New"/>
                <w:bCs/>
                <w:color w:val="auto"/>
                <w:kern w:val="2"/>
                <w:sz w:val="21"/>
                <w:highlight w:val="none"/>
                <w:lang w:val="en-US" w:eastAsia="zh-CN"/>
              </w:rPr>
              <w:t>9分</w:t>
            </w:r>
          </w:p>
        </w:tc>
      </w:tr>
      <w:tr w14:paraId="4023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noWrap w:val="0"/>
            <w:vAlign w:val="center"/>
          </w:tcPr>
          <w:p w14:paraId="3633B848">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Ansi="宋体"/>
                <w:b/>
                <w:bCs/>
                <w:color w:val="auto"/>
                <w:kern w:val="0"/>
                <w:highlight w:val="none"/>
              </w:rPr>
            </w:pPr>
            <w:r>
              <w:rPr>
                <w:rFonts w:hint="eastAsia" w:ascii="宋体" w:hAnsi="宋体" w:cs="Tahoma"/>
                <w:b/>
                <w:bCs/>
                <w:color w:val="auto"/>
                <w:kern w:val="0"/>
                <w:szCs w:val="21"/>
                <w:highlight w:val="none"/>
              </w:rPr>
              <w:t>3</w:t>
            </w:r>
          </w:p>
        </w:tc>
        <w:tc>
          <w:tcPr>
            <w:tcW w:w="2242" w:type="dxa"/>
            <w:gridSpan w:val="2"/>
            <w:noWrap w:val="0"/>
            <w:vAlign w:val="center"/>
          </w:tcPr>
          <w:p w14:paraId="458A6406">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int="eastAsia" w:hAnsi="宋体" w:eastAsia="宋体"/>
                <w:b/>
                <w:bCs/>
                <w:color w:val="auto"/>
                <w:highlight w:val="none"/>
                <w:lang w:eastAsia="zh-CN"/>
              </w:rPr>
            </w:pPr>
            <w:r>
              <w:rPr>
                <w:rFonts w:hint="eastAsia" w:ascii="宋体" w:hAnsi="宋体" w:cs="Courier New"/>
                <w:b/>
                <w:bCs/>
                <w:color w:val="auto"/>
                <w:szCs w:val="21"/>
                <w:highlight w:val="none"/>
              </w:rPr>
              <w:t>商务分</w:t>
            </w:r>
            <w:r>
              <w:rPr>
                <w:rFonts w:hint="eastAsia" w:hAnsi="宋体" w:cs="Courier New"/>
                <w:b/>
                <w:bCs/>
                <w:color w:val="auto"/>
                <w:szCs w:val="21"/>
                <w:highlight w:val="none"/>
                <w:lang w:eastAsia="zh-CN"/>
              </w:rPr>
              <w:t>（满分</w:t>
            </w:r>
            <w:r>
              <w:rPr>
                <w:rFonts w:hint="eastAsia" w:hAnsi="宋体" w:cs="Courier New"/>
                <w:b/>
                <w:bCs/>
                <w:color w:val="auto"/>
                <w:szCs w:val="21"/>
                <w:highlight w:val="none"/>
                <w:lang w:val="en-US" w:eastAsia="zh-CN"/>
              </w:rPr>
              <w:t>10分</w:t>
            </w:r>
            <w:r>
              <w:rPr>
                <w:rFonts w:hint="eastAsia" w:hAnsi="宋体" w:cs="Courier New"/>
                <w:b/>
                <w:bCs/>
                <w:color w:val="auto"/>
                <w:szCs w:val="21"/>
                <w:highlight w:val="none"/>
                <w:lang w:eastAsia="zh-CN"/>
              </w:rPr>
              <w:t>）</w:t>
            </w:r>
          </w:p>
        </w:tc>
        <w:tc>
          <w:tcPr>
            <w:tcW w:w="7193" w:type="dxa"/>
            <w:gridSpan w:val="2"/>
            <w:noWrap w:val="0"/>
            <w:vAlign w:val="center"/>
          </w:tcPr>
          <w:p w14:paraId="02BCEE20">
            <w:pPr>
              <w:keepNext w:val="0"/>
              <w:keepLines w:val="0"/>
              <w:pageBreakBefore w:val="0"/>
              <w:shd w:val="clear" w:color="auto" w:fill="auto"/>
              <w:kinsoku/>
              <w:wordWrap/>
              <w:overflowPunct/>
              <w:topLinePunct w:val="0"/>
              <w:autoSpaceDE/>
              <w:autoSpaceDN/>
              <w:bidi w:val="0"/>
              <w:snapToGrid/>
              <w:spacing w:line="360" w:lineRule="auto"/>
              <w:ind w:right="0" w:rightChars="0" w:firstLine="0" w:firstLineChars="0"/>
              <w:jc w:val="center"/>
              <w:rPr>
                <w:rFonts w:hAnsi="宋体" w:cs="Tahoma"/>
                <w:b/>
                <w:bCs/>
                <w:color w:val="auto"/>
                <w:kern w:val="0"/>
                <w:highlight w:val="none"/>
              </w:rPr>
            </w:pPr>
            <w:r>
              <w:rPr>
                <w:rFonts w:hint="eastAsia" w:ascii="宋体" w:hAnsi="宋体" w:cs="Tahoma"/>
                <w:b/>
                <w:bCs/>
                <w:color w:val="auto"/>
                <w:kern w:val="0"/>
                <w:szCs w:val="21"/>
                <w:highlight w:val="none"/>
              </w:rPr>
              <w:t>评审因素</w:t>
            </w:r>
          </w:p>
        </w:tc>
      </w:tr>
      <w:tr w14:paraId="642E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577" w:type="dxa"/>
            <w:noWrap w:val="0"/>
            <w:vAlign w:val="center"/>
          </w:tcPr>
          <w:p w14:paraId="06FBD7ED">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int="default" w:hAnsi="宋体" w:eastAsia="宋体"/>
                <w:b/>
                <w:bCs/>
                <w:color w:val="auto"/>
                <w:kern w:val="0"/>
                <w:highlight w:val="none"/>
                <w:lang w:val="en-US" w:eastAsia="zh-CN"/>
              </w:rPr>
            </w:pPr>
            <w:r>
              <w:rPr>
                <w:rFonts w:hint="eastAsia" w:ascii="宋体" w:hAnsi="宋体" w:cs="Tahoma"/>
                <w:b/>
                <w:bCs/>
                <w:color w:val="auto"/>
                <w:kern w:val="0"/>
                <w:szCs w:val="21"/>
                <w:highlight w:val="none"/>
                <w:lang w:val="en-US" w:eastAsia="zh-CN"/>
              </w:rPr>
              <w:t>3.1</w:t>
            </w:r>
          </w:p>
        </w:tc>
        <w:tc>
          <w:tcPr>
            <w:tcW w:w="2242" w:type="dxa"/>
            <w:gridSpan w:val="2"/>
            <w:noWrap w:val="0"/>
            <w:vAlign w:val="center"/>
          </w:tcPr>
          <w:p w14:paraId="5D2172CE">
            <w:pPr>
              <w:keepNext w:val="0"/>
              <w:keepLines w:val="0"/>
              <w:pageBreakBefore w:val="0"/>
              <w:widowControl/>
              <w:shd w:val="clear" w:color="auto" w:fill="auto"/>
              <w:tabs>
                <w:tab w:val="left" w:pos="8460"/>
              </w:tabs>
              <w:kinsoku/>
              <w:wordWrap/>
              <w:overflowPunct/>
              <w:topLinePunct w:val="0"/>
              <w:autoSpaceDE/>
              <w:autoSpaceDN/>
              <w:bidi w:val="0"/>
              <w:adjustRightInd/>
              <w:snapToGrid/>
              <w:spacing w:line="360" w:lineRule="auto"/>
              <w:ind w:right="0" w:rightChars="0" w:firstLine="0" w:firstLineChars="0"/>
              <w:jc w:val="center"/>
              <w:textAlignment w:val="auto"/>
              <w:rPr>
                <w:b/>
                <w:bCs/>
                <w:color w:val="auto"/>
                <w:highlight w:val="none"/>
              </w:rPr>
            </w:pPr>
            <w:r>
              <w:rPr>
                <w:rFonts w:hint="eastAsia" w:ascii="宋体" w:hAnsi="宋体" w:eastAsia="宋体" w:cs="宋体"/>
                <w:b/>
                <w:bCs/>
                <w:color w:val="auto"/>
                <w:highlight w:val="none"/>
                <w:lang w:val="en-US" w:eastAsia="zh-CN"/>
              </w:rPr>
              <w:t>综合实力分</w:t>
            </w:r>
          </w:p>
        </w:tc>
        <w:tc>
          <w:tcPr>
            <w:tcW w:w="6430" w:type="dxa"/>
            <w:noWrap w:val="0"/>
            <w:vAlign w:val="center"/>
          </w:tcPr>
          <w:p w14:paraId="3123BF62">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供应商具有质量管理体系认证证书（ISO9001）的得2分。（须提供有效期内的证书复印件并加盖公章，否则不得分）</w:t>
            </w:r>
          </w:p>
        </w:tc>
        <w:tc>
          <w:tcPr>
            <w:tcW w:w="763" w:type="dxa"/>
            <w:noWrap w:val="0"/>
            <w:vAlign w:val="center"/>
          </w:tcPr>
          <w:p w14:paraId="05F3A34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w:t>
            </w:r>
          </w:p>
        </w:tc>
      </w:tr>
      <w:tr w14:paraId="1A0F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77" w:type="dxa"/>
            <w:noWrap w:val="0"/>
            <w:vAlign w:val="center"/>
          </w:tcPr>
          <w:p w14:paraId="4CDBA7D7">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int="eastAsia" w:hAnsi="宋体" w:eastAsia="宋体" w:cs="Tahoma"/>
                <w:b/>
                <w:bCs/>
                <w:color w:val="auto"/>
                <w:kern w:val="0"/>
                <w:highlight w:val="none"/>
                <w:lang w:eastAsia="zh-CN"/>
              </w:rPr>
            </w:pPr>
            <w:r>
              <w:rPr>
                <w:rFonts w:hint="eastAsia" w:ascii="宋体" w:hAnsi="宋体" w:cs="Tahoma"/>
                <w:b/>
                <w:bCs/>
                <w:color w:val="auto"/>
                <w:kern w:val="0"/>
                <w:szCs w:val="21"/>
                <w:highlight w:val="none"/>
                <w:lang w:val="en-US" w:eastAsia="zh-CN"/>
              </w:rPr>
              <w:t>3.2</w:t>
            </w:r>
          </w:p>
        </w:tc>
        <w:tc>
          <w:tcPr>
            <w:tcW w:w="2242" w:type="dxa"/>
            <w:gridSpan w:val="2"/>
            <w:noWrap w:val="0"/>
            <w:vAlign w:val="center"/>
          </w:tcPr>
          <w:p w14:paraId="52A26E1C">
            <w:pPr>
              <w:keepNext w:val="0"/>
              <w:keepLines w:val="0"/>
              <w:pageBreakBefore w:val="0"/>
              <w:widowControl/>
              <w:shd w:val="clear" w:color="auto" w:fill="auto"/>
              <w:tabs>
                <w:tab w:val="left" w:pos="8460"/>
              </w:tabs>
              <w:kinsoku/>
              <w:wordWrap/>
              <w:overflowPunct/>
              <w:topLinePunct w:val="0"/>
              <w:autoSpaceDE/>
              <w:autoSpaceDN/>
              <w:bidi w:val="0"/>
              <w:adjustRightInd/>
              <w:snapToGrid/>
              <w:spacing w:line="360" w:lineRule="auto"/>
              <w:ind w:right="0" w:rightChars="0" w:firstLine="0" w:firstLineChars="0"/>
              <w:jc w:val="center"/>
              <w:textAlignment w:val="auto"/>
              <w:rPr>
                <w:rFonts w:hint="eastAsia"/>
                <w:b/>
                <w:bCs/>
                <w:color w:val="auto"/>
                <w:highlight w:val="none"/>
              </w:rPr>
            </w:pPr>
            <w:r>
              <w:rPr>
                <w:rFonts w:hint="eastAsia" w:ascii="宋体" w:hAnsi="宋体" w:eastAsia="宋体" w:cs="宋体"/>
                <w:b/>
                <w:bCs/>
                <w:color w:val="auto"/>
                <w:highlight w:val="none"/>
                <w:lang w:val="en-US" w:eastAsia="zh-CN"/>
              </w:rPr>
              <w:t>信誉业绩分</w:t>
            </w:r>
          </w:p>
        </w:tc>
        <w:tc>
          <w:tcPr>
            <w:tcW w:w="6430" w:type="dxa"/>
            <w:noWrap w:val="0"/>
            <w:vAlign w:val="center"/>
          </w:tcPr>
          <w:p w14:paraId="6B92E51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2021年10月以来具有运维服务项目业绩的每个得2分，满分8分。（须提供中标通知书或合同等证明材料复印件并加盖公章，否则不得分）（运维服务项目是指供应商具有为12345、12315、12321、12366、12338、110、120、119、122等服务热线的运维服务或网站运维服务或平台运维服务或系统运维服务等类似项目）</w:t>
            </w:r>
          </w:p>
        </w:tc>
        <w:tc>
          <w:tcPr>
            <w:tcW w:w="763" w:type="dxa"/>
            <w:noWrap w:val="0"/>
            <w:vAlign w:val="center"/>
          </w:tcPr>
          <w:p w14:paraId="14FDFA0A">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right="0" w:rightChars="0" w:firstLine="0" w:firstLineChars="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8分</w:t>
            </w:r>
          </w:p>
        </w:tc>
      </w:tr>
      <w:tr w14:paraId="482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49" w:type="dxa"/>
            <w:gridSpan w:val="4"/>
            <w:noWrap w:val="0"/>
            <w:vAlign w:val="center"/>
          </w:tcPr>
          <w:p w14:paraId="240DC3DF">
            <w:pPr>
              <w:pStyle w:val="18"/>
              <w:keepNext w:val="0"/>
              <w:keepLines w:val="0"/>
              <w:pageBreakBefore w:val="0"/>
              <w:shd w:val="clear" w:color="auto" w:fill="auto"/>
              <w:kinsoku/>
              <w:wordWrap/>
              <w:overflowPunct/>
              <w:topLinePunct w:val="0"/>
              <w:autoSpaceDE/>
              <w:autoSpaceDN/>
              <w:bidi w:val="0"/>
              <w:snapToGrid/>
              <w:spacing w:line="360" w:lineRule="auto"/>
              <w:ind w:right="0" w:rightChars="0" w:firstLine="422"/>
              <w:rPr>
                <w:rFonts w:hint="default" w:hAnsi="宋体" w:eastAsia="宋体" w:cs="Courier New"/>
                <w:bCs/>
                <w:color w:val="auto"/>
                <w:kern w:val="2"/>
                <w:sz w:val="21"/>
                <w:highlight w:val="none"/>
                <w:lang w:val="en-US" w:eastAsia="zh-CN"/>
              </w:rPr>
            </w:pPr>
            <w:r>
              <w:rPr>
                <w:rFonts w:hint="eastAsia" w:hAnsi="宋体" w:cs="Courier New"/>
                <w:b/>
                <w:color w:val="auto"/>
                <w:kern w:val="2"/>
                <w:sz w:val="21"/>
                <w:highlight w:val="none"/>
                <w:lang w:val="en-US"/>
              </w:rPr>
              <w:t>总得分＝1＋2＋3</w:t>
            </w:r>
          </w:p>
        </w:tc>
        <w:tc>
          <w:tcPr>
            <w:tcW w:w="763" w:type="dxa"/>
            <w:noWrap w:val="0"/>
            <w:vAlign w:val="center"/>
          </w:tcPr>
          <w:p w14:paraId="7EC0BE4E">
            <w:pPr>
              <w:keepNext w:val="0"/>
              <w:keepLines w:val="0"/>
              <w:pageBreakBefore w:val="0"/>
              <w:shd w:val="clear" w:color="auto" w:fill="auto"/>
              <w:kinsoku/>
              <w:wordWrap/>
              <w:overflowPunct/>
              <w:topLinePunct w:val="0"/>
              <w:autoSpaceDE/>
              <w:autoSpaceDN/>
              <w:bidi w:val="0"/>
              <w:snapToGrid/>
              <w:spacing w:line="360" w:lineRule="auto"/>
              <w:ind w:right="0" w:rightChars="0" w:firstLine="420"/>
              <w:jc w:val="center"/>
              <w:rPr>
                <w:rFonts w:hAnsi="宋体" w:cs="Tahoma"/>
                <w:color w:val="auto"/>
                <w:kern w:val="0"/>
                <w:highlight w:val="none"/>
              </w:rPr>
            </w:pPr>
          </w:p>
        </w:tc>
      </w:tr>
      <w:bookmarkEnd w:id="111"/>
    </w:tbl>
    <w:p w14:paraId="53A778A3">
      <w:pPr>
        <w:widowControl/>
        <w:numPr>
          <w:ilvl w:val="0"/>
          <w:numId w:val="0"/>
        </w:numPr>
        <w:spacing w:line="360" w:lineRule="auto"/>
        <w:ind w:firstLine="371" w:firstLineChars="176"/>
        <w:jc w:val="left"/>
        <w:outlineLvl w:val="3"/>
        <w:rPr>
          <w:rFonts w:ascii="宋体" w:hAnsi="宋体" w:eastAsia="宋体" w:cs="宋体"/>
          <w:b/>
          <w:color w:val="auto"/>
          <w:spacing w:val="10"/>
          <w:kern w:val="0"/>
          <w:sz w:val="28"/>
          <w:szCs w:val="28"/>
          <w:highlight w:val="none"/>
        </w:rPr>
      </w:pPr>
      <w:r>
        <w:rPr>
          <w:rFonts w:ascii="宋体" w:hAnsi="宋体" w:eastAsia="宋体" w:cs="宋体"/>
          <w:b/>
          <w:bCs/>
          <w:color w:val="auto"/>
          <w:kern w:val="2"/>
          <w:sz w:val="21"/>
          <w:szCs w:val="21"/>
          <w:highlight w:val="none"/>
          <w:lang w:val="en-US" w:eastAsia="zh-CN" w:bidi="ar-SA"/>
        </w:rPr>
        <w:t>7.</w:t>
      </w:r>
      <w:r>
        <w:rPr>
          <w:rFonts w:hint="eastAsia" w:ascii="宋体" w:hAnsi="宋体" w:eastAsia="宋体" w:cs="宋体"/>
          <w:b/>
          <w:bCs/>
          <w:color w:val="auto"/>
          <w:szCs w:val="21"/>
          <w:highlight w:val="none"/>
        </w:rPr>
        <w:t>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r>
        <w:rPr>
          <w:rFonts w:hint="eastAsia" w:ascii="宋体" w:hAnsi="宋体" w:eastAsia="宋体" w:cs="宋体"/>
          <w:b/>
          <w:color w:val="auto"/>
          <w:spacing w:val="10"/>
          <w:kern w:val="0"/>
          <w:sz w:val="28"/>
          <w:szCs w:val="28"/>
          <w:highlight w:val="none"/>
        </w:rPr>
        <w:br w:type="page"/>
      </w:r>
    </w:p>
    <w:p w14:paraId="6F072669">
      <w:pPr>
        <w:rPr>
          <w:color w:val="auto"/>
          <w:highlight w:val="none"/>
        </w:rPr>
      </w:pPr>
    </w:p>
    <w:p w14:paraId="4D52B51B">
      <w:pPr>
        <w:pStyle w:val="6"/>
        <w:ind w:firstLine="560"/>
        <w:rPr>
          <w:color w:val="auto"/>
          <w:highlight w:val="none"/>
        </w:rPr>
      </w:pPr>
    </w:p>
    <w:p w14:paraId="5829C90B">
      <w:pPr>
        <w:rPr>
          <w:color w:val="auto"/>
          <w:highlight w:val="none"/>
        </w:rPr>
      </w:pPr>
    </w:p>
    <w:p w14:paraId="1CEA28D6">
      <w:pPr>
        <w:pStyle w:val="6"/>
        <w:ind w:firstLine="560"/>
        <w:rPr>
          <w:color w:val="auto"/>
          <w:highlight w:val="none"/>
        </w:rPr>
      </w:pPr>
    </w:p>
    <w:p w14:paraId="35C97FD0">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31AE08C1">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5D0CB416">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66215BBA">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2C40A488">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5AB632EF">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10A94899">
      <w:pPr>
        <w:widowControl/>
        <w:tabs>
          <w:tab w:val="center" w:pos="4153"/>
          <w:tab w:val="right" w:pos="8306"/>
        </w:tabs>
        <w:snapToGrid w:val="0"/>
        <w:ind w:firstLine="360" w:firstLineChars="200"/>
        <w:jc w:val="left"/>
        <w:rPr>
          <w:rFonts w:ascii="宋体" w:hAnsi="宋体" w:eastAsia="宋体" w:cs="宋体"/>
          <w:color w:val="auto"/>
          <w:sz w:val="18"/>
          <w:szCs w:val="18"/>
          <w:highlight w:val="none"/>
        </w:rPr>
      </w:pPr>
    </w:p>
    <w:p w14:paraId="7BFA4D3E">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sectPr>
          <w:pgSz w:w="11906" w:h="16838"/>
          <w:pgMar w:top="1332" w:right="1434" w:bottom="1332" w:left="1434" w:header="850" w:footer="992" w:gutter="0"/>
          <w:cols w:space="0" w:num="1"/>
          <w:rtlGutter w:val="0"/>
          <w:docGrid w:type="lines" w:linePitch="315" w:charSpace="0"/>
        </w:sectPr>
      </w:pPr>
      <w:bookmarkStart w:id="18" w:name="_Toc108596906"/>
      <w:r>
        <w:rPr>
          <w:rFonts w:hint="eastAsia" w:ascii="宋体" w:hAnsi="宋体" w:eastAsia="宋体" w:cs="宋体"/>
          <w:b/>
          <w:bCs/>
          <w:color w:val="auto"/>
          <w:kern w:val="44"/>
          <w:sz w:val="44"/>
          <w:szCs w:val="44"/>
          <w:highlight w:val="none"/>
        </w:rPr>
        <w:t>第五章 响应文件格式</w:t>
      </w:r>
      <w:bookmarkEnd w:id="18"/>
    </w:p>
    <w:p w14:paraId="7EA2DD77">
      <w:pPr>
        <w:keepNext/>
        <w:keepLines/>
        <w:widowControl/>
        <w:spacing w:line="480" w:lineRule="auto"/>
        <w:jc w:val="left"/>
        <w:outlineLvl w:val="1"/>
        <w:rPr>
          <w:rFonts w:ascii="宋体" w:hAnsi="宋体" w:eastAsia="宋体" w:cs="宋体"/>
          <w:b/>
          <w:bCs/>
          <w:color w:val="auto"/>
          <w:sz w:val="28"/>
          <w:szCs w:val="44"/>
          <w:highlight w:val="none"/>
        </w:rPr>
      </w:pPr>
      <w:r>
        <w:rPr>
          <w:rFonts w:hint="eastAsia" w:ascii="宋体" w:hAnsi="宋体" w:eastAsia="宋体" w:cs="宋体"/>
          <w:b/>
          <w:bCs/>
          <w:color w:val="auto"/>
          <w:sz w:val="28"/>
          <w:szCs w:val="44"/>
          <w:highlight w:val="none"/>
        </w:rPr>
        <w:t>一、资格证明文件格式</w:t>
      </w:r>
    </w:p>
    <w:p w14:paraId="0D0E433B">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1.资格证明文件封面格式</w:t>
      </w:r>
    </w:p>
    <w:p w14:paraId="64F89C0F">
      <w:pPr>
        <w:widowControl/>
        <w:spacing w:line="360" w:lineRule="auto"/>
        <w:ind w:firstLine="199" w:firstLineChars="83"/>
        <w:jc w:val="left"/>
        <w:rPr>
          <w:rFonts w:ascii="宋体" w:hAnsi="宋体" w:eastAsia="宋体" w:cs="宋体"/>
          <w:color w:val="auto"/>
          <w:sz w:val="24"/>
          <w:szCs w:val="24"/>
          <w:highlight w:val="none"/>
        </w:rPr>
      </w:pPr>
    </w:p>
    <w:p w14:paraId="1B87CBD3">
      <w:pPr>
        <w:widowControl/>
        <w:spacing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电子响应文件</w:t>
      </w:r>
    </w:p>
    <w:p w14:paraId="0E2F8346">
      <w:pPr>
        <w:widowControl/>
        <w:spacing w:line="360" w:lineRule="auto"/>
        <w:jc w:val="center"/>
        <w:rPr>
          <w:rFonts w:ascii="宋体" w:hAnsi="宋体" w:eastAsia="宋体" w:cs="宋体"/>
          <w:b/>
          <w:bCs/>
          <w:color w:val="auto"/>
          <w:sz w:val="44"/>
          <w:szCs w:val="44"/>
          <w:highlight w:val="none"/>
        </w:rPr>
      </w:pPr>
    </w:p>
    <w:p w14:paraId="06472D94">
      <w:pPr>
        <w:widowControl/>
        <w:spacing w:line="360" w:lineRule="auto"/>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资格证明文件</w:t>
      </w:r>
    </w:p>
    <w:p w14:paraId="7C4D4410">
      <w:pPr>
        <w:widowControl/>
        <w:spacing w:line="360" w:lineRule="auto"/>
        <w:ind w:firstLine="480" w:firstLineChars="200"/>
        <w:jc w:val="left"/>
        <w:rPr>
          <w:rFonts w:ascii="宋体" w:hAnsi="宋体" w:eastAsia="宋体" w:cs="宋体"/>
          <w:color w:val="auto"/>
          <w:sz w:val="24"/>
          <w:szCs w:val="24"/>
          <w:highlight w:val="none"/>
        </w:rPr>
      </w:pPr>
    </w:p>
    <w:p w14:paraId="14DDC615">
      <w:pPr>
        <w:widowControl/>
        <w:spacing w:line="360" w:lineRule="auto"/>
        <w:ind w:firstLine="480" w:firstLineChars="200"/>
        <w:jc w:val="left"/>
        <w:rPr>
          <w:rFonts w:ascii="宋体" w:hAnsi="宋体" w:eastAsia="宋体" w:cs="宋体"/>
          <w:color w:val="auto"/>
          <w:sz w:val="24"/>
          <w:szCs w:val="24"/>
          <w:highlight w:val="none"/>
        </w:rPr>
      </w:pPr>
    </w:p>
    <w:p w14:paraId="6B07D109">
      <w:pPr>
        <w:widowControl/>
        <w:spacing w:line="360" w:lineRule="auto"/>
        <w:ind w:firstLine="480" w:firstLineChars="200"/>
        <w:jc w:val="left"/>
        <w:rPr>
          <w:rFonts w:ascii="宋体" w:hAnsi="宋体" w:eastAsia="宋体" w:cs="宋体"/>
          <w:color w:val="auto"/>
          <w:sz w:val="24"/>
          <w:szCs w:val="24"/>
          <w:highlight w:val="none"/>
        </w:rPr>
      </w:pPr>
    </w:p>
    <w:p w14:paraId="7CBC8EED">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0EFCDCFA">
      <w:pPr>
        <w:widowControl/>
        <w:spacing w:line="360" w:lineRule="auto"/>
        <w:ind w:firstLine="1132" w:firstLineChars="354"/>
        <w:jc w:val="left"/>
        <w:rPr>
          <w:rFonts w:ascii="宋体" w:hAnsi="宋体" w:eastAsia="宋体" w:cs="宋体"/>
          <w:color w:val="auto"/>
          <w:sz w:val="32"/>
          <w:szCs w:val="32"/>
          <w:highlight w:val="none"/>
        </w:rPr>
      </w:pPr>
    </w:p>
    <w:p w14:paraId="5AEB9E97">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21AE6380">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p>
    <w:p w14:paraId="78DE6F9A">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r>
        <w:rPr>
          <w:rFonts w:hint="eastAsia" w:ascii="宋体" w:hAnsi="宋体" w:eastAsia="宋体" w:cs="宋体"/>
          <w:bCs/>
          <w:color w:val="auto"/>
          <w:spacing w:val="10"/>
          <w:kern w:val="0"/>
          <w:sz w:val="32"/>
          <w:szCs w:val="32"/>
          <w:highlight w:val="none"/>
        </w:rPr>
        <w:t xml:space="preserve">  分 标 号：（如无分标写“无”）</w:t>
      </w:r>
    </w:p>
    <w:p w14:paraId="2D6212F6">
      <w:pPr>
        <w:widowControl/>
        <w:spacing w:line="360" w:lineRule="auto"/>
        <w:jc w:val="left"/>
        <w:rPr>
          <w:rFonts w:ascii="宋体" w:hAnsi="宋体" w:eastAsia="宋体" w:cs="宋体"/>
          <w:color w:val="auto"/>
          <w:sz w:val="32"/>
          <w:szCs w:val="32"/>
          <w:highlight w:val="none"/>
        </w:rPr>
      </w:pPr>
    </w:p>
    <w:p w14:paraId="0055D7FD">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3EB184F6">
      <w:pPr>
        <w:widowControl/>
        <w:spacing w:line="360" w:lineRule="auto"/>
        <w:ind w:firstLine="1132" w:firstLineChars="354"/>
        <w:jc w:val="left"/>
        <w:rPr>
          <w:rFonts w:ascii="宋体" w:hAnsi="宋体" w:eastAsia="宋体" w:cs="宋体"/>
          <w:color w:val="auto"/>
          <w:sz w:val="32"/>
          <w:szCs w:val="32"/>
          <w:highlight w:val="none"/>
        </w:rPr>
      </w:pPr>
    </w:p>
    <w:p w14:paraId="49E26C05">
      <w:pPr>
        <w:widowControl/>
        <w:spacing w:line="360" w:lineRule="auto"/>
        <w:ind w:firstLine="640" w:firstLineChars="20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7D6DED1">
      <w:pPr>
        <w:widowControl/>
        <w:spacing w:line="360" w:lineRule="auto"/>
        <w:ind w:firstLine="420" w:firstLineChars="200"/>
        <w:jc w:val="left"/>
        <w:rPr>
          <w:rFonts w:ascii="宋体" w:hAnsi="宋体" w:eastAsia="宋体" w:cs="宋体"/>
          <w:color w:val="auto"/>
          <w:szCs w:val="21"/>
          <w:highlight w:val="none"/>
        </w:rPr>
      </w:pPr>
    </w:p>
    <w:p w14:paraId="39313FBD">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F90AFBA">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2.供应商直接控股、管理关系信息表</w:t>
      </w:r>
    </w:p>
    <w:p w14:paraId="594D7D28">
      <w:pPr>
        <w:widowControl/>
        <w:spacing w:line="360" w:lineRule="auto"/>
        <w:ind w:firstLine="420" w:firstLineChars="200"/>
        <w:jc w:val="left"/>
        <w:rPr>
          <w:rFonts w:ascii="宋体" w:hAnsi="宋体" w:eastAsia="宋体" w:cs="宋体"/>
          <w:color w:val="auto"/>
          <w:szCs w:val="21"/>
          <w:highlight w:val="none"/>
        </w:rPr>
      </w:pPr>
    </w:p>
    <w:p w14:paraId="5E001B35">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32C77521">
      <w:pPr>
        <w:widowControl/>
        <w:spacing w:line="360" w:lineRule="auto"/>
        <w:ind w:firstLine="420" w:firstLineChars="200"/>
        <w:jc w:val="left"/>
        <w:rPr>
          <w:rFonts w:ascii="宋体" w:hAnsi="宋体" w:eastAsia="宋体" w:cs="宋体"/>
          <w:color w:val="auto"/>
          <w:szCs w:val="21"/>
          <w:highlight w:val="none"/>
        </w:rPr>
      </w:pPr>
    </w:p>
    <w:tbl>
      <w:tblPr>
        <w:tblStyle w:val="27"/>
        <w:tblW w:w="8744" w:type="dxa"/>
        <w:jc w:val="center"/>
        <w:shd w:val="clear" w:color="auto" w:fill="FBFBFB"/>
        <w:tblLayout w:type="fixed"/>
        <w:tblCellMar>
          <w:top w:w="0" w:type="dxa"/>
          <w:left w:w="0" w:type="dxa"/>
          <w:bottom w:w="0" w:type="dxa"/>
          <w:right w:w="0" w:type="dxa"/>
        </w:tblCellMar>
      </w:tblPr>
      <w:tblGrid>
        <w:gridCol w:w="782"/>
        <w:gridCol w:w="2199"/>
        <w:gridCol w:w="1431"/>
        <w:gridCol w:w="3609"/>
        <w:gridCol w:w="723"/>
      </w:tblGrid>
      <w:tr w14:paraId="3E241563">
        <w:tblPrEx>
          <w:shd w:val="clear" w:color="auto" w:fill="FBFBFB"/>
          <w:tblCellMar>
            <w:top w:w="0" w:type="dxa"/>
            <w:left w:w="0" w:type="dxa"/>
            <w:bottom w:w="0" w:type="dxa"/>
            <w:right w:w="0" w:type="dxa"/>
          </w:tblCellMar>
        </w:tblPrEx>
        <w:trPr>
          <w:tblHeade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2689D">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A2EA7">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DD073F">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出资比例</w:t>
            </w: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72CBF5">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198566">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56A4862D">
        <w:tblPrEx>
          <w:shd w:val="clear" w:color="auto" w:fill="FBFBFB"/>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457110">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CD0362">
            <w:pPr>
              <w:widowControl/>
              <w:spacing w:line="360" w:lineRule="auto"/>
              <w:jc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21BC94">
            <w:pPr>
              <w:widowControl/>
              <w:spacing w:line="360" w:lineRule="auto"/>
              <w:jc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F5AAEF">
            <w:pPr>
              <w:widowControl/>
              <w:spacing w:line="360" w:lineRule="auto"/>
              <w:jc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510B96">
            <w:pPr>
              <w:widowControl/>
              <w:spacing w:line="360" w:lineRule="auto"/>
              <w:jc w:val="center"/>
              <w:rPr>
                <w:rFonts w:ascii="宋体" w:hAnsi="宋体" w:eastAsia="宋体" w:cs="宋体"/>
                <w:color w:val="auto"/>
                <w:kern w:val="0"/>
                <w:szCs w:val="21"/>
                <w:highlight w:val="none"/>
              </w:rPr>
            </w:pPr>
          </w:p>
        </w:tc>
      </w:tr>
      <w:tr w14:paraId="3A043280">
        <w:tblPrEx>
          <w:shd w:val="clear" w:color="auto" w:fill="FBFBFB"/>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6B7DCA">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42C9FA">
            <w:pPr>
              <w:widowControl/>
              <w:spacing w:line="360" w:lineRule="auto"/>
              <w:jc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FF0FD5">
            <w:pPr>
              <w:widowControl/>
              <w:spacing w:line="360" w:lineRule="auto"/>
              <w:jc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789DAE">
            <w:pPr>
              <w:widowControl/>
              <w:spacing w:line="360" w:lineRule="auto"/>
              <w:jc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691FFE">
            <w:pPr>
              <w:widowControl/>
              <w:spacing w:line="360" w:lineRule="auto"/>
              <w:jc w:val="center"/>
              <w:rPr>
                <w:rFonts w:ascii="宋体" w:hAnsi="宋体" w:eastAsia="宋体" w:cs="宋体"/>
                <w:color w:val="auto"/>
                <w:kern w:val="0"/>
                <w:szCs w:val="21"/>
                <w:highlight w:val="none"/>
              </w:rPr>
            </w:pPr>
          </w:p>
        </w:tc>
      </w:tr>
      <w:tr w14:paraId="67B25ABB">
        <w:tblPrEx>
          <w:shd w:val="clear" w:color="auto" w:fill="FBFBFB"/>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DEF5B3">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11FF4">
            <w:pPr>
              <w:widowControl/>
              <w:spacing w:line="360" w:lineRule="auto"/>
              <w:jc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B47A1D">
            <w:pPr>
              <w:widowControl/>
              <w:spacing w:line="360" w:lineRule="auto"/>
              <w:jc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79C2C0">
            <w:pPr>
              <w:widowControl/>
              <w:spacing w:line="360" w:lineRule="auto"/>
              <w:jc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B11CAA">
            <w:pPr>
              <w:widowControl/>
              <w:spacing w:line="360" w:lineRule="auto"/>
              <w:jc w:val="center"/>
              <w:rPr>
                <w:rFonts w:ascii="宋体" w:hAnsi="宋体" w:eastAsia="宋体" w:cs="宋体"/>
                <w:color w:val="auto"/>
                <w:kern w:val="0"/>
                <w:szCs w:val="21"/>
                <w:highlight w:val="none"/>
              </w:rPr>
            </w:pPr>
          </w:p>
        </w:tc>
      </w:tr>
      <w:tr w14:paraId="791529C7">
        <w:tblPrEx>
          <w:shd w:val="clear" w:color="auto" w:fill="FBFBFB"/>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70057C">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0BDE61">
            <w:pPr>
              <w:widowControl/>
              <w:spacing w:line="360" w:lineRule="auto"/>
              <w:jc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7F9E9">
            <w:pPr>
              <w:widowControl/>
              <w:spacing w:line="360" w:lineRule="auto"/>
              <w:jc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CCBC16">
            <w:pPr>
              <w:widowControl/>
              <w:spacing w:line="360" w:lineRule="auto"/>
              <w:jc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DE71E">
            <w:pPr>
              <w:widowControl/>
              <w:spacing w:line="360" w:lineRule="auto"/>
              <w:jc w:val="center"/>
              <w:rPr>
                <w:rFonts w:ascii="宋体" w:hAnsi="宋体" w:eastAsia="宋体" w:cs="宋体"/>
                <w:color w:val="auto"/>
                <w:kern w:val="0"/>
                <w:szCs w:val="21"/>
                <w:highlight w:val="none"/>
              </w:rPr>
            </w:pPr>
          </w:p>
        </w:tc>
      </w:tr>
    </w:tbl>
    <w:p w14:paraId="1CAA3155">
      <w:pPr>
        <w:widowControl/>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4BFFDD4F">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87F749">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420918EE">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02BBC474">
      <w:pPr>
        <w:widowControl/>
        <w:snapToGrid w:val="0"/>
        <w:spacing w:line="360" w:lineRule="auto"/>
        <w:ind w:firstLine="420" w:firstLineChars="200"/>
        <w:jc w:val="left"/>
        <w:rPr>
          <w:rFonts w:ascii="宋体" w:hAnsi="宋体" w:eastAsia="宋体" w:cs="宋体"/>
          <w:color w:val="auto"/>
          <w:szCs w:val="21"/>
          <w:highlight w:val="none"/>
        </w:rPr>
      </w:pPr>
    </w:p>
    <w:p w14:paraId="16FFBD7E">
      <w:pPr>
        <w:widowControl/>
        <w:snapToGrid w:val="0"/>
        <w:spacing w:line="360" w:lineRule="auto"/>
        <w:ind w:firstLine="420" w:firstLineChars="200"/>
        <w:jc w:val="left"/>
        <w:rPr>
          <w:rFonts w:ascii="宋体" w:hAnsi="宋体" w:eastAsia="宋体" w:cs="宋体"/>
          <w:color w:val="auto"/>
          <w:szCs w:val="21"/>
          <w:highlight w:val="none"/>
        </w:rPr>
      </w:pPr>
    </w:p>
    <w:p w14:paraId="4C668D08">
      <w:pPr>
        <w:widowControl/>
        <w:spacing w:line="600" w:lineRule="auto"/>
        <w:jc w:val="left"/>
        <w:rPr>
          <w:rFonts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（签字/电子签名）：</w:t>
      </w:r>
      <w:r>
        <w:rPr>
          <w:rFonts w:hint="eastAsia" w:ascii="宋体" w:hAnsi="宋体" w:eastAsia="宋体" w:cs="宋体"/>
          <w:color w:val="auto"/>
          <w:spacing w:val="20"/>
          <w:szCs w:val="21"/>
          <w:highlight w:val="none"/>
          <w:u w:val="single"/>
        </w:rPr>
        <w:t xml:space="preserve">      </w:t>
      </w:r>
    </w:p>
    <w:p w14:paraId="556D5EB3">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4A251F8B">
      <w:pPr>
        <w:widowControl/>
        <w:spacing w:before="260" w:after="260" w:line="415"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5206B350">
      <w:pPr>
        <w:widowControl/>
        <w:spacing w:line="360" w:lineRule="auto"/>
        <w:ind w:firstLine="640" w:firstLineChars="200"/>
        <w:jc w:val="left"/>
        <w:rPr>
          <w:rFonts w:ascii="宋体" w:hAnsi="宋体" w:eastAsia="宋体" w:cs="宋体"/>
          <w:color w:val="auto"/>
          <w:sz w:val="32"/>
          <w:szCs w:val="32"/>
          <w:highlight w:val="none"/>
        </w:rPr>
      </w:pPr>
    </w:p>
    <w:p w14:paraId="53692B05">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2F193EF2">
      <w:pPr>
        <w:widowControl/>
        <w:spacing w:line="360" w:lineRule="auto"/>
        <w:ind w:firstLine="420" w:firstLineChars="200"/>
        <w:jc w:val="left"/>
        <w:rPr>
          <w:rFonts w:ascii="宋体" w:hAnsi="宋体" w:eastAsia="宋体" w:cs="宋体"/>
          <w:color w:val="auto"/>
          <w:szCs w:val="21"/>
          <w:highlight w:val="none"/>
        </w:rPr>
      </w:pPr>
    </w:p>
    <w:tbl>
      <w:tblPr>
        <w:tblStyle w:val="27"/>
        <w:tblW w:w="8744" w:type="dxa"/>
        <w:jc w:val="center"/>
        <w:shd w:val="clear" w:color="auto" w:fill="FBFBFB"/>
        <w:tblLayout w:type="fixed"/>
        <w:tblCellMar>
          <w:top w:w="0" w:type="dxa"/>
          <w:left w:w="0" w:type="dxa"/>
          <w:bottom w:w="0" w:type="dxa"/>
          <w:right w:w="0" w:type="dxa"/>
        </w:tblCellMar>
      </w:tblPr>
      <w:tblGrid>
        <w:gridCol w:w="932"/>
        <w:gridCol w:w="3003"/>
        <w:gridCol w:w="2934"/>
        <w:gridCol w:w="1875"/>
      </w:tblGrid>
      <w:tr w14:paraId="0DD50EAF">
        <w:tblPrEx>
          <w:shd w:val="clear" w:color="auto" w:fill="FBFBFB"/>
          <w:tblCellMar>
            <w:top w:w="0" w:type="dxa"/>
            <w:left w:w="0" w:type="dxa"/>
            <w:bottom w:w="0" w:type="dxa"/>
            <w:right w:w="0" w:type="dxa"/>
          </w:tblCellMar>
        </w:tblPrEx>
        <w:trPr>
          <w:tblHeade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334ED">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1CA0E7">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直接管理关系单位名称</w:t>
            </w: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085E36">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统一社会信用代码</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95C01">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1EC4E575">
        <w:tblPrEx>
          <w:shd w:val="clear" w:color="auto" w:fill="FBFBFB"/>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A5A76">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500456">
            <w:pPr>
              <w:widowControl/>
              <w:spacing w:line="360" w:lineRule="auto"/>
              <w:jc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4936F4">
            <w:pPr>
              <w:widowControl/>
              <w:spacing w:line="360" w:lineRule="auto"/>
              <w:jc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CED6EF">
            <w:pPr>
              <w:widowControl/>
              <w:spacing w:line="360" w:lineRule="auto"/>
              <w:jc w:val="center"/>
              <w:rPr>
                <w:rFonts w:ascii="宋体" w:hAnsi="宋体" w:eastAsia="宋体" w:cs="宋体"/>
                <w:color w:val="auto"/>
                <w:kern w:val="0"/>
                <w:szCs w:val="21"/>
                <w:highlight w:val="none"/>
              </w:rPr>
            </w:pPr>
          </w:p>
        </w:tc>
      </w:tr>
      <w:tr w14:paraId="3FC8CC0F">
        <w:tblPrEx>
          <w:shd w:val="clear" w:color="auto" w:fill="FBFBFB"/>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F587CD">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C93FA1">
            <w:pPr>
              <w:widowControl/>
              <w:spacing w:line="360" w:lineRule="auto"/>
              <w:jc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CCF8E4">
            <w:pPr>
              <w:widowControl/>
              <w:spacing w:line="360" w:lineRule="auto"/>
              <w:jc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DBDAA">
            <w:pPr>
              <w:widowControl/>
              <w:spacing w:line="360" w:lineRule="auto"/>
              <w:jc w:val="center"/>
              <w:rPr>
                <w:rFonts w:ascii="宋体" w:hAnsi="宋体" w:eastAsia="宋体" w:cs="宋体"/>
                <w:color w:val="auto"/>
                <w:kern w:val="0"/>
                <w:szCs w:val="21"/>
                <w:highlight w:val="none"/>
              </w:rPr>
            </w:pPr>
          </w:p>
        </w:tc>
      </w:tr>
      <w:tr w14:paraId="681BB15E">
        <w:tblPrEx>
          <w:shd w:val="clear" w:color="auto" w:fill="FBFBFB"/>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F9368E">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9E69A7">
            <w:pPr>
              <w:widowControl/>
              <w:spacing w:line="360" w:lineRule="auto"/>
              <w:jc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89AC8">
            <w:pPr>
              <w:widowControl/>
              <w:spacing w:line="360" w:lineRule="auto"/>
              <w:jc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187BCA">
            <w:pPr>
              <w:widowControl/>
              <w:spacing w:line="360" w:lineRule="auto"/>
              <w:jc w:val="center"/>
              <w:rPr>
                <w:rFonts w:ascii="宋体" w:hAnsi="宋体" w:eastAsia="宋体" w:cs="宋体"/>
                <w:color w:val="auto"/>
                <w:kern w:val="0"/>
                <w:szCs w:val="21"/>
                <w:highlight w:val="none"/>
              </w:rPr>
            </w:pPr>
          </w:p>
        </w:tc>
      </w:tr>
      <w:tr w14:paraId="10B2C2A2">
        <w:tblPrEx>
          <w:shd w:val="clear" w:color="auto" w:fill="FBFBFB"/>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CDB57C">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BCA1A4">
            <w:pPr>
              <w:widowControl/>
              <w:spacing w:line="360" w:lineRule="auto"/>
              <w:jc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116547">
            <w:pPr>
              <w:widowControl/>
              <w:spacing w:line="360" w:lineRule="auto"/>
              <w:jc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C722E4">
            <w:pPr>
              <w:widowControl/>
              <w:spacing w:line="360" w:lineRule="auto"/>
              <w:jc w:val="center"/>
              <w:rPr>
                <w:rFonts w:ascii="宋体" w:hAnsi="宋体" w:eastAsia="宋体" w:cs="宋体"/>
                <w:color w:val="auto"/>
                <w:kern w:val="0"/>
                <w:szCs w:val="21"/>
                <w:highlight w:val="none"/>
              </w:rPr>
            </w:pPr>
          </w:p>
        </w:tc>
      </w:tr>
    </w:tbl>
    <w:p w14:paraId="3E01B7C5">
      <w:pPr>
        <w:widowControl/>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7B2621BC">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666C1F27">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1A0EB034">
      <w:pPr>
        <w:widowControl/>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65711B78">
      <w:pPr>
        <w:widowControl/>
        <w:snapToGrid w:val="0"/>
        <w:spacing w:line="360" w:lineRule="auto"/>
        <w:ind w:firstLine="420" w:firstLineChars="200"/>
        <w:jc w:val="left"/>
        <w:rPr>
          <w:rFonts w:ascii="宋体" w:hAnsi="宋体" w:eastAsia="宋体" w:cs="宋体"/>
          <w:color w:val="auto"/>
          <w:szCs w:val="21"/>
          <w:highlight w:val="none"/>
        </w:rPr>
      </w:pPr>
    </w:p>
    <w:p w14:paraId="297AF611">
      <w:pPr>
        <w:widowControl/>
        <w:snapToGrid w:val="0"/>
        <w:spacing w:line="360" w:lineRule="auto"/>
        <w:ind w:firstLine="420" w:firstLineChars="200"/>
        <w:jc w:val="left"/>
        <w:rPr>
          <w:rFonts w:ascii="宋体" w:hAnsi="宋体" w:eastAsia="宋体" w:cs="宋体"/>
          <w:color w:val="auto"/>
          <w:szCs w:val="21"/>
          <w:highlight w:val="none"/>
        </w:rPr>
      </w:pPr>
    </w:p>
    <w:p w14:paraId="7DE7C441">
      <w:pPr>
        <w:widowControl/>
        <w:snapToGrid w:val="0"/>
        <w:spacing w:line="360" w:lineRule="auto"/>
        <w:ind w:firstLine="420" w:firstLineChars="200"/>
        <w:jc w:val="left"/>
        <w:rPr>
          <w:rFonts w:ascii="宋体" w:hAnsi="宋体" w:eastAsia="宋体" w:cs="宋体"/>
          <w:color w:val="auto"/>
          <w:szCs w:val="21"/>
          <w:highlight w:val="none"/>
        </w:rPr>
      </w:pPr>
    </w:p>
    <w:p w14:paraId="1C30A0D3">
      <w:pPr>
        <w:widowControl/>
        <w:spacing w:line="600" w:lineRule="auto"/>
        <w:jc w:val="left"/>
        <w:rPr>
          <w:rFonts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法定代表人或者委托代理人（签字/电子签名）</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p>
    <w:p w14:paraId="24F26355">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3D54114E">
      <w:pPr>
        <w:widowControl/>
        <w:snapToGrid w:val="0"/>
        <w:spacing w:before="50" w:afterLines="50" w:line="360" w:lineRule="auto"/>
        <w:ind w:firstLine="420" w:firstLineChars="200"/>
        <w:jc w:val="left"/>
        <w:rPr>
          <w:rFonts w:ascii="宋体" w:hAnsi="宋体" w:eastAsia="宋体" w:cs="宋体"/>
          <w:color w:val="auto"/>
          <w:szCs w:val="21"/>
          <w:highlight w:val="none"/>
        </w:rPr>
      </w:pPr>
    </w:p>
    <w:p w14:paraId="3B0D4D6D">
      <w:pPr>
        <w:widowControl/>
        <w:spacing w:line="360" w:lineRule="auto"/>
        <w:jc w:val="left"/>
        <w:rPr>
          <w:rFonts w:ascii="宋体" w:hAnsi="宋体" w:eastAsia="宋体" w:cs="宋体"/>
          <w:color w:val="auto"/>
          <w:szCs w:val="21"/>
          <w:highlight w:val="none"/>
        </w:rPr>
      </w:pPr>
    </w:p>
    <w:p w14:paraId="289702C4">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DEEAC41">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3.磋商声明</w:t>
      </w:r>
    </w:p>
    <w:p w14:paraId="45F44CBE">
      <w:pPr>
        <w:widowControl/>
        <w:snapToGrid w:val="0"/>
        <w:spacing w:line="32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磋商声明</w:t>
      </w:r>
    </w:p>
    <w:p w14:paraId="7167642B">
      <w:pPr>
        <w:widowControl/>
        <w:spacing w:line="320" w:lineRule="exact"/>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致：</w:t>
      </w:r>
      <w:r>
        <w:rPr>
          <w:rFonts w:hint="eastAsia" w:ascii="宋体" w:hAnsi="宋体" w:eastAsia="宋体" w:cs="宋体"/>
          <w:b/>
          <w:bCs/>
          <w:color w:val="auto"/>
          <w:szCs w:val="21"/>
          <w:highlight w:val="none"/>
          <w:u w:val="single"/>
        </w:rPr>
        <w:t>（采购人名称）</w:t>
      </w:r>
    </w:p>
    <w:p w14:paraId="62C218DA">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3E5D573">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u w:val="single"/>
          <w:lang w:eastAsia="zh-CN"/>
        </w:rPr>
        <w:t>（项目编号）</w:t>
      </w:r>
      <w:r>
        <w:rPr>
          <w:rFonts w:hint="eastAsia" w:ascii="宋体" w:hAnsi="宋体" w:eastAsia="宋体" w:cs="宋体"/>
          <w:color w:val="auto"/>
          <w:szCs w:val="21"/>
          <w:highlight w:val="none"/>
        </w:rPr>
        <w:t>项目的磋商，为便于贵方公正、择优地确定成交供应商及其响应产品和服务，我方就本次磋商有关事项郑重声明如下：</w:t>
      </w:r>
    </w:p>
    <w:p w14:paraId="612B4AE8">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3906DBD4">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2.我方不是为本次采购项目提供整体设计、规范编制或者项目管理、监理、检测等服务的供应商。</w:t>
      </w:r>
    </w:p>
    <w:p w14:paraId="661EEAF0">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7DB618BE">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2A83F59F">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1D7C0BE2">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（3）同意提供按照贵方可能要求的与磋商有关的一切数据或者资料；</w:t>
      </w:r>
    </w:p>
    <w:p w14:paraId="77D040C8">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（4）响应磋商文件规定的磋商有效期。</w:t>
      </w:r>
    </w:p>
    <w:p w14:paraId="1383EA22">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034E2CF5">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3BE09C24">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1879F686">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670E8FFD">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7613EC4">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358965F1">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33BEE670">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3D2CFA1">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eastAsia="宋体" w:cs="宋体"/>
          <w:b/>
          <w:bCs/>
          <w:color w:val="auto"/>
          <w:szCs w:val="21"/>
          <w:highlight w:val="none"/>
        </w:rPr>
        <w:t>两项内容中必须选择一项</w:t>
      </w:r>
      <w:r>
        <w:rPr>
          <w:rFonts w:hint="eastAsia" w:ascii="宋体" w:hAnsi="宋体" w:eastAsia="宋体" w:cs="宋体"/>
          <w:color w:val="auto"/>
          <w:szCs w:val="21"/>
          <w:highlight w:val="none"/>
        </w:rPr>
        <w:t>）</w:t>
      </w:r>
    </w:p>
    <w:p w14:paraId="621FD36D">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047F87DE">
      <w:pPr>
        <w:widowControl/>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CBD78">
      <w:pPr>
        <w:spacing w:line="320" w:lineRule="exact"/>
        <w:ind w:firstLine="420" w:firstLineChars="200"/>
        <w:contextualSpacing/>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7.与本磋商有关的一切正式往来信函请寄：</w:t>
      </w:r>
    </w:p>
    <w:p w14:paraId="3FFE93BD">
      <w:pPr>
        <w:spacing w:line="320" w:lineRule="exact"/>
        <w:ind w:firstLine="420" w:firstLineChars="200"/>
        <w:contextualSpacing/>
        <w:jc w:val="left"/>
        <w:rPr>
          <w:rFonts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地址：</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 xml:space="preserve">   邮政编号：</w:t>
      </w:r>
      <w:r>
        <w:rPr>
          <w:rFonts w:hint="eastAsia" w:ascii="宋体" w:hAnsi="宋体" w:eastAsia="宋体" w:cs="宋体"/>
          <w:color w:val="auto"/>
          <w:kern w:val="0"/>
          <w:szCs w:val="21"/>
          <w:highlight w:val="none"/>
          <w:u w:val="single"/>
          <w:lang w:val="zh-CN"/>
        </w:rPr>
        <w:t xml:space="preserve">                      </w:t>
      </w:r>
    </w:p>
    <w:p w14:paraId="1DAFF80E">
      <w:pPr>
        <w:spacing w:line="320" w:lineRule="exact"/>
        <w:ind w:firstLine="420" w:firstLineChars="200"/>
        <w:contextualSpacing/>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电话/传真：</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 xml:space="preserve">   电子邮箱：</w:t>
      </w:r>
      <w:r>
        <w:rPr>
          <w:rFonts w:hint="eastAsia" w:ascii="宋体" w:hAnsi="宋体" w:eastAsia="宋体" w:cs="宋体"/>
          <w:color w:val="auto"/>
          <w:kern w:val="0"/>
          <w:szCs w:val="21"/>
          <w:highlight w:val="none"/>
          <w:u w:val="single"/>
          <w:lang w:val="zh-CN"/>
        </w:rPr>
        <w:t xml:space="preserve">                      </w:t>
      </w:r>
    </w:p>
    <w:p w14:paraId="58FD754D">
      <w:pPr>
        <w:tabs>
          <w:tab w:val="left" w:pos="939"/>
        </w:tabs>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帐号：</w:t>
      </w:r>
      <w:r>
        <w:rPr>
          <w:rFonts w:hint="eastAsia" w:ascii="宋体" w:hAnsi="宋体" w:eastAsia="宋体" w:cs="宋体"/>
          <w:color w:val="auto"/>
          <w:szCs w:val="21"/>
          <w:highlight w:val="none"/>
          <w:u w:val="single"/>
        </w:rPr>
        <w:t xml:space="preserve">                          </w:t>
      </w:r>
    </w:p>
    <w:p w14:paraId="3EDE100B">
      <w:pPr>
        <w:tabs>
          <w:tab w:val="left" w:pos="939"/>
        </w:tabs>
        <w:spacing w:line="32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8.以上事项如有虚假或者隐瞒，我方愿意承担一切后果，并不再寻求任何旨在减轻或者免除法律责任的辩解。</w:t>
      </w:r>
    </w:p>
    <w:p w14:paraId="32632061">
      <w:pPr>
        <w:tabs>
          <w:tab w:val="left" w:pos="939"/>
        </w:tabs>
        <w:spacing w:line="320" w:lineRule="exact"/>
        <w:ind w:firstLine="315" w:firstLineChars="15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B6C6358">
      <w:pPr>
        <w:widowControl/>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法定代表人（签字/电子签名）：</w:t>
      </w:r>
      <w:r>
        <w:rPr>
          <w:rFonts w:hint="eastAsia" w:ascii="宋体" w:hAnsi="宋体" w:eastAsia="宋体" w:cs="宋体"/>
          <w:color w:val="auto"/>
          <w:szCs w:val="21"/>
          <w:highlight w:val="none"/>
          <w:u w:val="single"/>
        </w:rPr>
        <w:t xml:space="preserve">          </w:t>
      </w:r>
    </w:p>
    <w:p w14:paraId="743839A2">
      <w:pPr>
        <w:widowControl/>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供应商名称</w:t>
      </w:r>
      <w:r>
        <w:rPr>
          <w:rFonts w:hint="eastAsia" w:ascii="宋体" w:hAnsi="宋体" w:eastAsia="宋体" w:cs="宋体"/>
          <w:color w:val="auto"/>
          <w:szCs w:val="21"/>
          <w:highlight w:val="none"/>
          <w:lang w:val="zh-CN"/>
        </w:rPr>
        <w:t>（盖公章）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2CB1C7A">
      <w:pPr>
        <w:widowControl/>
        <w:wordWrap w:val="0"/>
        <w:spacing w:line="320" w:lineRule="exact"/>
        <w:jc w:val="right"/>
        <w:rPr>
          <w:rFonts w:ascii="宋体" w:hAnsi="宋体" w:eastAsia="宋体" w:cs="宋体"/>
          <w:color w:val="auto"/>
          <w:sz w:val="24"/>
          <w:szCs w:val="24"/>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 w:val="24"/>
          <w:szCs w:val="24"/>
          <w:highlight w:val="none"/>
        </w:rPr>
        <w:t xml:space="preserve">   </w:t>
      </w:r>
    </w:p>
    <w:p w14:paraId="7D9BAF43">
      <w:pPr>
        <w:keepNext/>
        <w:keepLines/>
        <w:widowControl/>
        <w:spacing w:line="480" w:lineRule="auto"/>
        <w:jc w:val="left"/>
        <w:outlineLvl w:val="1"/>
        <w:rPr>
          <w:rFonts w:ascii="宋体" w:hAnsi="宋体" w:eastAsia="宋体" w:cs="宋体"/>
          <w:b/>
          <w:bCs/>
          <w:color w:val="auto"/>
          <w:sz w:val="28"/>
          <w:szCs w:val="44"/>
          <w:highlight w:val="none"/>
        </w:rPr>
      </w:pPr>
      <w:r>
        <w:rPr>
          <w:rFonts w:hint="eastAsia" w:ascii="宋体" w:hAnsi="宋体" w:eastAsia="宋体" w:cs="宋体"/>
          <w:b/>
          <w:bCs/>
          <w:color w:val="auto"/>
          <w:sz w:val="28"/>
          <w:szCs w:val="44"/>
          <w:highlight w:val="none"/>
        </w:rPr>
        <w:t>二、报价文件格式</w:t>
      </w:r>
    </w:p>
    <w:p w14:paraId="44EA30D7">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1.报价文件封面格式</w:t>
      </w:r>
    </w:p>
    <w:p w14:paraId="7D904FFE">
      <w:pPr>
        <w:widowControl/>
        <w:spacing w:line="360" w:lineRule="auto"/>
        <w:ind w:firstLine="199" w:firstLineChars="83"/>
        <w:jc w:val="left"/>
        <w:rPr>
          <w:rFonts w:ascii="宋体" w:hAnsi="宋体" w:eastAsia="宋体" w:cs="宋体"/>
          <w:color w:val="auto"/>
          <w:sz w:val="24"/>
          <w:szCs w:val="24"/>
          <w:highlight w:val="none"/>
        </w:rPr>
      </w:pPr>
    </w:p>
    <w:p w14:paraId="01D6BB85">
      <w:pPr>
        <w:widowControl/>
        <w:spacing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电子响应文件</w:t>
      </w:r>
    </w:p>
    <w:p w14:paraId="45AF7218">
      <w:pPr>
        <w:widowControl/>
        <w:spacing w:line="360" w:lineRule="auto"/>
        <w:ind w:firstLine="199" w:firstLineChars="83"/>
        <w:jc w:val="left"/>
        <w:rPr>
          <w:rFonts w:ascii="宋体" w:hAnsi="宋体" w:eastAsia="宋体" w:cs="宋体"/>
          <w:color w:val="auto"/>
          <w:sz w:val="24"/>
          <w:szCs w:val="24"/>
          <w:highlight w:val="none"/>
        </w:rPr>
      </w:pPr>
    </w:p>
    <w:p w14:paraId="2069D91D">
      <w:pPr>
        <w:widowControl/>
        <w:spacing w:line="360" w:lineRule="auto"/>
        <w:ind w:firstLine="199" w:firstLineChars="83"/>
        <w:jc w:val="left"/>
        <w:rPr>
          <w:rFonts w:ascii="宋体" w:hAnsi="宋体" w:eastAsia="宋体" w:cs="宋体"/>
          <w:color w:val="auto"/>
          <w:sz w:val="24"/>
          <w:szCs w:val="24"/>
          <w:highlight w:val="none"/>
        </w:rPr>
      </w:pPr>
    </w:p>
    <w:p w14:paraId="1B8B480C">
      <w:pPr>
        <w:widowControl/>
        <w:spacing w:line="360" w:lineRule="auto"/>
        <w:ind w:firstLine="199" w:firstLineChars="45"/>
        <w:jc w:val="center"/>
        <w:rPr>
          <w:rFonts w:ascii="宋体" w:hAnsi="宋体" w:eastAsia="宋体" w:cs="宋体"/>
          <w:color w:val="auto"/>
          <w:sz w:val="24"/>
          <w:szCs w:val="24"/>
          <w:highlight w:val="none"/>
        </w:rPr>
      </w:pPr>
      <w:r>
        <w:rPr>
          <w:rFonts w:hint="eastAsia" w:ascii="宋体" w:hAnsi="宋体" w:eastAsia="宋体" w:cs="宋体"/>
          <w:b/>
          <w:bCs/>
          <w:color w:val="auto"/>
          <w:sz w:val="44"/>
          <w:szCs w:val="44"/>
          <w:highlight w:val="none"/>
        </w:rPr>
        <w:t>报价文件</w:t>
      </w:r>
    </w:p>
    <w:p w14:paraId="6D4FC749">
      <w:pPr>
        <w:widowControl/>
        <w:spacing w:line="360" w:lineRule="auto"/>
        <w:ind w:firstLine="480" w:firstLineChars="200"/>
        <w:jc w:val="left"/>
        <w:rPr>
          <w:rFonts w:ascii="宋体" w:hAnsi="宋体" w:eastAsia="宋体" w:cs="宋体"/>
          <w:color w:val="auto"/>
          <w:sz w:val="24"/>
          <w:szCs w:val="24"/>
          <w:highlight w:val="none"/>
        </w:rPr>
      </w:pPr>
    </w:p>
    <w:p w14:paraId="6CD47CD9">
      <w:pPr>
        <w:widowControl/>
        <w:spacing w:line="360" w:lineRule="auto"/>
        <w:ind w:firstLine="480" w:firstLineChars="200"/>
        <w:jc w:val="left"/>
        <w:rPr>
          <w:rFonts w:ascii="宋体" w:hAnsi="宋体" w:eastAsia="宋体" w:cs="宋体"/>
          <w:color w:val="auto"/>
          <w:sz w:val="24"/>
          <w:szCs w:val="24"/>
          <w:highlight w:val="none"/>
        </w:rPr>
      </w:pPr>
    </w:p>
    <w:p w14:paraId="6D9782A7">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0ED815CF">
      <w:pPr>
        <w:widowControl/>
        <w:spacing w:line="360" w:lineRule="auto"/>
        <w:ind w:firstLine="1132" w:firstLineChars="354"/>
        <w:jc w:val="left"/>
        <w:rPr>
          <w:rFonts w:ascii="宋体" w:hAnsi="宋体" w:eastAsia="宋体" w:cs="宋体"/>
          <w:color w:val="auto"/>
          <w:sz w:val="32"/>
          <w:szCs w:val="32"/>
          <w:highlight w:val="none"/>
        </w:rPr>
      </w:pPr>
    </w:p>
    <w:p w14:paraId="5411114D">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705085F8">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p>
    <w:p w14:paraId="2A428EBC">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r>
        <w:rPr>
          <w:rFonts w:hint="eastAsia" w:ascii="宋体" w:hAnsi="宋体" w:eastAsia="宋体" w:cs="宋体"/>
          <w:bCs/>
          <w:color w:val="auto"/>
          <w:spacing w:val="10"/>
          <w:kern w:val="0"/>
          <w:sz w:val="32"/>
          <w:szCs w:val="32"/>
          <w:highlight w:val="none"/>
        </w:rPr>
        <w:t xml:space="preserve">  分 标 号：（如无分标写“无”）</w:t>
      </w:r>
    </w:p>
    <w:p w14:paraId="0BCFCF70">
      <w:pPr>
        <w:widowControl/>
        <w:spacing w:line="360" w:lineRule="auto"/>
        <w:jc w:val="left"/>
        <w:rPr>
          <w:rFonts w:ascii="宋体" w:hAnsi="宋体" w:eastAsia="宋体" w:cs="宋体"/>
          <w:color w:val="auto"/>
          <w:sz w:val="32"/>
          <w:szCs w:val="32"/>
          <w:highlight w:val="none"/>
        </w:rPr>
      </w:pPr>
    </w:p>
    <w:p w14:paraId="7AD2A12A">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7B52ED3C">
      <w:pPr>
        <w:widowControl/>
        <w:spacing w:line="360" w:lineRule="auto"/>
        <w:ind w:firstLine="1132" w:firstLineChars="354"/>
        <w:jc w:val="left"/>
        <w:rPr>
          <w:rFonts w:ascii="宋体" w:hAnsi="宋体" w:eastAsia="宋体" w:cs="宋体"/>
          <w:color w:val="auto"/>
          <w:sz w:val="32"/>
          <w:szCs w:val="32"/>
          <w:highlight w:val="none"/>
        </w:rPr>
      </w:pPr>
    </w:p>
    <w:p w14:paraId="43554010">
      <w:pPr>
        <w:widowControl/>
        <w:spacing w:line="360" w:lineRule="auto"/>
        <w:ind w:firstLine="640" w:firstLineChars="20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87C2A1">
      <w:pPr>
        <w:widowControl/>
        <w:spacing w:line="360" w:lineRule="auto"/>
        <w:ind w:firstLine="420" w:firstLineChars="200"/>
        <w:jc w:val="left"/>
        <w:rPr>
          <w:rFonts w:ascii="宋体" w:hAnsi="宋体" w:eastAsia="宋体" w:cs="宋体"/>
          <w:color w:val="auto"/>
          <w:szCs w:val="21"/>
          <w:highlight w:val="none"/>
        </w:rPr>
      </w:pPr>
    </w:p>
    <w:p w14:paraId="79CE9DD5">
      <w:pPr>
        <w:widowControl/>
        <w:spacing w:line="360" w:lineRule="auto"/>
        <w:ind w:firstLine="420" w:firstLineChars="200"/>
        <w:jc w:val="left"/>
        <w:rPr>
          <w:rFonts w:ascii="宋体" w:hAnsi="宋体" w:eastAsia="宋体" w:cs="宋体"/>
          <w:color w:val="auto"/>
          <w:szCs w:val="21"/>
          <w:highlight w:val="none"/>
        </w:rPr>
      </w:pPr>
    </w:p>
    <w:p w14:paraId="482A4F41">
      <w:pPr>
        <w:widowControl/>
        <w:spacing w:line="360" w:lineRule="auto"/>
        <w:ind w:firstLine="420" w:firstLineChars="200"/>
        <w:jc w:val="left"/>
        <w:rPr>
          <w:rFonts w:ascii="宋体" w:hAnsi="宋体" w:eastAsia="宋体" w:cs="宋体"/>
          <w:color w:val="auto"/>
          <w:szCs w:val="21"/>
          <w:highlight w:val="none"/>
        </w:rPr>
        <w:sectPr>
          <w:pgSz w:w="11906" w:h="16838"/>
          <w:pgMar w:top="1332" w:right="1434" w:bottom="1332" w:left="1434" w:header="850" w:footer="992" w:gutter="0"/>
          <w:cols w:space="0" w:num="1"/>
          <w:rtlGutter w:val="0"/>
          <w:docGrid w:type="lines" w:linePitch="315" w:charSpace="0"/>
        </w:sectPr>
      </w:pPr>
    </w:p>
    <w:p w14:paraId="2FFCEB3D">
      <w:pPr>
        <w:widowControl/>
        <w:spacing w:line="360" w:lineRule="auto"/>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3.磋商报价表</w:t>
      </w:r>
    </w:p>
    <w:p w14:paraId="23AAB802">
      <w:pPr>
        <w:widowControl/>
        <w:spacing w:line="360" w:lineRule="auto"/>
        <w:ind w:firstLine="420" w:firstLineChars="200"/>
        <w:jc w:val="left"/>
        <w:rPr>
          <w:rFonts w:ascii="宋体" w:hAnsi="宋体" w:eastAsia="宋体" w:cs="宋体"/>
          <w:color w:val="auto"/>
          <w:szCs w:val="21"/>
          <w:highlight w:val="none"/>
        </w:rPr>
      </w:pPr>
    </w:p>
    <w:p w14:paraId="18E7C617">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磋商报价表</w:t>
      </w:r>
    </w:p>
    <w:p w14:paraId="68DA164A">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649CDB3">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71EEC3AE">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451ED1F">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_____分标                                        单位：元</w:t>
      </w:r>
    </w:p>
    <w:p w14:paraId="01DE2D9D">
      <w:pPr>
        <w:widowControl/>
        <w:spacing w:line="360" w:lineRule="auto"/>
        <w:jc w:val="left"/>
        <w:rPr>
          <w:rFonts w:ascii="宋体" w:hAnsi="宋体" w:eastAsia="宋体" w:cs="宋体"/>
          <w:color w:val="auto"/>
          <w:szCs w:val="21"/>
          <w:highlight w:val="none"/>
        </w:rPr>
      </w:pPr>
    </w:p>
    <w:tbl>
      <w:tblPr>
        <w:tblStyle w:val="27"/>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146"/>
        <w:gridCol w:w="888"/>
        <w:gridCol w:w="785"/>
        <w:gridCol w:w="1180"/>
        <w:gridCol w:w="1426"/>
        <w:gridCol w:w="1727"/>
      </w:tblGrid>
      <w:tr w14:paraId="60F0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3" w:type="dxa"/>
            <w:tcBorders>
              <w:top w:val="single" w:color="auto" w:sz="4" w:space="0"/>
              <w:left w:val="single" w:color="auto" w:sz="4" w:space="0"/>
              <w:bottom w:val="single" w:color="auto" w:sz="4" w:space="0"/>
              <w:right w:val="single" w:color="auto" w:sz="4" w:space="0"/>
            </w:tcBorders>
            <w:vAlign w:val="center"/>
          </w:tcPr>
          <w:p w14:paraId="48618CF0">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46" w:type="dxa"/>
            <w:tcBorders>
              <w:top w:val="single" w:color="auto" w:sz="4" w:space="0"/>
              <w:left w:val="single" w:color="auto" w:sz="4" w:space="0"/>
              <w:bottom w:val="single" w:color="auto" w:sz="4" w:space="0"/>
              <w:right w:val="single" w:color="auto" w:sz="4" w:space="0"/>
            </w:tcBorders>
            <w:vAlign w:val="center"/>
          </w:tcPr>
          <w:p w14:paraId="0202284F">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888" w:type="dxa"/>
            <w:tcBorders>
              <w:top w:val="single" w:color="auto" w:sz="4" w:space="0"/>
              <w:left w:val="single" w:color="auto" w:sz="4" w:space="0"/>
              <w:bottom w:val="single" w:color="auto" w:sz="4" w:space="0"/>
              <w:right w:val="single" w:color="auto" w:sz="4" w:space="0"/>
            </w:tcBorders>
            <w:vAlign w:val="center"/>
          </w:tcPr>
          <w:p w14:paraId="44CB2FED">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85" w:type="dxa"/>
            <w:tcBorders>
              <w:top w:val="single" w:color="auto" w:sz="4" w:space="0"/>
              <w:left w:val="single" w:color="auto" w:sz="4" w:space="0"/>
              <w:bottom w:val="single" w:color="auto" w:sz="4" w:space="0"/>
              <w:right w:val="single" w:color="auto" w:sz="4" w:space="0"/>
            </w:tcBorders>
            <w:vAlign w:val="center"/>
          </w:tcPr>
          <w:p w14:paraId="119747AE">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180" w:type="dxa"/>
            <w:tcBorders>
              <w:top w:val="single" w:color="auto" w:sz="4" w:space="0"/>
              <w:left w:val="single" w:color="auto" w:sz="4" w:space="0"/>
              <w:bottom w:val="single" w:color="auto" w:sz="4" w:space="0"/>
              <w:right w:val="single" w:color="auto" w:sz="4" w:space="0"/>
            </w:tcBorders>
            <w:vAlign w:val="center"/>
          </w:tcPr>
          <w:p w14:paraId="370D2E9F">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6" w:type="dxa"/>
            <w:tcBorders>
              <w:top w:val="single" w:color="auto" w:sz="4" w:space="0"/>
              <w:left w:val="single" w:color="auto" w:sz="4" w:space="0"/>
              <w:bottom w:val="single" w:color="auto" w:sz="4" w:space="0"/>
              <w:right w:val="single" w:color="auto" w:sz="4" w:space="0"/>
            </w:tcBorders>
            <w:vAlign w:val="center"/>
          </w:tcPr>
          <w:p w14:paraId="0FDE9BA2">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合价</w:t>
            </w:r>
          </w:p>
        </w:tc>
        <w:tc>
          <w:tcPr>
            <w:tcW w:w="1727" w:type="dxa"/>
            <w:tcBorders>
              <w:top w:val="single" w:color="auto" w:sz="4" w:space="0"/>
              <w:left w:val="single" w:color="auto" w:sz="4" w:space="0"/>
              <w:bottom w:val="single" w:color="auto" w:sz="4" w:space="0"/>
              <w:right w:val="single" w:color="auto" w:sz="4" w:space="0"/>
            </w:tcBorders>
            <w:vAlign w:val="center"/>
          </w:tcPr>
          <w:p w14:paraId="6212B6DF">
            <w:pPr>
              <w:widowControl/>
              <w:spacing w:line="240" w:lineRule="auto"/>
              <w:contextualSpacing/>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备注</w:t>
            </w:r>
          </w:p>
        </w:tc>
      </w:tr>
      <w:tr w14:paraId="6FD5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3" w:type="dxa"/>
            <w:tcBorders>
              <w:top w:val="single" w:color="auto" w:sz="4" w:space="0"/>
              <w:left w:val="single" w:color="auto" w:sz="4" w:space="0"/>
              <w:bottom w:val="single" w:color="auto" w:sz="4" w:space="0"/>
              <w:right w:val="single" w:color="auto" w:sz="4" w:space="0"/>
            </w:tcBorders>
            <w:vAlign w:val="center"/>
          </w:tcPr>
          <w:p w14:paraId="22F08D9C">
            <w:pPr>
              <w:widowControl/>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46" w:type="dxa"/>
            <w:tcBorders>
              <w:top w:val="single" w:color="auto" w:sz="4" w:space="0"/>
              <w:left w:val="single" w:color="auto" w:sz="4" w:space="0"/>
              <w:bottom w:val="single" w:color="auto" w:sz="4" w:space="0"/>
              <w:right w:val="single" w:color="auto" w:sz="4" w:space="0"/>
            </w:tcBorders>
            <w:vAlign w:val="center"/>
          </w:tcPr>
          <w:p w14:paraId="04CA4030">
            <w:pPr>
              <w:widowControl/>
              <w:spacing w:line="360" w:lineRule="auto"/>
              <w:ind w:firstLine="420" w:firstLineChars="200"/>
              <w:contextualSpacing/>
              <w:jc w:val="center"/>
              <w:rPr>
                <w:rFonts w:ascii="宋体" w:hAnsi="宋体" w:eastAsia="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1EF5DF5A">
            <w:pPr>
              <w:widowControl/>
              <w:spacing w:line="360" w:lineRule="auto"/>
              <w:ind w:firstLine="420" w:firstLineChars="200"/>
              <w:contextualSpacing/>
              <w:jc w:val="center"/>
              <w:rPr>
                <w:rFonts w:ascii="宋体" w:hAnsi="宋体" w:eastAsia="宋体" w:cs="宋体"/>
                <w:color w:val="auto"/>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4248B174">
            <w:pPr>
              <w:widowControl/>
              <w:spacing w:line="360" w:lineRule="auto"/>
              <w:ind w:firstLine="420" w:firstLineChars="200"/>
              <w:contextualSpacing/>
              <w:jc w:val="left"/>
              <w:rPr>
                <w:rFonts w:ascii="宋体" w:hAnsi="宋体" w:eastAsia="宋体" w:cs="宋体"/>
                <w:color w:val="auto"/>
                <w:szCs w:val="21"/>
                <w:highlight w:val="none"/>
              </w:rPr>
            </w:pPr>
          </w:p>
        </w:tc>
        <w:tc>
          <w:tcPr>
            <w:tcW w:w="1180" w:type="dxa"/>
            <w:tcBorders>
              <w:top w:val="single" w:color="auto" w:sz="4" w:space="0"/>
              <w:left w:val="single" w:color="auto" w:sz="4" w:space="0"/>
              <w:bottom w:val="single" w:color="auto" w:sz="4" w:space="0"/>
              <w:right w:val="single" w:color="auto" w:sz="4" w:space="0"/>
            </w:tcBorders>
          </w:tcPr>
          <w:p w14:paraId="516B6A46">
            <w:pPr>
              <w:widowControl/>
              <w:spacing w:line="360" w:lineRule="auto"/>
              <w:ind w:firstLine="420" w:firstLineChars="200"/>
              <w:contextualSpacing/>
              <w:jc w:val="left"/>
              <w:rPr>
                <w:rFonts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tcPr>
          <w:p w14:paraId="4127F9D7">
            <w:pPr>
              <w:widowControl/>
              <w:spacing w:line="360" w:lineRule="auto"/>
              <w:ind w:firstLine="420" w:firstLineChars="200"/>
              <w:contextualSpacing/>
              <w:jc w:val="left"/>
              <w:rPr>
                <w:rFonts w:ascii="宋体" w:hAnsi="宋体" w:eastAsia="宋体" w:cs="宋体"/>
                <w:color w:val="auto"/>
                <w:szCs w:val="21"/>
                <w:highlight w:val="none"/>
              </w:rPr>
            </w:pPr>
          </w:p>
        </w:tc>
        <w:tc>
          <w:tcPr>
            <w:tcW w:w="1727" w:type="dxa"/>
            <w:tcBorders>
              <w:top w:val="single" w:color="auto" w:sz="4" w:space="0"/>
              <w:left w:val="single" w:color="auto" w:sz="4" w:space="0"/>
              <w:bottom w:val="single" w:color="auto" w:sz="4" w:space="0"/>
              <w:right w:val="single" w:color="auto" w:sz="4" w:space="0"/>
            </w:tcBorders>
          </w:tcPr>
          <w:p w14:paraId="1C1BF940">
            <w:pPr>
              <w:widowControl/>
              <w:spacing w:line="360" w:lineRule="auto"/>
              <w:ind w:firstLine="420" w:firstLineChars="200"/>
              <w:contextualSpacing/>
              <w:jc w:val="left"/>
              <w:rPr>
                <w:rFonts w:ascii="宋体" w:hAnsi="宋体" w:eastAsia="宋体" w:cs="宋体"/>
                <w:color w:val="auto"/>
                <w:szCs w:val="21"/>
                <w:highlight w:val="none"/>
              </w:rPr>
            </w:pPr>
          </w:p>
        </w:tc>
      </w:tr>
      <w:tr w14:paraId="0079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6FFCD70C">
            <w:pPr>
              <w:widowControl/>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合计金额大写：人民币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0ACD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2039987">
            <w:pPr>
              <w:widowControl/>
              <w:spacing w:line="360" w:lineRule="auto"/>
              <w:contextualSpacing/>
              <w:jc w:val="left"/>
              <w:rPr>
                <w:rFonts w:ascii="宋体" w:hAnsi="宋体" w:eastAsia="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运维服务时间：自合同签订之日起一年。</w:t>
            </w:r>
          </w:p>
        </w:tc>
      </w:tr>
    </w:tbl>
    <w:p w14:paraId="74F3AFFB">
      <w:pPr>
        <w:widowControl/>
        <w:spacing w:line="336"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D5DE93E">
      <w:pPr>
        <w:widowControl/>
        <w:spacing w:line="336"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1.供应商的报价表必须加盖供应商公章并由法定代表人或者委托代理人签字，</w:t>
      </w:r>
      <w:r>
        <w:rPr>
          <w:rFonts w:hint="eastAsia" w:ascii="宋体" w:hAnsi="宋体" w:eastAsia="宋体" w:cs="宋体"/>
          <w:b/>
          <w:color w:val="auto"/>
          <w:szCs w:val="21"/>
          <w:highlight w:val="none"/>
        </w:rPr>
        <w:t>否则其响应文件按无效响应处理</w:t>
      </w:r>
      <w:r>
        <w:rPr>
          <w:rFonts w:hint="eastAsia" w:ascii="宋体" w:hAnsi="宋体" w:eastAsia="宋体" w:cs="宋体"/>
          <w:color w:val="auto"/>
          <w:szCs w:val="21"/>
          <w:highlight w:val="none"/>
        </w:rPr>
        <w:t>。</w:t>
      </w:r>
    </w:p>
    <w:p w14:paraId="3C84A3E5">
      <w:pPr>
        <w:widowControl/>
        <w:spacing w:line="336" w:lineRule="auto"/>
        <w:ind w:firstLine="420" w:firstLineChars="200"/>
        <w:contextualSpacing/>
        <w:jc w:val="left"/>
        <w:rPr>
          <w:rFonts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报价一经涂改，应在涂改处加盖供应商公章或者由法定代表人或者委托代理人签字或者盖章</w:t>
      </w:r>
      <w:r>
        <w:rPr>
          <w:rFonts w:hint="eastAsia" w:ascii="宋体" w:hAnsi="宋体" w:eastAsia="宋体" w:cs="宋体"/>
          <w:b/>
          <w:color w:val="auto"/>
          <w:szCs w:val="21"/>
          <w:highlight w:val="none"/>
        </w:rPr>
        <w:t>，否则其响应文件按无效响应处理。</w:t>
      </w:r>
    </w:p>
    <w:p w14:paraId="7134E579">
      <w:pPr>
        <w:widowControl/>
        <w:spacing w:line="336"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3.如为联合体磋商，“供应商名称”处必须列明联合体各方名称，标注联合体牵头人名称，</w:t>
      </w:r>
      <w:r>
        <w:rPr>
          <w:rFonts w:hint="eastAsia" w:ascii="宋体" w:hAnsi="宋体" w:eastAsia="宋体" w:cs="宋体"/>
          <w:b/>
          <w:color w:val="auto"/>
          <w:szCs w:val="21"/>
          <w:highlight w:val="none"/>
        </w:rPr>
        <w:t>否则其响应文件按无效响应处理。（采购人可根据项目情况自行修改是否需要联合体各方签字盖章）。</w:t>
      </w:r>
    </w:p>
    <w:p w14:paraId="68F77BC1">
      <w:pPr>
        <w:widowControl/>
        <w:spacing w:line="336"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4.如为联合体磋商，盖章处须加盖联合体各方公章，</w:t>
      </w:r>
      <w:r>
        <w:rPr>
          <w:rFonts w:hint="eastAsia" w:ascii="宋体" w:hAnsi="宋体" w:eastAsia="宋体" w:cs="宋体"/>
          <w:b/>
          <w:color w:val="auto"/>
          <w:szCs w:val="21"/>
          <w:highlight w:val="none"/>
        </w:rPr>
        <w:t>否则其响应文件按无效响应处理。（采购人可根据项目情况自行修改是否需要联合体各方签字盖章）。</w:t>
      </w:r>
    </w:p>
    <w:p w14:paraId="450E1154">
      <w:pPr>
        <w:widowControl/>
        <w:spacing w:line="336"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pacing w:val="-6"/>
          <w:szCs w:val="21"/>
          <w:highlight w:val="none"/>
        </w:rPr>
        <w:t>如有多分标，分别列明各分标的报价表，</w:t>
      </w:r>
      <w:r>
        <w:rPr>
          <w:rFonts w:hint="eastAsia" w:ascii="宋体" w:hAnsi="宋体" w:eastAsia="宋体" w:cs="宋体"/>
          <w:b/>
          <w:color w:val="auto"/>
          <w:spacing w:val="-6"/>
          <w:szCs w:val="21"/>
          <w:highlight w:val="none"/>
        </w:rPr>
        <w:t>否则其响应文件按无效响应处理。</w:t>
      </w:r>
    </w:p>
    <w:p w14:paraId="2B378AE4">
      <w:pPr>
        <w:widowControl/>
        <w:spacing w:line="360" w:lineRule="auto"/>
        <w:ind w:firstLine="422" w:firstLineChars="200"/>
        <w:jc w:val="left"/>
        <w:rPr>
          <w:rFonts w:ascii="宋体" w:hAnsi="宋体" w:eastAsia="宋体" w:cs="宋体"/>
          <w:b/>
          <w:color w:val="auto"/>
          <w:szCs w:val="21"/>
          <w:highlight w:val="none"/>
        </w:rPr>
      </w:pPr>
    </w:p>
    <w:p w14:paraId="743B54CD">
      <w:pPr>
        <w:widowControl/>
        <w:spacing w:line="600" w:lineRule="auto"/>
        <w:jc w:val="left"/>
        <w:rPr>
          <w:rFonts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法定代表人或者委托代理人（签字/电子签名）</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p>
    <w:p w14:paraId="370B4F44">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143B37DA">
      <w:pPr>
        <w:keepNext/>
        <w:keepLines/>
        <w:widowControl/>
        <w:spacing w:line="360" w:lineRule="auto"/>
        <w:jc w:val="left"/>
        <w:outlineLvl w:val="2"/>
        <w:rPr>
          <w:rFonts w:ascii="宋体" w:hAnsi="宋体" w:eastAsia="宋体" w:cs="宋体"/>
          <w:b/>
          <w:color w:val="auto"/>
          <w:sz w:val="24"/>
          <w:szCs w:val="24"/>
          <w:highlight w:val="none"/>
        </w:rPr>
        <w:sectPr>
          <w:pgSz w:w="11906" w:h="16838"/>
          <w:pgMar w:top="1332" w:right="1434" w:bottom="1332" w:left="1434" w:header="850" w:footer="992" w:gutter="0"/>
          <w:cols w:space="0" w:num="1"/>
          <w:rtlGutter w:val="0"/>
          <w:docGrid w:type="lines" w:linePitch="315" w:charSpace="0"/>
        </w:sectPr>
      </w:pPr>
    </w:p>
    <w:p w14:paraId="59B304FD">
      <w:pPr>
        <w:keepNext/>
        <w:keepLines/>
        <w:widowControl/>
        <w:spacing w:line="480" w:lineRule="auto"/>
        <w:jc w:val="left"/>
        <w:outlineLvl w:val="1"/>
        <w:rPr>
          <w:rFonts w:ascii="宋体" w:hAnsi="宋体" w:eastAsia="宋体" w:cs="宋体"/>
          <w:b/>
          <w:bCs/>
          <w:color w:val="auto"/>
          <w:sz w:val="28"/>
          <w:szCs w:val="44"/>
          <w:highlight w:val="none"/>
        </w:rPr>
      </w:pPr>
      <w:r>
        <w:rPr>
          <w:rFonts w:hint="eastAsia" w:ascii="宋体" w:hAnsi="宋体" w:eastAsia="宋体" w:cs="宋体"/>
          <w:b/>
          <w:bCs/>
          <w:color w:val="auto"/>
          <w:sz w:val="28"/>
          <w:szCs w:val="44"/>
          <w:highlight w:val="none"/>
        </w:rPr>
        <w:t>三、商务技术文件格式</w:t>
      </w:r>
    </w:p>
    <w:p w14:paraId="5947649A">
      <w:pPr>
        <w:keepNext/>
        <w:keepLines/>
        <w:widowControl/>
        <w:spacing w:line="360" w:lineRule="auto"/>
        <w:jc w:val="left"/>
        <w:outlineLvl w:val="2"/>
        <w:rPr>
          <w:rFonts w:hint="eastAsia" w:ascii="宋体" w:hAnsi="宋体" w:eastAsia="宋体" w:cs="宋体"/>
          <w:b/>
          <w:color w:val="auto"/>
          <w:sz w:val="24"/>
          <w:szCs w:val="24"/>
          <w:highlight w:val="none"/>
        </w:rPr>
      </w:pPr>
    </w:p>
    <w:p w14:paraId="49E4EA8B">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1.商务技术文件封面格式</w:t>
      </w:r>
    </w:p>
    <w:p w14:paraId="78BC3C15">
      <w:pPr>
        <w:widowControl/>
        <w:spacing w:line="360" w:lineRule="auto"/>
        <w:ind w:firstLine="199" w:firstLineChars="83"/>
        <w:jc w:val="left"/>
        <w:rPr>
          <w:rFonts w:ascii="宋体" w:hAnsi="宋体" w:eastAsia="宋体" w:cs="宋体"/>
          <w:color w:val="auto"/>
          <w:sz w:val="24"/>
          <w:szCs w:val="24"/>
          <w:highlight w:val="none"/>
        </w:rPr>
      </w:pPr>
    </w:p>
    <w:p w14:paraId="6908DFF0">
      <w:pPr>
        <w:widowControl/>
        <w:spacing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电子响应文件</w:t>
      </w:r>
    </w:p>
    <w:p w14:paraId="3DE354A6">
      <w:pPr>
        <w:widowControl/>
        <w:spacing w:line="360" w:lineRule="auto"/>
        <w:ind w:firstLine="199" w:firstLineChars="83"/>
        <w:jc w:val="left"/>
        <w:rPr>
          <w:rFonts w:ascii="宋体" w:hAnsi="宋体" w:eastAsia="宋体" w:cs="宋体"/>
          <w:color w:val="auto"/>
          <w:sz w:val="24"/>
          <w:szCs w:val="24"/>
          <w:highlight w:val="none"/>
        </w:rPr>
      </w:pPr>
    </w:p>
    <w:p w14:paraId="641E98DD">
      <w:pPr>
        <w:widowControl/>
        <w:spacing w:line="360" w:lineRule="auto"/>
        <w:ind w:firstLine="199" w:firstLineChars="83"/>
        <w:jc w:val="left"/>
        <w:rPr>
          <w:rFonts w:ascii="宋体" w:hAnsi="宋体" w:eastAsia="宋体" w:cs="宋体"/>
          <w:color w:val="auto"/>
          <w:sz w:val="24"/>
          <w:szCs w:val="24"/>
          <w:highlight w:val="none"/>
        </w:rPr>
      </w:pPr>
    </w:p>
    <w:p w14:paraId="125AB610">
      <w:pPr>
        <w:widowControl/>
        <w:spacing w:line="360" w:lineRule="auto"/>
        <w:ind w:firstLine="199" w:firstLineChars="45"/>
        <w:jc w:val="center"/>
        <w:rPr>
          <w:rFonts w:ascii="宋体" w:hAnsi="宋体" w:eastAsia="宋体" w:cs="宋体"/>
          <w:color w:val="auto"/>
          <w:sz w:val="24"/>
          <w:szCs w:val="24"/>
          <w:highlight w:val="none"/>
        </w:rPr>
      </w:pPr>
      <w:r>
        <w:rPr>
          <w:rFonts w:hint="eastAsia" w:ascii="宋体" w:hAnsi="宋体" w:eastAsia="宋体" w:cs="宋体"/>
          <w:b/>
          <w:bCs/>
          <w:color w:val="auto"/>
          <w:sz w:val="44"/>
          <w:szCs w:val="44"/>
          <w:highlight w:val="none"/>
        </w:rPr>
        <w:t>商务技术文件</w:t>
      </w:r>
    </w:p>
    <w:p w14:paraId="54AF575B">
      <w:pPr>
        <w:widowControl/>
        <w:spacing w:line="360" w:lineRule="auto"/>
        <w:ind w:firstLine="480" w:firstLineChars="200"/>
        <w:jc w:val="left"/>
        <w:rPr>
          <w:rFonts w:ascii="宋体" w:hAnsi="宋体" w:eastAsia="宋体" w:cs="宋体"/>
          <w:color w:val="auto"/>
          <w:sz w:val="24"/>
          <w:szCs w:val="24"/>
          <w:highlight w:val="none"/>
        </w:rPr>
      </w:pPr>
    </w:p>
    <w:p w14:paraId="4E2C2FDA">
      <w:pPr>
        <w:widowControl/>
        <w:spacing w:line="360" w:lineRule="auto"/>
        <w:ind w:firstLine="480" w:firstLineChars="200"/>
        <w:jc w:val="left"/>
        <w:rPr>
          <w:rFonts w:ascii="宋体" w:hAnsi="宋体" w:eastAsia="宋体" w:cs="宋体"/>
          <w:color w:val="auto"/>
          <w:sz w:val="24"/>
          <w:szCs w:val="24"/>
          <w:highlight w:val="none"/>
        </w:rPr>
      </w:pPr>
    </w:p>
    <w:p w14:paraId="6B985F9B">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55AF4DE3">
      <w:pPr>
        <w:widowControl/>
        <w:spacing w:line="360" w:lineRule="auto"/>
        <w:ind w:firstLine="1132" w:firstLineChars="354"/>
        <w:jc w:val="left"/>
        <w:rPr>
          <w:rFonts w:ascii="宋体" w:hAnsi="宋体" w:eastAsia="宋体" w:cs="宋体"/>
          <w:color w:val="auto"/>
          <w:sz w:val="32"/>
          <w:szCs w:val="32"/>
          <w:highlight w:val="none"/>
        </w:rPr>
      </w:pPr>
    </w:p>
    <w:p w14:paraId="144B5B21">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p w14:paraId="61C090B3">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p>
    <w:p w14:paraId="383FF490">
      <w:pPr>
        <w:widowControl/>
        <w:spacing w:before="25" w:after="25" w:line="360" w:lineRule="auto"/>
        <w:ind w:firstLine="680" w:firstLineChars="200"/>
        <w:jc w:val="left"/>
        <w:rPr>
          <w:rFonts w:ascii="宋体" w:hAnsi="宋体" w:eastAsia="宋体" w:cs="宋体"/>
          <w:bCs/>
          <w:color w:val="auto"/>
          <w:spacing w:val="10"/>
          <w:kern w:val="0"/>
          <w:sz w:val="32"/>
          <w:szCs w:val="32"/>
          <w:highlight w:val="none"/>
        </w:rPr>
      </w:pPr>
      <w:r>
        <w:rPr>
          <w:rFonts w:hint="eastAsia" w:ascii="宋体" w:hAnsi="宋体" w:eastAsia="宋体" w:cs="宋体"/>
          <w:bCs/>
          <w:color w:val="auto"/>
          <w:spacing w:val="10"/>
          <w:kern w:val="0"/>
          <w:sz w:val="32"/>
          <w:szCs w:val="32"/>
          <w:highlight w:val="none"/>
        </w:rPr>
        <w:t xml:space="preserve">  分 标 号：（如无分标写“无”）</w:t>
      </w:r>
    </w:p>
    <w:p w14:paraId="6E72C4C1">
      <w:pPr>
        <w:widowControl/>
        <w:spacing w:line="360" w:lineRule="auto"/>
        <w:jc w:val="left"/>
        <w:rPr>
          <w:rFonts w:ascii="宋体" w:hAnsi="宋体" w:eastAsia="宋体" w:cs="宋体"/>
          <w:color w:val="auto"/>
          <w:sz w:val="32"/>
          <w:szCs w:val="32"/>
          <w:highlight w:val="none"/>
        </w:rPr>
      </w:pPr>
    </w:p>
    <w:p w14:paraId="4699F067">
      <w:pPr>
        <w:widowControl/>
        <w:spacing w:line="360" w:lineRule="auto"/>
        <w:ind w:firstLine="1132" w:firstLineChars="354"/>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供应商名称：</w:t>
      </w:r>
    </w:p>
    <w:p w14:paraId="631E66BB">
      <w:pPr>
        <w:widowControl/>
        <w:spacing w:line="360" w:lineRule="auto"/>
        <w:ind w:firstLine="1132" w:firstLineChars="354"/>
        <w:jc w:val="left"/>
        <w:rPr>
          <w:rFonts w:ascii="宋体" w:hAnsi="宋体" w:eastAsia="宋体" w:cs="宋体"/>
          <w:color w:val="auto"/>
          <w:sz w:val="32"/>
          <w:szCs w:val="32"/>
          <w:highlight w:val="none"/>
        </w:rPr>
      </w:pPr>
    </w:p>
    <w:p w14:paraId="08E1CA04">
      <w:pPr>
        <w:widowControl/>
        <w:spacing w:line="360" w:lineRule="auto"/>
        <w:ind w:firstLine="640" w:firstLineChars="20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1DF5DAF">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A64D10E">
      <w:pPr>
        <w:keepNext/>
        <w:keepLines/>
        <w:widowControl/>
        <w:spacing w:line="360" w:lineRule="auto"/>
        <w:jc w:val="left"/>
        <w:outlineLvl w:val="2"/>
        <w:rPr>
          <w:rFonts w:hint="eastAsia" w:ascii="宋体" w:hAnsi="宋体" w:eastAsia="宋体" w:cs="宋体"/>
          <w:b/>
          <w:color w:val="auto"/>
          <w:sz w:val="24"/>
          <w:szCs w:val="24"/>
          <w:highlight w:val="none"/>
        </w:rPr>
      </w:pPr>
    </w:p>
    <w:p w14:paraId="50793367">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2.无串通竞标行为的承诺函</w:t>
      </w:r>
    </w:p>
    <w:p w14:paraId="6FE6F9AC">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无串通竞标行为的承诺函</w:t>
      </w:r>
    </w:p>
    <w:p w14:paraId="75842384">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5D8087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2AB822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58B3D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68E961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同供应商的响应文件异常一致或者响应报价呈规律性差异；</w:t>
      </w:r>
    </w:p>
    <w:p w14:paraId="18689C3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941CF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5F8279C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68173C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451A72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29F9D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7196241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9177F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0A0E28D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9D95F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13A7062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3BD1930C">
      <w:pPr>
        <w:widowControl/>
        <w:spacing w:line="360" w:lineRule="auto"/>
        <w:ind w:firstLine="422" w:firstLineChars="200"/>
        <w:contextualSpacing/>
        <w:jc w:val="left"/>
        <w:rPr>
          <w:rFonts w:ascii="宋体" w:hAnsi="宋体" w:eastAsia="宋体" w:cs="宋体"/>
          <w:b/>
          <w:bCs/>
          <w:color w:val="auto"/>
          <w:szCs w:val="21"/>
          <w:highlight w:val="none"/>
        </w:rPr>
      </w:pPr>
    </w:p>
    <w:p w14:paraId="04E798DC">
      <w:pPr>
        <w:widowControl/>
        <w:wordWrap w:val="0"/>
        <w:spacing w:line="600" w:lineRule="auto"/>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p>
    <w:p w14:paraId="280B1572">
      <w:pPr>
        <w:widowControl/>
        <w:wordWrap w:val="0"/>
        <w:spacing w:line="600" w:lineRule="auto"/>
        <w:jc w:val="right"/>
        <w:rPr>
          <w:rFonts w:ascii="宋体" w:hAnsi="宋体" w:eastAsia="宋体" w:cs="宋体"/>
          <w:color w:val="auto"/>
          <w:sz w:val="24"/>
          <w:szCs w:val="24"/>
          <w:highlight w:val="none"/>
          <w:lang w:val="zh-CN"/>
        </w:rPr>
      </w:pP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日  </w:t>
      </w:r>
      <w:r>
        <w:rPr>
          <w:rFonts w:hint="eastAsia" w:ascii="宋体" w:hAnsi="宋体" w:eastAsia="宋体" w:cs="宋体"/>
          <w:color w:val="auto"/>
          <w:sz w:val="24"/>
          <w:szCs w:val="24"/>
          <w:highlight w:val="none"/>
          <w:lang w:val="zh-CN"/>
        </w:rPr>
        <w:t xml:space="preserve">    </w:t>
      </w:r>
    </w:p>
    <w:p w14:paraId="0EB4E02C">
      <w:pPr>
        <w:keepNext/>
        <w:keepLines/>
        <w:widowControl/>
        <w:spacing w:line="360" w:lineRule="auto"/>
        <w:jc w:val="left"/>
        <w:outlineLvl w:val="2"/>
        <w:rPr>
          <w:rFonts w:ascii="宋体" w:hAnsi="宋体" w:eastAsia="宋体" w:cs="宋体"/>
          <w:b/>
          <w:color w:val="auto"/>
          <w:sz w:val="24"/>
          <w:szCs w:val="24"/>
          <w:highlight w:val="none"/>
        </w:rPr>
        <w:sectPr>
          <w:pgSz w:w="11906" w:h="16838"/>
          <w:pgMar w:top="1332" w:right="1434" w:bottom="1332" w:left="1434" w:header="850" w:footer="992" w:gutter="0"/>
          <w:cols w:space="0" w:num="1"/>
          <w:rtlGutter w:val="0"/>
          <w:docGrid w:type="lines" w:linePitch="315" w:charSpace="0"/>
        </w:sectPr>
      </w:pPr>
    </w:p>
    <w:p w14:paraId="0FA2E1A5">
      <w:pPr>
        <w:keepNext/>
        <w:keepLines/>
        <w:widowControl/>
        <w:spacing w:line="360" w:lineRule="auto"/>
        <w:jc w:val="left"/>
        <w:outlineLvl w:val="2"/>
        <w:rPr>
          <w:rFonts w:hint="eastAsia" w:ascii="宋体" w:hAnsi="宋体" w:eastAsia="宋体" w:cs="宋体"/>
          <w:b/>
          <w:color w:val="auto"/>
          <w:sz w:val="24"/>
          <w:szCs w:val="24"/>
          <w:highlight w:val="none"/>
        </w:rPr>
      </w:pPr>
    </w:p>
    <w:p w14:paraId="5CC76032">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3.法定代表人证明书</w:t>
      </w:r>
    </w:p>
    <w:p w14:paraId="09D39BC1">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法定代表人证明书</w:t>
      </w:r>
    </w:p>
    <w:p w14:paraId="49284FA3">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0953CDDC">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2B394D8">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      别：</w:t>
      </w:r>
      <w:r>
        <w:rPr>
          <w:rFonts w:hint="eastAsia" w:ascii="宋体" w:hAnsi="宋体" w:eastAsia="宋体" w:cs="宋体"/>
          <w:color w:val="auto"/>
          <w:szCs w:val="21"/>
          <w:highlight w:val="none"/>
          <w:u w:val="single"/>
        </w:rPr>
        <w:t xml:space="preserve">                  </w:t>
      </w:r>
    </w:p>
    <w:p w14:paraId="3D01E70B">
      <w:pPr>
        <w:widowControl/>
        <w:spacing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1A7B447">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76EA7C51">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的法定代表人。</w:t>
      </w:r>
    </w:p>
    <w:p w14:paraId="293B9CFB">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DEEFC09">
      <w:pPr>
        <w:widowControl/>
        <w:spacing w:line="360" w:lineRule="auto"/>
        <w:jc w:val="left"/>
        <w:rPr>
          <w:rFonts w:ascii="宋体" w:hAnsi="宋体" w:eastAsia="宋体" w:cs="宋体"/>
          <w:color w:val="auto"/>
          <w:szCs w:val="21"/>
          <w:highlight w:val="none"/>
        </w:rPr>
      </w:pPr>
    </w:p>
    <w:p w14:paraId="79C1309D">
      <w:pPr>
        <w:widowControl/>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附件：法定代表人有效身份证正反面复印件</w:t>
      </w:r>
    </w:p>
    <w:p w14:paraId="6D694B87">
      <w:pPr>
        <w:widowControl/>
        <w:spacing w:line="360" w:lineRule="auto"/>
        <w:jc w:val="left"/>
        <w:rPr>
          <w:rFonts w:ascii="宋体" w:hAnsi="宋体" w:eastAsia="宋体" w:cs="宋体"/>
          <w:color w:val="auto"/>
          <w:szCs w:val="21"/>
          <w:highlight w:val="none"/>
        </w:rPr>
      </w:pPr>
    </w:p>
    <w:p w14:paraId="450F0059">
      <w:pPr>
        <w:widowControl/>
        <w:spacing w:line="60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供应商名称（盖公章）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p>
    <w:p w14:paraId="652B7AF0">
      <w:pPr>
        <w:widowControl/>
        <w:wordWrap w:val="0"/>
        <w:spacing w:line="600" w:lineRule="auto"/>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日      </w:t>
      </w:r>
    </w:p>
    <w:p w14:paraId="3C9883F6">
      <w:pPr>
        <w:widowControl/>
        <w:spacing w:line="360" w:lineRule="auto"/>
        <w:jc w:val="left"/>
        <w:rPr>
          <w:rFonts w:ascii="宋体" w:hAnsi="宋体" w:eastAsia="宋体" w:cs="宋体"/>
          <w:color w:val="auto"/>
          <w:szCs w:val="21"/>
          <w:highlight w:val="none"/>
        </w:rPr>
      </w:pPr>
    </w:p>
    <w:p w14:paraId="47E5D7F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注：自然人竞标的无需提供，联合体磋商的只需牵头人出具。</w:t>
      </w:r>
    </w:p>
    <w:p w14:paraId="713589C4">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6A988BC">
      <w:pPr>
        <w:keepNext/>
        <w:keepLines/>
        <w:widowControl/>
        <w:spacing w:line="360" w:lineRule="auto"/>
        <w:jc w:val="left"/>
        <w:outlineLvl w:val="2"/>
        <w:rPr>
          <w:rFonts w:hint="eastAsia" w:ascii="宋体" w:hAnsi="宋体" w:eastAsia="宋体" w:cs="宋体"/>
          <w:b/>
          <w:color w:val="auto"/>
          <w:sz w:val="24"/>
          <w:szCs w:val="24"/>
          <w:highlight w:val="none"/>
        </w:rPr>
      </w:pPr>
    </w:p>
    <w:p w14:paraId="14752294">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4.授权委托书格式</w:t>
      </w:r>
    </w:p>
    <w:p w14:paraId="711B49DA">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授权委托书</w:t>
      </w:r>
    </w:p>
    <w:p w14:paraId="6CFBE2C8">
      <w:pPr>
        <w:widowControl/>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（非联合体磋商格式）</w:t>
      </w:r>
    </w:p>
    <w:p w14:paraId="0DE68594">
      <w:pPr>
        <w:widowControl/>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（如有委托时）</w:t>
      </w:r>
    </w:p>
    <w:p w14:paraId="5FE7DB20">
      <w:pPr>
        <w:widowControl/>
        <w:spacing w:line="360" w:lineRule="auto"/>
        <w:jc w:val="left"/>
        <w:rPr>
          <w:rFonts w:ascii="宋体" w:hAnsi="宋体" w:eastAsia="宋体" w:cs="宋体"/>
          <w:color w:val="auto"/>
          <w:szCs w:val="21"/>
          <w:highlight w:val="none"/>
        </w:rPr>
      </w:pPr>
      <w:bookmarkStart w:id="19" w:name="_Hlk75765700"/>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p>
    <w:bookmarkEnd w:id="19"/>
    <w:p w14:paraId="7EDD5A9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w:t>
      </w:r>
      <w:r>
        <w:rPr>
          <w:rFonts w:hint="eastAsia" w:ascii="宋体" w:hAnsi="宋体" w:eastAsia="宋体" w:cs="宋体"/>
          <w:b/>
          <w:bCs/>
          <w:color w:val="auto"/>
          <w:szCs w:val="21"/>
          <w:highlight w:val="none"/>
          <w:u w:val="single"/>
        </w:rPr>
        <w:t>□法定代表人/□负责人/□自然人本人</w:t>
      </w:r>
      <w:r>
        <w:rPr>
          <w:rFonts w:hint="eastAsia" w:ascii="宋体" w:hAnsi="宋体" w:eastAsia="宋体" w:cs="宋体"/>
          <w:color w:val="auto"/>
          <w:szCs w:val="21"/>
          <w:highlight w:val="none"/>
        </w:rPr>
        <w:t>），现授权委托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项目的磋商活动，并代表我方全权办理针对上述项目的所有采购程序和环节的具体事务和签署相关文件。</w:t>
      </w:r>
    </w:p>
    <w:p w14:paraId="0D62B699">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我方对委托代理人的签字事项负全部责任。</w:t>
      </w:r>
    </w:p>
    <w:p w14:paraId="3F21531C">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8CDAF03">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6612923E">
      <w:pPr>
        <w:widowControl/>
        <w:spacing w:line="360" w:lineRule="auto"/>
        <w:jc w:val="left"/>
        <w:rPr>
          <w:rFonts w:ascii="宋体" w:hAnsi="宋体" w:eastAsia="宋体" w:cs="宋体"/>
          <w:b/>
          <w:bCs/>
          <w:color w:val="auto"/>
          <w:szCs w:val="21"/>
          <w:highlight w:val="none"/>
        </w:rPr>
      </w:pPr>
    </w:p>
    <w:p w14:paraId="02EDCE82">
      <w:pPr>
        <w:widowControl/>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附：法定代表人身份证明书及委托代理人有效身份证正反面复印件</w:t>
      </w:r>
    </w:p>
    <w:p w14:paraId="09DA8020">
      <w:pPr>
        <w:widowControl/>
        <w:spacing w:line="360" w:lineRule="auto"/>
        <w:ind w:firstLine="420" w:firstLineChars="200"/>
        <w:jc w:val="left"/>
        <w:rPr>
          <w:rFonts w:ascii="宋体" w:hAnsi="宋体" w:eastAsia="宋体" w:cs="宋体"/>
          <w:color w:val="auto"/>
          <w:szCs w:val="21"/>
          <w:highlight w:val="none"/>
        </w:rPr>
      </w:pPr>
    </w:p>
    <w:p w14:paraId="2F13FFED">
      <w:pPr>
        <w:widowControl/>
        <w:spacing w:line="48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委托代理人（签字/电子签名）：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法定代表人（签字/电子签名）：</w:t>
      </w:r>
      <w:r>
        <w:rPr>
          <w:rFonts w:hint="eastAsia" w:ascii="宋体" w:hAnsi="宋体" w:eastAsia="宋体" w:cs="宋体"/>
          <w:color w:val="auto"/>
          <w:szCs w:val="21"/>
          <w:highlight w:val="none"/>
          <w:u w:val="single"/>
        </w:rPr>
        <w:t xml:space="preserve">        </w:t>
      </w:r>
    </w:p>
    <w:p w14:paraId="670F0D62">
      <w:pPr>
        <w:widowControl/>
        <w:spacing w:line="48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委托代理人身份证号码：</w:t>
      </w:r>
      <w:r>
        <w:rPr>
          <w:rFonts w:hint="eastAsia" w:ascii="宋体" w:hAnsi="宋体" w:eastAsia="宋体" w:cs="宋体"/>
          <w:color w:val="auto"/>
          <w:szCs w:val="21"/>
          <w:highlight w:val="none"/>
          <w:u w:val="single"/>
        </w:rPr>
        <w:t xml:space="preserve">                                                       </w:t>
      </w:r>
    </w:p>
    <w:p w14:paraId="7B42FADB">
      <w:pPr>
        <w:widowControl/>
        <w:spacing w:line="480" w:lineRule="auto"/>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p>
    <w:p w14:paraId="7F422E8D">
      <w:pPr>
        <w:widowControl/>
        <w:wordWrap w:val="0"/>
        <w:spacing w:line="480" w:lineRule="auto"/>
        <w:ind w:firstLine="420" w:firstLineChars="2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日    </w:t>
      </w:r>
    </w:p>
    <w:p w14:paraId="0C3EA046">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注：1.法定代表人必须在授权委托书上亲笔签字或盖章，委托代理人必须在授权委托书上亲笔签字，</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6C8DD3DA">
      <w:pPr>
        <w:widowControl/>
        <w:spacing w:line="360" w:lineRule="auto"/>
        <w:ind w:firstLine="371" w:firstLineChars="177"/>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2.法人、其他组织竞标时“我方”是指“我单位”，自然人竞标时“我方”是指“本人”。</w:t>
      </w:r>
    </w:p>
    <w:p w14:paraId="11A75299">
      <w:pPr>
        <w:widowControl/>
        <w:spacing w:before="260" w:after="260" w:line="415"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9E5A3F1">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授权委托书</w:t>
      </w:r>
    </w:p>
    <w:p w14:paraId="23BFAA71">
      <w:pPr>
        <w:widowControl/>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（联合体磋商格式）</w:t>
      </w:r>
    </w:p>
    <w:p w14:paraId="202DEABC">
      <w:pPr>
        <w:widowControl/>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（如有委托时）</w:t>
      </w:r>
    </w:p>
    <w:p w14:paraId="6C35B89A">
      <w:pPr>
        <w:widowControl/>
        <w:spacing w:line="360" w:lineRule="auto"/>
        <w:jc w:val="left"/>
        <w:rPr>
          <w:rFonts w:ascii="宋体" w:hAnsi="宋体" w:eastAsia="宋体" w:cs="宋体"/>
          <w:color w:val="auto"/>
          <w:szCs w:val="21"/>
          <w:highlight w:val="none"/>
        </w:rPr>
      </w:pPr>
    </w:p>
    <w:p w14:paraId="0EE11F07">
      <w:pPr>
        <w:widowControl/>
        <w:spacing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本授权委托书声明：根据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（联合体其他成员名称）签订的《联合体磋商协议书》的内容，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（牵头人名称）的法定代表人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（姓名）为联合委托代理人，并代表我方全权办理针对上述项目的所有采购程序和环节的具体事务和签署相关文件。</w:t>
      </w:r>
    </w:p>
    <w:p w14:paraId="5FEB7902">
      <w:pPr>
        <w:widowControl/>
        <w:spacing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我方对委托代理人的签字事项负全部责任。</w:t>
      </w:r>
    </w:p>
    <w:p w14:paraId="5BC61FB3">
      <w:pPr>
        <w:widowControl/>
        <w:spacing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0B3A8872">
      <w:pPr>
        <w:widowControl/>
        <w:spacing w:line="360" w:lineRule="auto"/>
        <w:ind w:firstLine="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739DDE94">
      <w:pPr>
        <w:widowControl/>
        <w:spacing w:line="360" w:lineRule="auto"/>
        <w:ind w:firstLine="420" w:firstLineChars="200"/>
        <w:jc w:val="left"/>
        <w:rPr>
          <w:rFonts w:ascii="宋体" w:hAnsi="宋体" w:eastAsia="宋体" w:cs="宋体"/>
          <w:color w:val="auto"/>
          <w:szCs w:val="21"/>
          <w:highlight w:val="none"/>
        </w:rPr>
      </w:pPr>
    </w:p>
    <w:p w14:paraId="2A87C799">
      <w:pPr>
        <w:widowControl/>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附：法定代表人身份证明书及委托代理人有效身份证正反面复印件</w:t>
      </w:r>
    </w:p>
    <w:p w14:paraId="020D3FAB">
      <w:pPr>
        <w:widowControl/>
        <w:spacing w:line="360" w:lineRule="auto"/>
        <w:ind w:firstLine="420" w:firstLineChars="200"/>
        <w:jc w:val="left"/>
        <w:rPr>
          <w:rFonts w:ascii="宋体" w:hAnsi="宋体" w:eastAsia="宋体" w:cs="宋体"/>
          <w:color w:val="auto"/>
          <w:szCs w:val="21"/>
          <w:highlight w:val="none"/>
        </w:rPr>
      </w:pPr>
    </w:p>
    <w:p w14:paraId="5962997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牵头人法定代表人（签字/电子签名）：</w:t>
      </w:r>
    </w:p>
    <w:p w14:paraId="6FFB5D2E">
      <w:pPr>
        <w:widowControl/>
        <w:spacing w:line="360" w:lineRule="auto"/>
        <w:ind w:firstLine="1890" w:firstLineChars="900"/>
        <w:jc w:val="left"/>
        <w:rPr>
          <w:rFonts w:ascii="宋体" w:hAnsi="宋体" w:eastAsia="宋体" w:cs="宋体"/>
          <w:color w:val="auto"/>
          <w:szCs w:val="21"/>
          <w:highlight w:val="none"/>
        </w:rPr>
      </w:pPr>
      <w:r>
        <w:rPr>
          <w:rFonts w:hint="eastAsia" w:ascii="宋体" w:hAnsi="宋体" w:eastAsia="宋体" w:cs="宋体"/>
          <w:color w:val="auto"/>
          <w:szCs w:val="21"/>
          <w:highlight w:val="none"/>
        </w:rPr>
        <w:t>牵头人（盖公章）：</w:t>
      </w:r>
    </w:p>
    <w:p w14:paraId="1BE485F1">
      <w:pPr>
        <w:widowControl/>
        <w:spacing w:line="360" w:lineRule="auto"/>
        <w:ind w:firstLine="3114" w:firstLineChars="1483"/>
        <w:jc w:val="left"/>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BA6EACD">
      <w:pPr>
        <w:widowControl/>
        <w:spacing w:line="360" w:lineRule="auto"/>
        <w:ind w:firstLine="420" w:firstLineChars="200"/>
        <w:jc w:val="left"/>
        <w:rPr>
          <w:rFonts w:ascii="宋体" w:hAnsi="宋体" w:eastAsia="宋体" w:cs="宋体"/>
          <w:color w:val="auto"/>
          <w:szCs w:val="21"/>
          <w:highlight w:val="none"/>
        </w:rPr>
      </w:pPr>
    </w:p>
    <w:p w14:paraId="3926492F">
      <w:pPr>
        <w:widowControl/>
        <w:spacing w:line="360" w:lineRule="auto"/>
        <w:ind w:firstLine="1890" w:firstLineChars="900"/>
        <w:jc w:val="left"/>
        <w:rPr>
          <w:rFonts w:ascii="宋体" w:hAnsi="宋体" w:eastAsia="宋体" w:cs="宋体"/>
          <w:color w:val="auto"/>
          <w:szCs w:val="21"/>
          <w:highlight w:val="none"/>
        </w:rPr>
      </w:pPr>
      <w:r>
        <w:rPr>
          <w:rFonts w:hint="eastAsia" w:ascii="宋体" w:hAnsi="宋体" w:eastAsia="宋体" w:cs="宋体"/>
          <w:color w:val="auto"/>
          <w:szCs w:val="21"/>
          <w:highlight w:val="none"/>
        </w:rPr>
        <w:t>被授权人（签字/电子签名）：</w:t>
      </w:r>
    </w:p>
    <w:p w14:paraId="1AAE910C">
      <w:pPr>
        <w:widowControl/>
        <w:spacing w:line="360" w:lineRule="auto"/>
        <w:ind w:firstLine="3150" w:firstLineChars="1500"/>
        <w:jc w:val="left"/>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AA45C42">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注：1.法定代表人必须在授权委托书上亲笔签字或盖章，委托代理人必须在授权委托书上亲笔签字，</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1552CE4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2.本授权委托书应由联合体牵头人的法定代表人按上述规定签署。</w:t>
      </w:r>
    </w:p>
    <w:p w14:paraId="214A745B">
      <w:pPr>
        <w:spacing w:line="360" w:lineRule="auto"/>
        <w:ind w:firstLine="420" w:firstLineChars="200"/>
        <w:jc w:val="left"/>
        <w:rPr>
          <w:rFonts w:ascii="宋体" w:hAnsi="宋体" w:eastAsia="宋体" w:cs="宋体"/>
          <w:color w:val="auto"/>
          <w:spacing w:val="-11"/>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pacing w:val="-11"/>
          <w:szCs w:val="21"/>
          <w:highlight w:val="none"/>
        </w:rPr>
        <w:t>法人、其他组织竞标时“我方”是指“我单位”，自然人竞标时“我方”是指“本人”。</w:t>
      </w:r>
    </w:p>
    <w:p w14:paraId="1F5D809B">
      <w:pPr>
        <w:keepNext/>
        <w:keepLines/>
        <w:widowControl/>
        <w:spacing w:line="360" w:lineRule="auto"/>
        <w:jc w:val="left"/>
        <w:outlineLvl w:val="2"/>
        <w:rPr>
          <w:rFonts w:ascii="宋体" w:hAnsi="宋体" w:eastAsia="宋体" w:cs="宋体"/>
          <w:b/>
          <w:color w:val="auto"/>
          <w:sz w:val="24"/>
          <w:szCs w:val="24"/>
          <w:highlight w:val="none"/>
        </w:rPr>
        <w:sectPr>
          <w:pgSz w:w="11906" w:h="16838"/>
          <w:pgMar w:top="1332" w:right="1434" w:bottom="1332" w:left="1434" w:header="850" w:footer="992" w:gutter="0"/>
          <w:cols w:space="0" w:num="1"/>
          <w:rtlGutter w:val="0"/>
          <w:docGrid w:type="lines" w:linePitch="315" w:charSpace="0"/>
        </w:sectPr>
      </w:pPr>
    </w:p>
    <w:p w14:paraId="773A9985">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5.商务要求偏离表格式</w:t>
      </w:r>
    </w:p>
    <w:p w14:paraId="397C573F">
      <w:pPr>
        <w:widowControl/>
        <w:spacing w:line="360" w:lineRule="auto"/>
        <w:ind w:firstLine="420" w:firstLineChars="200"/>
        <w:jc w:val="left"/>
        <w:rPr>
          <w:rFonts w:ascii="宋体" w:hAnsi="宋体" w:eastAsia="宋体" w:cs="宋体"/>
          <w:color w:val="auto"/>
          <w:szCs w:val="21"/>
          <w:highlight w:val="none"/>
        </w:rPr>
      </w:pPr>
    </w:p>
    <w:p w14:paraId="26DF358B">
      <w:pPr>
        <w:widowControl/>
        <w:snapToGrid w:val="0"/>
        <w:spacing w:before="50" w:after="50"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商务要求偏离表（格式）</w:t>
      </w:r>
    </w:p>
    <w:p w14:paraId="40CEC182">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____分标</w:t>
      </w:r>
    </w:p>
    <w:p w14:paraId="395D9184">
      <w:pPr>
        <w:autoSpaceDE w:val="0"/>
        <w:autoSpaceDN w:val="0"/>
        <w:adjustRightInd w:val="0"/>
        <w:jc w:val="left"/>
        <w:rPr>
          <w:rFonts w:ascii="宋体" w:hAnsi="宋体" w:eastAsia="宋体" w:cs="宋体"/>
          <w:color w:val="auto"/>
          <w:kern w:val="0"/>
          <w:sz w:val="24"/>
          <w:szCs w:val="24"/>
          <w:highlight w:val="none"/>
        </w:rPr>
      </w:pPr>
    </w:p>
    <w:tbl>
      <w:tblPr>
        <w:tblStyle w:val="27"/>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3"/>
        <w:gridCol w:w="2552"/>
        <w:gridCol w:w="1769"/>
        <w:gridCol w:w="2044"/>
      </w:tblGrid>
      <w:tr w14:paraId="6B2E6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EC092EC">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1314127C">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磋商文件商务要求</w:t>
            </w:r>
          </w:p>
        </w:tc>
        <w:tc>
          <w:tcPr>
            <w:tcW w:w="1769" w:type="dxa"/>
            <w:tcBorders>
              <w:top w:val="single" w:color="auto" w:sz="4" w:space="0"/>
              <w:left w:val="single" w:color="auto" w:sz="4" w:space="0"/>
              <w:bottom w:val="single" w:color="auto" w:sz="4" w:space="0"/>
              <w:right w:val="single" w:color="auto" w:sz="4" w:space="0"/>
            </w:tcBorders>
            <w:vAlign w:val="center"/>
          </w:tcPr>
          <w:p w14:paraId="59A293F2">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供应商的响应</w:t>
            </w:r>
          </w:p>
        </w:tc>
        <w:tc>
          <w:tcPr>
            <w:tcW w:w="2044" w:type="dxa"/>
            <w:tcBorders>
              <w:top w:val="single" w:color="auto" w:sz="4" w:space="0"/>
              <w:left w:val="single" w:color="auto" w:sz="4" w:space="0"/>
              <w:bottom w:val="single" w:color="auto" w:sz="4" w:space="0"/>
              <w:right w:val="single" w:color="auto" w:sz="4" w:space="0"/>
            </w:tcBorders>
            <w:vAlign w:val="center"/>
          </w:tcPr>
          <w:p w14:paraId="4191AE21">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1850D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E2415D7">
            <w:pPr>
              <w:spacing w:line="360" w:lineRule="auto"/>
              <w:ind w:left="0" w:leftChars="0" w:firstLine="0" w:firstLineChars="0"/>
              <w:jc w:val="center"/>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运维服务时间</w:t>
            </w:r>
          </w:p>
        </w:tc>
        <w:tc>
          <w:tcPr>
            <w:tcW w:w="2552" w:type="dxa"/>
            <w:tcBorders>
              <w:top w:val="single" w:color="auto" w:sz="4" w:space="0"/>
              <w:left w:val="single" w:color="auto" w:sz="4" w:space="0"/>
              <w:bottom w:val="single" w:color="auto" w:sz="4" w:space="0"/>
              <w:right w:val="single" w:color="auto" w:sz="4" w:space="0"/>
            </w:tcBorders>
            <w:vAlign w:val="center"/>
          </w:tcPr>
          <w:p w14:paraId="519E1603">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FF90D18">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0D9A131B">
            <w:pPr>
              <w:widowControl/>
              <w:spacing w:line="360" w:lineRule="auto"/>
              <w:jc w:val="left"/>
              <w:rPr>
                <w:rFonts w:ascii="宋体" w:hAnsi="宋体" w:eastAsia="宋体" w:cs="宋体"/>
                <w:color w:val="auto"/>
                <w:szCs w:val="21"/>
                <w:highlight w:val="none"/>
              </w:rPr>
            </w:pPr>
          </w:p>
        </w:tc>
      </w:tr>
      <w:tr w14:paraId="7074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04E0049">
            <w:pPr>
              <w:spacing w:line="420" w:lineRule="exact"/>
              <w:ind w:left="0" w:leftChars="0" w:firstLine="0" w:firstLineChars="0"/>
              <w:jc w:val="center"/>
              <w:rPr>
                <w:rFonts w:ascii="宋体" w:hAnsi="宋体" w:eastAsia="宋体" w:cs="宋体"/>
                <w:b w:val="0"/>
                <w:bCs w:val="0"/>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提交服务地点</w:t>
            </w:r>
          </w:p>
        </w:tc>
        <w:tc>
          <w:tcPr>
            <w:tcW w:w="2552" w:type="dxa"/>
            <w:tcBorders>
              <w:top w:val="single" w:color="auto" w:sz="4" w:space="0"/>
              <w:left w:val="single" w:color="auto" w:sz="4" w:space="0"/>
              <w:bottom w:val="single" w:color="auto" w:sz="4" w:space="0"/>
              <w:right w:val="single" w:color="auto" w:sz="4" w:space="0"/>
            </w:tcBorders>
            <w:vAlign w:val="center"/>
          </w:tcPr>
          <w:p w14:paraId="60B578AD">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5FC75C08">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2C589E87">
            <w:pPr>
              <w:widowControl/>
              <w:spacing w:line="360" w:lineRule="auto"/>
              <w:jc w:val="left"/>
              <w:rPr>
                <w:rFonts w:ascii="宋体" w:hAnsi="宋体" w:eastAsia="宋体" w:cs="宋体"/>
                <w:color w:val="auto"/>
                <w:szCs w:val="21"/>
                <w:highlight w:val="none"/>
              </w:rPr>
            </w:pPr>
          </w:p>
        </w:tc>
      </w:tr>
      <w:tr w14:paraId="3B37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A42FC2B">
            <w:pPr>
              <w:spacing w:line="420" w:lineRule="exact"/>
              <w:ind w:left="0" w:leftChars="0" w:firstLine="0" w:firstLineChars="0"/>
              <w:jc w:val="center"/>
              <w:rPr>
                <w:rFonts w:ascii="宋体" w:hAnsi="宋体" w:eastAsia="宋体" w:cs="宋体"/>
                <w:b w:val="0"/>
                <w:bCs w:val="0"/>
                <w:color w:val="auto"/>
                <w:szCs w:val="21"/>
                <w:highlight w:val="none"/>
              </w:rPr>
            </w:pPr>
            <w:r>
              <w:rPr>
                <w:rFonts w:hint="eastAsia" w:ascii="宋体" w:hAnsi="宋体" w:eastAsia="宋体" w:cs="Times New Roman"/>
                <w:b w:val="0"/>
                <w:bCs w:val="0"/>
                <w:color w:val="auto"/>
                <w:kern w:val="2"/>
                <w:sz w:val="21"/>
                <w:szCs w:val="21"/>
                <w:highlight w:val="none"/>
                <w:lang w:val="en-US" w:eastAsia="zh-CN" w:bidi="ar-SA"/>
              </w:rPr>
              <w:t>合同签订时间</w:t>
            </w:r>
          </w:p>
        </w:tc>
        <w:tc>
          <w:tcPr>
            <w:tcW w:w="2552" w:type="dxa"/>
            <w:tcBorders>
              <w:top w:val="single" w:color="auto" w:sz="4" w:space="0"/>
              <w:left w:val="single" w:color="auto" w:sz="4" w:space="0"/>
              <w:bottom w:val="single" w:color="auto" w:sz="4" w:space="0"/>
              <w:right w:val="single" w:color="auto" w:sz="4" w:space="0"/>
            </w:tcBorders>
            <w:vAlign w:val="center"/>
          </w:tcPr>
          <w:p w14:paraId="6349F427">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3301845">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736F6C18">
            <w:pPr>
              <w:widowControl/>
              <w:spacing w:line="360" w:lineRule="auto"/>
              <w:jc w:val="left"/>
              <w:rPr>
                <w:rFonts w:ascii="宋体" w:hAnsi="宋体" w:eastAsia="宋体" w:cs="宋体"/>
                <w:color w:val="auto"/>
                <w:szCs w:val="21"/>
                <w:highlight w:val="none"/>
              </w:rPr>
            </w:pPr>
          </w:p>
        </w:tc>
      </w:tr>
      <w:tr w14:paraId="1B55A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6623714">
            <w:pPr>
              <w:spacing w:line="420" w:lineRule="exact"/>
              <w:ind w:left="0" w:leftChars="0" w:firstLine="0" w:firstLineChars="0"/>
              <w:jc w:val="center"/>
              <w:rPr>
                <w:rFonts w:ascii="宋体" w:hAnsi="宋体" w:eastAsia="宋体" w:cs="宋体"/>
                <w:b w:val="0"/>
                <w:bCs w:val="0"/>
                <w:color w:val="auto"/>
                <w:szCs w:val="21"/>
                <w:highlight w:val="none"/>
              </w:rPr>
            </w:pPr>
            <w:r>
              <w:rPr>
                <w:rFonts w:hint="eastAsia" w:ascii="Calibri" w:hAnsi="Calibri" w:cs="Calibri"/>
                <w:b w:val="0"/>
                <w:bCs w:val="0"/>
                <w:color w:val="auto"/>
                <w:szCs w:val="21"/>
                <w:highlight w:val="none"/>
              </w:rPr>
              <w:t>售后服务</w:t>
            </w:r>
          </w:p>
        </w:tc>
        <w:tc>
          <w:tcPr>
            <w:tcW w:w="2552" w:type="dxa"/>
            <w:tcBorders>
              <w:top w:val="single" w:color="auto" w:sz="4" w:space="0"/>
              <w:left w:val="single" w:color="auto" w:sz="4" w:space="0"/>
              <w:bottom w:val="single" w:color="auto" w:sz="4" w:space="0"/>
              <w:right w:val="single" w:color="auto" w:sz="4" w:space="0"/>
            </w:tcBorders>
            <w:vAlign w:val="center"/>
          </w:tcPr>
          <w:p w14:paraId="1388C176">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329EF2A6">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0E06BF9A">
            <w:pPr>
              <w:widowControl/>
              <w:spacing w:line="360" w:lineRule="auto"/>
              <w:jc w:val="left"/>
              <w:rPr>
                <w:rFonts w:ascii="宋体" w:hAnsi="宋体" w:eastAsia="宋体" w:cs="宋体"/>
                <w:color w:val="auto"/>
                <w:szCs w:val="21"/>
                <w:highlight w:val="none"/>
              </w:rPr>
            </w:pPr>
          </w:p>
        </w:tc>
      </w:tr>
      <w:tr w14:paraId="6B0B8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86EEE92">
            <w:pPr>
              <w:spacing w:line="420" w:lineRule="exact"/>
              <w:ind w:left="0" w:leftChars="0" w:firstLine="0" w:firstLineChars="0"/>
              <w:jc w:val="center"/>
              <w:rPr>
                <w:rFonts w:ascii="宋体" w:hAnsi="宋体" w:eastAsia="宋体" w:cs="宋体"/>
                <w:b w:val="0"/>
                <w:bCs w:val="0"/>
                <w:color w:val="auto"/>
                <w:szCs w:val="21"/>
                <w:highlight w:val="none"/>
              </w:rPr>
            </w:pPr>
            <w:r>
              <w:rPr>
                <w:rFonts w:hint="eastAsia" w:ascii="宋体" w:hAnsi="宋体"/>
                <w:b w:val="0"/>
                <w:bCs w:val="0"/>
                <w:color w:val="auto"/>
                <w:szCs w:val="21"/>
                <w:highlight w:val="none"/>
              </w:rPr>
              <w:t>付款方式</w:t>
            </w:r>
          </w:p>
        </w:tc>
        <w:tc>
          <w:tcPr>
            <w:tcW w:w="2552" w:type="dxa"/>
            <w:tcBorders>
              <w:top w:val="single" w:color="auto" w:sz="4" w:space="0"/>
              <w:left w:val="single" w:color="auto" w:sz="4" w:space="0"/>
              <w:bottom w:val="single" w:color="auto" w:sz="4" w:space="0"/>
              <w:right w:val="single" w:color="auto" w:sz="4" w:space="0"/>
            </w:tcBorders>
            <w:vAlign w:val="center"/>
          </w:tcPr>
          <w:p w14:paraId="4B30273D">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558FA3A">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7B4A4220">
            <w:pPr>
              <w:widowControl/>
              <w:spacing w:line="360" w:lineRule="auto"/>
              <w:jc w:val="left"/>
              <w:rPr>
                <w:rFonts w:ascii="宋体" w:hAnsi="宋体" w:eastAsia="宋体" w:cs="宋体"/>
                <w:color w:val="auto"/>
                <w:szCs w:val="21"/>
                <w:highlight w:val="none"/>
              </w:rPr>
            </w:pPr>
          </w:p>
        </w:tc>
      </w:tr>
      <w:tr w14:paraId="763CA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B53D370">
            <w:pPr>
              <w:keepNext w:val="0"/>
              <w:keepLines w:val="0"/>
              <w:pageBreakBefore w:val="0"/>
              <w:widowControl/>
              <w:kinsoku/>
              <w:wordWrap/>
              <w:overflowPunct/>
              <w:topLinePunct w:val="0"/>
              <w:autoSpaceDE/>
              <w:autoSpaceDN/>
              <w:bidi w:val="0"/>
              <w:spacing w:after="0" w:line="360" w:lineRule="auto"/>
              <w:ind w:left="0" w:leftChars="0" w:firstLine="0" w:firstLineChars="0"/>
              <w:jc w:val="center"/>
              <w:textAlignment w:val="auto"/>
              <w:rPr>
                <w:rFonts w:ascii="宋体" w:hAnsi="宋体" w:eastAsia="宋体" w:cs="宋体"/>
                <w:b w:val="0"/>
                <w:bCs w:val="0"/>
                <w:color w:val="auto"/>
                <w:szCs w:val="21"/>
                <w:highlight w:val="none"/>
              </w:rPr>
            </w:pPr>
            <w:r>
              <w:rPr>
                <w:rFonts w:hint="eastAsia" w:ascii="宋体" w:hAnsi="宋体" w:eastAsia="宋体" w:cs="Times New Roman"/>
                <w:b w:val="0"/>
                <w:bCs w:val="0"/>
                <w:color w:val="auto"/>
                <w:szCs w:val="21"/>
                <w:highlight w:val="none"/>
              </w:rPr>
              <w:t>报价要求</w:t>
            </w:r>
          </w:p>
        </w:tc>
        <w:tc>
          <w:tcPr>
            <w:tcW w:w="2552" w:type="dxa"/>
            <w:tcBorders>
              <w:top w:val="single" w:color="auto" w:sz="4" w:space="0"/>
              <w:left w:val="single" w:color="auto" w:sz="4" w:space="0"/>
              <w:bottom w:val="single" w:color="auto" w:sz="4" w:space="0"/>
              <w:right w:val="single" w:color="auto" w:sz="4" w:space="0"/>
            </w:tcBorders>
            <w:vAlign w:val="center"/>
          </w:tcPr>
          <w:p w14:paraId="4012A36A">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79E10972">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14901FD3">
            <w:pPr>
              <w:widowControl/>
              <w:spacing w:line="360" w:lineRule="auto"/>
              <w:jc w:val="left"/>
              <w:rPr>
                <w:rFonts w:ascii="宋体" w:hAnsi="宋体" w:eastAsia="宋体" w:cs="宋体"/>
                <w:color w:val="auto"/>
                <w:szCs w:val="21"/>
                <w:highlight w:val="none"/>
              </w:rPr>
            </w:pPr>
          </w:p>
        </w:tc>
      </w:tr>
      <w:tr w14:paraId="27F4B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CBF6F64">
            <w:pPr>
              <w:spacing w:line="360" w:lineRule="auto"/>
              <w:ind w:left="0" w:leftChars="0" w:firstLine="0" w:firstLineChars="0"/>
              <w:jc w:val="center"/>
              <w:rPr>
                <w:rFonts w:hint="default" w:ascii="宋体" w:hAnsi="宋体" w:cs="宋体" w:eastAsiaTheme="minorEastAsia"/>
                <w:b w:val="0"/>
                <w:bCs w:val="0"/>
                <w:color w:val="auto"/>
                <w:szCs w:val="21"/>
                <w:highlight w:val="none"/>
                <w:lang w:val="en-US" w:eastAsia="zh-CN"/>
              </w:rPr>
            </w:pP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四</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w:t>
            </w:r>
          </w:p>
        </w:tc>
        <w:tc>
          <w:tcPr>
            <w:tcW w:w="2552" w:type="dxa"/>
            <w:tcBorders>
              <w:top w:val="single" w:color="auto" w:sz="4" w:space="0"/>
              <w:left w:val="single" w:color="auto" w:sz="4" w:space="0"/>
              <w:bottom w:val="single" w:color="auto" w:sz="4" w:space="0"/>
              <w:right w:val="single" w:color="auto" w:sz="4" w:space="0"/>
            </w:tcBorders>
            <w:vAlign w:val="center"/>
          </w:tcPr>
          <w:p w14:paraId="144D13C8">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48B3DB81">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2B391C8E">
            <w:pPr>
              <w:widowControl/>
              <w:spacing w:line="360" w:lineRule="auto"/>
              <w:jc w:val="left"/>
              <w:rPr>
                <w:rFonts w:ascii="宋体" w:hAnsi="宋体" w:eastAsia="宋体" w:cs="宋体"/>
                <w:color w:val="auto"/>
                <w:szCs w:val="21"/>
                <w:highlight w:val="none"/>
              </w:rPr>
            </w:pPr>
          </w:p>
        </w:tc>
      </w:tr>
      <w:tr w14:paraId="2AB01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17CD9B5">
            <w:pPr>
              <w:spacing w:line="360" w:lineRule="auto"/>
              <w:ind w:left="0" w:leftChars="0" w:firstLine="0" w:firstLineChars="0"/>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w:t>
            </w:r>
          </w:p>
        </w:tc>
        <w:tc>
          <w:tcPr>
            <w:tcW w:w="2552" w:type="dxa"/>
            <w:tcBorders>
              <w:top w:val="single" w:color="auto" w:sz="4" w:space="0"/>
              <w:left w:val="single" w:color="auto" w:sz="4" w:space="0"/>
              <w:bottom w:val="single" w:color="auto" w:sz="4" w:space="0"/>
              <w:right w:val="single" w:color="auto" w:sz="4" w:space="0"/>
            </w:tcBorders>
            <w:vAlign w:val="center"/>
          </w:tcPr>
          <w:p w14:paraId="287C8ADD">
            <w:pPr>
              <w:widowControl/>
              <w:spacing w:line="360" w:lineRule="auto"/>
              <w:jc w:val="left"/>
              <w:rPr>
                <w:rFonts w:ascii="宋体" w:hAnsi="宋体" w:eastAsia="宋体" w:cs="宋体"/>
                <w:color w:val="auto"/>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5B81903A">
            <w:pPr>
              <w:widowControl/>
              <w:spacing w:line="360" w:lineRule="auto"/>
              <w:jc w:val="left"/>
              <w:rPr>
                <w:rFonts w:ascii="宋体" w:hAnsi="宋体" w:eastAsia="宋体" w:cs="宋体"/>
                <w:color w:val="auto"/>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6F81A4BE">
            <w:pPr>
              <w:widowControl/>
              <w:spacing w:line="360" w:lineRule="auto"/>
              <w:jc w:val="left"/>
              <w:rPr>
                <w:rFonts w:ascii="宋体" w:hAnsi="宋体" w:eastAsia="宋体" w:cs="宋体"/>
                <w:color w:val="auto"/>
                <w:szCs w:val="21"/>
                <w:highlight w:val="none"/>
              </w:rPr>
            </w:pPr>
          </w:p>
        </w:tc>
      </w:tr>
    </w:tbl>
    <w:p w14:paraId="0FA56B2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6CDDCE38">
      <w:pPr>
        <w:widowControl/>
        <w:spacing w:line="360" w:lineRule="auto"/>
        <w:ind w:firstLine="371" w:firstLineChars="177"/>
        <w:jc w:val="left"/>
        <w:rPr>
          <w:rFonts w:ascii="宋体" w:hAnsi="宋体" w:eastAsia="宋体" w:cs="宋体"/>
          <w:color w:val="auto"/>
          <w:szCs w:val="21"/>
          <w:highlight w:val="none"/>
        </w:rPr>
      </w:pPr>
      <w:r>
        <w:rPr>
          <w:rFonts w:hint="eastAsia" w:ascii="宋体" w:hAnsi="宋体" w:eastAsia="宋体" w:cs="宋体"/>
          <w:color w:val="auto"/>
          <w:szCs w:val="21"/>
          <w:highlight w:val="none"/>
        </w:rPr>
        <w:t>1.说明：应对照磋商文件“第三章 采购需求”中的商务要求逐条作出明确响应，并作出偏离说明。</w:t>
      </w:r>
    </w:p>
    <w:p w14:paraId="6F04A3E4">
      <w:pPr>
        <w:widowControl/>
        <w:spacing w:line="360" w:lineRule="auto"/>
        <w:ind w:firstLine="371" w:firstLineChars="177"/>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2.供应商应根据自身的承诺，对照磋商文件要求在“偏离说明”中注明“正偏离”、“负偏离”或者“无偏离”。既不属于“正偏离”也不属于“负偏离”即为“无偏离”。</w:t>
      </w:r>
    </w:p>
    <w:p w14:paraId="1AB41FEE">
      <w:pPr>
        <w:widowControl/>
        <w:spacing w:line="360" w:lineRule="auto"/>
        <w:jc w:val="left"/>
        <w:rPr>
          <w:rFonts w:ascii="宋体" w:hAnsi="宋体" w:eastAsia="宋体" w:cs="宋体"/>
          <w:color w:val="auto"/>
          <w:szCs w:val="21"/>
          <w:highlight w:val="none"/>
        </w:rPr>
      </w:pPr>
    </w:p>
    <w:p w14:paraId="22C589BB">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pacing w:val="20"/>
          <w:szCs w:val="21"/>
          <w:highlight w:val="none"/>
        </w:rPr>
        <w:t>（盖公章）：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6C4A2949">
      <w:pPr>
        <w:widowControl/>
        <w:spacing w:line="360" w:lineRule="auto"/>
        <w:jc w:val="left"/>
        <w:rPr>
          <w:rFonts w:ascii="宋体" w:hAnsi="宋体" w:eastAsia="宋体" w:cs="宋体"/>
          <w:color w:val="auto"/>
          <w:szCs w:val="21"/>
          <w:highlight w:val="none"/>
        </w:rPr>
      </w:pPr>
    </w:p>
    <w:p w14:paraId="3A157344">
      <w:pPr>
        <w:widowControl/>
        <w:spacing w:before="260" w:after="260" w:line="415" w:lineRule="auto"/>
        <w:jc w:val="center"/>
        <w:rPr>
          <w:rFonts w:ascii="宋体" w:hAnsi="宋体" w:eastAsia="宋体" w:cs="宋体"/>
          <w:b/>
          <w:color w:val="auto"/>
          <w:sz w:val="24"/>
          <w:szCs w:val="24"/>
          <w:highlight w:val="none"/>
        </w:rPr>
      </w:pPr>
      <w:r>
        <w:rPr>
          <w:rFonts w:hint="eastAsia" w:ascii="宋体" w:hAnsi="宋体" w:eastAsia="宋体" w:cs="宋体"/>
          <w:color w:val="auto"/>
          <w:szCs w:val="21"/>
          <w:highlight w:val="none"/>
        </w:rPr>
        <w:br w:type="page"/>
      </w:r>
    </w:p>
    <w:p w14:paraId="749A48D0">
      <w:pPr>
        <w:keepNext/>
        <w:keepLines/>
        <w:widowControl/>
        <w:spacing w:line="360" w:lineRule="auto"/>
        <w:jc w:val="left"/>
        <w:outlineLvl w:val="2"/>
        <w:rPr>
          <w:rFonts w:hint="eastAsia" w:ascii="宋体" w:hAnsi="宋体" w:eastAsia="宋体" w:cs="宋体"/>
          <w:b/>
          <w:color w:val="auto"/>
          <w:sz w:val="24"/>
          <w:szCs w:val="24"/>
          <w:highlight w:val="none"/>
        </w:rPr>
      </w:pPr>
    </w:p>
    <w:p w14:paraId="121E177E">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6.服务要求偏离表格式</w:t>
      </w:r>
    </w:p>
    <w:p w14:paraId="105E5A50">
      <w:pPr>
        <w:widowControl/>
        <w:spacing w:line="360" w:lineRule="auto"/>
        <w:ind w:firstLine="420" w:firstLineChars="200"/>
        <w:jc w:val="left"/>
        <w:rPr>
          <w:rFonts w:ascii="宋体" w:hAnsi="宋体" w:eastAsia="宋体" w:cs="宋体"/>
          <w:color w:val="auto"/>
          <w:szCs w:val="21"/>
          <w:highlight w:val="none"/>
        </w:rPr>
      </w:pPr>
    </w:p>
    <w:p w14:paraId="7C3E0D97">
      <w:pPr>
        <w:widowControl/>
        <w:snapToGrid w:val="0"/>
        <w:spacing w:before="50" w:after="50"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服务要求偏离表（格式）</w:t>
      </w:r>
    </w:p>
    <w:p w14:paraId="211AFC30">
      <w:pPr>
        <w:autoSpaceDE w:val="0"/>
        <w:autoSpaceDN w:val="0"/>
        <w:adjustRightInd w:val="0"/>
        <w:jc w:val="left"/>
        <w:rPr>
          <w:rFonts w:ascii="宋体" w:hAnsi="宋体" w:eastAsia="宋体" w:cs="宋体"/>
          <w:color w:val="auto"/>
          <w:kern w:val="0"/>
          <w:sz w:val="24"/>
          <w:szCs w:val="24"/>
          <w:highlight w:val="none"/>
        </w:rPr>
      </w:pPr>
    </w:p>
    <w:p w14:paraId="17C65A74">
      <w:pPr>
        <w:widowControl/>
        <w:spacing w:line="360" w:lineRule="auto"/>
        <w:ind w:firstLine="240" w:firstLineChars="100"/>
        <w:jc w:val="left"/>
        <w:rPr>
          <w:rFonts w:ascii="宋体" w:hAnsi="宋体" w:eastAsia="宋体" w:cs="宋体"/>
          <w:color w:val="auto"/>
          <w:szCs w:val="21"/>
          <w:highlight w:val="none"/>
        </w:rPr>
      </w:pPr>
      <w:r>
        <w:rPr>
          <w:rFonts w:hint="eastAsia" w:ascii="宋体" w:hAnsi="宋体" w:eastAsia="宋体" w:cs="宋体"/>
          <w:color w:val="auto"/>
          <w:kern w:val="0"/>
          <w:sz w:val="24"/>
          <w:szCs w:val="24"/>
          <w:highlight w:val="none"/>
        </w:rPr>
        <w:t>____分标</w:t>
      </w: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468"/>
        <w:gridCol w:w="2490"/>
        <w:gridCol w:w="2621"/>
        <w:gridCol w:w="1431"/>
      </w:tblGrid>
      <w:tr w14:paraId="0089D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371DF5FD">
            <w:pPr>
              <w:spacing w:line="360" w:lineRule="auto"/>
              <w:contextualSpacing/>
              <w:jc w:val="center"/>
              <w:rPr>
                <w:rFonts w:ascii="宋体" w:hAnsi="宋体" w:eastAsia="宋体" w:cs="宋体"/>
                <w:color w:val="auto"/>
                <w:szCs w:val="21"/>
                <w:highlight w:val="none"/>
              </w:rPr>
            </w:pPr>
            <w:bookmarkStart w:id="20" w:name="_Toc173211900"/>
            <w:bookmarkStart w:id="21" w:name="_Toc173066401"/>
            <w:bookmarkStart w:id="22" w:name="_Toc301781611"/>
            <w:bookmarkStart w:id="23" w:name="_Toc295404981"/>
            <w:bookmarkStart w:id="24" w:name="_Toc254970588"/>
            <w:bookmarkStart w:id="25" w:name="_Toc254970729"/>
            <w:bookmarkStart w:id="26" w:name="_Toc373333689"/>
            <w:bookmarkStart w:id="27" w:name="_Toc297193185"/>
            <w:bookmarkStart w:id="28" w:name="_Toc383699906"/>
            <w:r>
              <w:rPr>
                <w:rFonts w:hint="eastAsia" w:ascii="宋体" w:hAnsi="宋体" w:eastAsia="宋体" w:cs="宋体"/>
                <w:color w:val="auto"/>
                <w:szCs w:val="21"/>
                <w:highlight w:val="none"/>
              </w:rPr>
              <w:t>序号</w:t>
            </w:r>
            <w:bookmarkEnd w:id="20"/>
            <w:bookmarkEnd w:id="21"/>
            <w:bookmarkEnd w:id="22"/>
            <w:bookmarkEnd w:id="23"/>
            <w:bookmarkEnd w:id="24"/>
            <w:bookmarkEnd w:id="25"/>
            <w:bookmarkEnd w:id="26"/>
            <w:bookmarkEnd w:id="27"/>
            <w:bookmarkEnd w:id="28"/>
          </w:p>
        </w:tc>
        <w:tc>
          <w:tcPr>
            <w:tcW w:w="1468" w:type="dxa"/>
            <w:tcBorders>
              <w:right w:val="single" w:color="auto" w:sz="4" w:space="0"/>
            </w:tcBorders>
            <w:vAlign w:val="center"/>
          </w:tcPr>
          <w:p w14:paraId="1D31B902">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490" w:type="dxa"/>
            <w:tcBorders>
              <w:left w:val="single" w:color="auto" w:sz="4" w:space="0"/>
            </w:tcBorders>
            <w:vAlign w:val="center"/>
          </w:tcPr>
          <w:p w14:paraId="6B49DC0E">
            <w:pPr>
              <w:spacing w:line="360" w:lineRule="auto"/>
              <w:contextualSpacing/>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磋商文件服务要求</w:t>
            </w:r>
          </w:p>
        </w:tc>
        <w:tc>
          <w:tcPr>
            <w:tcW w:w="2621" w:type="dxa"/>
            <w:vAlign w:val="center"/>
          </w:tcPr>
          <w:p w14:paraId="232759DE">
            <w:pPr>
              <w:spacing w:line="360" w:lineRule="auto"/>
              <w:contextualSpacing/>
              <w:jc w:val="center"/>
              <w:rPr>
                <w:rFonts w:ascii="宋体" w:hAnsi="宋体" w:eastAsia="宋体" w:cs="宋体"/>
                <w:color w:val="auto"/>
                <w:szCs w:val="21"/>
                <w:highlight w:val="none"/>
              </w:rPr>
            </w:pPr>
            <w:bookmarkStart w:id="29" w:name="_Toc295404983"/>
            <w:bookmarkStart w:id="30" w:name="_Toc254970731"/>
            <w:bookmarkStart w:id="31" w:name="_Toc301781613"/>
            <w:bookmarkStart w:id="32" w:name="_Toc173066403"/>
            <w:bookmarkStart w:id="33" w:name="_Toc373333691"/>
            <w:bookmarkStart w:id="34" w:name="_Toc297193187"/>
            <w:bookmarkStart w:id="35" w:name="_Toc383699908"/>
            <w:bookmarkStart w:id="36" w:name="_Toc173211902"/>
            <w:bookmarkStart w:id="37" w:name="_Toc254970590"/>
            <w:r>
              <w:rPr>
                <w:rFonts w:hint="eastAsia" w:ascii="宋体" w:hAnsi="宋体" w:eastAsia="宋体" w:cs="宋体"/>
                <w:color w:val="auto"/>
                <w:szCs w:val="21"/>
                <w:highlight w:val="none"/>
              </w:rPr>
              <w:t>磋商响应</w:t>
            </w:r>
            <w:bookmarkEnd w:id="29"/>
            <w:bookmarkEnd w:id="30"/>
            <w:bookmarkEnd w:id="31"/>
            <w:bookmarkEnd w:id="32"/>
            <w:bookmarkEnd w:id="33"/>
            <w:bookmarkEnd w:id="34"/>
            <w:bookmarkEnd w:id="35"/>
            <w:bookmarkEnd w:id="36"/>
            <w:bookmarkEnd w:id="37"/>
          </w:p>
        </w:tc>
        <w:tc>
          <w:tcPr>
            <w:tcW w:w="1431" w:type="dxa"/>
            <w:vAlign w:val="center"/>
          </w:tcPr>
          <w:p w14:paraId="3BF5B778">
            <w:pPr>
              <w:spacing w:line="360" w:lineRule="auto"/>
              <w:contextualSpacing/>
              <w:jc w:val="center"/>
              <w:rPr>
                <w:rFonts w:ascii="宋体" w:hAnsi="宋体" w:eastAsia="宋体" w:cs="宋体"/>
                <w:color w:val="auto"/>
                <w:szCs w:val="21"/>
                <w:highlight w:val="none"/>
              </w:rPr>
            </w:pPr>
            <w:bookmarkStart w:id="38" w:name="_Toc297193188"/>
            <w:bookmarkStart w:id="39" w:name="_Toc254970591"/>
            <w:bookmarkStart w:id="40" w:name="_Toc301781614"/>
            <w:bookmarkStart w:id="41" w:name="_Toc383699909"/>
            <w:bookmarkStart w:id="42" w:name="_Toc173066404"/>
            <w:bookmarkStart w:id="43" w:name="_Toc295404984"/>
            <w:bookmarkStart w:id="44" w:name="_Toc373333692"/>
            <w:bookmarkStart w:id="45" w:name="_Toc254970732"/>
            <w:bookmarkStart w:id="46" w:name="_Toc173211903"/>
            <w:r>
              <w:rPr>
                <w:rFonts w:hint="eastAsia" w:ascii="宋体" w:hAnsi="宋体" w:eastAsia="宋体" w:cs="宋体"/>
                <w:color w:val="auto"/>
                <w:szCs w:val="21"/>
                <w:highlight w:val="none"/>
              </w:rPr>
              <w:t>偏离</w:t>
            </w:r>
            <w:bookmarkEnd w:id="38"/>
            <w:bookmarkEnd w:id="39"/>
            <w:bookmarkEnd w:id="40"/>
            <w:bookmarkEnd w:id="41"/>
            <w:bookmarkEnd w:id="42"/>
            <w:bookmarkEnd w:id="43"/>
            <w:bookmarkEnd w:id="44"/>
            <w:bookmarkEnd w:id="45"/>
            <w:bookmarkEnd w:id="46"/>
            <w:bookmarkStart w:id="47" w:name="_Toc383699910"/>
            <w:bookmarkStart w:id="48" w:name="_Toc373333693"/>
            <w:bookmarkStart w:id="49" w:name="_Toc295404985"/>
            <w:bookmarkStart w:id="50" w:name="_Toc254970733"/>
            <w:bookmarkStart w:id="51" w:name="_Toc173066405"/>
            <w:bookmarkStart w:id="52" w:name="_Toc301781615"/>
            <w:bookmarkStart w:id="53" w:name="_Toc254970592"/>
            <w:bookmarkStart w:id="54" w:name="_Toc297193189"/>
            <w:bookmarkStart w:id="55" w:name="_Toc173211904"/>
            <w:r>
              <w:rPr>
                <w:rFonts w:hint="eastAsia" w:ascii="宋体" w:hAnsi="宋体" w:eastAsia="宋体" w:cs="宋体"/>
                <w:color w:val="auto"/>
                <w:szCs w:val="21"/>
                <w:highlight w:val="none"/>
              </w:rPr>
              <w:t>说明</w:t>
            </w:r>
            <w:bookmarkEnd w:id="47"/>
            <w:bookmarkEnd w:id="48"/>
            <w:bookmarkEnd w:id="49"/>
            <w:bookmarkEnd w:id="50"/>
            <w:bookmarkEnd w:id="51"/>
            <w:bookmarkEnd w:id="52"/>
            <w:bookmarkEnd w:id="53"/>
            <w:bookmarkEnd w:id="54"/>
            <w:bookmarkEnd w:id="55"/>
          </w:p>
        </w:tc>
      </w:tr>
      <w:tr w14:paraId="216CD7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636EFEA3">
            <w:pPr>
              <w:spacing w:line="360" w:lineRule="auto"/>
              <w:contextualSpacing/>
              <w:jc w:val="center"/>
              <w:rPr>
                <w:rFonts w:ascii="宋体" w:hAnsi="宋体" w:eastAsia="宋体" w:cs="宋体"/>
                <w:color w:val="auto"/>
                <w:szCs w:val="21"/>
                <w:highlight w:val="none"/>
              </w:rPr>
            </w:pPr>
            <w:bookmarkStart w:id="56" w:name="_Toc297193190"/>
            <w:bookmarkStart w:id="57" w:name="_Toc254970734"/>
            <w:bookmarkStart w:id="58" w:name="_Toc295404986"/>
            <w:bookmarkStart w:id="59" w:name="_Toc301781616"/>
            <w:bookmarkStart w:id="60" w:name="_Toc373333694"/>
            <w:bookmarkStart w:id="61" w:name="_Toc173066406"/>
            <w:bookmarkStart w:id="62" w:name="_Toc254970593"/>
            <w:bookmarkStart w:id="63" w:name="_Toc383699911"/>
            <w:bookmarkStart w:id="64" w:name="_Toc173211905"/>
            <w:r>
              <w:rPr>
                <w:rFonts w:hint="eastAsia" w:ascii="宋体" w:hAnsi="宋体" w:eastAsia="宋体" w:cs="宋体"/>
                <w:color w:val="auto"/>
                <w:szCs w:val="21"/>
                <w:highlight w:val="none"/>
              </w:rPr>
              <w:t>1</w:t>
            </w:r>
            <w:bookmarkEnd w:id="56"/>
            <w:bookmarkEnd w:id="57"/>
            <w:bookmarkEnd w:id="58"/>
            <w:bookmarkEnd w:id="59"/>
            <w:bookmarkEnd w:id="60"/>
            <w:bookmarkEnd w:id="61"/>
            <w:bookmarkEnd w:id="62"/>
            <w:bookmarkEnd w:id="63"/>
            <w:bookmarkEnd w:id="64"/>
          </w:p>
        </w:tc>
        <w:tc>
          <w:tcPr>
            <w:tcW w:w="1468" w:type="dxa"/>
            <w:tcBorders>
              <w:right w:val="single" w:color="auto" w:sz="4" w:space="0"/>
            </w:tcBorders>
            <w:vAlign w:val="center"/>
          </w:tcPr>
          <w:p w14:paraId="1CAB976E">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054A1FBD">
            <w:pPr>
              <w:spacing w:line="360" w:lineRule="auto"/>
              <w:contextualSpacing/>
              <w:jc w:val="center"/>
              <w:rPr>
                <w:rFonts w:ascii="宋体" w:hAnsi="宋体" w:eastAsia="宋体" w:cs="宋体"/>
                <w:color w:val="auto"/>
                <w:szCs w:val="21"/>
                <w:highlight w:val="none"/>
              </w:rPr>
            </w:pPr>
          </w:p>
        </w:tc>
        <w:tc>
          <w:tcPr>
            <w:tcW w:w="2621" w:type="dxa"/>
            <w:vAlign w:val="center"/>
          </w:tcPr>
          <w:p w14:paraId="05D0BB61">
            <w:pPr>
              <w:spacing w:line="360" w:lineRule="auto"/>
              <w:contextualSpacing/>
              <w:jc w:val="center"/>
              <w:rPr>
                <w:rFonts w:ascii="宋体" w:hAnsi="宋体" w:eastAsia="宋体" w:cs="宋体"/>
                <w:color w:val="auto"/>
                <w:szCs w:val="21"/>
                <w:highlight w:val="none"/>
              </w:rPr>
            </w:pPr>
          </w:p>
        </w:tc>
        <w:tc>
          <w:tcPr>
            <w:tcW w:w="1431" w:type="dxa"/>
            <w:vAlign w:val="center"/>
          </w:tcPr>
          <w:p w14:paraId="0FDD9BD8">
            <w:pPr>
              <w:spacing w:line="360" w:lineRule="auto"/>
              <w:contextualSpacing/>
              <w:jc w:val="center"/>
              <w:rPr>
                <w:rFonts w:ascii="宋体" w:hAnsi="宋体" w:eastAsia="宋体" w:cs="宋体"/>
                <w:color w:val="auto"/>
                <w:szCs w:val="21"/>
                <w:highlight w:val="none"/>
              </w:rPr>
            </w:pPr>
          </w:p>
        </w:tc>
      </w:tr>
      <w:tr w14:paraId="61FE3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68B962A8">
            <w:pPr>
              <w:spacing w:line="360" w:lineRule="auto"/>
              <w:contextualSpacing/>
              <w:jc w:val="center"/>
              <w:rPr>
                <w:rFonts w:ascii="宋体" w:hAnsi="宋体" w:eastAsia="宋体" w:cs="宋体"/>
                <w:color w:val="auto"/>
                <w:szCs w:val="21"/>
                <w:highlight w:val="none"/>
              </w:rPr>
            </w:pPr>
            <w:bookmarkStart w:id="65" w:name="_Toc297193191"/>
            <w:bookmarkStart w:id="66" w:name="_Toc254970735"/>
            <w:bookmarkStart w:id="67" w:name="_Toc383699912"/>
            <w:bookmarkStart w:id="68" w:name="_Toc295404987"/>
            <w:bookmarkStart w:id="69" w:name="_Toc373333695"/>
            <w:bookmarkStart w:id="70" w:name="_Toc173066407"/>
            <w:bookmarkStart w:id="71" w:name="_Toc301781617"/>
            <w:bookmarkStart w:id="72" w:name="_Toc173211906"/>
            <w:bookmarkStart w:id="73" w:name="_Toc254970594"/>
            <w:r>
              <w:rPr>
                <w:rFonts w:hint="eastAsia" w:ascii="宋体" w:hAnsi="宋体" w:eastAsia="宋体" w:cs="宋体"/>
                <w:color w:val="auto"/>
                <w:szCs w:val="21"/>
                <w:highlight w:val="none"/>
              </w:rPr>
              <w:t>2</w:t>
            </w:r>
            <w:bookmarkEnd w:id="65"/>
            <w:bookmarkEnd w:id="66"/>
            <w:bookmarkEnd w:id="67"/>
            <w:bookmarkEnd w:id="68"/>
            <w:bookmarkEnd w:id="69"/>
            <w:bookmarkEnd w:id="70"/>
            <w:bookmarkEnd w:id="71"/>
            <w:bookmarkEnd w:id="72"/>
            <w:bookmarkEnd w:id="73"/>
          </w:p>
        </w:tc>
        <w:tc>
          <w:tcPr>
            <w:tcW w:w="1468" w:type="dxa"/>
            <w:tcBorders>
              <w:right w:val="single" w:color="auto" w:sz="4" w:space="0"/>
            </w:tcBorders>
            <w:vAlign w:val="center"/>
          </w:tcPr>
          <w:p w14:paraId="7CF45F1F">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617908E6">
            <w:pPr>
              <w:spacing w:line="360" w:lineRule="auto"/>
              <w:contextualSpacing/>
              <w:jc w:val="center"/>
              <w:rPr>
                <w:rFonts w:ascii="宋体" w:hAnsi="宋体" w:eastAsia="宋体" w:cs="宋体"/>
                <w:color w:val="auto"/>
                <w:szCs w:val="21"/>
                <w:highlight w:val="none"/>
              </w:rPr>
            </w:pPr>
          </w:p>
        </w:tc>
        <w:tc>
          <w:tcPr>
            <w:tcW w:w="2621" w:type="dxa"/>
            <w:vAlign w:val="center"/>
          </w:tcPr>
          <w:p w14:paraId="63331154">
            <w:pPr>
              <w:spacing w:line="360" w:lineRule="auto"/>
              <w:contextualSpacing/>
              <w:jc w:val="center"/>
              <w:rPr>
                <w:rFonts w:ascii="宋体" w:hAnsi="宋体" w:eastAsia="宋体" w:cs="宋体"/>
                <w:color w:val="auto"/>
                <w:szCs w:val="21"/>
                <w:highlight w:val="none"/>
              </w:rPr>
            </w:pPr>
          </w:p>
        </w:tc>
        <w:tc>
          <w:tcPr>
            <w:tcW w:w="1431" w:type="dxa"/>
            <w:vAlign w:val="center"/>
          </w:tcPr>
          <w:p w14:paraId="38BD44A8">
            <w:pPr>
              <w:spacing w:line="360" w:lineRule="auto"/>
              <w:contextualSpacing/>
              <w:jc w:val="center"/>
              <w:rPr>
                <w:rFonts w:ascii="宋体" w:hAnsi="宋体" w:eastAsia="宋体" w:cs="宋体"/>
                <w:color w:val="auto"/>
                <w:szCs w:val="21"/>
                <w:highlight w:val="none"/>
              </w:rPr>
            </w:pPr>
          </w:p>
        </w:tc>
      </w:tr>
      <w:tr w14:paraId="18209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06955269">
            <w:pPr>
              <w:spacing w:line="360" w:lineRule="auto"/>
              <w:contextualSpacing/>
              <w:jc w:val="center"/>
              <w:rPr>
                <w:rFonts w:ascii="宋体" w:hAnsi="宋体" w:eastAsia="宋体" w:cs="宋体"/>
                <w:color w:val="auto"/>
                <w:szCs w:val="21"/>
                <w:highlight w:val="none"/>
              </w:rPr>
            </w:pPr>
            <w:bookmarkStart w:id="74" w:name="_Toc173066408"/>
            <w:bookmarkStart w:id="75" w:name="_Toc254970736"/>
            <w:bookmarkStart w:id="76" w:name="_Toc254970595"/>
            <w:bookmarkStart w:id="77" w:name="_Toc297193192"/>
            <w:bookmarkStart w:id="78" w:name="_Toc173211907"/>
            <w:bookmarkStart w:id="79" w:name="_Toc295404988"/>
            <w:bookmarkStart w:id="80" w:name="_Toc373333696"/>
            <w:bookmarkStart w:id="81" w:name="_Toc383699913"/>
            <w:bookmarkStart w:id="82" w:name="_Toc301781618"/>
            <w:r>
              <w:rPr>
                <w:rFonts w:hint="eastAsia" w:ascii="宋体" w:hAnsi="宋体" w:eastAsia="宋体" w:cs="宋体"/>
                <w:color w:val="auto"/>
                <w:szCs w:val="21"/>
                <w:highlight w:val="none"/>
              </w:rPr>
              <w:t>3</w:t>
            </w:r>
            <w:bookmarkEnd w:id="74"/>
            <w:bookmarkEnd w:id="75"/>
            <w:bookmarkEnd w:id="76"/>
            <w:bookmarkEnd w:id="77"/>
            <w:bookmarkEnd w:id="78"/>
            <w:bookmarkEnd w:id="79"/>
            <w:bookmarkEnd w:id="80"/>
            <w:bookmarkEnd w:id="81"/>
            <w:bookmarkEnd w:id="82"/>
          </w:p>
        </w:tc>
        <w:tc>
          <w:tcPr>
            <w:tcW w:w="1468" w:type="dxa"/>
            <w:tcBorders>
              <w:right w:val="single" w:color="auto" w:sz="4" w:space="0"/>
            </w:tcBorders>
            <w:vAlign w:val="center"/>
          </w:tcPr>
          <w:p w14:paraId="6DB1EBDA">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4E7C6B2A">
            <w:pPr>
              <w:spacing w:line="360" w:lineRule="auto"/>
              <w:contextualSpacing/>
              <w:jc w:val="center"/>
              <w:rPr>
                <w:rFonts w:ascii="宋体" w:hAnsi="宋体" w:eastAsia="宋体" w:cs="宋体"/>
                <w:color w:val="auto"/>
                <w:szCs w:val="21"/>
                <w:highlight w:val="none"/>
              </w:rPr>
            </w:pPr>
          </w:p>
        </w:tc>
        <w:tc>
          <w:tcPr>
            <w:tcW w:w="2621" w:type="dxa"/>
            <w:vAlign w:val="center"/>
          </w:tcPr>
          <w:p w14:paraId="1BE65D61">
            <w:pPr>
              <w:spacing w:line="360" w:lineRule="auto"/>
              <w:contextualSpacing/>
              <w:jc w:val="center"/>
              <w:rPr>
                <w:rFonts w:ascii="宋体" w:hAnsi="宋体" w:eastAsia="宋体" w:cs="宋体"/>
                <w:color w:val="auto"/>
                <w:szCs w:val="21"/>
                <w:highlight w:val="none"/>
              </w:rPr>
            </w:pPr>
          </w:p>
        </w:tc>
        <w:tc>
          <w:tcPr>
            <w:tcW w:w="1431" w:type="dxa"/>
            <w:vAlign w:val="center"/>
          </w:tcPr>
          <w:p w14:paraId="4016BAA6">
            <w:pPr>
              <w:spacing w:line="360" w:lineRule="auto"/>
              <w:contextualSpacing/>
              <w:jc w:val="center"/>
              <w:rPr>
                <w:rFonts w:ascii="宋体" w:hAnsi="宋体" w:eastAsia="宋体" w:cs="宋体"/>
                <w:color w:val="auto"/>
                <w:szCs w:val="21"/>
                <w:highlight w:val="none"/>
              </w:rPr>
            </w:pPr>
          </w:p>
        </w:tc>
      </w:tr>
      <w:tr w14:paraId="0B3A05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780E7084">
            <w:pPr>
              <w:spacing w:line="360" w:lineRule="auto"/>
              <w:contextualSpacing/>
              <w:jc w:val="center"/>
              <w:rPr>
                <w:rFonts w:ascii="宋体" w:hAnsi="宋体" w:eastAsia="宋体" w:cs="宋体"/>
                <w:color w:val="auto"/>
                <w:szCs w:val="21"/>
                <w:highlight w:val="none"/>
              </w:rPr>
            </w:pPr>
            <w:bookmarkStart w:id="83" w:name="_Toc373333697"/>
            <w:bookmarkStart w:id="84" w:name="_Toc254970596"/>
            <w:bookmarkStart w:id="85" w:name="_Toc297193193"/>
            <w:bookmarkStart w:id="86" w:name="_Toc295404989"/>
            <w:bookmarkStart w:id="87" w:name="_Toc173066409"/>
            <w:bookmarkStart w:id="88" w:name="_Toc254970737"/>
            <w:bookmarkStart w:id="89" w:name="_Toc173211908"/>
            <w:bookmarkStart w:id="90" w:name="_Toc301781619"/>
            <w:bookmarkStart w:id="91" w:name="_Toc383699914"/>
            <w:r>
              <w:rPr>
                <w:rFonts w:hint="eastAsia" w:ascii="宋体" w:hAnsi="宋体" w:eastAsia="宋体" w:cs="宋体"/>
                <w:color w:val="auto"/>
                <w:szCs w:val="21"/>
                <w:highlight w:val="none"/>
              </w:rPr>
              <w:t>4</w:t>
            </w:r>
            <w:bookmarkEnd w:id="83"/>
            <w:bookmarkEnd w:id="84"/>
            <w:bookmarkEnd w:id="85"/>
            <w:bookmarkEnd w:id="86"/>
            <w:bookmarkEnd w:id="87"/>
            <w:bookmarkEnd w:id="88"/>
            <w:bookmarkEnd w:id="89"/>
            <w:bookmarkEnd w:id="90"/>
            <w:bookmarkEnd w:id="91"/>
          </w:p>
        </w:tc>
        <w:tc>
          <w:tcPr>
            <w:tcW w:w="1468" w:type="dxa"/>
            <w:tcBorders>
              <w:right w:val="single" w:color="auto" w:sz="4" w:space="0"/>
            </w:tcBorders>
            <w:vAlign w:val="center"/>
          </w:tcPr>
          <w:p w14:paraId="53C3469A">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4D1BE805">
            <w:pPr>
              <w:spacing w:line="360" w:lineRule="auto"/>
              <w:contextualSpacing/>
              <w:jc w:val="center"/>
              <w:rPr>
                <w:rFonts w:ascii="宋体" w:hAnsi="宋体" w:eastAsia="宋体" w:cs="宋体"/>
                <w:color w:val="auto"/>
                <w:szCs w:val="21"/>
                <w:highlight w:val="none"/>
              </w:rPr>
            </w:pPr>
          </w:p>
        </w:tc>
        <w:tc>
          <w:tcPr>
            <w:tcW w:w="2621" w:type="dxa"/>
            <w:vAlign w:val="center"/>
          </w:tcPr>
          <w:p w14:paraId="0ACF8730">
            <w:pPr>
              <w:spacing w:line="360" w:lineRule="auto"/>
              <w:contextualSpacing/>
              <w:jc w:val="center"/>
              <w:rPr>
                <w:rFonts w:ascii="宋体" w:hAnsi="宋体" w:eastAsia="宋体" w:cs="宋体"/>
                <w:color w:val="auto"/>
                <w:szCs w:val="21"/>
                <w:highlight w:val="none"/>
              </w:rPr>
            </w:pPr>
          </w:p>
        </w:tc>
        <w:tc>
          <w:tcPr>
            <w:tcW w:w="1431" w:type="dxa"/>
            <w:vAlign w:val="center"/>
          </w:tcPr>
          <w:p w14:paraId="3BAA71E0">
            <w:pPr>
              <w:spacing w:line="360" w:lineRule="auto"/>
              <w:contextualSpacing/>
              <w:jc w:val="center"/>
              <w:rPr>
                <w:rFonts w:ascii="宋体" w:hAnsi="宋体" w:eastAsia="宋体" w:cs="宋体"/>
                <w:color w:val="auto"/>
                <w:szCs w:val="21"/>
                <w:highlight w:val="none"/>
              </w:rPr>
            </w:pPr>
          </w:p>
        </w:tc>
      </w:tr>
      <w:tr w14:paraId="73002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75AEA94F">
            <w:pPr>
              <w:spacing w:line="360" w:lineRule="auto"/>
              <w:contextualSpacing/>
              <w:jc w:val="center"/>
              <w:rPr>
                <w:rFonts w:ascii="宋体" w:hAnsi="宋体" w:eastAsia="宋体" w:cs="宋体"/>
                <w:color w:val="auto"/>
                <w:szCs w:val="21"/>
                <w:highlight w:val="none"/>
              </w:rPr>
            </w:pPr>
            <w:bookmarkStart w:id="92" w:name="_Toc383699915"/>
            <w:bookmarkStart w:id="93" w:name="_Toc297193194"/>
            <w:bookmarkStart w:id="94" w:name="_Toc254970597"/>
            <w:bookmarkStart w:id="95" w:name="_Toc295404990"/>
            <w:bookmarkStart w:id="96" w:name="_Toc301781620"/>
            <w:bookmarkStart w:id="97" w:name="_Toc254970738"/>
            <w:bookmarkStart w:id="98" w:name="_Toc173211909"/>
            <w:bookmarkStart w:id="99" w:name="_Toc373333698"/>
            <w:bookmarkStart w:id="100" w:name="_Toc173066410"/>
            <w:r>
              <w:rPr>
                <w:rFonts w:hint="eastAsia" w:ascii="宋体" w:hAnsi="宋体" w:eastAsia="宋体" w:cs="宋体"/>
                <w:color w:val="auto"/>
                <w:szCs w:val="21"/>
                <w:highlight w:val="none"/>
              </w:rPr>
              <w:t>5</w:t>
            </w:r>
            <w:bookmarkEnd w:id="92"/>
            <w:bookmarkEnd w:id="93"/>
            <w:bookmarkEnd w:id="94"/>
            <w:bookmarkEnd w:id="95"/>
            <w:bookmarkEnd w:id="96"/>
            <w:bookmarkEnd w:id="97"/>
            <w:bookmarkEnd w:id="98"/>
            <w:bookmarkEnd w:id="99"/>
            <w:bookmarkEnd w:id="100"/>
          </w:p>
        </w:tc>
        <w:tc>
          <w:tcPr>
            <w:tcW w:w="1468" w:type="dxa"/>
            <w:tcBorders>
              <w:right w:val="single" w:color="auto" w:sz="4" w:space="0"/>
            </w:tcBorders>
            <w:vAlign w:val="center"/>
          </w:tcPr>
          <w:p w14:paraId="522AAE33">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4D34F58B">
            <w:pPr>
              <w:spacing w:line="360" w:lineRule="auto"/>
              <w:contextualSpacing/>
              <w:jc w:val="center"/>
              <w:rPr>
                <w:rFonts w:ascii="宋体" w:hAnsi="宋体" w:eastAsia="宋体" w:cs="宋体"/>
                <w:color w:val="auto"/>
                <w:szCs w:val="21"/>
                <w:highlight w:val="none"/>
              </w:rPr>
            </w:pPr>
          </w:p>
        </w:tc>
        <w:tc>
          <w:tcPr>
            <w:tcW w:w="2621" w:type="dxa"/>
            <w:vAlign w:val="center"/>
          </w:tcPr>
          <w:p w14:paraId="7477E0E2">
            <w:pPr>
              <w:spacing w:line="360" w:lineRule="auto"/>
              <w:contextualSpacing/>
              <w:jc w:val="center"/>
              <w:rPr>
                <w:rFonts w:ascii="宋体" w:hAnsi="宋体" w:eastAsia="宋体" w:cs="宋体"/>
                <w:color w:val="auto"/>
                <w:szCs w:val="21"/>
                <w:highlight w:val="none"/>
              </w:rPr>
            </w:pPr>
          </w:p>
        </w:tc>
        <w:tc>
          <w:tcPr>
            <w:tcW w:w="1431" w:type="dxa"/>
            <w:vAlign w:val="center"/>
          </w:tcPr>
          <w:p w14:paraId="16637E74">
            <w:pPr>
              <w:spacing w:line="360" w:lineRule="auto"/>
              <w:contextualSpacing/>
              <w:jc w:val="center"/>
              <w:rPr>
                <w:rFonts w:ascii="宋体" w:hAnsi="宋体" w:eastAsia="宋体" w:cs="宋体"/>
                <w:color w:val="auto"/>
                <w:szCs w:val="21"/>
                <w:highlight w:val="none"/>
              </w:rPr>
            </w:pPr>
          </w:p>
        </w:tc>
      </w:tr>
      <w:tr w14:paraId="226EC8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236A13F6">
            <w:pPr>
              <w:spacing w:line="360" w:lineRule="auto"/>
              <w:contextualSpacing/>
              <w:jc w:val="center"/>
              <w:rPr>
                <w:rFonts w:ascii="宋体" w:hAnsi="宋体" w:eastAsia="宋体" w:cs="宋体"/>
                <w:color w:val="auto"/>
                <w:szCs w:val="21"/>
                <w:highlight w:val="none"/>
              </w:rPr>
            </w:pPr>
            <w:bookmarkStart w:id="101" w:name="_Toc254970602"/>
            <w:bookmarkStart w:id="102" w:name="_Toc173066415"/>
            <w:bookmarkStart w:id="103" w:name="_Toc383699916"/>
            <w:bookmarkStart w:id="104" w:name="_Toc295404991"/>
            <w:bookmarkStart w:id="105" w:name="_Toc297193195"/>
            <w:bookmarkStart w:id="106" w:name="_Toc373333699"/>
            <w:bookmarkStart w:id="107" w:name="_Toc254970743"/>
            <w:bookmarkStart w:id="108" w:name="_Toc173211914"/>
            <w:bookmarkStart w:id="109" w:name="_Toc301781621"/>
            <w:r>
              <w:rPr>
                <w:rFonts w:hint="eastAsia" w:ascii="宋体" w:hAnsi="宋体" w:eastAsia="宋体" w:cs="宋体"/>
                <w:color w:val="auto"/>
                <w:szCs w:val="21"/>
                <w:highlight w:val="none"/>
              </w:rPr>
              <w:t>…</w:t>
            </w:r>
            <w:bookmarkEnd w:id="101"/>
            <w:bookmarkEnd w:id="102"/>
            <w:bookmarkEnd w:id="103"/>
            <w:bookmarkEnd w:id="104"/>
            <w:bookmarkEnd w:id="105"/>
            <w:bookmarkEnd w:id="106"/>
            <w:bookmarkEnd w:id="107"/>
            <w:bookmarkEnd w:id="108"/>
            <w:bookmarkEnd w:id="109"/>
          </w:p>
        </w:tc>
        <w:tc>
          <w:tcPr>
            <w:tcW w:w="1468" w:type="dxa"/>
            <w:tcBorders>
              <w:right w:val="single" w:color="auto" w:sz="4" w:space="0"/>
            </w:tcBorders>
            <w:vAlign w:val="center"/>
          </w:tcPr>
          <w:p w14:paraId="456FFFF7">
            <w:pPr>
              <w:spacing w:line="360" w:lineRule="auto"/>
              <w:contextualSpacing/>
              <w:jc w:val="center"/>
              <w:rPr>
                <w:rFonts w:ascii="宋体" w:hAnsi="宋体" w:eastAsia="宋体" w:cs="宋体"/>
                <w:color w:val="auto"/>
                <w:szCs w:val="21"/>
                <w:highlight w:val="none"/>
              </w:rPr>
            </w:pPr>
          </w:p>
        </w:tc>
        <w:tc>
          <w:tcPr>
            <w:tcW w:w="2490" w:type="dxa"/>
            <w:tcBorders>
              <w:left w:val="single" w:color="auto" w:sz="4" w:space="0"/>
            </w:tcBorders>
            <w:vAlign w:val="center"/>
          </w:tcPr>
          <w:p w14:paraId="4811917C">
            <w:pPr>
              <w:spacing w:line="360" w:lineRule="auto"/>
              <w:contextualSpacing/>
              <w:jc w:val="center"/>
              <w:rPr>
                <w:rFonts w:ascii="宋体" w:hAnsi="宋体" w:eastAsia="宋体" w:cs="宋体"/>
                <w:color w:val="auto"/>
                <w:szCs w:val="21"/>
                <w:highlight w:val="none"/>
              </w:rPr>
            </w:pPr>
          </w:p>
        </w:tc>
        <w:tc>
          <w:tcPr>
            <w:tcW w:w="2621" w:type="dxa"/>
            <w:vAlign w:val="center"/>
          </w:tcPr>
          <w:p w14:paraId="7D131417">
            <w:pPr>
              <w:spacing w:line="360" w:lineRule="auto"/>
              <w:contextualSpacing/>
              <w:jc w:val="center"/>
              <w:rPr>
                <w:rFonts w:ascii="宋体" w:hAnsi="宋体" w:eastAsia="宋体" w:cs="宋体"/>
                <w:color w:val="auto"/>
                <w:szCs w:val="21"/>
                <w:highlight w:val="none"/>
              </w:rPr>
            </w:pPr>
          </w:p>
        </w:tc>
        <w:tc>
          <w:tcPr>
            <w:tcW w:w="1431" w:type="dxa"/>
            <w:tcBorders>
              <w:right w:val="single" w:color="auto" w:sz="4" w:space="0"/>
            </w:tcBorders>
            <w:vAlign w:val="center"/>
          </w:tcPr>
          <w:p w14:paraId="7F3748ED">
            <w:pPr>
              <w:spacing w:line="360" w:lineRule="auto"/>
              <w:contextualSpacing/>
              <w:jc w:val="center"/>
              <w:rPr>
                <w:rFonts w:ascii="宋体" w:hAnsi="宋体" w:eastAsia="宋体" w:cs="宋体"/>
                <w:color w:val="auto"/>
                <w:szCs w:val="21"/>
                <w:highlight w:val="none"/>
              </w:rPr>
            </w:pPr>
          </w:p>
        </w:tc>
      </w:tr>
    </w:tbl>
    <w:p w14:paraId="76CC7B2F">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502B2E5A">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1.说明：应对照磋商文件“第三章 采购需求”中的服务要求逐条作出明确响应，并作出偏离说明。</w:t>
      </w:r>
    </w:p>
    <w:p w14:paraId="1F8215E8">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2.供应商应根据自身的承诺，对照磋商文件要求，在“偏离说明”中注明“正偏离”、“负偏离”或者“无偏离”。既不属于“正偏离”也不属于“负偏离”即为“无偏离”。</w:t>
      </w:r>
    </w:p>
    <w:p w14:paraId="3A9EF487">
      <w:pPr>
        <w:widowControl/>
        <w:spacing w:line="360" w:lineRule="auto"/>
        <w:jc w:val="center"/>
        <w:rPr>
          <w:rFonts w:ascii="宋体" w:hAnsi="宋体" w:eastAsia="宋体" w:cs="宋体"/>
          <w:color w:val="auto"/>
          <w:szCs w:val="21"/>
          <w:highlight w:val="none"/>
        </w:rPr>
      </w:pPr>
    </w:p>
    <w:p w14:paraId="18FB1DDB">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pacing w:val="20"/>
          <w:szCs w:val="21"/>
          <w:highlight w:val="none"/>
        </w:rPr>
        <w:t>（盖公章）：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3A4C56F3">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B006355">
      <w:pPr>
        <w:keepNext/>
        <w:keepLines/>
        <w:widowControl/>
        <w:spacing w:line="360" w:lineRule="auto"/>
        <w:jc w:val="left"/>
        <w:outlineLvl w:val="2"/>
        <w:rPr>
          <w:rFonts w:hint="eastAsia" w:ascii="宋体" w:hAnsi="宋体" w:eastAsia="宋体" w:cs="宋体"/>
          <w:b/>
          <w:color w:val="auto"/>
          <w:sz w:val="24"/>
          <w:szCs w:val="24"/>
          <w:highlight w:val="none"/>
        </w:rPr>
      </w:pPr>
    </w:p>
    <w:p w14:paraId="75147870">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7.项目实施人员一览表格式</w:t>
      </w:r>
    </w:p>
    <w:p w14:paraId="109CF216">
      <w:pPr>
        <w:widowControl/>
        <w:spacing w:line="360" w:lineRule="auto"/>
        <w:ind w:firstLine="420" w:firstLineChars="200"/>
        <w:jc w:val="left"/>
        <w:rPr>
          <w:rFonts w:ascii="宋体" w:hAnsi="宋体" w:eastAsia="宋体" w:cs="宋体"/>
          <w:color w:val="auto"/>
          <w:szCs w:val="21"/>
          <w:highlight w:val="none"/>
        </w:rPr>
      </w:pPr>
    </w:p>
    <w:p w14:paraId="55EB8E28">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32"/>
          <w:szCs w:val="32"/>
          <w:highlight w:val="none"/>
        </w:rPr>
        <w:t>项目实施人员一览表（格式）</w:t>
      </w:r>
    </w:p>
    <w:p w14:paraId="608B5E1B">
      <w:pPr>
        <w:autoSpaceDE w:val="0"/>
        <w:autoSpaceDN w:val="0"/>
        <w:adjustRightInd w:val="0"/>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____分标</w:t>
      </w:r>
    </w:p>
    <w:tbl>
      <w:tblPr>
        <w:tblStyle w:val="2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55"/>
        <w:gridCol w:w="2590"/>
        <w:gridCol w:w="1310"/>
        <w:gridCol w:w="1455"/>
        <w:gridCol w:w="1740"/>
      </w:tblGrid>
      <w:tr w14:paraId="2432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5461D79D">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55" w:type="dxa"/>
            <w:vAlign w:val="center"/>
          </w:tcPr>
          <w:p w14:paraId="40A2F75B">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590" w:type="dxa"/>
            <w:vAlign w:val="center"/>
          </w:tcPr>
          <w:p w14:paraId="23792B4A">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专业技术资格（职称）或者职业资格或者执业资格证或者其他证书</w:t>
            </w:r>
          </w:p>
        </w:tc>
        <w:tc>
          <w:tcPr>
            <w:tcW w:w="1310" w:type="dxa"/>
            <w:vAlign w:val="center"/>
          </w:tcPr>
          <w:p w14:paraId="70899C09">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1455" w:type="dxa"/>
            <w:vAlign w:val="center"/>
          </w:tcPr>
          <w:p w14:paraId="5AD7140F">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4BE4B7FB">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工作时间</w:t>
            </w:r>
          </w:p>
        </w:tc>
        <w:tc>
          <w:tcPr>
            <w:tcW w:w="1740" w:type="dxa"/>
            <w:vAlign w:val="center"/>
          </w:tcPr>
          <w:p w14:paraId="2FA5FCCD">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2279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0326C190">
            <w:pPr>
              <w:widowControl/>
              <w:spacing w:line="360" w:lineRule="auto"/>
              <w:jc w:val="center"/>
              <w:rPr>
                <w:rFonts w:ascii="宋体" w:hAnsi="宋体" w:eastAsia="宋体" w:cs="宋体"/>
                <w:color w:val="auto"/>
                <w:szCs w:val="21"/>
                <w:highlight w:val="none"/>
              </w:rPr>
            </w:pPr>
          </w:p>
        </w:tc>
        <w:tc>
          <w:tcPr>
            <w:tcW w:w="755" w:type="dxa"/>
            <w:vAlign w:val="center"/>
          </w:tcPr>
          <w:p w14:paraId="6725544B">
            <w:pPr>
              <w:widowControl/>
              <w:spacing w:line="360" w:lineRule="auto"/>
              <w:jc w:val="center"/>
              <w:rPr>
                <w:rFonts w:ascii="宋体" w:hAnsi="宋体" w:eastAsia="宋体" w:cs="宋体"/>
                <w:color w:val="auto"/>
                <w:szCs w:val="21"/>
                <w:highlight w:val="none"/>
              </w:rPr>
            </w:pPr>
          </w:p>
        </w:tc>
        <w:tc>
          <w:tcPr>
            <w:tcW w:w="2590" w:type="dxa"/>
            <w:vAlign w:val="center"/>
          </w:tcPr>
          <w:p w14:paraId="6DC4E7C2">
            <w:pPr>
              <w:widowControl/>
              <w:spacing w:line="360" w:lineRule="auto"/>
              <w:jc w:val="center"/>
              <w:rPr>
                <w:rFonts w:ascii="宋体" w:hAnsi="宋体" w:eastAsia="宋体" w:cs="宋体"/>
                <w:color w:val="auto"/>
                <w:szCs w:val="21"/>
                <w:highlight w:val="none"/>
              </w:rPr>
            </w:pPr>
          </w:p>
        </w:tc>
        <w:tc>
          <w:tcPr>
            <w:tcW w:w="1310" w:type="dxa"/>
            <w:vAlign w:val="center"/>
          </w:tcPr>
          <w:p w14:paraId="49B98FA2">
            <w:pPr>
              <w:widowControl/>
              <w:spacing w:line="360" w:lineRule="auto"/>
              <w:jc w:val="center"/>
              <w:rPr>
                <w:rFonts w:ascii="宋体" w:hAnsi="宋体" w:eastAsia="宋体" w:cs="宋体"/>
                <w:color w:val="auto"/>
                <w:szCs w:val="21"/>
                <w:highlight w:val="none"/>
              </w:rPr>
            </w:pPr>
          </w:p>
        </w:tc>
        <w:tc>
          <w:tcPr>
            <w:tcW w:w="1455" w:type="dxa"/>
            <w:vAlign w:val="center"/>
          </w:tcPr>
          <w:p w14:paraId="24D8CB1E">
            <w:pPr>
              <w:widowControl/>
              <w:spacing w:line="360" w:lineRule="auto"/>
              <w:jc w:val="center"/>
              <w:rPr>
                <w:rFonts w:ascii="宋体" w:hAnsi="宋体" w:eastAsia="宋体" w:cs="宋体"/>
                <w:color w:val="auto"/>
                <w:szCs w:val="21"/>
                <w:highlight w:val="none"/>
              </w:rPr>
            </w:pPr>
          </w:p>
        </w:tc>
        <w:tc>
          <w:tcPr>
            <w:tcW w:w="1740" w:type="dxa"/>
            <w:vAlign w:val="center"/>
          </w:tcPr>
          <w:p w14:paraId="0ECCEFE7">
            <w:pPr>
              <w:widowControl/>
              <w:spacing w:line="360" w:lineRule="auto"/>
              <w:jc w:val="center"/>
              <w:rPr>
                <w:rFonts w:ascii="宋体" w:hAnsi="宋体" w:eastAsia="宋体" w:cs="宋体"/>
                <w:color w:val="auto"/>
                <w:szCs w:val="21"/>
                <w:highlight w:val="none"/>
              </w:rPr>
            </w:pPr>
          </w:p>
        </w:tc>
      </w:tr>
      <w:tr w14:paraId="3B21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6852B3D9">
            <w:pPr>
              <w:widowControl/>
              <w:spacing w:line="360" w:lineRule="auto"/>
              <w:jc w:val="center"/>
              <w:rPr>
                <w:rFonts w:ascii="宋体" w:hAnsi="宋体" w:eastAsia="宋体" w:cs="宋体"/>
                <w:color w:val="auto"/>
                <w:szCs w:val="21"/>
                <w:highlight w:val="none"/>
              </w:rPr>
            </w:pPr>
          </w:p>
        </w:tc>
        <w:tc>
          <w:tcPr>
            <w:tcW w:w="755" w:type="dxa"/>
            <w:vAlign w:val="center"/>
          </w:tcPr>
          <w:p w14:paraId="6909C88F">
            <w:pPr>
              <w:widowControl/>
              <w:spacing w:line="360" w:lineRule="auto"/>
              <w:jc w:val="center"/>
              <w:rPr>
                <w:rFonts w:ascii="宋体" w:hAnsi="宋体" w:eastAsia="宋体" w:cs="宋体"/>
                <w:color w:val="auto"/>
                <w:szCs w:val="21"/>
                <w:highlight w:val="none"/>
              </w:rPr>
            </w:pPr>
          </w:p>
        </w:tc>
        <w:tc>
          <w:tcPr>
            <w:tcW w:w="2590" w:type="dxa"/>
            <w:vAlign w:val="center"/>
          </w:tcPr>
          <w:p w14:paraId="1492EE88">
            <w:pPr>
              <w:widowControl/>
              <w:spacing w:line="360" w:lineRule="auto"/>
              <w:jc w:val="center"/>
              <w:rPr>
                <w:rFonts w:ascii="宋体" w:hAnsi="宋体" w:eastAsia="宋体" w:cs="宋体"/>
                <w:color w:val="auto"/>
                <w:szCs w:val="21"/>
                <w:highlight w:val="none"/>
              </w:rPr>
            </w:pPr>
          </w:p>
        </w:tc>
        <w:tc>
          <w:tcPr>
            <w:tcW w:w="1310" w:type="dxa"/>
            <w:vAlign w:val="center"/>
          </w:tcPr>
          <w:p w14:paraId="1CC9E667">
            <w:pPr>
              <w:widowControl/>
              <w:spacing w:line="360" w:lineRule="auto"/>
              <w:jc w:val="center"/>
              <w:rPr>
                <w:rFonts w:ascii="宋体" w:hAnsi="宋体" w:eastAsia="宋体" w:cs="宋体"/>
                <w:color w:val="auto"/>
                <w:szCs w:val="21"/>
                <w:highlight w:val="none"/>
              </w:rPr>
            </w:pPr>
          </w:p>
        </w:tc>
        <w:tc>
          <w:tcPr>
            <w:tcW w:w="1455" w:type="dxa"/>
            <w:vAlign w:val="center"/>
          </w:tcPr>
          <w:p w14:paraId="23BB805D">
            <w:pPr>
              <w:widowControl/>
              <w:spacing w:line="360" w:lineRule="auto"/>
              <w:jc w:val="center"/>
              <w:rPr>
                <w:rFonts w:ascii="宋体" w:hAnsi="宋体" w:eastAsia="宋体" w:cs="宋体"/>
                <w:color w:val="auto"/>
                <w:szCs w:val="21"/>
                <w:highlight w:val="none"/>
              </w:rPr>
            </w:pPr>
          </w:p>
        </w:tc>
        <w:tc>
          <w:tcPr>
            <w:tcW w:w="1740" w:type="dxa"/>
            <w:vAlign w:val="center"/>
          </w:tcPr>
          <w:p w14:paraId="56FAD9B5">
            <w:pPr>
              <w:widowControl/>
              <w:spacing w:line="360" w:lineRule="auto"/>
              <w:jc w:val="center"/>
              <w:rPr>
                <w:rFonts w:ascii="宋体" w:hAnsi="宋体" w:eastAsia="宋体" w:cs="宋体"/>
                <w:color w:val="auto"/>
                <w:szCs w:val="21"/>
                <w:highlight w:val="none"/>
              </w:rPr>
            </w:pPr>
          </w:p>
        </w:tc>
      </w:tr>
      <w:tr w14:paraId="6603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18313E61">
            <w:pPr>
              <w:widowControl/>
              <w:spacing w:line="360" w:lineRule="auto"/>
              <w:jc w:val="center"/>
              <w:rPr>
                <w:rFonts w:ascii="宋体" w:hAnsi="宋体" w:eastAsia="宋体" w:cs="宋体"/>
                <w:color w:val="auto"/>
                <w:szCs w:val="21"/>
                <w:highlight w:val="none"/>
              </w:rPr>
            </w:pPr>
          </w:p>
        </w:tc>
        <w:tc>
          <w:tcPr>
            <w:tcW w:w="755" w:type="dxa"/>
            <w:vAlign w:val="center"/>
          </w:tcPr>
          <w:p w14:paraId="1599A5E3">
            <w:pPr>
              <w:widowControl/>
              <w:spacing w:line="360" w:lineRule="auto"/>
              <w:jc w:val="center"/>
              <w:rPr>
                <w:rFonts w:ascii="宋体" w:hAnsi="宋体" w:eastAsia="宋体" w:cs="宋体"/>
                <w:color w:val="auto"/>
                <w:szCs w:val="21"/>
                <w:highlight w:val="none"/>
              </w:rPr>
            </w:pPr>
          </w:p>
        </w:tc>
        <w:tc>
          <w:tcPr>
            <w:tcW w:w="2590" w:type="dxa"/>
            <w:vAlign w:val="center"/>
          </w:tcPr>
          <w:p w14:paraId="3C6A8E0E">
            <w:pPr>
              <w:widowControl/>
              <w:spacing w:line="360" w:lineRule="auto"/>
              <w:jc w:val="center"/>
              <w:rPr>
                <w:rFonts w:ascii="宋体" w:hAnsi="宋体" w:eastAsia="宋体" w:cs="宋体"/>
                <w:color w:val="auto"/>
                <w:szCs w:val="21"/>
                <w:highlight w:val="none"/>
              </w:rPr>
            </w:pPr>
          </w:p>
        </w:tc>
        <w:tc>
          <w:tcPr>
            <w:tcW w:w="1310" w:type="dxa"/>
            <w:vAlign w:val="center"/>
          </w:tcPr>
          <w:p w14:paraId="50DD2557">
            <w:pPr>
              <w:widowControl/>
              <w:spacing w:line="360" w:lineRule="auto"/>
              <w:jc w:val="center"/>
              <w:rPr>
                <w:rFonts w:ascii="宋体" w:hAnsi="宋体" w:eastAsia="宋体" w:cs="宋体"/>
                <w:color w:val="auto"/>
                <w:szCs w:val="21"/>
                <w:highlight w:val="none"/>
              </w:rPr>
            </w:pPr>
          </w:p>
        </w:tc>
        <w:tc>
          <w:tcPr>
            <w:tcW w:w="1455" w:type="dxa"/>
            <w:vAlign w:val="center"/>
          </w:tcPr>
          <w:p w14:paraId="74234A5C">
            <w:pPr>
              <w:widowControl/>
              <w:spacing w:line="360" w:lineRule="auto"/>
              <w:jc w:val="center"/>
              <w:rPr>
                <w:rFonts w:ascii="宋体" w:hAnsi="宋体" w:eastAsia="宋体" w:cs="宋体"/>
                <w:color w:val="auto"/>
                <w:szCs w:val="21"/>
                <w:highlight w:val="none"/>
              </w:rPr>
            </w:pPr>
          </w:p>
        </w:tc>
        <w:tc>
          <w:tcPr>
            <w:tcW w:w="1740" w:type="dxa"/>
            <w:vAlign w:val="center"/>
          </w:tcPr>
          <w:p w14:paraId="454A5EC4">
            <w:pPr>
              <w:widowControl/>
              <w:spacing w:line="360" w:lineRule="auto"/>
              <w:jc w:val="center"/>
              <w:rPr>
                <w:rFonts w:ascii="宋体" w:hAnsi="宋体" w:eastAsia="宋体" w:cs="宋体"/>
                <w:color w:val="auto"/>
                <w:szCs w:val="21"/>
                <w:highlight w:val="none"/>
              </w:rPr>
            </w:pPr>
          </w:p>
        </w:tc>
      </w:tr>
    </w:tbl>
    <w:p w14:paraId="70AD38E8">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注：在填写时，如本表格不适合供应商的实际情况，可根据本表格式自行制表填写。</w:t>
      </w:r>
    </w:p>
    <w:p w14:paraId="78E1B2C9">
      <w:pPr>
        <w:widowControl/>
        <w:spacing w:line="360" w:lineRule="auto"/>
        <w:jc w:val="left"/>
        <w:rPr>
          <w:rFonts w:ascii="宋体" w:hAnsi="宋体" w:eastAsia="宋体" w:cs="宋体"/>
          <w:color w:val="auto"/>
          <w:szCs w:val="21"/>
          <w:highlight w:val="none"/>
        </w:rPr>
      </w:pPr>
    </w:p>
    <w:p w14:paraId="15E14F0F">
      <w:pPr>
        <w:widowControl/>
        <w:spacing w:line="6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rPr>
        <w:t>（盖公章）</w:t>
      </w:r>
      <w:r>
        <w:rPr>
          <w:rFonts w:hint="eastAsia" w:ascii="宋体" w:hAnsi="宋体" w:eastAsia="宋体" w:cs="宋体"/>
          <w:color w:val="auto"/>
          <w:spacing w:val="20"/>
          <w:szCs w:val="21"/>
          <w:highlight w:val="none"/>
        </w:rPr>
        <w:t>：</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p>
    <w:p w14:paraId="5B6FDFBB">
      <w:pPr>
        <w:widowControl/>
        <w:spacing w:before="260" w:after="260" w:line="415"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F180DEB">
      <w:pPr>
        <w:keepNext/>
        <w:keepLines/>
        <w:widowControl/>
        <w:spacing w:line="480" w:lineRule="auto"/>
        <w:jc w:val="left"/>
        <w:outlineLvl w:val="1"/>
        <w:rPr>
          <w:rFonts w:ascii="宋体" w:hAnsi="宋体" w:eastAsia="宋体" w:cs="宋体"/>
          <w:b/>
          <w:bCs/>
          <w:color w:val="auto"/>
          <w:sz w:val="28"/>
          <w:szCs w:val="44"/>
          <w:highlight w:val="none"/>
        </w:rPr>
      </w:pPr>
      <w:r>
        <w:rPr>
          <w:rFonts w:hint="eastAsia" w:ascii="宋体" w:hAnsi="宋体" w:eastAsia="宋体" w:cs="宋体"/>
          <w:b/>
          <w:bCs/>
          <w:color w:val="auto"/>
          <w:sz w:val="28"/>
          <w:szCs w:val="44"/>
          <w:highlight w:val="none"/>
        </w:rPr>
        <w:t>三、其他文书、文件格式</w:t>
      </w:r>
    </w:p>
    <w:p w14:paraId="55C0CDE7">
      <w:pPr>
        <w:keepNext/>
        <w:keepLines/>
        <w:widowControl/>
        <w:spacing w:line="360" w:lineRule="auto"/>
        <w:jc w:val="left"/>
        <w:outlineLvl w:val="2"/>
        <w:rPr>
          <w:rFonts w:hint="eastAsia" w:ascii="宋体" w:hAnsi="宋体" w:eastAsia="宋体" w:cs="宋体"/>
          <w:b/>
          <w:color w:val="auto"/>
          <w:sz w:val="24"/>
          <w:szCs w:val="24"/>
          <w:highlight w:val="none"/>
        </w:rPr>
      </w:pPr>
    </w:p>
    <w:p w14:paraId="5D0A0E77">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1.联合体磋商协议书格式</w:t>
      </w:r>
    </w:p>
    <w:p w14:paraId="7E8EC350">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32"/>
          <w:szCs w:val="32"/>
          <w:highlight w:val="none"/>
        </w:rPr>
        <w:t>联合体磋商协议书</w:t>
      </w:r>
    </w:p>
    <w:p w14:paraId="346FC749">
      <w:pPr>
        <w:widowControl/>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u w:val="single"/>
        </w:rPr>
        <w:t xml:space="preserve">（所有成员单位名称） </w:t>
      </w:r>
      <w:r>
        <w:rPr>
          <w:rFonts w:hint="eastAsia" w:ascii="宋体" w:hAnsi="宋体" w:eastAsia="宋体" w:cs="宋体"/>
          <w:color w:val="auto"/>
          <w:szCs w:val="21"/>
          <w:highlight w:val="none"/>
        </w:rPr>
        <w:t>自愿组成</w:t>
      </w:r>
      <w:r>
        <w:rPr>
          <w:rFonts w:hint="eastAsia" w:ascii="宋体" w:hAnsi="宋体" w:eastAsia="宋体" w:cs="宋体"/>
          <w:color w:val="auto"/>
          <w:szCs w:val="21"/>
          <w:highlight w:val="none"/>
          <w:u w:val="single"/>
        </w:rPr>
        <w:t xml:space="preserve"> （联合体名称） </w:t>
      </w:r>
      <w:r>
        <w:rPr>
          <w:rFonts w:hint="eastAsia" w:ascii="宋体" w:hAnsi="宋体" w:eastAsia="宋体" w:cs="宋体"/>
          <w:color w:val="auto"/>
          <w:szCs w:val="21"/>
          <w:highlight w:val="none"/>
        </w:rPr>
        <w:t xml:space="preserve">联合体，共同参加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采购项目磋商。现就联合体投标事宜订立如下协议。</w:t>
      </w:r>
    </w:p>
    <w:p w14:paraId="7057F32F">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（某成员单位名称）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（联合体名称） </w:t>
      </w:r>
      <w:r>
        <w:rPr>
          <w:rFonts w:hint="eastAsia" w:ascii="宋体" w:hAnsi="宋体" w:eastAsia="宋体" w:cs="宋体"/>
          <w:color w:val="auto"/>
          <w:szCs w:val="21"/>
          <w:highlight w:val="none"/>
        </w:rPr>
        <w:t>牵头人。</w:t>
      </w:r>
    </w:p>
    <w:p w14:paraId="035F688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2.联合体各成员授权牵头人代表联合体参加磋商活动，签署文件及对文件的盖章，提交和接收相关的资料、 信息及指示，进行合同磋商活动，负责合同实施阶段的组织和协调工作，以及处理与本招标项 目有关的一切事宜。</w:t>
      </w:r>
    </w:p>
    <w:p w14:paraId="01A04F0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3.联合体牵头人在本项目中签署和盖章的一切文件和处理的一切事宜，联合体各成员均予以承认。 联合体各成员将严格按照采购文件、响应文件和合同的要求全面履行义务，并向采购人承担连带责任。</w:t>
      </w:r>
    </w:p>
    <w:p w14:paraId="4638EA2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8DD74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5.本协议书自所有成员单位法定代表人或者其委托代理人签字或者盖公章之日起生效，合同履行完毕后自动失效。</w:t>
      </w:r>
    </w:p>
    <w:p w14:paraId="0496214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1E56FEA6">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注：本协议书由法定代表人签字的，应附法定代表人身份证明；由委托代理人签字的，应附授权委托书。</w:t>
      </w:r>
    </w:p>
    <w:p w14:paraId="00A86618">
      <w:pPr>
        <w:widowControl/>
        <w:spacing w:line="360" w:lineRule="auto"/>
        <w:ind w:firstLine="420" w:firstLineChars="200"/>
        <w:jc w:val="left"/>
        <w:rPr>
          <w:rFonts w:ascii="宋体" w:hAnsi="宋体" w:eastAsia="宋体" w:cs="宋体"/>
          <w:color w:val="auto"/>
          <w:szCs w:val="21"/>
          <w:highlight w:val="none"/>
        </w:rPr>
      </w:pPr>
    </w:p>
    <w:p w14:paraId="61A4645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联合体牵头人名称（盖公章）：</w:t>
      </w:r>
    </w:p>
    <w:p w14:paraId="7D2A604D">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法定代表人或者其委托代理人：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（签字）</w:t>
      </w:r>
    </w:p>
    <w:p w14:paraId="55575F73">
      <w:pPr>
        <w:widowControl/>
        <w:spacing w:line="360" w:lineRule="auto"/>
        <w:ind w:firstLine="420" w:firstLineChars="200"/>
        <w:jc w:val="left"/>
        <w:rPr>
          <w:rFonts w:ascii="宋体" w:hAnsi="宋体" w:eastAsia="宋体" w:cs="宋体"/>
          <w:color w:val="auto"/>
          <w:szCs w:val="21"/>
          <w:highlight w:val="none"/>
        </w:rPr>
      </w:pPr>
    </w:p>
    <w:p w14:paraId="6E9D76D8">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联合体成员名称（盖公章）：</w:t>
      </w:r>
    </w:p>
    <w:p w14:paraId="31B531EB">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法定代表人或者其委托代理人：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（签字）</w:t>
      </w:r>
    </w:p>
    <w:p w14:paraId="1ECE66B2">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p>
    <w:p w14:paraId="7E737CDE">
      <w:pPr>
        <w:widowControl/>
        <w:spacing w:line="360" w:lineRule="auto"/>
        <w:ind w:firstLine="420" w:firstLineChars="200"/>
        <w:jc w:val="right"/>
        <w:rPr>
          <w:rFonts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日</w:t>
      </w:r>
    </w:p>
    <w:p w14:paraId="3FD999DE">
      <w:pPr>
        <w:widowControl/>
        <w:spacing w:line="360" w:lineRule="auto"/>
        <w:ind w:firstLine="480" w:firstLineChars="200"/>
        <w:jc w:val="left"/>
        <w:rPr>
          <w:rFonts w:ascii="宋体" w:hAnsi="宋体" w:eastAsia="宋体" w:cs="宋体"/>
          <w:color w:val="auto"/>
          <w:sz w:val="24"/>
          <w:szCs w:val="24"/>
          <w:highlight w:val="none"/>
        </w:rPr>
      </w:pPr>
    </w:p>
    <w:p w14:paraId="2E880A14">
      <w:pPr>
        <w:keepNext/>
        <w:keepLines/>
        <w:widowControl/>
        <w:spacing w:line="360" w:lineRule="auto"/>
        <w:jc w:val="left"/>
        <w:outlineLvl w:val="2"/>
        <w:rPr>
          <w:rFonts w:ascii="宋体" w:hAnsi="宋体" w:eastAsia="宋体" w:cs="宋体"/>
          <w:b/>
          <w:color w:val="auto"/>
          <w:sz w:val="24"/>
          <w:szCs w:val="24"/>
          <w:highlight w:val="none"/>
        </w:rPr>
        <w:sectPr>
          <w:pgSz w:w="11906" w:h="16838"/>
          <w:pgMar w:top="1332" w:right="1434" w:bottom="1332" w:left="1434" w:header="850" w:footer="992" w:gutter="0"/>
          <w:cols w:space="0" w:num="1"/>
          <w:rtlGutter w:val="0"/>
          <w:docGrid w:type="lines" w:linePitch="315" w:charSpace="0"/>
        </w:sectPr>
      </w:pPr>
    </w:p>
    <w:p w14:paraId="005C369C">
      <w:pPr>
        <w:keepNext/>
        <w:keepLines/>
        <w:widowControl/>
        <w:spacing w:line="360" w:lineRule="auto"/>
        <w:jc w:val="left"/>
        <w:outlineLvl w:val="2"/>
        <w:rPr>
          <w:rFonts w:hint="eastAsia" w:ascii="宋体" w:hAnsi="宋体" w:eastAsia="宋体" w:cs="宋体"/>
          <w:b/>
          <w:color w:val="auto"/>
          <w:sz w:val="24"/>
          <w:szCs w:val="24"/>
          <w:highlight w:val="none"/>
        </w:rPr>
      </w:pPr>
    </w:p>
    <w:p w14:paraId="28F8A53F">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2.中小企业声明函格式</w:t>
      </w:r>
    </w:p>
    <w:p w14:paraId="7E6B750B">
      <w:pPr>
        <w:widowControl/>
        <w:spacing w:line="360" w:lineRule="auto"/>
        <w:ind w:firstLine="420" w:firstLineChars="200"/>
        <w:jc w:val="left"/>
        <w:rPr>
          <w:rFonts w:ascii="宋体" w:hAnsi="宋体" w:eastAsia="宋体" w:cs="宋体"/>
          <w:color w:val="auto"/>
          <w:szCs w:val="21"/>
          <w:highlight w:val="none"/>
        </w:rPr>
      </w:pPr>
    </w:p>
    <w:p w14:paraId="2CD04FA8">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32"/>
          <w:szCs w:val="32"/>
          <w:highlight w:val="none"/>
        </w:rPr>
        <w:t>中小企业声明函（服务）</w:t>
      </w:r>
    </w:p>
    <w:p w14:paraId="4CA0BA12">
      <w:pPr>
        <w:widowControl/>
        <w:spacing w:line="360" w:lineRule="auto"/>
        <w:ind w:firstLine="420" w:firstLineChars="200"/>
        <w:jc w:val="left"/>
        <w:rPr>
          <w:rFonts w:ascii="宋体" w:hAnsi="宋体" w:eastAsia="宋体" w:cs="宋体"/>
          <w:color w:val="auto"/>
          <w:szCs w:val="21"/>
          <w:highlight w:val="none"/>
        </w:rPr>
      </w:pPr>
    </w:p>
    <w:p w14:paraId="33A4398F">
      <w:pPr>
        <w:spacing w:line="360" w:lineRule="auto"/>
        <w:ind w:firstLine="420" w:firstLineChars="200"/>
        <w:contextualSpacing/>
        <w:jc w:val="left"/>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24"/>
          <w:szCs w:val="21"/>
          <w:highlight w:val="none"/>
          <w:u w:val="single"/>
          <w:lang w:val="zh-CN"/>
        </w:rPr>
        <w:t xml:space="preserve"> （单位名称） </w:t>
      </w:r>
      <w:r>
        <w:rPr>
          <w:rFonts w:hint="eastAsia" w:ascii="宋体" w:hAnsi="宋体" w:eastAsia="宋体" w:cs="宋体"/>
          <w:color w:val="auto"/>
          <w:kern w:val="24"/>
          <w:szCs w:val="21"/>
          <w:highlight w:val="none"/>
          <w:lang w:val="zh-CN"/>
        </w:rPr>
        <w:t>的</w:t>
      </w:r>
      <w:r>
        <w:rPr>
          <w:rFonts w:hint="eastAsia" w:ascii="宋体" w:hAnsi="宋体" w:eastAsia="宋体" w:cs="宋体"/>
          <w:color w:val="auto"/>
          <w:kern w:val="24"/>
          <w:szCs w:val="21"/>
          <w:highlight w:val="none"/>
          <w:u w:val="single"/>
          <w:lang w:val="zh-CN"/>
        </w:rPr>
        <w:t xml:space="preserve"> （项目名称） </w:t>
      </w:r>
      <w:r>
        <w:rPr>
          <w:rFonts w:hint="eastAsia" w:ascii="宋体" w:hAnsi="宋体" w:eastAsia="宋体" w:cs="宋体"/>
          <w:color w:val="auto"/>
          <w:kern w:val="24"/>
          <w:szCs w:val="21"/>
          <w:highlight w:val="none"/>
          <w:lang w:val="zh-CN"/>
        </w:rPr>
        <w:t>采购活动，服务全部由符合政策要求的中小企业承接。相关企业（含联合体中的中小企业、签订分包意向协议的中小企业）的具体情况如下：</w:t>
      </w:r>
    </w:p>
    <w:p w14:paraId="5AD76BE1">
      <w:pPr>
        <w:widowControl/>
        <w:tabs>
          <w:tab w:val="left" w:pos="1384"/>
          <w:tab w:val="left" w:pos="4562"/>
          <w:tab w:val="left" w:pos="6803"/>
        </w:tabs>
        <w:spacing w:line="360" w:lineRule="auto"/>
        <w:ind w:firstLine="420" w:firstLineChars="200"/>
        <w:contextualSpacing/>
        <w:jc w:val="left"/>
        <w:rPr>
          <w:rFonts w:ascii="宋体" w:hAnsi="宋体" w:eastAsia="宋体" w:cs="宋体"/>
          <w:color w:val="auto"/>
          <w:kern w:val="24"/>
          <w:szCs w:val="21"/>
          <w:highlight w:val="none"/>
        </w:rPr>
      </w:pPr>
      <w:r>
        <w:rPr>
          <w:rFonts w:hint="eastAsia" w:ascii="宋体" w:hAnsi="宋体" w:eastAsia="宋体" w:cs="宋体"/>
          <w:color w:val="auto"/>
          <w:kern w:val="24"/>
          <w:szCs w:val="21"/>
          <w:highlight w:val="none"/>
        </w:rPr>
        <w:t>1.</w:t>
      </w:r>
      <w:r>
        <w:rPr>
          <w:rFonts w:hint="eastAsia" w:ascii="宋体" w:hAnsi="宋体" w:eastAsia="宋体" w:cs="宋体"/>
          <w:color w:val="auto"/>
          <w:kern w:val="24"/>
          <w:szCs w:val="21"/>
          <w:highlight w:val="none"/>
          <w:u w:val="single"/>
        </w:rPr>
        <w:t xml:space="preserve"> （标的名称） </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 xml:space="preserve"> （采购文件中明确的所属行业） </w:t>
      </w:r>
      <w:r>
        <w:rPr>
          <w:rFonts w:hint="eastAsia" w:ascii="宋体" w:hAnsi="宋体" w:eastAsia="宋体" w:cs="宋体"/>
          <w:color w:val="auto"/>
          <w:kern w:val="24"/>
          <w:szCs w:val="21"/>
          <w:highlight w:val="none"/>
        </w:rPr>
        <w:t>行业；承接企业为</w:t>
      </w:r>
      <w:r>
        <w:rPr>
          <w:rFonts w:hint="eastAsia" w:ascii="宋体" w:hAnsi="宋体" w:eastAsia="宋体" w:cs="宋体"/>
          <w:color w:val="auto"/>
          <w:kern w:val="24"/>
          <w:szCs w:val="21"/>
          <w:highlight w:val="none"/>
          <w:u w:val="single"/>
        </w:rPr>
        <w:t xml:space="preserve">（企业名称） </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 xml:space="preserve"> （中型企业、小型企业、微型企业） </w:t>
      </w:r>
      <w:r>
        <w:rPr>
          <w:rFonts w:hint="eastAsia" w:ascii="宋体" w:hAnsi="宋体" w:eastAsia="宋体" w:cs="宋体"/>
          <w:color w:val="auto"/>
          <w:kern w:val="24"/>
          <w:szCs w:val="21"/>
          <w:highlight w:val="none"/>
        </w:rPr>
        <w:t>；</w:t>
      </w:r>
    </w:p>
    <w:p w14:paraId="43FF0FD9">
      <w:pPr>
        <w:widowControl/>
        <w:tabs>
          <w:tab w:val="left" w:pos="1384"/>
          <w:tab w:val="left" w:pos="4562"/>
          <w:tab w:val="left" w:pos="6803"/>
        </w:tabs>
        <w:spacing w:line="360" w:lineRule="auto"/>
        <w:ind w:firstLine="420" w:firstLineChars="200"/>
        <w:contextualSpacing/>
        <w:jc w:val="left"/>
        <w:rPr>
          <w:rFonts w:ascii="宋体" w:hAnsi="宋体" w:eastAsia="宋体" w:cs="宋体"/>
          <w:color w:val="auto"/>
          <w:kern w:val="24"/>
          <w:szCs w:val="21"/>
          <w:highlight w:val="none"/>
        </w:rPr>
      </w:pPr>
      <w:r>
        <w:rPr>
          <w:rFonts w:hint="eastAsia" w:ascii="宋体" w:hAnsi="宋体" w:eastAsia="宋体" w:cs="宋体"/>
          <w:color w:val="auto"/>
          <w:kern w:val="24"/>
          <w:szCs w:val="21"/>
          <w:highlight w:val="none"/>
        </w:rPr>
        <w:t>2.</w:t>
      </w:r>
      <w:r>
        <w:rPr>
          <w:rFonts w:hint="eastAsia" w:ascii="宋体" w:hAnsi="宋体" w:eastAsia="宋体" w:cs="宋体"/>
          <w:color w:val="auto"/>
          <w:kern w:val="24"/>
          <w:szCs w:val="21"/>
          <w:highlight w:val="none"/>
          <w:u w:val="single"/>
        </w:rPr>
        <w:t xml:space="preserve"> （标的名称） </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 xml:space="preserve"> （采购文件中明确的所属行业） </w:t>
      </w:r>
      <w:r>
        <w:rPr>
          <w:rFonts w:hint="eastAsia" w:ascii="宋体" w:hAnsi="宋体" w:eastAsia="宋体" w:cs="宋体"/>
          <w:color w:val="auto"/>
          <w:kern w:val="24"/>
          <w:szCs w:val="21"/>
          <w:highlight w:val="none"/>
        </w:rPr>
        <w:t>行业；承接企业为</w:t>
      </w:r>
      <w:r>
        <w:rPr>
          <w:rFonts w:hint="eastAsia" w:ascii="宋体" w:hAnsi="宋体" w:eastAsia="宋体" w:cs="宋体"/>
          <w:color w:val="auto"/>
          <w:kern w:val="24"/>
          <w:szCs w:val="21"/>
          <w:highlight w:val="none"/>
          <w:u w:val="single"/>
        </w:rPr>
        <w:t xml:space="preserve">（企业名称） </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 xml:space="preserve"> （中型企业、小型企业、微型企业） </w:t>
      </w:r>
      <w:r>
        <w:rPr>
          <w:rFonts w:hint="eastAsia" w:ascii="宋体" w:hAnsi="宋体" w:eastAsia="宋体" w:cs="宋体"/>
          <w:color w:val="auto"/>
          <w:kern w:val="24"/>
          <w:szCs w:val="21"/>
          <w:highlight w:val="none"/>
        </w:rPr>
        <w:t>；</w:t>
      </w:r>
    </w:p>
    <w:p w14:paraId="1E763206">
      <w:pPr>
        <w:spacing w:line="360" w:lineRule="auto"/>
        <w:ind w:firstLine="420" w:firstLineChars="200"/>
        <w:contextualSpacing/>
        <w:jc w:val="left"/>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 xml:space="preserve">…… </w:t>
      </w:r>
    </w:p>
    <w:p w14:paraId="5DBDFEE4">
      <w:pPr>
        <w:spacing w:line="360" w:lineRule="auto"/>
        <w:ind w:firstLine="396" w:firstLineChars="189"/>
        <w:contextualSpacing/>
        <w:jc w:val="left"/>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以上企业，不属于大企业的分支机构，不存在控股股东为大企业的情形，也不存在与大企业的负责人为同一人的情形。</w:t>
      </w:r>
    </w:p>
    <w:p w14:paraId="30500149">
      <w:pPr>
        <w:spacing w:line="360" w:lineRule="auto"/>
        <w:ind w:firstLine="420" w:firstLineChars="200"/>
        <w:contextualSpacing/>
        <w:jc w:val="left"/>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本企业对上述声明内容的真实性负责。如有虚假，将依法承担相应责任。</w:t>
      </w:r>
    </w:p>
    <w:p w14:paraId="650683E3">
      <w:pPr>
        <w:spacing w:line="360" w:lineRule="auto"/>
        <w:ind w:firstLine="420" w:firstLineChars="200"/>
        <w:contextualSpacing/>
        <w:jc w:val="left"/>
        <w:rPr>
          <w:rFonts w:ascii="宋体" w:hAnsi="宋体" w:eastAsia="宋体" w:cs="宋体"/>
          <w:color w:val="auto"/>
          <w:kern w:val="24"/>
          <w:szCs w:val="21"/>
          <w:highlight w:val="none"/>
          <w:lang w:val="zh-CN"/>
        </w:rPr>
      </w:pPr>
    </w:p>
    <w:p w14:paraId="35992F16">
      <w:pPr>
        <w:spacing w:line="360" w:lineRule="auto"/>
        <w:contextualSpacing/>
        <w:jc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企业名称（章）：</w:t>
      </w:r>
    </w:p>
    <w:p w14:paraId="12B63006">
      <w:pPr>
        <w:spacing w:line="360" w:lineRule="auto"/>
        <w:contextualSpacing/>
        <w:jc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日 期：</w:t>
      </w:r>
    </w:p>
    <w:p w14:paraId="0596552A">
      <w:pPr>
        <w:spacing w:line="360" w:lineRule="auto"/>
        <w:contextualSpacing/>
        <w:jc w:val="left"/>
        <w:rPr>
          <w:rFonts w:ascii="宋体" w:hAnsi="宋体" w:eastAsia="宋体" w:cs="宋体"/>
          <w:color w:val="auto"/>
          <w:kern w:val="24"/>
          <w:szCs w:val="21"/>
          <w:highlight w:val="none"/>
          <w:lang w:val="zh-CN"/>
        </w:rPr>
      </w:pPr>
    </w:p>
    <w:p w14:paraId="112FDF64">
      <w:pPr>
        <w:spacing w:line="360" w:lineRule="auto"/>
        <w:contextualSpacing/>
        <w:jc w:val="left"/>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注：从业人员、营业收入、资产总额填报上一年度数据，无上一年度数据的新成立企业可不填报。</w:t>
      </w:r>
    </w:p>
    <w:p w14:paraId="770D996F">
      <w:pPr>
        <w:widowControl/>
        <w:spacing w:before="260" w:after="260" w:line="415" w:lineRule="auto"/>
        <w:jc w:val="center"/>
        <w:rPr>
          <w:rFonts w:ascii="宋体" w:hAnsi="宋体" w:eastAsia="宋体" w:cs="宋体"/>
          <w:b/>
          <w:color w:val="auto"/>
          <w:kern w:val="0"/>
          <w:sz w:val="24"/>
          <w:szCs w:val="24"/>
          <w:highlight w:val="none"/>
          <w:lang w:val="zh-CN"/>
        </w:rPr>
      </w:pPr>
      <w:r>
        <w:rPr>
          <w:rFonts w:hint="eastAsia" w:ascii="宋体" w:hAnsi="宋体" w:eastAsia="宋体" w:cs="宋体"/>
          <w:b/>
          <w:color w:val="auto"/>
          <w:szCs w:val="21"/>
          <w:highlight w:val="none"/>
        </w:rPr>
        <w:br w:type="page"/>
      </w:r>
    </w:p>
    <w:p w14:paraId="58FAC682">
      <w:pPr>
        <w:keepNext/>
        <w:keepLines/>
        <w:widowControl/>
        <w:spacing w:line="360" w:lineRule="auto"/>
        <w:jc w:val="left"/>
        <w:outlineLvl w:val="2"/>
        <w:rPr>
          <w:rFonts w:hint="eastAsia" w:ascii="宋体" w:hAnsi="宋体" w:eastAsia="宋体" w:cs="宋体"/>
          <w:b/>
          <w:color w:val="auto"/>
          <w:sz w:val="24"/>
          <w:szCs w:val="24"/>
          <w:highlight w:val="none"/>
        </w:rPr>
      </w:pPr>
    </w:p>
    <w:p w14:paraId="18F4B36E">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3.残疾人福利性单位声明函格式</w:t>
      </w:r>
    </w:p>
    <w:p w14:paraId="713D1503">
      <w:pPr>
        <w:widowControl/>
        <w:spacing w:line="360" w:lineRule="auto"/>
        <w:ind w:firstLine="420" w:firstLineChars="200"/>
        <w:jc w:val="left"/>
        <w:rPr>
          <w:rFonts w:ascii="宋体" w:hAnsi="宋体" w:eastAsia="宋体" w:cs="宋体"/>
          <w:color w:val="auto"/>
          <w:szCs w:val="21"/>
          <w:highlight w:val="none"/>
        </w:rPr>
      </w:pPr>
    </w:p>
    <w:p w14:paraId="5B9A084F">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32"/>
          <w:szCs w:val="32"/>
          <w:highlight w:val="none"/>
        </w:rPr>
        <w:t>残疾人福利性单位声明函</w:t>
      </w:r>
    </w:p>
    <w:p w14:paraId="7270F59C">
      <w:pPr>
        <w:widowControl/>
        <w:spacing w:line="360" w:lineRule="auto"/>
        <w:ind w:firstLine="420" w:firstLineChars="200"/>
        <w:jc w:val="left"/>
        <w:rPr>
          <w:rFonts w:ascii="宋体" w:hAnsi="宋体" w:eastAsia="宋体" w:cs="宋体"/>
          <w:color w:val="auto"/>
          <w:szCs w:val="21"/>
          <w:highlight w:val="none"/>
        </w:rPr>
      </w:pPr>
    </w:p>
    <w:p w14:paraId="73771A92">
      <w:pPr>
        <w:spacing w:line="360" w:lineRule="auto"/>
        <w:ind w:firstLine="444" w:firstLineChars="200"/>
        <w:contextualSpacing/>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项目采购活动提供本单位制造的货物（由本单位承担工程/提供服务），或者提供其他残</w:t>
      </w:r>
      <w:r>
        <w:rPr>
          <w:rFonts w:hint="eastAsia" w:ascii="宋体" w:hAnsi="宋体" w:eastAsia="宋体" w:cs="宋体"/>
          <w:color w:val="auto"/>
          <w:spacing w:val="-6"/>
          <w:szCs w:val="21"/>
          <w:highlight w:val="none"/>
        </w:rPr>
        <w:t>疾人福利性单位制造的货物（不包括使用非残疾人福利性单位注册商标的货物）。</w:t>
      </w:r>
    </w:p>
    <w:p w14:paraId="7E015E1C">
      <w:pPr>
        <w:spacing w:line="360" w:lineRule="auto"/>
        <w:ind w:firstLine="444" w:firstLineChars="200"/>
        <w:contextualSpacing/>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1856FD5">
      <w:pPr>
        <w:spacing w:line="360" w:lineRule="auto"/>
        <w:ind w:firstLine="444" w:firstLineChars="200"/>
        <w:contextualSpacing/>
        <w:rPr>
          <w:rFonts w:ascii="宋体" w:hAnsi="宋体" w:eastAsia="宋体" w:cs="宋体"/>
          <w:color w:val="auto"/>
          <w:spacing w:val="6"/>
          <w:szCs w:val="21"/>
          <w:highlight w:val="none"/>
        </w:rPr>
      </w:pPr>
    </w:p>
    <w:p w14:paraId="3CA1044E">
      <w:pPr>
        <w:spacing w:line="360" w:lineRule="auto"/>
        <w:ind w:firstLine="444" w:firstLineChars="200"/>
        <w:contextualSpacing/>
        <w:rPr>
          <w:rFonts w:ascii="宋体" w:hAnsi="宋体" w:eastAsia="宋体" w:cs="宋体"/>
          <w:color w:val="auto"/>
          <w:spacing w:val="6"/>
          <w:szCs w:val="21"/>
          <w:highlight w:val="none"/>
        </w:rPr>
      </w:pPr>
    </w:p>
    <w:p w14:paraId="62504C9C">
      <w:pPr>
        <w:tabs>
          <w:tab w:val="left" w:pos="4860"/>
        </w:tabs>
        <w:spacing w:line="360" w:lineRule="auto"/>
        <w:ind w:right="1560" w:firstLine="444" w:firstLineChars="200"/>
        <w:contextualSpacing/>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单位名称（盖公章）：</w:t>
      </w:r>
    </w:p>
    <w:p w14:paraId="083A9EDF">
      <w:pPr>
        <w:tabs>
          <w:tab w:val="left" w:pos="4860"/>
        </w:tabs>
        <w:spacing w:line="360" w:lineRule="auto"/>
        <w:ind w:right="1560" w:firstLine="444" w:firstLineChars="200"/>
        <w:contextualSpacing/>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14:paraId="4D0D2661">
      <w:pPr>
        <w:spacing w:line="360" w:lineRule="auto"/>
        <w:contextualSpacing/>
        <w:rPr>
          <w:rFonts w:ascii="宋体" w:hAnsi="宋体" w:eastAsia="宋体" w:cs="宋体"/>
          <w:color w:val="auto"/>
          <w:szCs w:val="21"/>
          <w:highlight w:val="none"/>
        </w:rPr>
      </w:pPr>
    </w:p>
    <w:p w14:paraId="1A389D8D">
      <w:pPr>
        <w:spacing w:line="360" w:lineRule="auto"/>
        <w:contextualSpacing/>
        <w:rPr>
          <w:rFonts w:ascii="宋体" w:hAnsi="宋体" w:eastAsia="宋体" w:cs="宋体"/>
          <w:color w:val="auto"/>
          <w:szCs w:val="21"/>
          <w:highlight w:val="none"/>
        </w:rPr>
      </w:pPr>
    </w:p>
    <w:p w14:paraId="4393AB5E">
      <w:pPr>
        <w:spacing w:line="360" w:lineRule="auto"/>
        <w:contextualSpacing/>
        <w:rPr>
          <w:rFonts w:ascii="宋体" w:hAnsi="宋体" w:eastAsia="宋体" w:cs="宋体"/>
          <w:color w:val="auto"/>
          <w:szCs w:val="21"/>
          <w:highlight w:val="none"/>
        </w:rPr>
      </w:pPr>
    </w:p>
    <w:p w14:paraId="6CF73506">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9AF9399">
      <w:pPr>
        <w:widowControl/>
        <w:spacing w:before="260" w:after="260" w:line="415"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EA308EE">
      <w:pPr>
        <w:keepNext/>
        <w:keepLines/>
        <w:widowControl/>
        <w:spacing w:line="360" w:lineRule="auto"/>
        <w:jc w:val="left"/>
        <w:outlineLvl w:val="2"/>
        <w:rPr>
          <w:rFonts w:hint="eastAsia" w:ascii="宋体" w:hAnsi="宋体" w:eastAsia="宋体" w:cs="宋体"/>
          <w:b/>
          <w:color w:val="auto"/>
          <w:sz w:val="24"/>
          <w:szCs w:val="24"/>
          <w:highlight w:val="none"/>
        </w:rPr>
      </w:pPr>
    </w:p>
    <w:p w14:paraId="04989BE2">
      <w:pPr>
        <w:keepNext/>
        <w:keepLines/>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4.质疑函（格式）</w:t>
      </w:r>
    </w:p>
    <w:p w14:paraId="3A649E92">
      <w:pPr>
        <w:widowControl/>
        <w:snapToGrid w:val="0"/>
        <w:spacing w:before="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32"/>
          <w:szCs w:val="32"/>
          <w:highlight w:val="none"/>
        </w:rPr>
        <w:t>质疑函（格式）</w:t>
      </w:r>
    </w:p>
    <w:p w14:paraId="36926DA9">
      <w:pPr>
        <w:snapToGrid w:val="0"/>
        <w:spacing w:line="360" w:lineRule="exact"/>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一、质疑供应商基本信息：</w:t>
      </w:r>
    </w:p>
    <w:p w14:paraId="3A14B594">
      <w:pPr>
        <w:snapToGrid w:val="0"/>
        <w:spacing w:line="360" w:lineRule="exact"/>
        <w:ind w:firstLine="420" w:firstLineChars="200"/>
        <w:rPr>
          <w:rFonts w:ascii="宋体" w:hAnsi="宋体" w:eastAsia="宋体" w:cs="宋体"/>
          <w:bCs/>
          <w:color w:val="auto"/>
          <w:kern w:val="0"/>
          <w:szCs w:val="21"/>
          <w:highlight w:val="none"/>
          <w:u w:val="single"/>
          <w:lang w:val="zh-CN"/>
        </w:rPr>
      </w:pPr>
      <w:r>
        <w:rPr>
          <w:rFonts w:hint="eastAsia" w:ascii="宋体" w:hAnsi="宋体" w:eastAsia="宋体" w:cs="宋体"/>
          <w:bCs/>
          <w:color w:val="auto"/>
          <w:kern w:val="0"/>
          <w:szCs w:val="21"/>
          <w:highlight w:val="none"/>
          <w:lang w:val="zh-CN"/>
        </w:rPr>
        <w:t>质疑供应商：</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 xml:space="preserve">                 </w:t>
      </w:r>
    </w:p>
    <w:p w14:paraId="298D136D">
      <w:pPr>
        <w:snapToGrid w:val="0"/>
        <w:spacing w:line="360" w:lineRule="exact"/>
        <w:ind w:firstLine="420" w:firstLineChars="200"/>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地址：</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邮编：</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 xml:space="preserve">  </w:t>
      </w:r>
    </w:p>
    <w:p w14:paraId="5BE84AE6">
      <w:pPr>
        <w:snapToGrid w:val="0"/>
        <w:spacing w:line="360" w:lineRule="exact"/>
        <w:ind w:firstLine="420" w:firstLineChars="200"/>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联系人：</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联系电话：</w:t>
      </w:r>
      <w:r>
        <w:rPr>
          <w:rFonts w:hint="eastAsia" w:ascii="宋体" w:hAnsi="宋体" w:eastAsia="宋体" w:cs="宋体"/>
          <w:bCs/>
          <w:color w:val="auto"/>
          <w:kern w:val="0"/>
          <w:szCs w:val="21"/>
          <w:highlight w:val="none"/>
          <w:u w:val="single"/>
          <w:lang w:val="zh-CN"/>
        </w:rPr>
        <w:t xml:space="preserve">                 </w:t>
      </w:r>
    </w:p>
    <w:p w14:paraId="4585F217">
      <w:pPr>
        <w:snapToGrid w:val="0"/>
        <w:spacing w:line="360" w:lineRule="exact"/>
        <w:ind w:firstLine="420" w:firstLineChars="200"/>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授权代表：</w:t>
      </w:r>
      <w:r>
        <w:rPr>
          <w:rFonts w:hint="eastAsia" w:ascii="宋体" w:hAnsi="宋体" w:eastAsia="宋体" w:cs="宋体"/>
          <w:bCs/>
          <w:color w:val="auto"/>
          <w:kern w:val="0"/>
          <w:szCs w:val="21"/>
          <w:highlight w:val="none"/>
          <w:u w:val="single"/>
          <w:lang w:val="zh-CN"/>
        </w:rPr>
        <w:t xml:space="preserve">                      </w:t>
      </w:r>
    </w:p>
    <w:p w14:paraId="568AD2AB">
      <w:pPr>
        <w:snapToGrid w:val="0"/>
        <w:spacing w:line="360" w:lineRule="exact"/>
        <w:ind w:firstLine="420" w:firstLineChars="200"/>
        <w:rPr>
          <w:rFonts w:ascii="宋体" w:hAnsi="宋体" w:eastAsia="宋体" w:cs="宋体"/>
          <w:bCs/>
          <w:color w:val="auto"/>
          <w:kern w:val="0"/>
          <w:szCs w:val="21"/>
          <w:highlight w:val="none"/>
          <w:u w:val="single"/>
          <w:lang w:val="zh-CN"/>
        </w:rPr>
      </w:pPr>
      <w:r>
        <w:rPr>
          <w:rFonts w:hint="eastAsia" w:ascii="宋体" w:hAnsi="宋体" w:eastAsia="宋体" w:cs="宋体"/>
          <w:bCs/>
          <w:color w:val="auto"/>
          <w:kern w:val="0"/>
          <w:szCs w:val="21"/>
          <w:highlight w:val="none"/>
          <w:lang w:val="zh-CN"/>
        </w:rPr>
        <w:t>联系电话：</w:t>
      </w:r>
      <w:r>
        <w:rPr>
          <w:rFonts w:hint="eastAsia" w:ascii="宋体" w:hAnsi="宋体" w:eastAsia="宋体" w:cs="宋体"/>
          <w:bCs/>
          <w:color w:val="auto"/>
          <w:kern w:val="0"/>
          <w:szCs w:val="21"/>
          <w:highlight w:val="none"/>
          <w:u w:val="single"/>
          <w:lang w:val="zh-CN"/>
        </w:rPr>
        <w:t xml:space="preserve">                      </w:t>
      </w:r>
    </w:p>
    <w:p w14:paraId="5F39A1C3">
      <w:pPr>
        <w:snapToGrid w:val="0"/>
        <w:spacing w:line="360" w:lineRule="exact"/>
        <w:ind w:firstLine="420" w:firstLineChars="200"/>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地址：</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邮编：</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lang w:val="zh-CN"/>
        </w:rPr>
        <w:t xml:space="preserve">     </w:t>
      </w:r>
    </w:p>
    <w:p w14:paraId="5ABEA4C7">
      <w:pPr>
        <w:snapToGrid w:val="0"/>
        <w:spacing w:line="360" w:lineRule="exact"/>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二、质疑项目基本情况：</w:t>
      </w:r>
    </w:p>
    <w:p w14:paraId="6A468A11">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质疑</w:t>
      </w:r>
      <w:r>
        <w:rPr>
          <w:rFonts w:hint="eastAsia" w:ascii="宋体" w:hAnsi="宋体" w:eastAsia="宋体" w:cs="宋体"/>
          <w:color w:val="auto"/>
          <w:kern w:val="0"/>
          <w:szCs w:val="21"/>
          <w:highlight w:val="none"/>
          <w:lang w:val="zh-CN"/>
        </w:rPr>
        <w:t>项目的名称：</w:t>
      </w:r>
      <w:r>
        <w:rPr>
          <w:rFonts w:hint="eastAsia" w:ascii="宋体" w:hAnsi="宋体" w:eastAsia="宋体" w:cs="宋体"/>
          <w:bCs/>
          <w:color w:val="auto"/>
          <w:kern w:val="0"/>
          <w:szCs w:val="21"/>
          <w:highlight w:val="none"/>
          <w:u w:val="single"/>
          <w:lang w:val="zh-CN"/>
        </w:rPr>
        <w:t xml:space="preserve">                                     </w:t>
      </w:r>
    </w:p>
    <w:p w14:paraId="248713B1">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质疑</w:t>
      </w:r>
      <w:r>
        <w:rPr>
          <w:rFonts w:hint="eastAsia" w:ascii="宋体" w:hAnsi="宋体" w:eastAsia="宋体" w:cs="宋体"/>
          <w:color w:val="auto"/>
          <w:kern w:val="0"/>
          <w:szCs w:val="21"/>
          <w:highlight w:val="none"/>
          <w:lang w:val="zh-CN"/>
        </w:rPr>
        <w:t>项目的编号：</w:t>
      </w:r>
      <w:r>
        <w:rPr>
          <w:rFonts w:hint="eastAsia" w:ascii="宋体" w:hAnsi="宋体" w:eastAsia="宋体" w:cs="宋体"/>
          <w:bCs/>
          <w:color w:val="auto"/>
          <w:kern w:val="0"/>
          <w:szCs w:val="21"/>
          <w:highlight w:val="none"/>
          <w:u w:val="single"/>
          <w:lang w:val="zh-CN"/>
        </w:rPr>
        <w:t xml:space="preserve">                                     </w:t>
      </w:r>
    </w:p>
    <w:p w14:paraId="36A5691C">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采购人名称：</w:t>
      </w:r>
      <w:r>
        <w:rPr>
          <w:rFonts w:hint="eastAsia" w:ascii="宋体" w:hAnsi="宋体" w:eastAsia="宋体" w:cs="宋体"/>
          <w:bCs/>
          <w:color w:val="auto"/>
          <w:kern w:val="0"/>
          <w:szCs w:val="21"/>
          <w:highlight w:val="none"/>
          <w:u w:val="single"/>
          <w:lang w:val="zh-CN"/>
        </w:rPr>
        <w:t xml:space="preserve">                                         </w:t>
      </w:r>
    </w:p>
    <w:p w14:paraId="1628C3C9">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质疑事项：</w:t>
      </w:r>
    </w:p>
    <w:p w14:paraId="2B4952CD">
      <w:pPr>
        <w:spacing w:line="360" w:lineRule="exact"/>
        <w:ind w:firstLine="371" w:firstLineChars="17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□采购文件   采购文件获取日期：</w:t>
      </w:r>
      <w:r>
        <w:rPr>
          <w:rFonts w:hint="eastAsia" w:ascii="宋体" w:hAnsi="宋体" w:eastAsia="宋体" w:cs="宋体"/>
          <w:bCs/>
          <w:color w:val="auto"/>
          <w:kern w:val="0"/>
          <w:szCs w:val="21"/>
          <w:highlight w:val="none"/>
          <w:u w:val="single"/>
          <w:lang w:val="zh-CN"/>
        </w:rPr>
        <w:t xml:space="preserve">                                   </w:t>
      </w:r>
    </w:p>
    <w:p w14:paraId="069ECCFA">
      <w:pPr>
        <w:spacing w:line="360" w:lineRule="exact"/>
        <w:ind w:firstLine="371" w:firstLineChars="17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□采购过程   </w:t>
      </w:r>
    </w:p>
    <w:p w14:paraId="1A924542">
      <w:pPr>
        <w:spacing w:line="360" w:lineRule="exact"/>
        <w:ind w:firstLine="371" w:firstLineChars="177"/>
        <w:rPr>
          <w:rFonts w:ascii="宋体" w:hAnsi="宋体" w:eastAsia="宋体" w:cs="宋体"/>
          <w:bCs/>
          <w:color w:val="auto"/>
          <w:kern w:val="0"/>
          <w:szCs w:val="21"/>
          <w:highlight w:val="none"/>
          <w:u w:val="single"/>
          <w:lang w:val="zh-CN"/>
        </w:rPr>
      </w:pPr>
      <w:r>
        <w:rPr>
          <w:rFonts w:hint="eastAsia" w:ascii="宋体" w:hAnsi="宋体" w:eastAsia="宋体" w:cs="宋体"/>
          <w:color w:val="auto"/>
          <w:kern w:val="0"/>
          <w:szCs w:val="21"/>
          <w:highlight w:val="none"/>
          <w:lang w:val="zh-CN"/>
        </w:rPr>
        <w:t xml:space="preserve">□成交结果   </w:t>
      </w:r>
    </w:p>
    <w:p w14:paraId="5E3ABD48">
      <w:pPr>
        <w:spacing w:line="360" w:lineRule="exact"/>
        <w:ind w:firstLine="413" w:firstLineChars="196"/>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三、质疑事项具体内容</w:t>
      </w:r>
    </w:p>
    <w:p w14:paraId="3A65D52D">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质疑事项1：</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lang w:val="zh-CN"/>
        </w:rPr>
        <w:t xml:space="preserve"> </w:t>
      </w:r>
    </w:p>
    <w:p w14:paraId="0BEA2597">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事实依据：</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lang w:val="zh-CN"/>
        </w:rPr>
        <w:t xml:space="preserve">      </w:t>
      </w:r>
    </w:p>
    <w:p w14:paraId="2635CE6A">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法律依据：</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bCs/>
          <w:color w:val="auto"/>
          <w:kern w:val="0"/>
          <w:szCs w:val="21"/>
          <w:highlight w:val="none"/>
          <w:u w:val="single"/>
          <w:lang w:val="zh-CN"/>
        </w:rPr>
        <w:t xml:space="preserve">    </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lang w:val="zh-CN"/>
        </w:rPr>
        <w:t xml:space="preserve">        </w:t>
      </w:r>
    </w:p>
    <w:p w14:paraId="2FEA7A40">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质疑事项2</w:t>
      </w:r>
    </w:p>
    <w:p w14:paraId="1D301EBB">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p>
    <w:p w14:paraId="4A99C46E">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四、与质疑事项相关的质疑请求：</w:t>
      </w:r>
    </w:p>
    <w:p w14:paraId="1AAD3EAC">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请求：</w:t>
      </w:r>
      <w:r>
        <w:rPr>
          <w:rFonts w:hint="eastAsia" w:ascii="宋体" w:hAnsi="宋体" w:eastAsia="宋体" w:cs="宋体"/>
          <w:bCs/>
          <w:color w:val="auto"/>
          <w:kern w:val="0"/>
          <w:szCs w:val="21"/>
          <w:highlight w:val="none"/>
          <w:u w:val="single"/>
          <w:lang w:val="zh-CN"/>
        </w:rPr>
        <w:t xml:space="preserve">                                                                </w:t>
      </w:r>
    </w:p>
    <w:p w14:paraId="5163F779">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签字（签章）：                                       公章：</w:t>
      </w:r>
    </w:p>
    <w:p w14:paraId="3C188CA2">
      <w:pPr>
        <w:spacing w:line="360" w:lineRule="exact"/>
        <w:ind w:firstLine="413" w:firstLineChars="197"/>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日期：</w:t>
      </w:r>
    </w:p>
    <w:p w14:paraId="66F8DF07">
      <w:pPr>
        <w:snapToGrid w:val="0"/>
        <w:spacing w:line="360" w:lineRule="exact"/>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说明：</w:t>
      </w:r>
    </w:p>
    <w:p w14:paraId="6DFAACFB">
      <w:pPr>
        <w:spacing w:line="360" w:lineRule="exact"/>
        <w:ind w:firstLine="310" w:firstLineChars="147"/>
        <w:rPr>
          <w:rFonts w:ascii="宋体" w:hAnsi="宋体" w:eastAsia="宋体" w:cs="宋体"/>
          <w:b/>
          <w:bCs/>
          <w:color w:val="auto"/>
          <w:kern w:val="0"/>
          <w:szCs w:val="21"/>
          <w:highlight w:val="none"/>
          <w:lang w:val="zh-CN"/>
        </w:rPr>
      </w:pPr>
      <w:r>
        <w:rPr>
          <w:rFonts w:hint="eastAsia" w:ascii="宋体" w:hAnsi="宋体" w:eastAsia="宋体" w:cs="宋体"/>
          <w:b/>
          <w:color w:val="auto"/>
          <w:kern w:val="0"/>
          <w:szCs w:val="21"/>
          <w:highlight w:val="none"/>
          <w:lang w:val="zh-CN"/>
        </w:rPr>
        <w:t>1.供应商提出质疑时，应提交质疑函和必要的证明材料</w:t>
      </w:r>
      <w:r>
        <w:rPr>
          <w:rFonts w:hint="eastAsia" w:ascii="宋体" w:hAnsi="宋体" w:eastAsia="宋体" w:cs="宋体"/>
          <w:b/>
          <w:bCs/>
          <w:color w:val="auto"/>
          <w:kern w:val="0"/>
          <w:szCs w:val="21"/>
          <w:highlight w:val="none"/>
          <w:lang w:val="zh-CN"/>
        </w:rPr>
        <w:t>。</w:t>
      </w:r>
    </w:p>
    <w:p w14:paraId="3BF756CB">
      <w:pPr>
        <w:spacing w:line="360" w:lineRule="exact"/>
        <w:ind w:firstLine="310" w:firstLineChars="147"/>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C185C3">
      <w:pPr>
        <w:spacing w:line="360" w:lineRule="exact"/>
        <w:ind w:left="25" w:leftChars="12" w:firstLine="310" w:firstLineChars="147"/>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3.质疑函的质疑事项应具体、明确，并有必要的事实依据和法律依据。</w:t>
      </w:r>
    </w:p>
    <w:p w14:paraId="324E74B1">
      <w:pPr>
        <w:spacing w:line="360" w:lineRule="exact"/>
        <w:ind w:left="25" w:leftChars="12" w:firstLine="310" w:firstLineChars="147"/>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4.质疑函的质疑请求应与质疑事项相关。</w:t>
      </w:r>
    </w:p>
    <w:p w14:paraId="3AC2BF1C">
      <w:pPr>
        <w:spacing w:line="360" w:lineRule="exact"/>
        <w:ind w:left="25" w:leftChars="12" w:firstLine="310" w:firstLineChars="147"/>
        <w:rPr>
          <w:rFonts w:ascii="宋体" w:hAnsi="宋体" w:eastAsia="宋体" w:cs="宋体"/>
          <w:b/>
          <w:color w:val="auto"/>
          <w:kern w:val="0"/>
          <w:szCs w:val="21"/>
          <w:highlight w:val="none"/>
          <w:lang w:val="zh-CN"/>
        </w:rPr>
        <w:sectPr>
          <w:pgSz w:w="11906" w:h="16838"/>
          <w:pgMar w:top="1332" w:right="1434" w:bottom="1332" w:left="1434" w:header="850" w:footer="992" w:gutter="0"/>
          <w:cols w:space="0" w:num="1"/>
          <w:rtlGutter w:val="0"/>
          <w:docGrid w:type="lines" w:linePitch="315" w:charSpace="0"/>
        </w:sectPr>
      </w:pPr>
      <w:r>
        <w:rPr>
          <w:rFonts w:hint="eastAsia" w:ascii="宋体" w:hAnsi="宋体" w:eastAsia="宋体" w:cs="宋体"/>
          <w:b/>
          <w:color w:val="auto"/>
          <w:kern w:val="0"/>
          <w:szCs w:val="21"/>
          <w:highlight w:val="none"/>
          <w:lang w:val="zh-CN"/>
        </w:rPr>
        <w:t>5.质疑供应商为法人或者其他组织的，质疑函应由法定代表人、主要负责人，或者其授权代表签字或者盖章，并加盖公章。</w:t>
      </w:r>
    </w:p>
    <w:p w14:paraId="1E36CB3E">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bookmarkStart w:id="110" w:name="_Toc108596907"/>
    </w:p>
    <w:p w14:paraId="7151DBA8">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p>
    <w:p w14:paraId="69BDAEFA">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p>
    <w:p w14:paraId="351A5D30">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pPr>
    </w:p>
    <w:p w14:paraId="477545ED">
      <w:pPr>
        <w:widowControl/>
        <w:tabs>
          <w:tab w:val="left" w:pos="0"/>
          <w:tab w:val="left" w:pos="3165"/>
          <w:tab w:val="center" w:pos="4153"/>
        </w:tabs>
        <w:autoSpaceDE w:val="0"/>
        <w:autoSpaceDN w:val="0"/>
        <w:adjustRightInd w:val="0"/>
        <w:spacing w:before="340" w:after="340" w:line="360" w:lineRule="auto"/>
        <w:jc w:val="center"/>
        <w:outlineLvl w:val="0"/>
        <w:rPr>
          <w:rFonts w:ascii="宋体" w:hAnsi="宋体" w:eastAsia="宋体" w:cs="宋体"/>
          <w:b/>
          <w:bCs/>
          <w:color w:val="auto"/>
          <w:kern w:val="44"/>
          <w:sz w:val="44"/>
          <w:szCs w:val="44"/>
          <w:highlight w:val="none"/>
        </w:rPr>
        <w:sectPr>
          <w:pgSz w:w="11906" w:h="16838"/>
          <w:pgMar w:top="1332" w:right="1434" w:bottom="1332" w:left="1434" w:header="850" w:footer="992" w:gutter="0"/>
          <w:cols w:space="0" w:num="1"/>
          <w:rtlGutter w:val="0"/>
          <w:docGrid w:type="lines" w:linePitch="315" w:charSpace="0"/>
        </w:sectPr>
      </w:pPr>
      <w:r>
        <w:rPr>
          <w:rFonts w:hint="eastAsia" w:ascii="宋体" w:hAnsi="宋体" w:eastAsia="宋体" w:cs="宋体"/>
          <w:b/>
          <w:bCs/>
          <w:color w:val="auto"/>
          <w:kern w:val="44"/>
          <w:sz w:val="44"/>
          <w:szCs w:val="44"/>
          <w:highlight w:val="none"/>
        </w:rPr>
        <w:t>第六章 合同文本</w:t>
      </w:r>
      <w:bookmarkEnd w:id="110"/>
    </w:p>
    <w:p w14:paraId="22B8C93F">
      <w:pPr>
        <w:spacing w:line="560" w:lineRule="exact"/>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14:paraId="1F09D6A1">
      <w:pPr>
        <w:spacing w:line="560" w:lineRule="exact"/>
        <w:ind w:firstLine="420" w:firstLineChars="200"/>
        <w:jc w:val="left"/>
        <w:rPr>
          <w:rFonts w:hint="eastAsia" w:ascii="宋体" w:hAnsi="宋体" w:eastAsia="宋体" w:cs="宋体"/>
          <w:color w:val="auto"/>
          <w:sz w:val="21"/>
          <w:szCs w:val="21"/>
          <w:highlight w:val="none"/>
        </w:rPr>
      </w:pPr>
    </w:p>
    <w:p w14:paraId="1833CD1A">
      <w:pPr>
        <w:keepNext w:val="0"/>
        <w:keepLines w:val="0"/>
        <w:pageBreakBefore w:val="0"/>
        <w:kinsoku/>
        <w:wordWrap/>
        <w:overflowPunct/>
        <w:topLinePunct w:val="0"/>
        <w:autoSpaceDE/>
        <w:autoSpaceDN/>
        <w:bidi w:val="0"/>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93E8F5F">
      <w:pPr>
        <w:keepNext w:val="0"/>
        <w:keepLines w:val="0"/>
        <w:pageBreakBefore w:val="0"/>
        <w:kinsoku/>
        <w:wordWrap/>
        <w:overflowPunct/>
        <w:topLinePunct w:val="0"/>
        <w:autoSpaceDE/>
        <w:autoSpaceDN/>
        <w:bidi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2766163">
      <w:pPr>
        <w:keepNext w:val="0"/>
        <w:keepLines w:val="0"/>
        <w:pageBreakBefore w:val="0"/>
        <w:kinsoku/>
        <w:wordWrap/>
        <w:overflowPunct/>
        <w:topLinePunct w:val="0"/>
        <w:autoSpaceDE/>
        <w:autoSpaceDN/>
        <w:bidi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28B0A09F">
      <w:pPr>
        <w:keepNext w:val="0"/>
        <w:keepLines w:val="0"/>
        <w:pageBreakBefore w:val="0"/>
        <w:kinsoku/>
        <w:wordWrap/>
        <w:overflowPunct/>
        <w:topLinePunct w:val="0"/>
        <w:autoSpaceDE/>
        <w:autoSpaceDN/>
        <w:bidi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FDDCEFB">
      <w:pPr>
        <w:keepNext w:val="0"/>
        <w:keepLines w:val="0"/>
        <w:pageBreakBefore w:val="0"/>
        <w:kinsoku/>
        <w:wordWrap/>
        <w:overflowPunct/>
        <w:topLinePunct w:val="0"/>
        <w:autoSpaceDE/>
        <w:autoSpaceDN/>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622A971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olor w:val="auto"/>
          <w:szCs w:val="21"/>
          <w:highlight w:val="none"/>
          <w:lang w:eastAsia="zh-CN"/>
        </w:rPr>
      </w:pPr>
      <w:r>
        <w:rPr>
          <w:rFonts w:hint="eastAsia" w:hAnsi="宋体"/>
          <w:color w:val="auto"/>
          <w:szCs w:val="21"/>
          <w:highlight w:val="none"/>
          <w:lang w:eastAsia="zh-CN"/>
        </w:rPr>
        <w:t>根据《中华人民共和国政府采购法》《中华人民共和国民法典》等法律、法规规定，按照磋商文件规定条款和乙方响应文件及其承诺，甲乙双方签订本合同。</w:t>
      </w:r>
    </w:p>
    <w:p w14:paraId="297FAA28">
      <w:pPr>
        <w:keepNext w:val="0"/>
        <w:keepLines w:val="0"/>
        <w:pageBreakBefore w:val="0"/>
        <w:widowControl w:val="0"/>
        <w:kinsoku/>
        <w:wordWrap/>
        <w:overflowPunct/>
        <w:topLinePunct w:val="0"/>
        <w:autoSpaceDE/>
        <w:autoSpaceDN/>
        <w:bidi w:val="0"/>
        <w:adjustRightInd/>
        <w:spacing w:line="324" w:lineRule="auto"/>
        <w:ind w:right="0" w:rightChars="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7E2E4D5">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1、合同金额：</w:t>
      </w:r>
    </w:p>
    <w:p w14:paraId="0984A8EF">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2、项目一览表</w:t>
      </w:r>
    </w:p>
    <w:tbl>
      <w:tblPr>
        <w:tblStyle w:val="27"/>
        <w:tblW w:w="905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45"/>
        <w:gridCol w:w="2411"/>
        <w:gridCol w:w="1111"/>
        <w:gridCol w:w="1200"/>
        <w:gridCol w:w="1300"/>
        <w:gridCol w:w="1207"/>
      </w:tblGrid>
      <w:tr w14:paraId="2164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14:paraId="4413EBC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序号</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1286825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标的名称</w:t>
            </w:r>
          </w:p>
        </w:tc>
        <w:tc>
          <w:tcPr>
            <w:tcW w:w="2411" w:type="dxa"/>
            <w:tcBorders>
              <w:top w:val="single" w:color="auto" w:sz="4" w:space="0"/>
              <w:left w:val="single" w:color="auto" w:sz="4" w:space="0"/>
              <w:bottom w:val="single" w:color="auto" w:sz="4" w:space="0"/>
              <w:right w:val="single" w:color="auto" w:sz="4" w:space="0"/>
            </w:tcBorders>
            <w:noWrap w:val="0"/>
            <w:vAlign w:val="center"/>
          </w:tcPr>
          <w:p w14:paraId="28BDD2CF">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color w:val="auto"/>
                <w:highlight w:val="none"/>
              </w:rPr>
              <w:t>服务</w:t>
            </w:r>
            <w:r>
              <w:rPr>
                <w:rFonts w:hint="eastAsia"/>
                <w:color w:val="auto"/>
                <w:highlight w:val="none"/>
                <w:lang w:eastAsia="zh-CN"/>
              </w:rPr>
              <w:t>内容及</w:t>
            </w:r>
            <w:r>
              <w:rPr>
                <w:rFonts w:hint="eastAsia"/>
                <w:color w:val="auto"/>
                <w:highlight w:val="none"/>
              </w:rPr>
              <w:t>要求</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096C73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84FED2">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08586C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单价（元）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9CFDD86">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总价（元）</w:t>
            </w:r>
          </w:p>
        </w:tc>
      </w:tr>
      <w:tr w14:paraId="65DD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14:paraId="519E0A5F">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44AE9F1">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2411" w:type="dxa"/>
            <w:tcBorders>
              <w:top w:val="single" w:color="auto" w:sz="4" w:space="0"/>
              <w:left w:val="single" w:color="auto" w:sz="4" w:space="0"/>
              <w:bottom w:val="single" w:color="auto" w:sz="4" w:space="0"/>
              <w:right w:val="single" w:color="auto" w:sz="4" w:space="0"/>
            </w:tcBorders>
            <w:noWrap w:val="0"/>
            <w:vAlign w:val="center"/>
          </w:tcPr>
          <w:p w14:paraId="48F3A54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4E45AC4">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6275632">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65F14B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B49F2B3">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p>
        </w:tc>
      </w:tr>
      <w:tr w14:paraId="0624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50" w:type="dxa"/>
            <w:gridSpan w:val="7"/>
            <w:tcBorders>
              <w:top w:val="single" w:color="auto" w:sz="4" w:space="0"/>
              <w:left w:val="single" w:color="auto" w:sz="4" w:space="0"/>
              <w:bottom w:val="single" w:color="auto" w:sz="4" w:space="0"/>
              <w:right w:val="single" w:color="auto" w:sz="4" w:space="0"/>
            </w:tcBorders>
            <w:noWrap w:val="0"/>
            <w:vAlign w:val="center"/>
          </w:tcPr>
          <w:p w14:paraId="38DAA2D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jc w:val="center"/>
              <w:textAlignment w:val="auto"/>
              <w:rPr>
                <w:rFonts w:hAnsi="宋体" w:cs="宋体"/>
                <w:color w:val="auto"/>
                <w:highlight w:val="none"/>
              </w:rPr>
            </w:pPr>
            <w:r>
              <w:rPr>
                <w:rFonts w:hint="eastAsia" w:hAnsi="宋体" w:cs="宋体"/>
                <w:color w:val="auto"/>
                <w:highlight w:val="none"/>
              </w:rPr>
              <w:t>详见报价表</w:t>
            </w:r>
          </w:p>
        </w:tc>
      </w:tr>
      <w:tr w14:paraId="1DF3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50" w:type="dxa"/>
            <w:gridSpan w:val="7"/>
            <w:tcBorders>
              <w:top w:val="single" w:color="auto" w:sz="4" w:space="0"/>
              <w:left w:val="single" w:color="auto" w:sz="4" w:space="0"/>
              <w:bottom w:val="single" w:color="auto" w:sz="4" w:space="0"/>
              <w:right w:val="single" w:color="auto" w:sz="4" w:space="0"/>
            </w:tcBorders>
            <w:noWrap w:val="0"/>
            <w:vAlign w:val="center"/>
          </w:tcPr>
          <w:p w14:paraId="68C0FFF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0" w:firstLineChars="0"/>
              <w:textAlignment w:val="auto"/>
              <w:rPr>
                <w:rFonts w:hAnsi="宋体" w:cs="宋体"/>
                <w:color w:val="auto"/>
                <w:highlight w:val="none"/>
              </w:rPr>
            </w:pPr>
            <w:r>
              <w:rPr>
                <w:rFonts w:hint="eastAsia" w:hAnsi="宋体" w:cs="宋体"/>
                <w:color w:val="auto"/>
                <w:highlight w:val="none"/>
              </w:rPr>
              <w:t>合计金额（大写）：</w:t>
            </w:r>
            <w:r>
              <w:rPr>
                <w:rFonts w:hint="eastAsia" w:hAnsi="宋体" w:cs="宋体"/>
                <w:color w:val="auto"/>
                <w:highlight w:val="none"/>
                <w:u w:val="single"/>
              </w:rPr>
              <w:t>人民币</w:t>
            </w:r>
            <w:r>
              <w:rPr>
                <w:rFonts w:hAnsi="宋体" w:cs="宋体"/>
                <w:color w:val="auto"/>
                <w:highlight w:val="none"/>
                <w:u w:val="single"/>
              </w:rPr>
              <w:t xml:space="preserve">     </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元整（¥</w:t>
            </w:r>
            <w:r>
              <w:rPr>
                <w:rFonts w:hAnsi="宋体" w:cs="宋体"/>
                <w:color w:val="auto"/>
                <w:highlight w:val="none"/>
                <w:u w:val="single"/>
              </w:rPr>
              <w:t xml:space="preserve">           </w:t>
            </w:r>
            <w:r>
              <w:rPr>
                <w:rFonts w:hint="eastAsia" w:hAnsi="宋体" w:cs="宋体"/>
                <w:color w:val="auto"/>
                <w:highlight w:val="none"/>
              </w:rPr>
              <w:t xml:space="preserve">）              </w:t>
            </w:r>
          </w:p>
        </w:tc>
      </w:tr>
    </w:tbl>
    <w:p w14:paraId="1F6887C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Ansi="宋体" w:cs="宋体"/>
          <w:color w:val="auto"/>
          <w:highlight w:val="none"/>
        </w:rPr>
        <w:t>3</w:t>
      </w:r>
      <w:r>
        <w:rPr>
          <w:rFonts w:hint="eastAsia" w:hAnsi="宋体" w:cs="宋体"/>
          <w:color w:val="auto"/>
          <w:highlight w:val="none"/>
        </w:rPr>
        <w:t>、合同合计金额包括但不限于满足本次竞标全部采购需求所应提供的服务。</w:t>
      </w:r>
    </w:p>
    <w:p w14:paraId="59C4140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1</w:t>
      </w:r>
      <w:r>
        <w:rPr>
          <w:rFonts w:hint="eastAsia" w:hAnsi="宋体"/>
          <w:color w:val="auto"/>
          <w:szCs w:val="21"/>
          <w:highlight w:val="none"/>
          <w:lang w:eastAsia="zh-CN"/>
        </w:rPr>
        <w:t>）必须包含但不限于以下部分：服务的价格、人工工资、设备、</w:t>
      </w:r>
      <w:r>
        <w:rPr>
          <w:rFonts w:hint="eastAsia" w:hAnsi="宋体"/>
          <w:color w:val="auto"/>
          <w:szCs w:val="21"/>
          <w:highlight w:val="none"/>
          <w:lang w:val="en-US" w:eastAsia="zh-CN"/>
        </w:rPr>
        <w:t>运维</w:t>
      </w:r>
      <w:r>
        <w:rPr>
          <w:rFonts w:hint="eastAsia" w:hAnsi="宋体"/>
          <w:color w:val="auto"/>
          <w:szCs w:val="21"/>
          <w:highlight w:val="none"/>
          <w:lang w:eastAsia="zh-CN"/>
        </w:rPr>
        <w:t>、编制报告、技术指导、售后服务、交通、通信、调试、培训、验收、保险、税金等和本项目相关的所需要的一切费用</w:t>
      </w:r>
      <w:r>
        <w:rPr>
          <w:rFonts w:hint="eastAsia" w:hAnsi="宋体" w:cs="宋体"/>
          <w:color w:val="auto"/>
          <w:highlight w:val="none"/>
        </w:rPr>
        <w:t>。</w:t>
      </w:r>
    </w:p>
    <w:p w14:paraId="662C3F6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第二条　质量保证</w:t>
      </w:r>
    </w:p>
    <w:p w14:paraId="0DC58C8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14911A1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color w:val="auto"/>
          <w:highlight w:val="none"/>
        </w:rPr>
      </w:pPr>
      <w:r>
        <w:rPr>
          <w:rFonts w:hint="eastAsia" w:hAnsi="宋体" w:cs="宋体"/>
          <w:b/>
          <w:color w:val="auto"/>
          <w:highlight w:val="none"/>
        </w:rPr>
        <w:t>第三条　权利保证</w:t>
      </w:r>
    </w:p>
    <w:p w14:paraId="3126470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1、乙方应保证所提供服务在使用时不会侵犯任何第三方的专利权、商标权、</w:t>
      </w:r>
      <w:r>
        <w:rPr>
          <w:rFonts w:hint="eastAsia" w:hAnsi="宋体" w:cs="宋体"/>
          <w:color w:val="auto"/>
          <w:highlight w:val="none"/>
          <w:lang w:eastAsia="zh-CN"/>
        </w:rPr>
        <w:t>著作权</w:t>
      </w:r>
      <w:r>
        <w:rPr>
          <w:rFonts w:hint="eastAsia" w:hAnsi="宋体" w:cs="宋体"/>
          <w:color w:val="auto"/>
          <w:highlight w:val="none"/>
        </w:rPr>
        <w:t>等知识产权及其他合法权利，且所有权、处分权等没有受到任何限制。</w:t>
      </w:r>
    </w:p>
    <w:p w14:paraId="67FA2B1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EAF338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color w:val="auto"/>
          <w:highlight w:val="none"/>
        </w:rPr>
      </w:pPr>
      <w:r>
        <w:rPr>
          <w:rFonts w:hint="eastAsia" w:hAnsi="宋体" w:cs="宋体"/>
          <w:b/>
          <w:color w:val="auto"/>
          <w:highlight w:val="none"/>
        </w:rPr>
        <w:t>第四条　交付和验收</w:t>
      </w:r>
    </w:p>
    <w:p w14:paraId="345D56B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lang w:val="en-US" w:eastAsia="zh-CN"/>
        </w:rPr>
        <w:t>运维服务时间：</w:t>
      </w:r>
      <w:r>
        <w:rPr>
          <w:rFonts w:hint="eastAsia" w:hAnsi="宋体" w:cs="宋体"/>
          <w:color w:val="auto"/>
          <w:highlight w:val="none"/>
          <w:u w:val="single"/>
          <w:lang w:val="en-US" w:eastAsia="zh-CN"/>
        </w:rPr>
        <w:t>自合同签订之日起一年</w:t>
      </w:r>
      <w:r>
        <w:rPr>
          <w:rFonts w:hint="eastAsia" w:hAnsi="宋体" w:cs="宋体"/>
          <w:color w:val="auto"/>
          <w:highlight w:val="none"/>
        </w:rPr>
        <w:t>，服务地点：</w:t>
      </w:r>
      <w:r>
        <w:rPr>
          <w:rFonts w:hint="eastAsia" w:hAnsi="宋体" w:cs="宋体"/>
          <w:color w:val="auto"/>
          <w:highlight w:val="none"/>
          <w:u w:val="single"/>
          <w:lang w:eastAsia="zh-CN"/>
        </w:rPr>
        <w:t>甲方</w:t>
      </w:r>
      <w:r>
        <w:rPr>
          <w:rFonts w:hint="eastAsia" w:hAnsi="宋体" w:cs="宋体"/>
          <w:color w:val="auto"/>
          <w:highlight w:val="none"/>
          <w:u w:val="single"/>
          <w:lang w:val="en-US" w:eastAsia="zh-CN"/>
        </w:rPr>
        <w:t>指定地点</w:t>
      </w:r>
      <w:r>
        <w:rPr>
          <w:rFonts w:hint="eastAsia" w:hAnsi="宋体" w:cs="宋体"/>
          <w:color w:val="auto"/>
          <w:highlight w:val="none"/>
        </w:rPr>
        <w:t>。</w:t>
      </w:r>
    </w:p>
    <w:p w14:paraId="673713DA">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2、乙方应按响应文件的承诺向甲方提供相应的服务，并提供所服务内容的相关技术资料。</w:t>
      </w:r>
    </w:p>
    <w:p w14:paraId="7C25E083">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3、乙方提供不符合响应文件和本合同规定的服务成果，甲方有权拒绝接受。</w:t>
      </w:r>
    </w:p>
    <w:p w14:paraId="115F3A7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CF0E00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5、甲乙双方应按照《广西壮族自治区政府采购项目履约验收管理办法》、双方合同、响应文件验收。</w:t>
      </w:r>
    </w:p>
    <w:p w14:paraId="0165E07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E82B704">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7、甲方验收时以书面形式提出异议的，乙方应自收到甲方书面异议后五个工作日内及时予以解决，否则甲方有权不出具服务验收合格单。</w:t>
      </w:r>
    </w:p>
    <w:p w14:paraId="754F812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8、项目中所有软件必须符合国产化相关要求，服务期内须按照最新的网络安全标准进行升级改造，不得另外收取费用。</w:t>
      </w:r>
    </w:p>
    <w:p w14:paraId="4D99392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9、项目验收前必须通过由建设单位选定的第三方测评机构进行的安全测试才能申请验收，涉及安全测试的费用由乙方支付。</w:t>
      </w:r>
    </w:p>
    <w:p w14:paraId="66A94136">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10、项目中购置的软件知识产权属于甲方，项目申请验收前须把数据字典、源代码等资料交给甲方。</w:t>
      </w:r>
    </w:p>
    <w:p w14:paraId="76058C49">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第五条  售后服务及培训</w:t>
      </w:r>
    </w:p>
    <w:p w14:paraId="496F0252">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right="0" w:rightChars="0" w:firstLine="420"/>
        <w:textAlignment w:val="auto"/>
        <w:rPr>
          <w:rFonts w:hAnsi="宋体" w:cs="宋体"/>
          <w:color w:val="auto"/>
          <w:highlight w:val="none"/>
        </w:rPr>
      </w:pPr>
      <w:r>
        <w:rPr>
          <w:rFonts w:hint="eastAsia" w:hAnsi="宋体" w:cs="宋体"/>
          <w:color w:val="auto"/>
          <w:highlight w:val="none"/>
        </w:rPr>
        <w:t>1、乙方应按照国家有关法律法规和本合同所附的《售后服务承诺》要求为甲方提供相应的售后服务。</w:t>
      </w:r>
    </w:p>
    <w:p w14:paraId="10B7E024">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2、甲方应提供必要测试条件（如场地、电源、水源等）。</w:t>
      </w:r>
    </w:p>
    <w:p w14:paraId="4FA82952">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3、乙方负责甲方有关人员的培训。培训时间、地点：</w:t>
      </w:r>
      <w:r>
        <w:rPr>
          <w:rFonts w:hint="eastAsia" w:hAnsi="宋体" w:cs="宋体"/>
          <w:color w:val="auto"/>
          <w:highlight w:val="none"/>
          <w:u w:val="single"/>
        </w:rPr>
        <w:t>甲方指定时间、指定地点</w:t>
      </w:r>
      <w:r>
        <w:rPr>
          <w:rFonts w:hint="eastAsia" w:hAnsi="宋体" w:cs="宋体"/>
          <w:color w:val="auto"/>
          <w:highlight w:val="none"/>
        </w:rPr>
        <w:t>。</w:t>
      </w:r>
    </w:p>
    <w:p w14:paraId="14F21643">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right="0" w:rightChars="0" w:firstLine="422"/>
        <w:textAlignment w:val="auto"/>
        <w:rPr>
          <w:rFonts w:hAnsi="宋体" w:cs="宋体"/>
          <w:color w:val="auto"/>
          <w:highlight w:val="none"/>
          <w:u w:val="single"/>
        </w:rPr>
      </w:pPr>
      <w:r>
        <w:rPr>
          <w:rFonts w:hint="eastAsia" w:hAnsi="宋体" w:cs="宋体"/>
          <w:b/>
          <w:color w:val="auto"/>
          <w:highlight w:val="none"/>
        </w:rPr>
        <w:t>第六条　付款方式</w:t>
      </w:r>
    </w:p>
    <w:p w14:paraId="73B2F8A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甲乙双方同意本合同金额的支付按以下第</w:t>
      </w:r>
      <w:r>
        <w:rPr>
          <w:rFonts w:hint="eastAsia" w:hAnsi="宋体" w:cs="宋体"/>
          <w:color w:val="auto"/>
          <w:highlight w:val="none"/>
          <w:lang w:val="en-US" w:eastAsia="zh-CN"/>
        </w:rPr>
        <w:t xml:space="preserve"> 2 </w:t>
      </w:r>
      <w:r>
        <w:rPr>
          <w:rFonts w:hint="eastAsia" w:hAnsi="宋体" w:cs="宋体"/>
          <w:color w:val="auto"/>
          <w:highlight w:val="none"/>
        </w:rPr>
        <w:t>项约定执行：</w:t>
      </w:r>
    </w:p>
    <w:p w14:paraId="6E8FB38C">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lang w:eastAsia="zh-CN"/>
        </w:rPr>
      </w:pPr>
      <w:r>
        <w:rPr>
          <w:rFonts w:hint="eastAsia" w:hAnsi="宋体" w:cs="宋体"/>
          <w:color w:val="auto"/>
          <w:highlight w:val="none"/>
        </w:rPr>
        <w:t>1、一次性支付</w:t>
      </w:r>
      <w:r>
        <w:rPr>
          <w:rFonts w:hint="eastAsia" w:hAnsi="宋体" w:cs="宋体"/>
          <w:color w:val="auto"/>
          <w:highlight w:val="none"/>
          <w:lang w:eastAsia="zh-CN"/>
        </w:rPr>
        <w:t>。</w:t>
      </w:r>
    </w:p>
    <w:p w14:paraId="5C9F6C0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2、分期支付：签订合同之日起10个工作日内预付款合同总金额的35%，</w:t>
      </w:r>
      <w:r>
        <w:rPr>
          <w:rFonts w:hint="eastAsia" w:hAnsi="宋体" w:cs="宋体"/>
          <w:color w:val="auto"/>
          <w:highlight w:val="none"/>
          <w:lang w:eastAsia="zh-CN"/>
        </w:rPr>
        <w:t>乙方</w:t>
      </w:r>
      <w:r>
        <w:rPr>
          <w:rFonts w:hint="eastAsia" w:hAnsi="宋体" w:cs="宋体"/>
          <w:color w:val="auto"/>
          <w:highlight w:val="none"/>
        </w:rPr>
        <w:t>正式入驻并提供服务6个月，支付合同总金额的50%，项目合同期满通过验收并完成移交工作后，支付合同总额的15%，</w:t>
      </w:r>
      <w:r>
        <w:rPr>
          <w:rFonts w:hint="eastAsia" w:hAnsi="宋体" w:cs="宋体"/>
          <w:color w:val="auto"/>
          <w:highlight w:val="none"/>
          <w:lang w:eastAsia="zh-CN"/>
        </w:rPr>
        <w:t>乙方</w:t>
      </w:r>
      <w:r>
        <w:rPr>
          <w:rFonts w:hint="eastAsia" w:hAnsi="宋体" w:cs="宋体"/>
          <w:color w:val="auto"/>
          <w:highlight w:val="none"/>
        </w:rPr>
        <w:t>自收到合同款之日起7个工作日内开具发票给</w:t>
      </w:r>
      <w:r>
        <w:rPr>
          <w:rFonts w:hint="eastAsia" w:hAnsi="宋体" w:cs="宋体"/>
          <w:color w:val="auto"/>
          <w:highlight w:val="none"/>
          <w:lang w:eastAsia="zh-CN"/>
        </w:rPr>
        <w:t>甲方</w:t>
      </w:r>
      <w:r>
        <w:rPr>
          <w:rFonts w:hint="eastAsia" w:hAnsi="宋体" w:cs="宋体"/>
          <w:color w:val="auto"/>
          <w:highlight w:val="none"/>
        </w:rPr>
        <w:t>。</w:t>
      </w:r>
    </w:p>
    <w:p w14:paraId="158B7E34">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第七条　履约保证金</w:t>
      </w:r>
    </w:p>
    <w:p w14:paraId="5064E620">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right="0" w:rightChars="0" w:firstLine="420"/>
        <w:textAlignment w:val="auto"/>
        <w:rPr>
          <w:rFonts w:hAnsi="宋体" w:cs="宋体"/>
          <w:bCs/>
          <w:color w:val="auto"/>
          <w:highlight w:val="none"/>
        </w:rPr>
      </w:pPr>
      <w:r>
        <w:rPr>
          <w:rFonts w:hint="eastAsia" w:hAnsi="宋体" w:cs="宋体"/>
          <w:bCs/>
          <w:color w:val="auto"/>
          <w:highlight w:val="none"/>
        </w:rPr>
        <w:t>本项目不收取履约保证金。</w:t>
      </w:r>
    </w:p>
    <w:p w14:paraId="3EE6A2FD">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第八条  税费</w:t>
      </w:r>
    </w:p>
    <w:p w14:paraId="102121B1">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本合同执行中依法产生的应由甲方或者乙方承担的一切税费均由乙方负担，合同另有约定的除外。</w:t>
      </w:r>
    </w:p>
    <w:p w14:paraId="1C1C105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第九条　违约责任</w:t>
      </w:r>
    </w:p>
    <w:p w14:paraId="31D5F859">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1、除不可抗力原因外，乙方没有按照合同规定的时间提供服务的，甲方可要求乙方支付违约金。每推迟一天按合同金额的3‰支付违约金，该违约金累计不超过合同金额的10%。</w:t>
      </w:r>
    </w:p>
    <w:p w14:paraId="3293937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2、乙方提供的服务如侵犯了第三方合法权益而引发的任何纠纷或者诉讼，均由乙方负责交涉并承担全部责任。</w:t>
      </w:r>
    </w:p>
    <w:p w14:paraId="14B612CD">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3、甲方延期付款的，每天向乙方偿付延期款额3‰违约金，但违约金累计不得超过延期款额5%。</w:t>
      </w:r>
    </w:p>
    <w:p w14:paraId="53E504FA">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4、除不可抗力原因外，乙方没有按照采购文件、响应文件或合同约定的质量要求提供服务的，甲方有权要求乙方限期改正，乙方逾期改正超一天按合同金额3‰支付违约金，该违约金累计不超过合同金额的10%；乙方不得将本合同约定的服务项目转包、分包第三方，否则甲方有权单方面解除合同，要求乙方退还甲方已支付的合同价款，并向甲方支付合同总金额30%的违约金，违约金不足以弥补甲方损失的，乙方应继续赔偿。</w:t>
      </w:r>
    </w:p>
    <w:p w14:paraId="1A5CA49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5、未经甲方同意，乙方不能擅自更换运营团队服务人员，否则甲方有权中止合同，并要求乙方支付不高于合同总金额30％的违约金，违约金无法弥补甲方损失的，乙方应继续赔偿。</w:t>
      </w:r>
    </w:p>
    <w:p w14:paraId="7B9472C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lang w:val="en-US" w:eastAsia="zh-CN"/>
        </w:rPr>
      </w:pPr>
      <w:r>
        <w:rPr>
          <w:rFonts w:hint="eastAsia" w:hAnsi="宋体" w:cs="宋体"/>
          <w:color w:val="auto"/>
          <w:highlight w:val="none"/>
          <w:lang w:val="en-US" w:eastAsia="zh-CN"/>
        </w:rPr>
        <w:t>6、乙方不得将机密信息泄露、告知、公布、发布、出版、传授、转让给任何第三方或以其他任何方式予以披露，否则，甲方有权向乙方追责，要求乙方支付合同总金额30％的违约金并赔偿因此给甲方造成的一切损失。</w:t>
      </w:r>
    </w:p>
    <w:p w14:paraId="7252210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default" w:hAnsi="宋体" w:cs="宋体"/>
          <w:color w:val="auto"/>
          <w:highlight w:val="none"/>
          <w:lang w:val="en-US" w:eastAsia="zh-CN"/>
        </w:rPr>
      </w:pPr>
      <w:r>
        <w:rPr>
          <w:rFonts w:hint="eastAsia" w:hAnsi="宋体" w:cs="宋体"/>
          <w:color w:val="auto"/>
          <w:highlight w:val="none"/>
          <w:lang w:val="en-US" w:eastAsia="zh-CN"/>
        </w:rPr>
        <w:t>7、其他违约行为按合同总金额的5%收取违约金并赔偿经济损失。</w:t>
      </w:r>
    </w:p>
    <w:p w14:paraId="67DDEDEA">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第十条  不可抗力事件处理</w:t>
      </w:r>
    </w:p>
    <w:p w14:paraId="285B220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11D67A1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2、不可抗力事件发生后，应立即通知对方，并寄送有关权威机构出具的证明。</w:t>
      </w:r>
    </w:p>
    <w:p w14:paraId="472EC2EC">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7584D4B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color w:val="auto"/>
          <w:highlight w:val="none"/>
        </w:rPr>
      </w:pPr>
      <w:r>
        <w:rPr>
          <w:rFonts w:hint="eastAsia" w:hAnsi="宋体" w:cs="宋体"/>
          <w:b/>
          <w:color w:val="auto"/>
          <w:highlight w:val="none"/>
        </w:rPr>
        <w:t>第十一条  合同争议解决</w:t>
      </w:r>
    </w:p>
    <w:p w14:paraId="5708FF1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1、因服务质量问题发生争议的，应邀请国家认可的质量检测机构进行鉴定。服务符合标准的，鉴定费由甲方承担；服务不符合标准的，鉴定费由乙方承担。</w:t>
      </w:r>
    </w:p>
    <w:p w14:paraId="0588CA0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2、因履行本合同引起的或者与本合同有关的争议，甲乙双方应首先通过友好协商解决，如果协商不能解决，可向甲方所在地有管辖权的人民法院提起诉讼。</w:t>
      </w:r>
    </w:p>
    <w:p w14:paraId="35E70A8B">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hAnsi="宋体" w:cs="宋体"/>
          <w:color w:val="auto"/>
          <w:highlight w:val="none"/>
        </w:rPr>
      </w:pPr>
      <w:r>
        <w:rPr>
          <w:rFonts w:hint="eastAsia" w:hAnsi="宋体" w:cs="宋体"/>
          <w:color w:val="auto"/>
          <w:highlight w:val="none"/>
        </w:rPr>
        <w:t>3、诉讼期间，本合同继续履行。</w:t>
      </w:r>
    </w:p>
    <w:p w14:paraId="72C4C92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第十二条  合同生效及其它</w:t>
      </w:r>
    </w:p>
    <w:p w14:paraId="16645DC4">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1、合同经双方法定代表人或者授权代表签字并加盖单位公章后生效（委托代理人签字的需后附授权委托书，格式自拟）。</w:t>
      </w:r>
    </w:p>
    <w:p w14:paraId="75D6523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2、合同执行中涉及采购资金和采购内容修改或者补充的，须经财政部门审批，并签书面补充协议报财政部门备案，方可作为主合同不可分割的一部分。</w:t>
      </w:r>
    </w:p>
    <w:p w14:paraId="63B9601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3、本合同未尽事宜，遵照《中华人民共和国民法典》有关条文执行。</w:t>
      </w:r>
    </w:p>
    <w:p w14:paraId="1ECFE4D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第十三条　合同的变更、终止与转让</w:t>
      </w:r>
    </w:p>
    <w:p w14:paraId="3DE31B1A">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1、除《中华人民共和国政府采购法》第五十条规定的情形外，本合同一经签订，甲乙双方不得擅自变更、中止或者终止。</w:t>
      </w:r>
    </w:p>
    <w:p w14:paraId="162F4840">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2、乙方不得擅自转让其应履行的合同义务。</w:t>
      </w:r>
    </w:p>
    <w:p w14:paraId="7BE46DFF">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Ansi="宋体" w:cs="宋体"/>
          <w:b/>
          <w:color w:val="auto"/>
          <w:highlight w:val="none"/>
        </w:rPr>
      </w:pPr>
      <w:r>
        <w:rPr>
          <w:rFonts w:hint="eastAsia" w:hAnsi="宋体" w:cs="宋体"/>
          <w:b/>
          <w:color w:val="auto"/>
          <w:highlight w:val="none"/>
        </w:rPr>
        <w:t>第十四条　签订本合同依据</w:t>
      </w:r>
    </w:p>
    <w:p w14:paraId="133B01B7">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1、</w:t>
      </w:r>
      <w:r>
        <w:rPr>
          <w:rFonts w:hint="eastAsia" w:hAnsi="宋体"/>
          <w:color w:val="auto"/>
          <w:highlight w:val="none"/>
        </w:rPr>
        <w:t>成交通知书</w:t>
      </w:r>
      <w:r>
        <w:rPr>
          <w:rFonts w:hint="eastAsia" w:hAnsi="宋体" w:cs="宋体"/>
          <w:color w:val="auto"/>
          <w:highlight w:val="none"/>
        </w:rPr>
        <w:t>；</w:t>
      </w:r>
    </w:p>
    <w:p w14:paraId="6A7B49F4">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2、竞标报价表；</w:t>
      </w:r>
    </w:p>
    <w:p w14:paraId="1B14585E">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3、商务要求偏离表和技术要求偏离表；</w:t>
      </w:r>
    </w:p>
    <w:p w14:paraId="0EA6D463">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Ansi="宋体" w:cs="宋体"/>
          <w:color w:val="auto"/>
          <w:highlight w:val="none"/>
        </w:rPr>
        <w:t>4</w:t>
      </w:r>
      <w:r>
        <w:rPr>
          <w:rFonts w:hint="eastAsia" w:hAnsi="宋体" w:cs="宋体"/>
          <w:color w:val="auto"/>
          <w:highlight w:val="none"/>
        </w:rPr>
        <w:t>、响应文件；</w:t>
      </w:r>
    </w:p>
    <w:p w14:paraId="193292A8">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int="eastAsia" w:hAnsi="宋体" w:cs="宋体"/>
          <w:color w:val="auto"/>
          <w:highlight w:val="none"/>
        </w:rPr>
        <w:t>5、响应文件中的其他相关文件。</w:t>
      </w:r>
    </w:p>
    <w:p w14:paraId="382DA072">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0"/>
        <w:textAlignment w:val="auto"/>
        <w:rPr>
          <w:rFonts w:hAnsi="宋体" w:cs="宋体"/>
          <w:color w:val="auto"/>
          <w:highlight w:val="none"/>
        </w:rPr>
      </w:pPr>
      <w:r>
        <w:rPr>
          <w:rFonts w:hAnsi="宋体" w:cs="宋体"/>
          <w:color w:val="auto"/>
          <w:highlight w:val="none"/>
        </w:rPr>
        <w:t>6</w:t>
      </w:r>
      <w:r>
        <w:rPr>
          <w:rFonts w:hint="eastAsia" w:hAnsi="宋体" w:cs="宋体"/>
          <w:color w:val="auto"/>
          <w:highlight w:val="none"/>
        </w:rPr>
        <w:t>、上述合同文件互相补充和解释。如果合同文件之间存在矛盾或者不一致之处，以上述文件的排列顺序在先者为准。</w:t>
      </w:r>
    </w:p>
    <w:p w14:paraId="0E46574F">
      <w:pPr>
        <w:keepNext w:val="0"/>
        <w:keepLines w:val="0"/>
        <w:pageBreakBefore w:val="0"/>
        <w:widowControl w:val="0"/>
        <w:shd w:val="clear" w:color="auto" w:fill="auto"/>
        <w:kinsoku/>
        <w:wordWrap/>
        <w:overflowPunct/>
        <w:topLinePunct w:val="0"/>
        <w:autoSpaceDE/>
        <w:autoSpaceDN/>
        <w:bidi w:val="0"/>
        <w:adjustRightInd/>
        <w:spacing w:line="324" w:lineRule="auto"/>
        <w:ind w:right="0" w:rightChars="0" w:firstLine="422"/>
        <w:textAlignment w:val="auto"/>
        <w:rPr>
          <w:rFonts w:hint="eastAsia" w:ascii="宋体" w:hAnsi="宋体" w:cs="宋体"/>
          <w:color w:val="auto"/>
          <w:szCs w:val="21"/>
          <w:highlight w:val="none"/>
        </w:rPr>
      </w:pPr>
      <w:r>
        <w:rPr>
          <w:rFonts w:hint="eastAsia" w:hAnsi="宋体" w:cs="宋体"/>
          <w:b/>
          <w:color w:val="auto"/>
          <w:highlight w:val="none"/>
        </w:rPr>
        <w:t>第十五条　</w:t>
      </w:r>
      <w:r>
        <w:rPr>
          <w:rFonts w:hint="eastAsia" w:hAnsi="宋体" w:cs="宋体"/>
          <w:color w:val="auto"/>
          <w:highlight w:val="none"/>
        </w:rPr>
        <w:t>本合同壹式陆份，具有同等法律效力，甲乙双方各贰份、采购代理机构贰份</w:t>
      </w:r>
      <w:r>
        <w:rPr>
          <w:rFonts w:hint="eastAsia" w:ascii="宋体" w:hAnsi="宋体" w:cs="宋体"/>
          <w:color w:val="auto"/>
          <w:szCs w:val="21"/>
          <w:highlight w:val="none"/>
        </w:rPr>
        <w:t>。</w:t>
      </w:r>
    </w:p>
    <w:tbl>
      <w:tblPr>
        <w:tblStyle w:val="2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289"/>
      </w:tblGrid>
      <w:tr w14:paraId="38D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5D0EAFBB">
            <w:pPr>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甲方：（章）</w:t>
            </w:r>
          </w:p>
          <w:p w14:paraId="3D964B5F">
            <w:pPr>
              <w:keepNext w:val="0"/>
              <w:keepLines w:val="0"/>
              <w:pageBreakBefore w:val="0"/>
              <w:kinsoku/>
              <w:wordWrap/>
              <w:overflowPunct/>
              <w:topLinePunct w:val="0"/>
              <w:autoSpaceDE/>
              <w:autoSpaceDN/>
              <w:bidi w:val="0"/>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37E971BE">
            <w:pPr>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4C22F29C">
            <w:pPr>
              <w:keepNext w:val="0"/>
              <w:keepLines w:val="0"/>
              <w:pageBreakBefore w:val="0"/>
              <w:kinsoku/>
              <w:wordWrap/>
              <w:overflowPunct/>
              <w:topLinePunct w:val="0"/>
              <w:autoSpaceDE/>
              <w:autoSpaceDN/>
              <w:bidi w:val="0"/>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03B1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376E9625">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41CF7A0E">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4438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651324C4">
            <w:pPr>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法定代表人或委托人：</w:t>
            </w:r>
          </w:p>
          <w:p w14:paraId="38C71677">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（盖章或签字）</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07D314D2">
            <w:pPr>
              <w:keepNext w:val="0"/>
              <w:keepLines w:val="0"/>
              <w:pageBreakBefore w:val="0"/>
              <w:kinsoku/>
              <w:wordWrap/>
              <w:overflowPunct/>
              <w:topLinePunct w:val="0"/>
              <w:autoSpaceDE/>
              <w:autoSpaceDN/>
              <w:bidi w:val="0"/>
              <w:snapToGrid w:val="0"/>
              <w:spacing w:line="360" w:lineRule="auto"/>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法定代表人或委托人：</w:t>
            </w:r>
          </w:p>
          <w:p w14:paraId="5A170043">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（盖章或签字）</w:t>
            </w:r>
          </w:p>
        </w:tc>
      </w:tr>
      <w:tr w14:paraId="25CC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45048AAB">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电话：</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1A8A8A79">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电话：</w:t>
            </w:r>
          </w:p>
        </w:tc>
      </w:tr>
      <w:tr w14:paraId="52F7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6BF64A38">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46E00546">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2931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446F1560">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账号：</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108CDC55">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账号：</w:t>
            </w:r>
          </w:p>
        </w:tc>
      </w:tr>
      <w:tr w14:paraId="3AA2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510" w:type="dxa"/>
            <w:tcBorders>
              <w:top w:val="single" w:color="auto" w:sz="4" w:space="0"/>
              <w:left w:val="single" w:color="auto" w:sz="4" w:space="0"/>
              <w:bottom w:val="single" w:color="auto" w:sz="4" w:space="0"/>
              <w:right w:val="single" w:color="auto" w:sz="4" w:space="0"/>
            </w:tcBorders>
            <w:noWrap w:val="0"/>
            <w:vAlign w:val="center"/>
          </w:tcPr>
          <w:p w14:paraId="5B5D9302">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邮政编码：</w:t>
            </w:r>
          </w:p>
        </w:tc>
        <w:tc>
          <w:tcPr>
            <w:tcW w:w="4289" w:type="dxa"/>
            <w:tcBorders>
              <w:top w:val="single" w:color="auto" w:sz="4" w:space="0"/>
              <w:left w:val="single" w:color="auto" w:sz="4" w:space="0"/>
              <w:bottom w:val="single" w:color="auto" w:sz="4" w:space="0"/>
              <w:right w:val="single" w:color="auto" w:sz="4" w:space="0"/>
            </w:tcBorders>
            <w:noWrap w:val="0"/>
            <w:vAlign w:val="center"/>
          </w:tcPr>
          <w:p w14:paraId="7E6208AA">
            <w:pPr>
              <w:keepNext w:val="0"/>
              <w:keepLines w:val="0"/>
              <w:pageBreakBefore w:val="0"/>
              <w:kinsoku/>
              <w:wordWrap/>
              <w:overflowPunct/>
              <w:topLinePunct w:val="0"/>
              <w:autoSpaceDE/>
              <w:autoSpaceDN/>
              <w:bidi w:val="0"/>
              <w:snapToGrid w:val="0"/>
              <w:spacing w:line="360" w:lineRule="auto"/>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邮政编码：</w:t>
            </w:r>
          </w:p>
        </w:tc>
      </w:tr>
    </w:tbl>
    <w:p w14:paraId="6ECFD713">
      <w:pPr>
        <w:keepNext w:val="0"/>
        <w:keepLines w:val="0"/>
        <w:pageBreakBefore w:val="0"/>
        <w:widowControl w:val="0"/>
        <w:kinsoku/>
        <w:wordWrap/>
        <w:overflowPunct/>
        <w:topLinePunct w:val="0"/>
        <w:autoSpaceDE/>
        <w:autoSpaceDN/>
        <w:bidi w:val="0"/>
        <w:adjustRightInd/>
        <w:snapToGrid/>
        <w:spacing w:line="380" w:lineRule="exact"/>
        <w:ind w:firstLine="1265" w:firstLineChars="600"/>
        <w:textAlignment w:val="auto"/>
        <w:rPr>
          <w:rFonts w:hint="eastAsia" w:ascii="宋体" w:hAnsi="宋体" w:cs="宋体"/>
          <w:b/>
          <w:color w:val="auto"/>
          <w:szCs w:val="21"/>
          <w:highlight w:val="none"/>
        </w:rPr>
      </w:pPr>
    </w:p>
    <w:sectPr>
      <w:pgSz w:w="11906" w:h="16838"/>
      <w:pgMar w:top="1332" w:right="1434" w:bottom="1332" w:left="1434"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52259034-BD7D-4D17-B2FC-F529AF06845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397CC346-09DC-4977-A362-BF941113281E}"/>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15418BE5-0DDE-4BFD-84D7-3021EBFC86F3}"/>
  </w:font>
  <w:font w:name="SimSun,Bold">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790652D6-7A9B-408F-9719-CB234D1112C9}"/>
  </w:font>
  <w:font w:name="Tahoma">
    <w:panose1 w:val="020B0604030504040204"/>
    <w:charset w:val="00"/>
    <w:family w:val="swiss"/>
    <w:pitch w:val="default"/>
    <w:sig w:usb0="E1002EFF" w:usb1="C000605B" w:usb2="00000029" w:usb3="00000000" w:csb0="200101FF" w:csb1="20280000"/>
    <w:embedRegular r:id="rId5" w:fontKey="{FE2076DA-9BBB-4A38-AAA8-1857D267F2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077E">
    <w:pPr>
      <w:pStyle w:val="20"/>
      <w:ind w:firstLine="360"/>
      <w:jc w:val="center"/>
    </w:pPr>
  </w:p>
  <w:p w14:paraId="462AD630">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96C7">
    <w:pPr>
      <w:pStyle w:val="63"/>
      <w:ind w:firstLine="360"/>
      <w:jc w:val="center"/>
    </w:pPr>
  </w:p>
  <w:p w14:paraId="465E1D8D">
    <w:pPr>
      <w:pStyle w:val="6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2509751"/>
    </w:sdtPr>
    <w:sdtContent>
      <w:p w14:paraId="3DA00615">
        <w:pPr>
          <w:pStyle w:val="63"/>
          <w:ind w:firstLine="360"/>
          <w:jc w:val="center"/>
        </w:pPr>
        <w:r>
          <w:fldChar w:fldCharType="begin"/>
        </w:r>
        <w:r>
          <w:instrText xml:space="preserve">PAGE   \* MERGEFORMAT</w:instrText>
        </w:r>
        <w:r>
          <w:fldChar w:fldCharType="separate"/>
        </w:r>
        <w:r>
          <w:rPr>
            <w:lang w:val="zh-CN"/>
          </w:rPr>
          <w:t>20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09B6">
    <w:pPr>
      <w:pStyle w:val="20"/>
      <w:jc w:val="center"/>
    </w:pPr>
    <w:r>
      <w:fldChar w:fldCharType="begin"/>
    </w:r>
    <w:r>
      <w:instrText xml:space="preserve">PAGE   \* MERGEFORMAT</w:instrText>
    </w:r>
    <w:r>
      <w:fldChar w:fldCharType="separate"/>
    </w:r>
    <w:r>
      <w:rPr>
        <w:lang w:val="zh-CN"/>
      </w:rP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E6ED2"/>
    <w:multiLevelType w:val="multilevel"/>
    <w:tmpl w:val="079E6E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361E5E"/>
    <w:multiLevelType w:val="singleLevel"/>
    <w:tmpl w:val="16361E5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dit="readOnly" w:enforcement="1" w:cryptProviderType="rsaFull" w:cryptAlgorithmClass="hash" w:cryptAlgorithmType="typeAny" w:cryptAlgorithmSid="4" w:cryptSpinCount="0" w:hash="HqEiiPuWoSoUETMxgBEHQ2GhtfY=" w:salt="Io5I8oQnYEgHN6Vpb5nMWw=="/>
  <w:defaultTabStop w:val="420"/>
  <w:drawingGridHorizontalSpacing w:val="21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mVhNGE2YzEyNzE4YzY0Y2I1OGQ4NTBmYzE4MzUifQ=="/>
  </w:docVars>
  <w:rsids>
    <w:rsidRoot w:val="00EE7EBE"/>
    <w:rsid w:val="00002BC0"/>
    <w:rsid w:val="00016730"/>
    <w:rsid w:val="0002381C"/>
    <w:rsid w:val="00024EAF"/>
    <w:rsid w:val="000312F3"/>
    <w:rsid w:val="00033AAA"/>
    <w:rsid w:val="000365D4"/>
    <w:rsid w:val="00041B12"/>
    <w:rsid w:val="000424AE"/>
    <w:rsid w:val="0004621C"/>
    <w:rsid w:val="00047C7F"/>
    <w:rsid w:val="000552D0"/>
    <w:rsid w:val="00060154"/>
    <w:rsid w:val="000611E2"/>
    <w:rsid w:val="0006203E"/>
    <w:rsid w:val="00065B32"/>
    <w:rsid w:val="00066B04"/>
    <w:rsid w:val="00072455"/>
    <w:rsid w:val="000754FF"/>
    <w:rsid w:val="00075AA6"/>
    <w:rsid w:val="00075C24"/>
    <w:rsid w:val="00080833"/>
    <w:rsid w:val="000830C7"/>
    <w:rsid w:val="0009249E"/>
    <w:rsid w:val="00095284"/>
    <w:rsid w:val="000A5F2C"/>
    <w:rsid w:val="000B0B4D"/>
    <w:rsid w:val="000B2BBA"/>
    <w:rsid w:val="000B2F68"/>
    <w:rsid w:val="000C26DD"/>
    <w:rsid w:val="000C3D04"/>
    <w:rsid w:val="000C5788"/>
    <w:rsid w:val="000C5C17"/>
    <w:rsid w:val="000C6162"/>
    <w:rsid w:val="000C6533"/>
    <w:rsid w:val="000D04B8"/>
    <w:rsid w:val="000D13CB"/>
    <w:rsid w:val="000D1E08"/>
    <w:rsid w:val="000E3F5E"/>
    <w:rsid w:val="000E42BD"/>
    <w:rsid w:val="000F1A15"/>
    <w:rsid w:val="000F1D71"/>
    <w:rsid w:val="001115E2"/>
    <w:rsid w:val="001146B8"/>
    <w:rsid w:val="001170B5"/>
    <w:rsid w:val="001236F9"/>
    <w:rsid w:val="00154847"/>
    <w:rsid w:val="00157F13"/>
    <w:rsid w:val="0016374D"/>
    <w:rsid w:val="001676AF"/>
    <w:rsid w:val="00180126"/>
    <w:rsid w:val="00180A34"/>
    <w:rsid w:val="00180B89"/>
    <w:rsid w:val="001A39B9"/>
    <w:rsid w:val="001A3C2C"/>
    <w:rsid w:val="001C0DCF"/>
    <w:rsid w:val="001C472C"/>
    <w:rsid w:val="001D6AD5"/>
    <w:rsid w:val="001F01F4"/>
    <w:rsid w:val="001F0C49"/>
    <w:rsid w:val="001F7B74"/>
    <w:rsid w:val="0020468E"/>
    <w:rsid w:val="00212FC1"/>
    <w:rsid w:val="00214B5B"/>
    <w:rsid w:val="00217707"/>
    <w:rsid w:val="00224C80"/>
    <w:rsid w:val="00232F1A"/>
    <w:rsid w:val="00234F12"/>
    <w:rsid w:val="00235A21"/>
    <w:rsid w:val="002430A4"/>
    <w:rsid w:val="00247AA2"/>
    <w:rsid w:val="0025276E"/>
    <w:rsid w:val="00257066"/>
    <w:rsid w:val="002713D8"/>
    <w:rsid w:val="00281DFF"/>
    <w:rsid w:val="0029045F"/>
    <w:rsid w:val="00291CB7"/>
    <w:rsid w:val="0029203D"/>
    <w:rsid w:val="00295894"/>
    <w:rsid w:val="00295E7A"/>
    <w:rsid w:val="00296E74"/>
    <w:rsid w:val="002A73D8"/>
    <w:rsid w:val="002A7695"/>
    <w:rsid w:val="002A783E"/>
    <w:rsid w:val="002B23B3"/>
    <w:rsid w:val="002D7959"/>
    <w:rsid w:val="002E552D"/>
    <w:rsid w:val="002E7ADD"/>
    <w:rsid w:val="00304BEE"/>
    <w:rsid w:val="003065CC"/>
    <w:rsid w:val="00320DBB"/>
    <w:rsid w:val="00321F19"/>
    <w:rsid w:val="00337F62"/>
    <w:rsid w:val="0034146E"/>
    <w:rsid w:val="00343000"/>
    <w:rsid w:val="00344F21"/>
    <w:rsid w:val="00346FFB"/>
    <w:rsid w:val="00347FA7"/>
    <w:rsid w:val="00354141"/>
    <w:rsid w:val="00367450"/>
    <w:rsid w:val="0037097F"/>
    <w:rsid w:val="00371E99"/>
    <w:rsid w:val="0037204F"/>
    <w:rsid w:val="00372C3A"/>
    <w:rsid w:val="00374BC2"/>
    <w:rsid w:val="00380972"/>
    <w:rsid w:val="0038241C"/>
    <w:rsid w:val="00383940"/>
    <w:rsid w:val="0039548E"/>
    <w:rsid w:val="003A0323"/>
    <w:rsid w:val="003A14F2"/>
    <w:rsid w:val="003A3011"/>
    <w:rsid w:val="003B4F2C"/>
    <w:rsid w:val="003C28E6"/>
    <w:rsid w:val="003D432C"/>
    <w:rsid w:val="003D7626"/>
    <w:rsid w:val="003E018A"/>
    <w:rsid w:val="003E236B"/>
    <w:rsid w:val="003E55FC"/>
    <w:rsid w:val="003F3712"/>
    <w:rsid w:val="00403DDA"/>
    <w:rsid w:val="00411900"/>
    <w:rsid w:val="00414143"/>
    <w:rsid w:val="00433804"/>
    <w:rsid w:val="00437BFD"/>
    <w:rsid w:val="0044408E"/>
    <w:rsid w:val="0045484C"/>
    <w:rsid w:val="00457174"/>
    <w:rsid w:val="00461088"/>
    <w:rsid w:val="00473816"/>
    <w:rsid w:val="00476898"/>
    <w:rsid w:val="00482864"/>
    <w:rsid w:val="00486B42"/>
    <w:rsid w:val="00486FE9"/>
    <w:rsid w:val="0048797A"/>
    <w:rsid w:val="00487FA7"/>
    <w:rsid w:val="00490DF5"/>
    <w:rsid w:val="00492511"/>
    <w:rsid w:val="004930D3"/>
    <w:rsid w:val="0049643F"/>
    <w:rsid w:val="004A58F4"/>
    <w:rsid w:val="004C3091"/>
    <w:rsid w:val="004C3C6E"/>
    <w:rsid w:val="004C423C"/>
    <w:rsid w:val="004D5D97"/>
    <w:rsid w:val="004D6151"/>
    <w:rsid w:val="004E4CA7"/>
    <w:rsid w:val="004E6FBC"/>
    <w:rsid w:val="004F31F4"/>
    <w:rsid w:val="004F4500"/>
    <w:rsid w:val="004F4791"/>
    <w:rsid w:val="005039C2"/>
    <w:rsid w:val="00504B39"/>
    <w:rsid w:val="00512D72"/>
    <w:rsid w:val="005205A7"/>
    <w:rsid w:val="005221D1"/>
    <w:rsid w:val="00527DF7"/>
    <w:rsid w:val="0053082B"/>
    <w:rsid w:val="005308C9"/>
    <w:rsid w:val="00535268"/>
    <w:rsid w:val="00537396"/>
    <w:rsid w:val="00540C4F"/>
    <w:rsid w:val="00545418"/>
    <w:rsid w:val="00550B75"/>
    <w:rsid w:val="00553618"/>
    <w:rsid w:val="0056219A"/>
    <w:rsid w:val="005621A0"/>
    <w:rsid w:val="00566D43"/>
    <w:rsid w:val="00571537"/>
    <w:rsid w:val="005735E2"/>
    <w:rsid w:val="00573FA6"/>
    <w:rsid w:val="00583274"/>
    <w:rsid w:val="00587113"/>
    <w:rsid w:val="00590847"/>
    <w:rsid w:val="0059344E"/>
    <w:rsid w:val="00593E58"/>
    <w:rsid w:val="005A6FDA"/>
    <w:rsid w:val="005B1F3F"/>
    <w:rsid w:val="005D4AAF"/>
    <w:rsid w:val="005E1B09"/>
    <w:rsid w:val="005E2567"/>
    <w:rsid w:val="005E3567"/>
    <w:rsid w:val="005E4E5E"/>
    <w:rsid w:val="005F6635"/>
    <w:rsid w:val="00607216"/>
    <w:rsid w:val="006079DE"/>
    <w:rsid w:val="006121DF"/>
    <w:rsid w:val="006245EE"/>
    <w:rsid w:val="00624BC4"/>
    <w:rsid w:val="00625B1B"/>
    <w:rsid w:val="00631983"/>
    <w:rsid w:val="00632C47"/>
    <w:rsid w:val="006358F4"/>
    <w:rsid w:val="00641614"/>
    <w:rsid w:val="00641B98"/>
    <w:rsid w:val="00641FDB"/>
    <w:rsid w:val="0065136C"/>
    <w:rsid w:val="006532C0"/>
    <w:rsid w:val="00655D56"/>
    <w:rsid w:val="00657186"/>
    <w:rsid w:val="00661AB2"/>
    <w:rsid w:val="006747CD"/>
    <w:rsid w:val="006832BA"/>
    <w:rsid w:val="00685814"/>
    <w:rsid w:val="0069004D"/>
    <w:rsid w:val="00695B01"/>
    <w:rsid w:val="006A22D5"/>
    <w:rsid w:val="006A4B8E"/>
    <w:rsid w:val="006B0CA3"/>
    <w:rsid w:val="006C76F3"/>
    <w:rsid w:val="006D02CC"/>
    <w:rsid w:val="006D079D"/>
    <w:rsid w:val="006D0E71"/>
    <w:rsid w:val="006D28C3"/>
    <w:rsid w:val="006D3BA1"/>
    <w:rsid w:val="006E1AE0"/>
    <w:rsid w:val="006F05EC"/>
    <w:rsid w:val="006F0C9E"/>
    <w:rsid w:val="006F28B0"/>
    <w:rsid w:val="00701354"/>
    <w:rsid w:val="00702792"/>
    <w:rsid w:val="007036FD"/>
    <w:rsid w:val="00706B5F"/>
    <w:rsid w:val="00711922"/>
    <w:rsid w:val="00721324"/>
    <w:rsid w:val="00723D0F"/>
    <w:rsid w:val="007245AD"/>
    <w:rsid w:val="00731A52"/>
    <w:rsid w:val="0073525C"/>
    <w:rsid w:val="00744024"/>
    <w:rsid w:val="00757135"/>
    <w:rsid w:val="00757811"/>
    <w:rsid w:val="00773558"/>
    <w:rsid w:val="007768C8"/>
    <w:rsid w:val="00782BFB"/>
    <w:rsid w:val="00785D11"/>
    <w:rsid w:val="0078746D"/>
    <w:rsid w:val="007A156F"/>
    <w:rsid w:val="007A210F"/>
    <w:rsid w:val="007B611C"/>
    <w:rsid w:val="007C66B0"/>
    <w:rsid w:val="007D5687"/>
    <w:rsid w:val="007D56BF"/>
    <w:rsid w:val="007D6F3C"/>
    <w:rsid w:val="007E0A46"/>
    <w:rsid w:val="007E3B76"/>
    <w:rsid w:val="007E4BF6"/>
    <w:rsid w:val="007F28E8"/>
    <w:rsid w:val="007F61D4"/>
    <w:rsid w:val="007F791E"/>
    <w:rsid w:val="0080457C"/>
    <w:rsid w:val="0080697F"/>
    <w:rsid w:val="008101A6"/>
    <w:rsid w:val="008136BA"/>
    <w:rsid w:val="00816052"/>
    <w:rsid w:val="00816E39"/>
    <w:rsid w:val="008177F0"/>
    <w:rsid w:val="00820356"/>
    <w:rsid w:val="00826E59"/>
    <w:rsid w:val="00840156"/>
    <w:rsid w:val="008576FD"/>
    <w:rsid w:val="008609F1"/>
    <w:rsid w:val="008621DE"/>
    <w:rsid w:val="00864A88"/>
    <w:rsid w:val="00867393"/>
    <w:rsid w:val="00871FAE"/>
    <w:rsid w:val="00882728"/>
    <w:rsid w:val="0088371B"/>
    <w:rsid w:val="008847BC"/>
    <w:rsid w:val="00891015"/>
    <w:rsid w:val="00892416"/>
    <w:rsid w:val="008954C8"/>
    <w:rsid w:val="00895509"/>
    <w:rsid w:val="008A492C"/>
    <w:rsid w:val="008B3010"/>
    <w:rsid w:val="008C7D6C"/>
    <w:rsid w:val="008D2C23"/>
    <w:rsid w:val="008D3C57"/>
    <w:rsid w:val="008D61FF"/>
    <w:rsid w:val="008E45F6"/>
    <w:rsid w:val="008F6677"/>
    <w:rsid w:val="009113F8"/>
    <w:rsid w:val="00922A0E"/>
    <w:rsid w:val="00924641"/>
    <w:rsid w:val="00924E5E"/>
    <w:rsid w:val="0093038B"/>
    <w:rsid w:val="00931E60"/>
    <w:rsid w:val="00932C8B"/>
    <w:rsid w:val="00944E8F"/>
    <w:rsid w:val="00954445"/>
    <w:rsid w:val="00954E52"/>
    <w:rsid w:val="00956A69"/>
    <w:rsid w:val="009631FD"/>
    <w:rsid w:val="00963459"/>
    <w:rsid w:val="0096434D"/>
    <w:rsid w:val="0096687C"/>
    <w:rsid w:val="0097232E"/>
    <w:rsid w:val="0097608F"/>
    <w:rsid w:val="009774B1"/>
    <w:rsid w:val="0098237A"/>
    <w:rsid w:val="00986645"/>
    <w:rsid w:val="0099006F"/>
    <w:rsid w:val="00990684"/>
    <w:rsid w:val="00992AE8"/>
    <w:rsid w:val="0099313F"/>
    <w:rsid w:val="009A31A1"/>
    <w:rsid w:val="009A48C6"/>
    <w:rsid w:val="009A7F0C"/>
    <w:rsid w:val="009C03E3"/>
    <w:rsid w:val="009D6E13"/>
    <w:rsid w:val="009E3FCF"/>
    <w:rsid w:val="00A01D2C"/>
    <w:rsid w:val="00A0273B"/>
    <w:rsid w:val="00A06741"/>
    <w:rsid w:val="00A07364"/>
    <w:rsid w:val="00A07803"/>
    <w:rsid w:val="00A10916"/>
    <w:rsid w:val="00A133B8"/>
    <w:rsid w:val="00A13ACC"/>
    <w:rsid w:val="00A215F5"/>
    <w:rsid w:val="00A3222A"/>
    <w:rsid w:val="00A37414"/>
    <w:rsid w:val="00A41D2B"/>
    <w:rsid w:val="00A43F34"/>
    <w:rsid w:val="00A542C5"/>
    <w:rsid w:val="00A574A2"/>
    <w:rsid w:val="00A6224C"/>
    <w:rsid w:val="00A661D3"/>
    <w:rsid w:val="00A71475"/>
    <w:rsid w:val="00A731B4"/>
    <w:rsid w:val="00A74E02"/>
    <w:rsid w:val="00A774A5"/>
    <w:rsid w:val="00A84EDC"/>
    <w:rsid w:val="00A871AD"/>
    <w:rsid w:val="00A90BA8"/>
    <w:rsid w:val="00A92D17"/>
    <w:rsid w:val="00A93DDD"/>
    <w:rsid w:val="00A96B00"/>
    <w:rsid w:val="00A975BF"/>
    <w:rsid w:val="00AA0B9A"/>
    <w:rsid w:val="00AA2783"/>
    <w:rsid w:val="00AA7FF1"/>
    <w:rsid w:val="00AB09AB"/>
    <w:rsid w:val="00AB207E"/>
    <w:rsid w:val="00AC3F9D"/>
    <w:rsid w:val="00AC77A4"/>
    <w:rsid w:val="00AC7F9F"/>
    <w:rsid w:val="00AD35CE"/>
    <w:rsid w:val="00AD3D37"/>
    <w:rsid w:val="00AD4497"/>
    <w:rsid w:val="00AD5023"/>
    <w:rsid w:val="00AE3B3F"/>
    <w:rsid w:val="00AE41F9"/>
    <w:rsid w:val="00AF1D3D"/>
    <w:rsid w:val="00B0023A"/>
    <w:rsid w:val="00B01D9B"/>
    <w:rsid w:val="00B07BDF"/>
    <w:rsid w:val="00B16462"/>
    <w:rsid w:val="00B17FD7"/>
    <w:rsid w:val="00B274EB"/>
    <w:rsid w:val="00B3149D"/>
    <w:rsid w:val="00B330B8"/>
    <w:rsid w:val="00B33D01"/>
    <w:rsid w:val="00B37DA9"/>
    <w:rsid w:val="00B526D5"/>
    <w:rsid w:val="00B656D4"/>
    <w:rsid w:val="00B66291"/>
    <w:rsid w:val="00B66C06"/>
    <w:rsid w:val="00B72BE5"/>
    <w:rsid w:val="00B73179"/>
    <w:rsid w:val="00B7501F"/>
    <w:rsid w:val="00B860F6"/>
    <w:rsid w:val="00B94303"/>
    <w:rsid w:val="00BA28F2"/>
    <w:rsid w:val="00BB5D36"/>
    <w:rsid w:val="00BB7F05"/>
    <w:rsid w:val="00BC036C"/>
    <w:rsid w:val="00BC07DB"/>
    <w:rsid w:val="00BC0AB1"/>
    <w:rsid w:val="00BD78FE"/>
    <w:rsid w:val="00BE091D"/>
    <w:rsid w:val="00BE1198"/>
    <w:rsid w:val="00BE1B5F"/>
    <w:rsid w:val="00BE6F87"/>
    <w:rsid w:val="00BF3FF2"/>
    <w:rsid w:val="00BF4061"/>
    <w:rsid w:val="00BF4A6A"/>
    <w:rsid w:val="00BF5850"/>
    <w:rsid w:val="00C25B7D"/>
    <w:rsid w:val="00C323DA"/>
    <w:rsid w:val="00C36199"/>
    <w:rsid w:val="00C43320"/>
    <w:rsid w:val="00C4348E"/>
    <w:rsid w:val="00C46AE3"/>
    <w:rsid w:val="00C50473"/>
    <w:rsid w:val="00C52211"/>
    <w:rsid w:val="00C54E2C"/>
    <w:rsid w:val="00C66932"/>
    <w:rsid w:val="00C73E9C"/>
    <w:rsid w:val="00C756F9"/>
    <w:rsid w:val="00C76D7B"/>
    <w:rsid w:val="00C82A72"/>
    <w:rsid w:val="00C84752"/>
    <w:rsid w:val="00C8561C"/>
    <w:rsid w:val="00C856A1"/>
    <w:rsid w:val="00C85D0A"/>
    <w:rsid w:val="00C86C19"/>
    <w:rsid w:val="00C91C17"/>
    <w:rsid w:val="00C9714F"/>
    <w:rsid w:val="00CA452A"/>
    <w:rsid w:val="00CA5C6D"/>
    <w:rsid w:val="00CB1EDA"/>
    <w:rsid w:val="00CB38AA"/>
    <w:rsid w:val="00CB6739"/>
    <w:rsid w:val="00CB7C42"/>
    <w:rsid w:val="00CC4F4A"/>
    <w:rsid w:val="00CC710F"/>
    <w:rsid w:val="00CD3B92"/>
    <w:rsid w:val="00CD5763"/>
    <w:rsid w:val="00CD7222"/>
    <w:rsid w:val="00CD7BAB"/>
    <w:rsid w:val="00CE3C7F"/>
    <w:rsid w:val="00CE6C63"/>
    <w:rsid w:val="00CF1919"/>
    <w:rsid w:val="00CF2921"/>
    <w:rsid w:val="00CF5C80"/>
    <w:rsid w:val="00CF6F41"/>
    <w:rsid w:val="00CF759A"/>
    <w:rsid w:val="00D0028B"/>
    <w:rsid w:val="00D10965"/>
    <w:rsid w:val="00D10B3B"/>
    <w:rsid w:val="00D148BA"/>
    <w:rsid w:val="00D17DCA"/>
    <w:rsid w:val="00D2175B"/>
    <w:rsid w:val="00D31DB1"/>
    <w:rsid w:val="00D40E02"/>
    <w:rsid w:val="00D5144C"/>
    <w:rsid w:val="00D6220B"/>
    <w:rsid w:val="00D67FEA"/>
    <w:rsid w:val="00D7274D"/>
    <w:rsid w:val="00D75BD4"/>
    <w:rsid w:val="00D83759"/>
    <w:rsid w:val="00DB1A6E"/>
    <w:rsid w:val="00DC263F"/>
    <w:rsid w:val="00DC52EA"/>
    <w:rsid w:val="00DC7AE8"/>
    <w:rsid w:val="00DD2199"/>
    <w:rsid w:val="00DD7103"/>
    <w:rsid w:val="00DE1B77"/>
    <w:rsid w:val="00DE2F4C"/>
    <w:rsid w:val="00DE3F73"/>
    <w:rsid w:val="00DE5CE6"/>
    <w:rsid w:val="00DF3F29"/>
    <w:rsid w:val="00DF4D7F"/>
    <w:rsid w:val="00E0197B"/>
    <w:rsid w:val="00E0468F"/>
    <w:rsid w:val="00E0555B"/>
    <w:rsid w:val="00E076C4"/>
    <w:rsid w:val="00E31D29"/>
    <w:rsid w:val="00E35CA2"/>
    <w:rsid w:val="00E44B1F"/>
    <w:rsid w:val="00E504F1"/>
    <w:rsid w:val="00E505E4"/>
    <w:rsid w:val="00E6503D"/>
    <w:rsid w:val="00E6663C"/>
    <w:rsid w:val="00E66E13"/>
    <w:rsid w:val="00E66EDC"/>
    <w:rsid w:val="00E806C3"/>
    <w:rsid w:val="00E8176D"/>
    <w:rsid w:val="00E85D71"/>
    <w:rsid w:val="00E87453"/>
    <w:rsid w:val="00E9206A"/>
    <w:rsid w:val="00EA2945"/>
    <w:rsid w:val="00EB10C9"/>
    <w:rsid w:val="00EB5CD3"/>
    <w:rsid w:val="00EC1FA4"/>
    <w:rsid w:val="00EC58E5"/>
    <w:rsid w:val="00ED007B"/>
    <w:rsid w:val="00ED27FF"/>
    <w:rsid w:val="00ED71F0"/>
    <w:rsid w:val="00EE0AE7"/>
    <w:rsid w:val="00EE7EBE"/>
    <w:rsid w:val="00EF29E7"/>
    <w:rsid w:val="00EF30E7"/>
    <w:rsid w:val="00EF5398"/>
    <w:rsid w:val="00F0370B"/>
    <w:rsid w:val="00F1003E"/>
    <w:rsid w:val="00F10DB9"/>
    <w:rsid w:val="00F11635"/>
    <w:rsid w:val="00F17478"/>
    <w:rsid w:val="00F24AB1"/>
    <w:rsid w:val="00F24C74"/>
    <w:rsid w:val="00F253DA"/>
    <w:rsid w:val="00F30E9B"/>
    <w:rsid w:val="00F3509E"/>
    <w:rsid w:val="00F35596"/>
    <w:rsid w:val="00F3720D"/>
    <w:rsid w:val="00F47C03"/>
    <w:rsid w:val="00F571FE"/>
    <w:rsid w:val="00F57791"/>
    <w:rsid w:val="00F609F7"/>
    <w:rsid w:val="00F6684E"/>
    <w:rsid w:val="00F71A77"/>
    <w:rsid w:val="00F83F57"/>
    <w:rsid w:val="00F86BA1"/>
    <w:rsid w:val="00FB0299"/>
    <w:rsid w:val="00FB4B7C"/>
    <w:rsid w:val="00FC1513"/>
    <w:rsid w:val="00FD09EE"/>
    <w:rsid w:val="00FD6CA8"/>
    <w:rsid w:val="00FD7672"/>
    <w:rsid w:val="00FE2BC9"/>
    <w:rsid w:val="00FE313A"/>
    <w:rsid w:val="00FE3164"/>
    <w:rsid w:val="00FE3E3D"/>
    <w:rsid w:val="00FF4354"/>
    <w:rsid w:val="00FF727D"/>
    <w:rsid w:val="018239F6"/>
    <w:rsid w:val="01A85250"/>
    <w:rsid w:val="01D35FC9"/>
    <w:rsid w:val="02530744"/>
    <w:rsid w:val="02A81568"/>
    <w:rsid w:val="03174F3D"/>
    <w:rsid w:val="05A94287"/>
    <w:rsid w:val="05B82E5D"/>
    <w:rsid w:val="05E073E1"/>
    <w:rsid w:val="061D0ABF"/>
    <w:rsid w:val="06532581"/>
    <w:rsid w:val="06DA487F"/>
    <w:rsid w:val="07384898"/>
    <w:rsid w:val="077B00EB"/>
    <w:rsid w:val="07811A45"/>
    <w:rsid w:val="08654D4A"/>
    <w:rsid w:val="08C0002F"/>
    <w:rsid w:val="093B51DE"/>
    <w:rsid w:val="09A8563C"/>
    <w:rsid w:val="09E337EE"/>
    <w:rsid w:val="0B043307"/>
    <w:rsid w:val="0B883216"/>
    <w:rsid w:val="0C344DB1"/>
    <w:rsid w:val="0C6A1392"/>
    <w:rsid w:val="0D5A7110"/>
    <w:rsid w:val="0D8A690B"/>
    <w:rsid w:val="0E1961DD"/>
    <w:rsid w:val="0E40777B"/>
    <w:rsid w:val="0E6D55FE"/>
    <w:rsid w:val="0E7436CF"/>
    <w:rsid w:val="0F997970"/>
    <w:rsid w:val="0FAF1227"/>
    <w:rsid w:val="101F6CD1"/>
    <w:rsid w:val="11651A4D"/>
    <w:rsid w:val="11783D04"/>
    <w:rsid w:val="117A6E37"/>
    <w:rsid w:val="122774AF"/>
    <w:rsid w:val="12C55893"/>
    <w:rsid w:val="12D969BB"/>
    <w:rsid w:val="134E7855"/>
    <w:rsid w:val="13C160B2"/>
    <w:rsid w:val="14406B83"/>
    <w:rsid w:val="14FB74F2"/>
    <w:rsid w:val="14FE75E1"/>
    <w:rsid w:val="15093177"/>
    <w:rsid w:val="155760F9"/>
    <w:rsid w:val="15C70A44"/>
    <w:rsid w:val="16FE572A"/>
    <w:rsid w:val="175372BF"/>
    <w:rsid w:val="1807554D"/>
    <w:rsid w:val="193725BE"/>
    <w:rsid w:val="1ABA4EDB"/>
    <w:rsid w:val="1AD80FFE"/>
    <w:rsid w:val="1AD81468"/>
    <w:rsid w:val="1AE3185B"/>
    <w:rsid w:val="1B961296"/>
    <w:rsid w:val="1C8A067D"/>
    <w:rsid w:val="1D0008CD"/>
    <w:rsid w:val="1D6333DE"/>
    <w:rsid w:val="1DCF7BDC"/>
    <w:rsid w:val="1E376A8D"/>
    <w:rsid w:val="1E4135A9"/>
    <w:rsid w:val="1EF86852"/>
    <w:rsid w:val="1F5D41DF"/>
    <w:rsid w:val="1FA40693"/>
    <w:rsid w:val="20016901"/>
    <w:rsid w:val="20571047"/>
    <w:rsid w:val="20905DFB"/>
    <w:rsid w:val="20A16C34"/>
    <w:rsid w:val="20C31E08"/>
    <w:rsid w:val="20D924BC"/>
    <w:rsid w:val="20FE0493"/>
    <w:rsid w:val="215D6DEF"/>
    <w:rsid w:val="2287768F"/>
    <w:rsid w:val="23244644"/>
    <w:rsid w:val="23597C0D"/>
    <w:rsid w:val="25217740"/>
    <w:rsid w:val="2572277A"/>
    <w:rsid w:val="25F36428"/>
    <w:rsid w:val="264331D2"/>
    <w:rsid w:val="267A225A"/>
    <w:rsid w:val="26897C76"/>
    <w:rsid w:val="274223D1"/>
    <w:rsid w:val="283D7AED"/>
    <w:rsid w:val="2886580A"/>
    <w:rsid w:val="28E14F3B"/>
    <w:rsid w:val="291C198E"/>
    <w:rsid w:val="297B3E2D"/>
    <w:rsid w:val="2A604E9C"/>
    <w:rsid w:val="2AF3793F"/>
    <w:rsid w:val="2AFF1E1F"/>
    <w:rsid w:val="2B195446"/>
    <w:rsid w:val="2BE04DD8"/>
    <w:rsid w:val="2C5A0AAE"/>
    <w:rsid w:val="2C5A4E93"/>
    <w:rsid w:val="2CB43C65"/>
    <w:rsid w:val="2D805F3B"/>
    <w:rsid w:val="312E4E8B"/>
    <w:rsid w:val="319716C6"/>
    <w:rsid w:val="31AC5E0B"/>
    <w:rsid w:val="31E957FC"/>
    <w:rsid w:val="32165522"/>
    <w:rsid w:val="322841C1"/>
    <w:rsid w:val="328363DF"/>
    <w:rsid w:val="32F56799"/>
    <w:rsid w:val="334B64CD"/>
    <w:rsid w:val="33FE1497"/>
    <w:rsid w:val="343D03F7"/>
    <w:rsid w:val="34586B43"/>
    <w:rsid w:val="34AC6C79"/>
    <w:rsid w:val="352167AF"/>
    <w:rsid w:val="359D41E2"/>
    <w:rsid w:val="364A473C"/>
    <w:rsid w:val="36A905E8"/>
    <w:rsid w:val="3732208A"/>
    <w:rsid w:val="376D18B4"/>
    <w:rsid w:val="37AA5128"/>
    <w:rsid w:val="384B18C4"/>
    <w:rsid w:val="389425B0"/>
    <w:rsid w:val="394D27AC"/>
    <w:rsid w:val="396E0276"/>
    <w:rsid w:val="39960C00"/>
    <w:rsid w:val="39F403B2"/>
    <w:rsid w:val="3A0904EB"/>
    <w:rsid w:val="3A0952C1"/>
    <w:rsid w:val="3AC44562"/>
    <w:rsid w:val="3AF137D7"/>
    <w:rsid w:val="3BCF77BF"/>
    <w:rsid w:val="3C0E4427"/>
    <w:rsid w:val="3C456EFD"/>
    <w:rsid w:val="3CD6592A"/>
    <w:rsid w:val="3E4B3E90"/>
    <w:rsid w:val="3E78523E"/>
    <w:rsid w:val="3E977155"/>
    <w:rsid w:val="3EA00CC9"/>
    <w:rsid w:val="3F702A34"/>
    <w:rsid w:val="400F6201"/>
    <w:rsid w:val="40270A14"/>
    <w:rsid w:val="403A0B76"/>
    <w:rsid w:val="40436088"/>
    <w:rsid w:val="40864ED4"/>
    <w:rsid w:val="41D210C8"/>
    <w:rsid w:val="42781C7B"/>
    <w:rsid w:val="428803B0"/>
    <w:rsid w:val="42F21B2C"/>
    <w:rsid w:val="444C7089"/>
    <w:rsid w:val="446472DA"/>
    <w:rsid w:val="44F363D1"/>
    <w:rsid w:val="45805BBE"/>
    <w:rsid w:val="45BB16F2"/>
    <w:rsid w:val="466F03E6"/>
    <w:rsid w:val="46F17BC0"/>
    <w:rsid w:val="46FB7DC6"/>
    <w:rsid w:val="470C2F25"/>
    <w:rsid w:val="47955A21"/>
    <w:rsid w:val="48007381"/>
    <w:rsid w:val="49430D45"/>
    <w:rsid w:val="4A1C41B3"/>
    <w:rsid w:val="4A6B192F"/>
    <w:rsid w:val="4AEE1F54"/>
    <w:rsid w:val="4C043151"/>
    <w:rsid w:val="4D0E7EDC"/>
    <w:rsid w:val="4D0F5821"/>
    <w:rsid w:val="4D197AA7"/>
    <w:rsid w:val="4D215624"/>
    <w:rsid w:val="4D340478"/>
    <w:rsid w:val="4D7E19C3"/>
    <w:rsid w:val="4E171EB9"/>
    <w:rsid w:val="4E553674"/>
    <w:rsid w:val="4F4E72F3"/>
    <w:rsid w:val="4FC21A20"/>
    <w:rsid w:val="502873B7"/>
    <w:rsid w:val="50AC4EC8"/>
    <w:rsid w:val="50C25C9C"/>
    <w:rsid w:val="50D07E04"/>
    <w:rsid w:val="519B03C6"/>
    <w:rsid w:val="519D6C9E"/>
    <w:rsid w:val="520569B6"/>
    <w:rsid w:val="52294988"/>
    <w:rsid w:val="52D93B7C"/>
    <w:rsid w:val="530C0A07"/>
    <w:rsid w:val="533E23EF"/>
    <w:rsid w:val="53827085"/>
    <w:rsid w:val="53832CB2"/>
    <w:rsid w:val="53C23159"/>
    <w:rsid w:val="53C44028"/>
    <w:rsid w:val="53C82FE0"/>
    <w:rsid w:val="549A16FF"/>
    <w:rsid w:val="550C44BE"/>
    <w:rsid w:val="565106F1"/>
    <w:rsid w:val="56E4595F"/>
    <w:rsid w:val="57727B09"/>
    <w:rsid w:val="57C82282"/>
    <w:rsid w:val="57FD5808"/>
    <w:rsid w:val="5826161B"/>
    <w:rsid w:val="58B57CAD"/>
    <w:rsid w:val="594B1686"/>
    <w:rsid w:val="594C6720"/>
    <w:rsid w:val="59A91B3E"/>
    <w:rsid w:val="5ADF25E7"/>
    <w:rsid w:val="5AF83B0A"/>
    <w:rsid w:val="5CE64918"/>
    <w:rsid w:val="5DD91686"/>
    <w:rsid w:val="5DF56FD6"/>
    <w:rsid w:val="5F3682AE"/>
    <w:rsid w:val="5F5B44C5"/>
    <w:rsid w:val="5FC93C50"/>
    <w:rsid w:val="61964FAB"/>
    <w:rsid w:val="62630449"/>
    <w:rsid w:val="629366CC"/>
    <w:rsid w:val="63547496"/>
    <w:rsid w:val="63EFBFCE"/>
    <w:rsid w:val="63F0428F"/>
    <w:rsid w:val="65273F84"/>
    <w:rsid w:val="65CA38DD"/>
    <w:rsid w:val="65EA7E79"/>
    <w:rsid w:val="67222F16"/>
    <w:rsid w:val="672418A5"/>
    <w:rsid w:val="67456A8F"/>
    <w:rsid w:val="67D35FD9"/>
    <w:rsid w:val="681F302E"/>
    <w:rsid w:val="68583F38"/>
    <w:rsid w:val="689B593E"/>
    <w:rsid w:val="696E7795"/>
    <w:rsid w:val="69D85D1F"/>
    <w:rsid w:val="69F72E97"/>
    <w:rsid w:val="6AE63D68"/>
    <w:rsid w:val="6B820737"/>
    <w:rsid w:val="6B997637"/>
    <w:rsid w:val="6BBB4169"/>
    <w:rsid w:val="6C902FCA"/>
    <w:rsid w:val="6CD14F27"/>
    <w:rsid w:val="6D3C76DE"/>
    <w:rsid w:val="6E503B8A"/>
    <w:rsid w:val="6E7555D4"/>
    <w:rsid w:val="6EA10A28"/>
    <w:rsid w:val="6ECA348F"/>
    <w:rsid w:val="707F3EF5"/>
    <w:rsid w:val="70EA5039"/>
    <w:rsid w:val="71162E71"/>
    <w:rsid w:val="734309EC"/>
    <w:rsid w:val="73854316"/>
    <w:rsid w:val="73926391"/>
    <w:rsid w:val="73BE7F06"/>
    <w:rsid w:val="742E3711"/>
    <w:rsid w:val="74B153B2"/>
    <w:rsid w:val="755E260F"/>
    <w:rsid w:val="756772A9"/>
    <w:rsid w:val="76E43EFC"/>
    <w:rsid w:val="771F336A"/>
    <w:rsid w:val="772C5186"/>
    <w:rsid w:val="77316A3F"/>
    <w:rsid w:val="782A64C0"/>
    <w:rsid w:val="788C0F3B"/>
    <w:rsid w:val="78D52A3D"/>
    <w:rsid w:val="793616DD"/>
    <w:rsid w:val="79680D65"/>
    <w:rsid w:val="7A5C32D3"/>
    <w:rsid w:val="7ACF6306"/>
    <w:rsid w:val="7B1027FC"/>
    <w:rsid w:val="7B260AB7"/>
    <w:rsid w:val="7BE94769"/>
    <w:rsid w:val="7C7316B5"/>
    <w:rsid w:val="7D356718"/>
    <w:rsid w:val="7DE7E809"/>
    <w:rsid w:val="7E1F3A90"/>
    <w:rsid w:val="7E790A66"/>
    <w:rsid w:val="7EB5B63E"/>
    <w:rsid w:val="7FBF3D67"/>
    <w:rsid w:val="7FDE6071"/>
    <w:rsid w:val="F26F943D"/>
    <w:rsid w:val="F9EE0B27"/>
    <w:rsid w:val="FBFF8467"/>
    <w:rsid w:val="FF7F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rFonts w:ascii="宋体" w:hAnsi="Calibri" w:eastAsia="宋体" w:cs="Times New Roman"/>
      <w:b/>
      <w:bCs/>
      <w:kern w:val="44"/>
      <w:sz w:val="44"/>
      <w:szCs w:val="44"/>
    </w:rPr>
  </w:style>
  <w:style w:type="paragraph" w:styleId="4">
    <w:name w:val="heading 2"/>
    <w:basedOn w:val="1"/>
    <w:next w:val="1"/>
    <w:link w:val="46"/>
    <w:autoRedefine/>
    <w:semiHidden/>
    <w:unhideWhenUsed/>
    <w:qFormat/>
    <w:uiPriority w:val="9"/>
    <w:pPr>
      <w:keepNext/>
      <w:keepLines/>
      <w:spacing w:before="260" w:after="260" w:line="416" w:lineRule="auto"/>
      <w:outlineLvl w:val="1"/>
    </w:pPr>
    <w:rPr>
      <w:rFonts w:ascii="Cambria" w:hAnsi="Cambria" w:eastAsia="宋体" w:cs="Times New Roman"/>
      <w:b/>
      <w:bCs/>
      <w:sz w:val="44"/>
      <w:szCs w:val="32"/>
    </w:rPr>
  </w:style>
  <w:style w:type="paragraph" w:styleId="5">
    <w:name w:val="heading 3"/>
    <w:basedOn w:val="1"/>
    <w:next w:val="1"/>
    <w:link w:val="47"/>
    <w:autoRedefine/>
    <w:semiHidden/>
    <w:unhideWhenUsed/>
    <w:qFormat/>
    <w:uiPriority w:val="9"/>
    <w:pPr>
      <w:keepNext/>
      <w:keepLines/>
      <w:spacing w:before="260" w:after="260" w:line="416" w:lineRule="auto"/>
      <w:outlineLvl w:val="2"/>
    </w:pPr>
    <w:rPr>
      <w:rFonts w:ascii="宋体" w:hAnsi="Calibri" w:eastAsia="宋体" w:cs="Times New Roman"/>
      <w:b/>
      <w:bCs/>
      <w:sz w:val="32"/>
      <w:szCs w:val="32"/>
    </w:rPr>
  </w:style>
  <w:style w:type="paragraph" w:styleId="6">
    <w:name w:val="heading 4"/>
    <w:basedOn w:val="1"/>
    <w:next w:val="1"/>
    <w:link w:val="41"/>
    <w:autoRedefine/>
    <w:qFormat/>
    <w:uiPriority w:val="0"/>
    <w:pPr>
      <w:tabs>
        <w:tab w:val="left" w:pos="2155"/>
      </w:tabs>
      <w:spacing w:before="120" w:line="360" w:lineRule="auto"/>
      <w:ind w:left="2155" w:hanging="1078" w:firstLineChars="200"/>
      <w:textAlignment w:val="baseline"/>
      <w:outlineLvl w:val="3"/>
    </w:pPr>
    <w:rPr>
      <w:rFonts w:ascii="Arial" w:hAnsi="Times New Roman" w:eastAsia="黑体" w:cs="Times New Roman"/>
      <w:sz w:val="28"/>
      <w:szCs w:val="20"/>
    </w:rPr>
  </w:style>
  <w:style w:type="paragraph" w:styleId="7">
    <w:name w:val="heading 5"/>
    <w:basedOn w:val="1"/>
    <w:next w:val="1"/>
    <w:link w:val="48"/>
    <w:autoRedefine/>
    <w:semiHidden/>
    <w:unhideWhenUsed/>
    <w:qFormat/>
    <w:uiPriority w:val="9"/>
    <w:pPr>
      <w:keepNext/>
      <w:keepLines/>
      <w:spacing w:before="280" w:after="290" w:line="376" w:lineRule="auto"/>
      <w:outlineLvl w:val="4"/>
    </w:pPr>
    <w:rPr>
      <w:rFonts w:ascii="宋体" w:hAnsi="Calibri" w:eastAsia="宋体" w:cs="Times New Roman"/>
      <w:b/>
      <w:bCs/>
      <w:sz w:val="28"/>
      <w:szCs w:val="28"/>
    </w:rPr>
  </w:style>
  <w:style w:type="paragraph" w:styleId="8">
    <w:name w:val="heading 8"/>
    <w:basedOn w:val="1"/>
    <w:next w:val="1"/>
    <w:link w:val="49"/>
    <w:autoRedefine/>
    <w:semiHidden/>
    <w:unhideWhenUsed/>
    <w:qFormat/>
    <w:uiPriority w:val="9"/>
    <w:pPr>
      <w:keepNext/>
      <w:keepLines/>
      <w:spacing w:before="240" w:after="64" w:line="320" w:lineRule="auto"/>
      <w:outlineLvl w:val="7"/>
    </w:pPr>
    <w:rPr>
      <w:rFonts w:ascii="等线 Light" w:hAnsi="等线 Light" w:eastAsia="宋体" w:cs="Times New Roman"/>
      <w:b/>
      <w:sz w:val="32"/>
      <w:szCs w:val="21"/>
    </w:rPr>
  </w:style>
  <w:style w:type="paragraph" w:styleId="9">
    <w:name w:val="heading 9"/>
    <w:basedOn w:val="1"/>
    <w:next w:val="1"/>
    <w:link w:val="50"/>
    <w:autoRedefine/>
    <w:semiHidden/>
    <w:unhideWhenUsed/>
    <w:qFormat/>
    <w:uiPriority w:val="9"/>
    <w:pPr>
      <w:keepNext/>
      <w:keepLines/>
      <w:spacing w:before="240" w:after="64" w:line="320" w:lineRule="auto"/>
      <w:outlineLvl w:val="8"/>
    </w:pPr>
    <w:rPr>
      <w:rFonts w:ascii="Calibri Light" w:hAnsi="Calibri Light" w:eastAsia="宋体" w:cs="Times New Roman"/>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 w:type="paragraph" w:styleId="10">
    <w:name w:val="index 8"/>
    <w:basedOn w:val="1"/>
    <w:next w:val="1"/>
    <w:qFormat/>
    <w:uiPriority w:val="0"/>
    <w:pPr>
      <w:ind w:left="2940"/>
    </w:pPr>
  </w:style>
  <w:style w:type="paragraph" w:styleId="11">
    <w:name w:val="caption"/>
    <w:basedOn w:val="1"/>
    <w:next w:val="1"/>
    <w:qFormat/>
    <w:uiPriority w:val="35"/>
    <w:pPr>
      <w:spacing w:before="152" w:after="160"/>
    </w:pPr>
    <w:rPr>
      <w:rFonts w:ascii="Arial" w:hAnsi="Arial" w:eastAsia="黑体" w:cs="Arial"/>
      <w:sz w:val="20"/>
      <w:szCs w:val="20"/>
    </w:rPr>
  </w:style>
  <w:style w:type="paragraph" w:styleId="12">
    <w:name w:val="annotation text"/>
    <w:basedOn w:val="1"/>
    <w:link w:val="53"/>
    <w:autoRedefine/>
    <w:unhideWhenUsed/>
    <w:qFormat/>
    <w:uiPriority w:val="99"/>
    <w:pPr>
      <w:jc w:val="left"/>
    </w:pPr>
    <w:rPr>
      <w:rFonts w:ascii="Times New Roman" w:hAnsi="Times New Roman" w:eastAsia="宋体" w:cs="Times New Roman"/>
      <w:szCs w:val="24"/>
    </w:rPr>
  </w:style>
  <w:style w:type="paragraph" w:styleId="13">
    <w:name w:val="Body Text 3"/>
    <w:basedOn w:val="1"/>
    <w:link w:val="109"/>
    <w:autoRedefine/>
    <w:semiHidden/>
    <w:unhideWhenUsed/>
    <w:qFormat/>
    <w:uiPriority w:val="99"/>
    <w:pPr>
      <w:spacing w:after="120"/>
    </w:pPr>
    <w:rPr>
      <w:sz w:val="16"/>
      <w:szCs w:val="16"/>
    </w:rPr>
  </w:style>
  <w:style w:type="paragraph" w:styleId="14">
    <w:name w:val="Body Text"/>
    <w:basedOn w:val="1"/>
    <w:link w:val="56"/>
    <w:autoRedefine/>
    <w:qFormat/>
    <w:uiPriority w:val="99"/>
    <w:pPr>
      <w:spacing w:line="380" w:lineRule="exact"/>
      <w:ind w:firstLine="200" w:firstLineChars="200"/>
    </w:pPr>
    <w:rPr>
      <w:rFonts w:ascii="Times New Roman" w:hAnsi="Times New Roman" w:eastAsia="宋体" w:cs="Times New Roman"/>
      <w:kern w:val="0"/>
      <w:sz w:val="24"/>
      <w:szCs w:val="24"/>
      <w:lang w:val="zh-CN"/>
    </w:rPr>
  </w:style>
  <w:style w:type="paragraph" w:styleId="15">
    <w:name w:val="Body Text Indent"/>
    <w:basedOn w:val="1"/>
    <w:link w:val="110"/>
    <w:autoRedefine/>
    <w:semiHidden/>
    <w:unhideWhenUsed/>
    <w:qFormat/>
    <w:uiPriority w:val="99"/>
    <w:pPr>
      <w:spacing w:after="120"/>
      <w:ind w:left="420" w:leftChars="200"/>
    </w:pPr>
  </w:style>
  <w:style w:type="paragraph" w:styleId="16">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7">
    <w:name w:val="Block Text"/>
    <w:basedOn w:val="1"/>
    <w:autoRedefine/>
    <w:qFormat/>
    <w:uiPriority w:val="0"/>
    <w:pPr>
      <w:adjustRightInd w:val="0"/>
      <w:ind w:left="420" w:right="33"/>
      <w:jc w:val="left"/>
      <w:textAlignment w:val="baseline"/>
    </w:pPr>
    <w:rPr>
      <w:rFonts w:ascii="Times New Roman" w:hAnsi="Times New Roman"/>
      <w:kern w:val="0"/>
      <w:sz w:val="24"/>
    </w:rPr>
  </w:style>
  <w:style w:type="paragraph" w:styleId="18">
    <w:name w:val="Plain Text"/>
    <w:basedOn w:val="1"/>
    <w:next w:val="10"/>
    <w:link w:val="60"/>
    <w:autoRedefine/>
    <w:qFormat/>
    <w:uiPriority w:val="0"/>
    <w:pPr>
      <w:ind w:firstLine="200" w:firstLineChars="200"/>
    </w:pPr>
    <w:rPr>
      <w:rFonts w:ascii="宋体" w:hAnsi="Courier New" w:eastAsia="宋体" w:cs="Times New Roman"/>
      <w:kern w:val="0"/>
      <w:sz w:val="20"/>
      <w:szCs w:val="21"/>
      <w:lang w:val="zh-CN"/>
    </w:rPr>
  </w:style>
  <w:style w:type="paragraph" w:styleId="19">
    <w:name w:val="Balloon Text"/>
    <w:basedOn w:val="1"/>
    <w:link w:val="111"/>
    <w:autoRedefine/>
    <w:semiHidden/>
    <w:unhideWhenUsed/>
    <w:qFormat/>
    <w:uiPriority w:val="99"/>
    <w:rPr>
      <w:sz w:val="18"/>
      <w:szCs w:val="18"/>
    </w:rPr>
  </w:style>
  <w:style w:type="paragraph" w:styleId="20">
    <w:name w:val="footer"/>
    <w:basedOn w:val="1"/>
    <w:link w:val="112"/>
    <w:autoRedefine/>
    <w:semiHidden/>
    <w:unhideWhenUsed/>
    <w:qFormat/>
    <w:uiPriority w:val="99"/>
    <w:pPr>
      <w:tabs>
        <w:tab w:val="center" w:pos="4153"/>
        <w:tab w:val="right" w:pos="8306"/>
      </w:tabs>
      <w:snapToGrid w:val="0"/>
      <w:jc w:val="left"/>
    </w:pPr>
    <w:rPr>
      <w:sz w:val="18"/>
      <w:szCs w:val="18"/>
    </w:rPr>
  </w:style>
  <w:style w:type="paragraph" w:styleId="21">
    <w:name w:val="header"/>
    <w:basedOn w:val="1"/>
    <w:link w:val="1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tabs>
        <w:tab w:val="right" w:leader="dot" w:pos="8494"/>
      </w:tabs>
      <w:spacing w:line="360" w:lineRule="auto"/>
    </w:pPr>
  </w:style>
  <w:style w:type="paragraph" w:styleId="23">
    <w:name w:val="HTML Preformatted"/>
    <w:basedOn w:val="1"/>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4">
    <w:name w:val="Normal (Web)"/>
    <w:basedOn w:val="1"/>
    <w:autoRedefine/>
    <w:unhideWhenUsed/>
    <w:qFormat/>
    <w:uiPriority w:val="99"/>
    <w:rPr>
      <w:rFonts w:ascii="Times New Roman" w:hAnsi="Times New Roman" w:cs="Times New Roman"/>
      <w:sz w:val="24"/>
      <w:szCs w:val="24"/>
    </w:rPr>
  </w:style>
  <w:style w:type="paragraph" w:styleId="25">
    <w:name w:val="annotation subject"/>
    <w:basedOn w:val="12"/>
    <w:next w:val="12"/>
    <w:link w:val="71"/>
    <w:autoRedefine/>
    <w:semiHidden/>
    <w:unhideWhenUsed/>
    <w:qFormat/>
    <w:uiPriority w:val="99"/>
    <w:rPr>
      <w:rFonts w:ascii="宋体" w:hAnsi="Calibri"/>
      <w:b/>
      <w:bCs/>
      <w:szCs w:val="21"/>
    </w:rPr>
  </w:style>
  <w:style w:type="paragraph" w:styleId="26">
    <w:name w:val="Body Text First Indent"/>
    <w:basedOn w:val="14"/>
    <w:next w:val="1"/>
    <w:autoRedefine/>
    <w:qFormat/>
    <w:uiPriority w:val="99"/>
    <w:pPr>
      <w:ind w:firstLine="420" w:firstLineChars="100"/>
    </w:pPr>
    <w:rPr>
      <w:rFonts w:ascii="微软雅黑" w:hAnsi="微软雅黑" w:eastAsia="微软雅黑" w:cs="微软雅黑"/>
      <w:szCs w:val="21"/>
    </w:rPr>
  </w:style>
  <w:style w:type="table" w:styleId="28">
    <w:name w:val="Table Grid"/>
    <w:basedOn w:val="2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rPr>
      <w:b/>
      <w:bCs/>
    </w:rPr>
  </w:style>
  <w:style w:type="character" w:styleId="31">
    <w:name w:val="FollowedHyperlink"/>
    <w:basedOn w:val="29"/>
    <w:autoRedefine/>
    <w:semiHidden/>
    <w:unhideWhenUsed/>
    <w:qFormat/>
    <w:uiPriority w:val="99"/>
    <w:rPr>
      <w:color w:val="800080" w:themeColor="followedHyperlink"/>
      <w:u w:val="single"/>
      <w14:textFill>
        <w14:solidFill>
          <w14:schemeClr w14:val="folHlink"/>
        </w14:solidFill>
      </w14:textFill>
    </w:rPr>
  </w:style>
  <w:style w:type="character" w:styleId="32">
    <w:name w:val="Hyperlink"/>
    <w:basedOn w:val="29"/>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29"/>
    <w:autoRedefine/>
    <w:semiHidden/>
    <w:unhideWhenUsed/>
    <w:qFormat/>
    <w:uiPriority w:val="99"/>
    <w:rPr>
      <w:sz w:val="21"/>
      <w:szCs w:val="21"/>
    </w:rPr>
  </w:style>
  <w:style w:type="paragraph" w:customStyle="1" w:styleId="34">
    <w:name w:val="Default"/>
    <w:next w:val="1"/>
    <w:autoRedefine/>
    <w:qFormat/>
    <w:uiPriority w:val="0"/>
    <w:pPr>
      <w:widowControl w:val="0"/>
      <w:autoSpaceDE w:val="0"/>
      <w:autoSpaceDN w:val="0"/>
      <w:adjustRightInd w:val="0"/>
    </w:pPr>
    <w:rPr>
      <w:rFonts w:ascii="Times New Roman" w:hAnsi="Times New Roman" w:eastAsia="微软雅黑" w:cs="宋体"/>
      <w:color w:val="000000"/>
      <w:sz w:val="24"/>
      <w:szCs w:val="24"/>
      <w:lang w:val="en-US" w:eastAsia="zh-CN" w:bidi="ar-SA"/>
    </w:rPr>
  </w:style>
  <w:style w:type="paragraph" w:customStyle="1" w:styleId="35">
    <w:name w:val="表格文字"/>
    <w:basedOn w:val="1"/>
    <w:autoRedefine/>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36">
    <w:name w:val="目录 81"/>
    <w:basedOn w:val="1"/>
    <w:next w:val="1"/>
    <w:autoRedefine/>
    <w:qFormat/>
    <w:uiPriority w:val="0"/>
    <w:pPr>
      <w:ind w:left="1470" w:firstLine="200" w:firstLineChars="200"/>
      <w:jc w:val="left"/>
    </w:pPr>
    <w:rPr>
      <w:rFonts w:ascii="Times New Roman" w:eastAsia="宋体"/>
      <w:sz w:val="18"/>
      <w:szCs w:val="21"/>
    </w:rPr>
  </w:style>
  <w:style w:type="paragraph" w:customStyle="1" w:styleId="37">
    <w:name w:val="文章正文"/>
    <w:basedOn w:val="1"/>
    <w:autoRedefine/>
    <w:qFormat/>
    <w:uiPriority w:val="0"/>
    <w:pPr>
      <w:spacing w:line="360" w:lineRule="auto"/>
      <w:ind w:firstLine="560" w:firstLineChars="200"/>
    </w:pPr>
    <w:rPr>
      <w:rFonts w:eastAsia="仿宋_GB2312" w:cs="Times New Roman"/>
      <w:sz w:val="28"/>
    </w:rPr>
  </w:style>
  <w:style w:type="paragraph" w:customStyle="1" w:styleId="38">
    <w:name w:val="标题 11"/>
    <w:basedOn w:val="1"/>
    <w:next w:val="1"/>
    <w:autoRedefine/>
    <w:qFormat/>
    <w:uiPriority w:val="9"/>
    <w:pPr>
      <w:widowControl/>
      <w:tabs>
        <w:tab w:val="left" w:pos="0"/>
        <w:tab w:val="left" w:pos="3165"/>
        <w:tab w:val="center" w:pos="4153"/>
      </w:tabs>
      <w:autoSpaceDE w:val="0"/>
      <w:autoSpaceDN w:val="0"/>
      <w:adjustRightInd w:val="0"/>
      <w:spacing w:line="360" w:lineRule="auto"/>
      <w:jc w:val="left"/>
      <w:outlineLvl w:val="0"/>
    </w:pPr>
    <w:rPr>
      <w:rFonts w:ascii="宋体"/>
      <w:b/>
      <w:bCs/>
      <w:kern w:val="44"/>
      <w:sz w:val="44"/>
      <w:szCs w:val="44"/>
    </w:rPr>
  </w:style>
  <w:style w:type="paragraph" w:customStyle="1" w:styleId="39">
    <w:name w:val="标题 21"/>
    <w:basedOn w:val="1"/>
    <w:next w:val="1"/>
    <w:autoRedefine/>
    <w:qFormat/>
    <w:uiPriority w:val="9"/>
    <w:pPr>
      <w:keepNext/>
      <w:keepLines/>
      <w:widowControl/>
      <w:spacing w:line="360" w:lineRule="auto"/>
      <w:ind w:firstLine="200" w:firstLineChars="200"/>
      <w:jc w:val="left"/>
      <w:outlineLvl w:val="1"/>
    </w:pPr>
    <w:rPr>
      <w:rFonts w:ascii="Cambria" w:hAnsi="Cambria"/>
      <w:b/>
      <w:bCs/>
      <w:sz w:val="44"/>
      <w:szCs w:val="32"/>
    </w:rPr>
  </w:style>
  <w:style w:type="paragraph" w:customStyle="1" w:styleId="40">
    <w:name w:val="标题 31"/>
    <w:basedOn w:val="1"/>
    <w:next w:val="1"/>
    <w:autoRedefine/>
    <w:semiHidden/>
    <w:unhideWhenUsed/>
    <w:qFormat/>
    <w:uiPriority w:val="9"/>
    <w:pPr>
      <w:keepNext/>
      <w:keepLines/>
      <w:widowControl/>
      <w:spacing w:before="260" w:after="260" w:line="416" w:lineRule="auto"/>
      <w:ind w:firstLine="200" w:firstLineChars="200"/>
      <w:jc w:val="left"/>
      <w:outlineLvl w:val="2"/>
    </w:pPr>
    <w:rPr>
      <w:rFonts w:ascii="宋体"/>
      <w:b/>
      <w:bCs/>
      <w:sz w:val="32"/>
      <w:szCs w:val="32"/>
    </w:rPr>
  </w:style>
  <w:style w:type="character" w:customStyle="1" w:styleId="41">
    <w:name w:val="标题 4 Char"/>
    <w:basedOn w:val="29"/>
    <w:link w:val="6"/>
    <w:autoRedefine/>
    <w:qFormat/>
    <w:uiPriority w:val="0"/>
    <w:rPr>
      <w:rFonts w:ascii="Arial" w:hAnsi="Times New Roman" w:eastAsia="黑体" w:cs="Times New Roman"/>
      <w:sz w:val="28"/>
      <w:szCs w:val="20"/>
    </w:rPr>
  </w:style>
  <w:style w:type="paragraph" w:customStyle="1" w:styleId="42">
    <w:name w:val="标题 51"/>
    <w:basedOn w:val="1"/>
    <w:next w:val="1"/>
    <w:autoRedefine/>
    <w:semiHidden/>
    <w:unhideWhenUsed/>
    <w:qFormat/>
    <w:uiPriority w:val="9"/>
    <w:pPr>
      <w:keepNext/>
      <w:keepLines/>
      <w:widowControl/>
      <w:spacing w:before="280" w:after="290" w:line="376" w:lineRule="auto"/>
      <w:ind w:firstLine="200" w:firstLineChars="200"/>
      <w:jc w:val="left"/>
      <w:outlineLvl w:val="4"/>
    </w:pPr>
    <w:rPr>
      <w:rFonts w:ascii="宋体"/>
      <w:b/>
      <w:bCs/>
      <w:sz w:val="28"/>
      <w:szCs w:val="28"/>
    </w:rPr>
  </w:style>
  <w:style w:type="paragraph" w:customStyle="1" w:styleId="43">
    <w:name w:val="标题 81"/>
    <w:basedOn w:val="1"/>
    <w:next w:val="1"/>
    <w:autoRedefine/>
    <w:qFormat/>
    <w:uiPriority w:val="9"/>
    <w:pPr>
      <w:keepNext/>
      <w:keepLines/>
      <w:widowControl/>
      <w:spacing w:line="360" w:lineRule="auto"/>
      <w:ind w:firstLine="200" w:firstLineChars="200"/>
      <w:jc w:val="left"/>
      <w:outlineLvl w:val="7"/>
    </w:pPr>
    <w:rPr>
      <w:rFonts w:ascii="等线 Light" w:hAnsi="等线 Light"/>
      <w:b/>
      <w:sz w:val="32"/>
      <w:szCs w:val="21"/>
    </w:rPr>
  </w:style>
  <w:style w:type="paragraph" w:customStyle="1" w:styleId="44">
    <w:name w:val="标题 91"/>
    <w:basedOn w:val="1"/>
    <w:next w:val="1"/>
    <w:autoRedefine/>
    <w:unhideWhenUsed/>
    <w:qFormat/>
    <w:uiPriority w:val="9"/>
    <w:pPr>
      <w:keepNext/>
      <w:keepLines/>
      <w:widowControl/>
      <w:spacing w:before="240" w:after="64" w:line="320" w:lineRule="auto"/>
      <w:ind w:firstLine="200" w:firstLineChars="200"/>
      <w:jc w:val="left"/>
      <w:outlineLvl w:val="8"/>
    </w:pPr>
    <w:rPr>
      <w:rFonts w:ascii="Calibri Light" w:hAnsi="Calibri Light" w:eastAsia="宋体" w:cs="Times New Roman"/>
      <w:szCs w:val="21"/>
    </w:rPr>
  </w:style>
  <w:style w:type="character" w:customStyle="1" w:styleId="45">
    <w:name w:val="标题 1 Char"/>
    <w:basedOn w:val="29"/>
    <w:link w:val="3"/>
    <w:autoRedefine/>
    <w:qFormat/>
    <w:uiPriority w:val="9"/>
    <w:rPr>
      <w:rFonts w:ascii="宋体" w:hAnsi="Calibri" w:eastAsia="宋体" w:cs="Times New Roman"/>
      <w:b/>
      <w:bCs/>
      <w:kern w:val="44"/>
      <w:sz w:val="44"/>
      <w:szCs w:val="44"/>
    </w:rPr>
  </w:style>
  <w:style w:type="character" w:customStyle="1" w:styleId="46">
    <w:name w:val="标题 2 Char"/>
    <w:basedOn w:val="29"/>
    <w:link w:val="4"/>
    <w:autoRedefine/>
    <w:qFormat/>
    <w:uiPriority w:val="9"/>
    <w:rPr>
      <w:rFonts w:ascii="Cambria" w:hAnsi="Cambria" w:eastAsia="宋体" w:cs="Times New Roman"/>
      <w:b/>
      <w:bCs/>
      <w:kern w:val="2"/>
      <w:sz w:val="44"/>
      <w:szCs w:val="32"/>
    </w:rPr>
  </w:style>
  <w:style w:type="character" w:customStyle="1" w:styleId="47">
    <w:name w:val="标题 3 Char"/>
    <w:basedOn w:val="29"/>
    <w:link w:val="5"/>
    <w:autoRedefine/>
    <w:semiHidden/>
    <w:qFormat/>
    <w:uiPriority w:val="9"/>
    <w:rPr>
      <w:rFonts w:ascii="宋体" w:hAnsi="Calibri" w:eastAsia="宋体" w:cs="Times New Roman"/>
      <w:b/>
      <w:bCs/>
      <w:kern w:val="2"/>
      <w:sz w:val="32"/>
      <w:szCs w:val="32"/>
    </w:rPr>
  </w:style>
  <w:style w:type="character" w:customStyle="1" w:styleId="48">
    <w:name w:val="标题 5 Char"/>
    <w:basedOn w:val="29"/>
    <w:link w:val="7"/>
    <w:autoRedefine/>
    <w:semiHidden/>
    <w:qFormat/>
    <w:uiPriority w:val="9"/>
    <w:rPr>
      <w:rFonts w:ascii="宋体" w:hAnsi="Calibri" w:eastAsia="宋体" w:cs="Times New Roman"/>
      <w:b/>
      <w:bCs/>
      <w:kern w:val="2"/>
      <w:sz w:val="28"/>
      <w:szCs w:val="28"/>
    </w:rPr>
  </w:style>
  <w:style w:type="character" w:customStyle="1" w:styleId="49">
    <w:name w:val="标题 8 Char"/>
    <w:basedOn w:val="29"/>
    <w:link w:val="8"/>
    <w:autoRedefine/>
    <w:qFormat/>
    <w:uiPriority w:val="9"/>
    <w:rPr>
      <w:rFonts w:ascii="等线 Light" w:hAnsi="等线 Light" w:eastAsia="宋体" w:cs="Times New Roman"/>
      <w:b/>
      <w:kern w:val="2"/>
      <w:sz w:val="32"/>
      <w:szCs w:val="21"/>
    </w:rPr>
  </w:style>
  <w:style w:type="character" w:customStyle="1" w:styleId="50">
    <w:name w:val="标题 9 Char"/>
    <w:basedOn w:val="29"/>
    <w:link w:val="9"/>
    <w:autoRedefine/>
    <w:qFormat/>
    <w:uiPriority w:val="9"/>
    <w:rPr>
      <w:rFonts w:ascii="Calibri Light" w:hAnsi="Calibri Light" w:eastAsia="宋体" w:cs="Times New Roman"/>
      <w:kern w:val="2"/>
      <w:sz w:val="21"/>
      <w:szCs w:val="21"/>
    </w:rPr>
  </w:style>
  <w:style w:type="paragraph" w:customStyle="1" w:styleId="51">
    <w:name w:val="索引 81"/>
    <w:basedOn w:val="1"/>
    <w:next w:val="1"/>
    <w:autoRedefine/>
    <w:qFormat/>
    <w:uiPriority w:val="0"/>
    <w:pPr>
      <w:widowControl/>
      <w:spacing w:line="360" w:lineRule="auto"/>
      <w:ind w:left="2940" w:firstLine="200" w:firstLineChars="200"/>
      <w:jc w:val="left"/>
    </w:pPr>
    <w:rPr>
      <w:rFonts w:ascii="宋体"/>
      <w:szCs w:val="21"/>
    </w:rPr>
  </w:style>
  <w:style w:type="paragraph" w:customStyle="1" w:styleId="52">
    <w:name w:val="正文缩进1"/>
    <w:basedOn w:val="1"/>
    <w:next w:val="2"/>
    <w:autoRedefine/>
    <w:qFormat/>
    <w:uiPriority w:val="0"/>
    <w:pPr>
      <w:widowControl/>
      <w:spacing w:line="360" w:lineRule="auto"/>
      <w:ind w:firstLine="420" w:firstLineChars="200"/>
      <w:jc w:val="left"/>
    </w:pPr>
    <w:rPr>
      <w:rFonts w:ascii="宋体"/>
      <w:szCs w:val="20"/>
    </w:rPr>
  </w:style>
  <w:style w:type="character" w:customStyle="1" w:styleId="53">
    <w:name w:val="批注文字 Char"/>
    <w:basedOn w:val="29"/>
    <w:link w:val="12"/>
    <w:autoRedefine/>
    <w:qFormat/>
    <w:uiPriority w:val="99"/>
    <w:rPr>
      <w:rFonts w:ascii="Times New Roman" w:hAnsi="Times New Roman" w:eastAsia="宋体" w:cs="Times New Roman"/>
      <w:szCs w:val="24"/>
    </w:rPr>
  </w:style>
  <w:style w:type="paragraph" w:customStyle="1" w:styleId="54">
    <w:name w:val="正文文本 31"/>
    <w:basedOn w:val="1"/>
    <w:next w:val="13"/>
    <w:link w:val="55"/>
    <w:autoRedefine/>
    <w:semiHidden/>
    <w:unhideWhenUsed/>
    <w:qFormat/>
    <w:uiPriority w:val="99"/>
    <w:pPr>
      <w:widowControl/>
      <w:spacing w:after="120" w:line="360" w:lineRule="auto"/>
      <w:ind w:firstLine="200" w:firstLineChars="200"/>
      <w:jc w:val="left"/>
    </w:pPr>
    <w:rPr>
      <w:rFonts w:ascii="宋体" w:hAnsi="Calibri" w:eastAsia="宋体" w:cs="Times New Roman"/>
      <w:sz w:val="16"/>
      <w:szCs w:val="16"/>
    </w:rPr>
  </w:style>
  <w:style w:type="character" w:customStyle="1" w:styleId="55">
    <w:name w:val="正文文本 3 Char"/>
    <w:basedOn w:val="29"/>
    <w:link w:val="54"/>
    <w:autoRedefine/>
    <w:semiHidden/>
    <w:qFormat/>
    <w:uiPriority w:val="99"/>
    <w:rPr>
      <w:rFonts w:ascii="宋体" w:hAnsi="Calibri" w:eastAsia="宋体" w:cs="Times New Roman"/>
      <w:kern w:val="2"/>
      <w:sz w:val="16"/>
      <w:szCs w:val="16"/>
    </w:rPr>
  </w:style>
  <w:style w:type="character" w:customStyle="1" w:styleId="56">
    <w:name w:val="正文文本 Char"/>
    <w:basedOn w:val="29"/>
    <w:link w:val="14"/>
    <w:autoRedefine/>
    <w:qFormat/>
    <w:uiPriority w:val="99"/>
    <w:rPr>
      <w:rFonts w:ascii="Times New Roman" w:hAnsi="Times New Roman" w:eastAsia="宋体" w:cs="Times New Roman"/>
      <w:kern w:val="0"/>
      <w:sz w:val="24"/>
      <w:szCs w:val="24"/>
      <w:lang w:val="zh-CN"/>
    </w:rPr>
  </w:style>
  <w:style w:type="paragraph" w:customStyle="1" w:styleId="57">
    <w:name w:val="正文文本缩进1"/>
    <w:basedOn w:val="1"/>
    <w:next w:val="15"/>
    <w:link w:val="58"/>
    <w:autoRedefine/>
    <w:semiHidden/>
    <w:unhideWhenUsed/>
    <w:qFormat/>
    <w:uiPriority w:val="99"/>
    <w:pPr>
      <w:widowControl/>
      <w:spacing w:after="120" w:line="360" w:lineRule="auto"/>
      <w:ind w:left="420" w:leftChars="200" w:firstLine="200" w:firstLineChars="200"/>
      <w:jc w:val="left"/>
    </w:pPr>
    <w:rPr>
      <w:rFonts w:ascii="宋体" w:hAnsi="Calibri" w:eastAsia="宋体" w:cs="Times New Roman"/>
      <w:szCs w:val="21"/>
    </w:rPr>
  </w:style>
  <w:style w:type="character" w:customStyle="1" w:styleId="58">
    <w:name w:val="正文文本缩进 Char"/>
    <w:basedOn w:val="29"/>
    <w:link w:val="57"/>
    <w:autoRedefine/>
    <w:semiHidden/>
    <w:qFormat/>
    <w:uiPriority w:val="99"/>
    <w:rPr>
      <w:rFonts w:ascii="宋体" w:hAnsi="Calibri" w:eastAsia="宋体" w:cs="Times New Roman"/>
      <w:kern w:val="2"/>
      <w:sz w:val="21"/>
      <w:szCs w:val="21"/>
    </w:rPr>
  </w:style>
  <w:style w:type="paragraph" w:customStyle="1" w:styleId="59">
    <w:name w:val="目录 31"/>
    <w:basedOn w:val="1"/>
    <w:next w:val="1"/>
    <w:autoRedefine/>
    <w:unhideWhenUsed/>
    <w:qFormat/>
    <w:uiPriority w:val="39"/>
    <w:pPr>
      <w:widowControl/>
      <w:spacing w:line="360" w:lineRule="auto"/>
      <w:ind w:left="840" w:leftChars="400" w:firstLine="200" w:firstLineChars="200"/>
      <w:jc w:val="left"/>
    </w:pPr>
    <w:rPr>
      <w:rFonts w:ascii="宋体"/>
      <w:szCs w:val="21"/>
    </w:rPr>
  </w:style>
  <w:style w:type="character" w:customStyle="1" w:styleId="60">
    <w:name w:val="纯文本 Char"/>
    <w:basedOn w:val="29"/>
    <w:link w:val="18"/>
    <w:autoRedefine/>
    <w:qFormat/>
    <w:uiPriority w:val="99"/>
    <w:rPr>
      <w:rFonts w:ascii="宋体" w:hAnsi="Courier New" w:eastAsia="宋体" w:cs="Times New Roman"/>
      <w:kern w:val="0"/>
      <w:sz w:val="20"/>
      <w:szCs w:val="21"/>
      <w:lang w:val="zh-CN"/>
    </w:rPr>
  </w:style>
  <w:style w:type="paragraph" w:customStyle="1" w:styleId="61">
    <w:name w:val="批注框文本1"/>
    <w:basedOn w:val="1"/>
    <w:next w:val="19"/>
    <w:link w:val="62"/>
    <w:autoRedefine/>
    <w:semiHidden/>
    <w:unhideWhenUsed/>
    <w:qFormat/>
    <w:uiPriority w:val="99"/>
    <w:pPr>
      <w:widowControl/>
      <w:ind w:firstLine="200" w:firstLineChars="200"/>
      <w:jc w:val="left"/>
    </w:pPr>
    <w:rPr>
      <w:rFonts w:ascii="宋体" w:hAnsi="Calibri" w:eastAsia="宋体" w:cs="Times New Roman"/>
      <w:sz w:val="18"/>
      <w:szCs w:val="18"/>
    </w:rPr>
  </w:style>
  <w:style w:type="character" w:customStyle="1" w:styleId="62">
    <w:name w:val="批注框文本 Char"/>
    <w:basedOn w:val="29"/>
    <w:link w:val="61"/>
    <w:autoRedefine/>
    <w:semiHidden/>
    <w:qFormat/>
    <w:uiPriority w:val="99"/>
    <w:rPr>
      <w:rFonts w:ascii="宋体" w:hAnsi="Calibri" w:eastAsia="宋体" w:cs="Times New Roman"/>
      <w:kern w:val="2"/>
      <w:sz w:val="18"/>
      <w:szCs w:val="18"/>
    </w:rPr>
  </w:style>
  <w:style w:type="paragraph" w:customStyle="1" w:styleId="63">
    <w:name w:val="页脚1"/>
    <w:basedOn w:val="1"/>
    <w:next w:val="20"/>
    <w:link w:val="64"/>
    <w:autoRedefine/>
    <w:unhideWhenUsed/>
    <w:qFormat/>
    <w:uiPriority w:val="99"/>
    <w:pPr>
      <w:widowControl/>
      <w:tabs>
        <w:tab w:val="center" w:pos="4153"/>
        <w:tab w:val="right" w:pos="8306"/>
      </w:tabs>
      <w:snapToGrid w:val="0"/>
      <w:ind w:firstLine="200" w:firstLineChars="200"/>
      <w:jc w:val="left"/>
    </w:pPr>
    <w:rPr>
      <w:rFonts w:ascii="宋体" w:hAnsi="Calibri" w:eastAsia="宋体" w:cs="Times New Roman"/>
      <w:sz w:val="18"/>
      <w:szCs w:val="18"/>
    </w:rPr>
  </w:style>
  <w:style w:type="character" w:customStyle="1" w:styleId="64">
    <w:name w:val="页脚 Char"/>
    <w:basedOn w:val="29"/>
    <w:link w:val="63"/>
    <w:autoRedefine/>
    <w:qFormat/>
    <w:uiPriority w:val="99"/>
    <w:rPr>
      <w:rFonts w:ascii="宋体" w:hAnsi="Calibri" w:eastAsia="宋体" w:cs="Times New Roman"/>
      <w:kern w:val="2"/>
      <w:sz w:val="18"/>
      <w:szCs w:val="18"/>
    </w:rPr>
  </w:style>
  <w:style w:type="paragraph" w:customStyle="1" w:styleId="65">
    <w:name w:val="页眉1"/>
    <w:basedOn w:val="1"/>
    <w:next w:val="21"/>
    <w:link w:val="66"/>
    <w:autoRedefine/>
    <w:unhideWhenUsed/>
    <w:qFormat/>
    <w:uiPriority w:val="99"/>
    <w:pPr>
      <w:widowControl/>
      <w:pBdr>
        <w:bottom w:val="single" w:color="auto" w:sz="6" w:space="1"/>
      </w:pBdr>
      <w:tabs>
        <w:tab w:val="center" w:pos="4153"/>
        <w:tab w:val="right" w:pos="8306"/>
      </w:tabs>
      <w:snapToGrid w:val="0"/>
      <w:ind w:firstLine="200" w:firstLineChars="200"/>
      <w:jc w:val="left"/>
    </w:pPr>
    <w:rPr>
      <w:rFonts w:ascii="宋体" w:hAnsi="Calibri" w:eastAsia="宋体" w:cs="Times New Roman"/>
      <w:sz w:val="18"/>
      <w:szCs w:val="18"/>
    </w:rPr>
  </w:style>
  <w:style w:type="character" w:customStyle="1" w:styleId="66">
    <w:name w:val="页眉 Char"/>
    <w:basedOn w:val="29"/>
    <w:link w:val="65"/>
    <w:autoRedefine/>
    <w:qFormat/>
    <w:uiPriority w:val="99"/>
    <w:rPr>
      <w:rFonts w:ascii="宋体" w:hAnsi="Calibri" w:eastAsia="宋体" w:cs="Times New Roman"/>
      <w:kern w:val="2"/>
      <w:sz w:val="18"/>
      <w:szCs w:val="18"/>
    </w:rPr>
  </w:style>
  <w:style w:type="paragraph" w:customStyle="1" w:styleId="67">
    <w:name w:val="目录 11"/>
    <w:basedOn w:val="1"/>
    <w:next w:val="1"/>
    <w:autoRedefine/>
    <w:unhideWhenUsed/>
    <w:qFormat/>
    <w:uiPriority w:val="39"/>
    <w:pPr>
      <w:widowControl/>
      <w:tabs>
        <w:tab w:val="right" w:leader="dot" w:pos="8494"/>
      </w:tabs>
      <w:spacing w:line="360" w:lineRule="auto"/>
      <w:ind w:firstLine="424" w:firstLineChars="176"/>
      <w:jc w:val="left"/>
    </w:pPr>
    <w:rPr>
      <w:rFonts w:ascii="宋体"/>
      <w:szCs w:val="21"/>
    </w:rPr>
  </w:style>
  <w:style w:type="paragraph" w:customStyle="1" w:styleId="68">
    <w:name w:val="目录 21"/>
    <w:basedOn w:val="1"/>
    <w:next w:val="1"/>
    <w:autoRedefine/>
    <w:unhideWhenUsed/>
    <w:qFormat/>
    <w:uiPriority w:val="39"/>
    <w:pPr>
      <w:widowControl/>
      <w:spacing w:line="360" w:lineRule="auto"/>
      <w:ind w:left="420" w:leftChars="200" w:firstLine="200" w:firstLineChars="200"/>
      <w:jc w:val="left"/>
    </w:pPr>
    <w:rPr>
      <w:rFonts w:ascii="宋体"/>
      <w:szCs w:val="21"/>
    </w:rPr>
  </w:style>
  <w:style w:type="paragraph" w:customStyle="1" w:styleId="69">
    <w:name w:val="普通(网站)1"/>
    <w:basedOn w:val="1"/>
    <w:next w:val="24"/>
    <w:autoRedefine/>
    <w:semiHidden/>
    <w:unhideWhenUsed/>
    <w:qFormat/>
    <w:uiPriority w:val="99"/>
    <w:pPr>
      <w:widowControl/>
      <w:spacing w:beforeAutospacing="1" w:afterAutospacing="1" w:line="360" w:lineRule="auto"/>
      <w:ind w:firstLine="200" w:firstLineChars="200"/>
      <w:jc w:val="left"/>
    </w:pPr>
    <w:rPr>
      <w:rFonts w:ascii="宋体" w:cs="Times New Roman"/>
      <w:kern w:val="0"/>
      <w:sz w:val="24"/>
      <w:szCs w:val="21"/>
    </w:rPr>
  </w:style>
  <w:style w:type="paragraph" w:customStyle="1" w:styleId="70">
    <w:name w:val="批注主题1"/>
    <w:basedOn w:val="12"/>
    <w:next w:val="12"/>
    <w:autoRedefine/>
    <w:semiHidden/>
    <w:unhideWhenUsed/>
    <w:qFormat/>
    <w:uiPriority w:val="99"/>
    <w:pPr>
      <w:widowControl/>
      <w:spacing w:line="360" w:lineRule="auto"/>
      <w:ind w:firstLine="200" w:firstLineChars="200"/>
    </w:pPr>
    <w:rPr>
      <w:rFonts w:ascii="宋体" w:hAnsi="Calibri"/>
      <w:b/>
      <w:bCs/>
      <w:szCs w:val="21"/>
    </w:rPr>
  </w:style>
  <w:style w:type="character" w:customStyle="1" w:styleId="71">
    <w:name w:val="批注主题 Char"/>
    <w:basedOn w:val="53"/>
    <w:link w:val="25"/>
    <w:autoRedefine/>
    <w:semiHidden/>
    <w:qFormat/>
    <w:uiPriority w:val="99"/>
    <w:rPr>
      <w:rFonts w:ascii="宋体" w:hAnsi="Calibri" w:eastAsia="宋体" w:cs="Times New Roman"/>
      <w:b/>
      <w:bCs/>
      <w:kern w:val="2"/>
      <w:sz w:val="21"/>
      <w:szCs w:val="21"/>
    </w:rPr>
  </w:style>
  <w:style w:type="character" w:customStyle="1" w:styleId="72">
    <w:name w:val="超链接1"/>
    <w:basedOn w:val="29"/>
    <w:autoRedefine/>
    <w:unhideWhenUsed/>
    <w:qFormat/>
    <w:uiPriority w:val="99"/>
    <w:rPr>
      <w:color w:val="0563C1"/>
      <w:u w:val="single"/>
    </w:rPr>
  </w:style>
  <w:style w:type="character" w:customStyle="1" w:styleId="73">
    <w:name w:val="正文文本 字符"/>
    <w:basedOn w:val="29"/>
    <w:autoRedefine/>
    <w:semiHidden/>
    <w:qFormat/>
    <w:uiPriority w:val="99"/>
  </w:style>
  <w:style w:type="character" w:customStyle="1" w:styleId="74">
    <w:name w:val="纯文本 字符"/>
    <w:basedOn w:val="29"/>
    <w:autoRedefine/>
    <w:qFormat/>
    <w:uiPriority w:val="0"/>
    <w:rPr>
      <w:rFonts w:ascii="宋体" w:hAnsi="Courier New" w:cs="Courier New"/>
    </w:rPr>
  </w:style>
  <w:style w:type="paragraph" w:customStyle="1" w:styleId="75">
    <w:name w:val="标题1"/>
    <w:basedOn w:val="3"/>
    <w:next w:val="1"/>
    <w:link w:val="76"/>
    <w:autoRedefine/>
    <w:qFormat/>
    <w:uiPriority w:val="0"/>
  </w:style>
  <w:style w:type="character" w:customStyle="1" w:styleId="76">
    <w:name w:val="标题1 字符"/>
    <w:basedOn w:val="29"/>
    <w:link w:val="75"/>
    <w:autoRedefine/>
    <w:qFormat/>
    <w:uiPriority w:val="0"/>
    <w:rPr>
      <w:rFonts w:ascii="宋体" w:hAnsi="Calibri" w:eastAsia="宋体" w:cs="Times New Roman"/>
      <w:b/>
      <w:bCs/>
      <w:kern w:val="44"/>
      <w:sz w:val="44"/>
      <w:szCs w:val="44"/>
    </w:rPr>
  </w:style>
  <w:style w:type="paragraph" w:customStyle="1" w:styleId="77">
    <w:name w:val="标题3"/>
    <w:basedOn w:val="5"/>
    <w:next w:val="1"/>
    <w:link w:val="78"/>
    <w:autoRedefine/>
    <w:qFormat/>
    <w:uiPriority w:val="0"/>
  </w:style>
  <w:style w:type="character" w:customStyle="1" w:styleId="78">
    <w:name w:val="标题3 字符"/>
    <w:basedOn w:val="29"/>
    <w:link w:val="77"/>
    <w:autoRedefine/>
    <w:qFormat/>
    <w:uiPriority w:val="0"/>
    <w:rPr>
      <w:rFonts w:ascii="宋体" w:hAnsi="Calibri" w:eastAsia="宋体" w:cs="Times New Roman"/>
      <w:b/>
      <w:bCs/>
      <w:sz w:val="32"/>
      <w:szCs w:val="32"/>
    </w:rPr>
  </w:style>
  <w:style w:type="character" w:customStyle="1" w:styleId="79">
    <w:name w:val="批注文字 字符"/>
    <w:basedOn w:val="29"/>
    <w:autoRedefine/>
    <w:semiHidden/>
    <w:qFormat/>
    <w:uiPriority w:val="0"/>
    <w:rPr>
      <w:rFonts w:ascii="宋体"/>
    </w:rPr>
  </w:style>
  <w:style w:type="paragraph" w:customStyle="1" w:styleId="80">
    <w:name w:val="TOC 标题1"/>
    <w:basedOn w:val="3"/>
    <w:next w:val="1"/>
    <w:autoRedefine/>
    <w:unhideWhenUsed/>
    <w:qFormat/>
    <w:uiPriority w:val="39"/>
  </w:style>
  <w:style w:type="paragraph" w:customStyle="1" w:styleId="81">
    <w:name w:val="标题3（采购需求）"/>
    <w:basedOn w:val="77"/>
    <w:next w:val="1"/>
    <w:link w:val="84"/>
    <w:autoRedefine/>
    <w:qFormat/>
    <w:uiPriority w:val="0"/>
    <w:pPr>
      <w:widowControl/>
      <w:spacing w:before="0" w:after="0" w:line="360" w:lineRule="auto"/>
      <w:jc w:val="left"/>
    </w:pPr>
    <w:rPr>
      <w:rFonts w:hAnsi="宋体"/>
      <w:bCs w:val="0"/>
      <w:sz w:val="24"/>
      <w:szCs w:val="24"/>
    </w:rPr>
  </w:style>
  <w:style w:type="paragraph" w:customStyle="1" w:styleId="82">
    <w:name w:val="列出段落1"/>
    <w:basedOn w:val="1"/>
    <w:next w:val="83"/>
    <w:autoRedefine/>
    <w:qFormat/>
    <w:uiPriority w:val="34"/>
    <w:pPr>
      <w:widowControl/>
      <w:spacing w:line="360" w:lineRule="auto"/>
      <w:ind w:firstLine="420" w:firstLineChars="200"/>
      <w:jc w:val="left"/>
    </w:pPr>
    <w:rPr>
      <w:rFonts w:ascii="宋体"/>
      <w:szCs w:val="21"/>
    </w:rPr>
  </w:style>
  <w:style w:type="paragraph" w:styleId="83">
    <w:name w:val="List Paragraph"/>
    <w:basedOn w:val="1"/>
    <w:autoRedefine/>
    <w:qFormat/>
    <w:uiPriority w:val="34"/>
    <w:pPr>
      <w:ind w:firstLine="420" w:firstLineChars="200"/>
    </w:pPr>
  </w:style>
  <w:style w:type="character" w:customStyle="1" w:styleId="84">
    <w:name w:val="标题3（采购需求） 字符"/>
    <w:basedOn w:val="29"/>
    <w:link w:val="81"/>
    <w:autoRedefine/>
    <w:qFormat/>
    <w:uiPriority w:val="0"/>
    <w:rPr>
      <w:rFonts w:ascii="宋体" w:hAnsi="宋体" w:eastAsia="宋体" w:cs="Times New Roman"/>
      <w:b/>
      <w:sz w:val="24"/>
      <w:szCs w:val="24"/>
    </w:rPr>
  </w:style>
  <w:style w:type="paragraph" w:customStyle="1" w:styleId="85">
    <w:name w:val="标题2"/>
    <w:basedOn w:val="4"/>
    <w:next w:val="1"/>
    <w:link w:val="86"/>
    <w:autoRedefine/>
    <w:qFormat/>
    <w:uiPriority w:val="0"/>
  </w:style>
  <w:style w:type="character" w:customStyle="1" w:styleId="86">
    <w:name w:val="标题2 字符"/>
    <w:basedOn w:val="78"/>
    <w:link w:val="85"/>
    <w:autoRedefine/>
    <w:qFormat/>
    <w:uiPriority w:val="0"/>
    <w:rPr>
      <w:rFonts w:ascii="Cambria" w:hAnsi="Cambria" w:eastAsia="宋体" w:cs="Times New Roman"/>
      <w:sz w:val="44"/>
      <w:szCs w:val="32"/>
    </w:rPr>
  </w:style>
  <w:style w:type="character" w:customStyle="1" w:styleId="8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88">
    <w:name w:val="标题3（投标须知）"/>
    <w:basedOn w:val="77"/>
    <w:next w:val="89"/>
    <w:link w:val="90"/>
    <w:autoRedefine/>
    <w:qFormat/>
    <w:uiPriority w:val="0"/>
    <w:pPr>
      <w:widowControl/>
      <w:spacing w:before="200" w:after="200" w:line="240" w:lineRule="auto"/>
      <w:jc w:val="center"/>
    </w:pPr>
    <w:rPr>
      <w:rFonts w:ascii="黑体" w:hAnsi="黑体" w:eastAsia="黑体"/>
      <w:sz w:val="30"/>
      <w:szCs w:val="24"/>
    </w:rPr>
  </w:style>
  <w:style w:type="paragraph" w:customStyle="1" w:styleId="89">
    <w:name w:val="标题4"/>
    <w:basedOn w:val="1"/>
    <w:next w:val="1"/>
    <w:link w:val="91"/>
    <w:autoRedefine/>
    <w:qFormat/>
    <w:uiPriority w:val="0"/>
    <w:pPr>
      <w:widowControl/>
      <w:spacing w:line="360" w:lineRule="auto"/>
      <w:ind w:firstLine="176" w:firstLineChars="176"/>
      <w:jc w:val="left"/>
      <w:outlineLvl w:val="3"/>
    </w:pPr>
    <w:rPr>
      <w:rFonts w:ascii="黑体" w:hAnsi="黑体" w:eastAsia="黑体"/>
      <w:b/>
      <w:bCs/>
      <w:sz w:val="24"/>
      <w:szCs w:val="24"/>
    </w:rPr>
  </w:style>
  <w:style w:type="character" w:customStyle="1" w:styleId="90">
    <w:name w:val="标题3（投标须知） 字符"/>
    <w:basedOn w:val="29"/>
    <w:link w:val="88"/>
    <w:autoRedefine/>
    <w:qFormat/>
    <w:uiPriority w:val="0"/>
    <w:rPr>
      <w:rFonts w:ascii="黑体" w:hAnsi="黑体" w:eastAsia="黑体" w:cs="Times New Roman"/>
      <w:b/>
      <w:bCs/>
      <w:sz w:val="30"/>
      <w:szCs w:val="24"/>
    </w:rPr>
  </w:style>
  <w:style w:type="character" w:customStyle="1" w:styleId="91">
    <w:name w:val="标题4 字符"/>
    <w:basedOn w:val="29"/>
    <w:link w:val="89"/>
    <w:autoRedefine/>
    <w:qFormat/>
    <w:uiPriority w:val="0"/>
    <w:rPr>
      <w:rFonts w:ascii="黑体" w:hAnsi="黑体" w:eastAsia="黑体"/>
      <w:b/>
      <w:bCs/>
      <w:sz w:val="24"/>
      <w:szCs w:val="24"/>
    </w:rPr>
  </w:style>
  <w:style w:type="paragraph" w:customStyle="1" w:styleId="92">
    <w:name w:val="标题2（文件格式）"/>
    <w:basedOn w:val="85"/>
    <w:next w:val="1"/>
    <w:link w:val="94"/>
    <w:autoRedefine/>
    <w:qFormat/>
    <w:uiPriority w:val="0"/>
  </w:style>
  <w:style w:type="character" w:customStyle="1" w:styleId="93">
    <w:name w:val="纯文本 Char1"/>
    <w:autoRedefine/>
    <w:qFormat/>
    <w:uiPriority w:val="0"/>
    <w:rPr>
      <w:rFonts w:ascii="宋体" w:hAnsi="Courier New" w:eastAsia="宋体" w:cs="Courier New"/>
      <w:szCs w:val="21"/>
    </w:rPr>
  </w:style>
  <w:style w:type="character" w:customStyle="1" w:styleId="94">
    <w:name w:val="标题2（文件格式） 字符"/>
    <w:basedOn w:val="29"/>
    <w:link w:val="92"/>
    <w:autoRedefine/>
    <w:qFormat/>
    <w:uiPriority w:val="0"/>
    <w:rPr>
      <w:rFonts w:ascii="Cambria" w:hAnsi="Cambria" w:eastAsia="宋体" w:cs="Times New Roman"/>
      <w:b/>
      <w:bCs/>
      <w:sz w:val="44"/>
      <w:szCs w:val="32"/>
    </w:rPr>
  </w:style>
  <w:style w:type="character" w:customStyle="1" w:styleId="95">
    <w:name w:val="纯文本 Char4"/>
    <w:autoRedefine/>
    <w:qFormat/>
    <w:uiPriority w:val="99"/>
    <w:rPr>
      <w:rFonts w:ascii="宋体" w:eastAsia="宋体"/>
      <w:szCs w:val="21"/>
    </w:rPr>
  </w:style>
  <w:style w:type="paragraph" w:customStyle="1" w:styleId="96">
    <w:name w:val="p15"/>
    <w:basedOn w:val="1"/>
    <w:autoRedefine/>
    <w:qFormat/>
    <w:uiPriority w:val="0"/>
    <w:pPr>
      <w:widowControl/>
      <w:spacing w:line="360" w:lineRule="auto"/>
      <w:ind w:firstLine="200" w:firstLineChars="200"/>
      <w:jc w:val="left"/>
    </w:pPr>
    <w:rPr>
      <w:rFonts w:ascii="宋体" w:hAnsi="宋体" w:eastAsia="宋体" w:cs="宋体"/>
      <w:kern w:val="0"/>
      <w:szCs w:val="21"/>
    </w:rPr>
  </w:style>
  <w:style w:type="paragraph" w:customStyle="1" w:styleId="97">
    <w:name w:val="正文首行缩进 21"/>
    <w:basedOn w:val="98"/>
    <w:autoRedefine/>
    <w:qFormat/>
    <w:uiPriority w:val="0"/>
    <w:pPr>
      <w:ind w:firstLine="420"/>
    </w:pPr>
    <w:rPr>
      <w:rFonts w:ascii="Calibri" w:hAnsi="Calibri"/>
      <w:szCs w:val="22"/>
    </w:rPr>
  </w:style>
  <w:style w:type="paragraph" w:customStyle="1" w:styleId="98">
    <w:name w:val="Body Text Indent1"/>
    <w:basedOn w:val="1"/>
    <w:autoRedefine/>
    <w:qFormat/>
    <w:uiPriority w:val="0"/>
    <w:pPr>
      <w:widowControl/>
      <w:spacing w:after="120" w:line="360" w:lineRule="auto"/>
      <w:ind w:left="420" w:leftChars="200" w:firstLine="200" w:firstLineChars="200"/>
      <w:jc w:val="left"/>
    </w:pPr>
    <w:rPr>
      <w:rFonts w:ascii="宋体"/>
      <w:szCs w:val="21"/>
    </w:rPr>
  </w:style>
  <w:style w:type="character" w:customStyle="1" w:styleId="99">
    <w:name w:val="NormalCharacter"/>
    <w:autoRedefine/>
    <w:semiHidden/>
    <w:qFormat/>
    <w:uiPriority w:val="0"/>
  </w:style>
  <w:style w:type="paragraph" w:customStyle="1" w:styleId="100">
    <w:name w:val="样式 (符号) 宋体 四号"/>
    <w:basedOn w:val="1"/>
    <w:autoRedefine/>
    <w:qFormat/>
    <w:uiPriority w:val="0"/>
    <w:pPr>
      <w:widowControl/>
      <w:spacing w:line="360" w:lineRule="auto"/>
      <w:ind w:firstLine="200" w:firstLineChars="200"/>
      <w:jc w:val="left"/>
    </w:pPr>
    <w:rPr>
      <w:rFonts w:ascii="宋体" w:cs="宋体"/>
      <w:szCs w:val="20"/>
    </w:rPr>
  </w:style>
  <w:style w:type="paragraph" w:customStyle="1" w:styleId="101">
    <w:name w:val="表格文字115"/>
    <w:basedOn w:val="1"/>
    <w:autoRedefine/>
    <w:qFormat/>
    <w:uiPriority w:val="0"/>
    <w:pPr>
      <w:widowControl/>
      <w:spacing w:before="25" w:after="25" w:line="360" w:lineRule="auto"/>
      <w:ind w:firstLine="200" w:firstLineChars="200"/>
      <w:jc w:val="left"/>
    </w:pPr>
    <w:rPr>
      <w:rFonts w:ascii="宋体"/>
      <w:bCs/>
      <w:spacing w:val="10"/>
      <w:kern w:val="0"/>
      <w:sz w:val="24"/>
      <w:szCs w:val="21"/>
    </w:rPr>
  </w:style>
  <w:style w:type="character" w:customStyle="1" w:styleId="102">
    <w:name w:val="已访问的超链接1"/>
    <w:basedOn w:val="29"/>
    <w:autoRedefine/>
    <w:semiHidden/>
    <w:unhideWhenUsed/>
    <w:qFormat/>
    <w:uiPriority w:val="99"/>
    <w:rPr>
      <w:color w:val="954F72"/>
      <w:u w:val="single"/>
    </w:rPr>
  </w:style>
  <w:style w:type="character" w:customStyle="1" w:styleId="103">
    <w:name w:val="标题 1 Char1"/>
    <w:basedOn w:val="29"/>
    <w:autoRedefine/>
    <w:qFormat/>
    <w:uiPriority w:val="9"/>
    <w:rPr>
      <w:b/>
      <w:bCs/>
      <w:kern w:val="44"/>
      <w:sz w:val="44"/>
      <w:szCs w:val="44"/>
    </w:rPr>
  </w:style>
  <w:style w:type="character" w:customStyle="1" w:styleId="104">
    <w:name w:val="标题 2 Char1"/>
    <w:basedOn w:val="29"/>
    <w:autoRedefine/>
    <w:semiHidden/>
    <w:qFormat/>
    <w:uiPriority w:val="9"/>
    <w:rPr>
      <w:rFonts w:asciiTheme="majorHAnsi" w:hAnsiTheme="majorHAnsi" w:eastAsiaTheme="majorEastAsia" w:cstheme="majorBidi"/>
      <w:b/>
      <w:bCs/>
      <w:sz w:val="32"/>
      <w:szCs w:val="32"/>
    </w:rPr>
  </w:style>
  <w:style w:type="character" w:customStyle="1" w:styleId="105">
    <w:name w:val="标题 3 Char1"/>
    <w:basedOn w:val="29"/>
    <w:autoRedefine/>
    <w:semiHidden/>
    <w:qFormat/>
    <w:uiPriority w:val="9"/>
    <w:rPr>
      <w:b/>
      <w:bCs/>
      <w:sz w:val="32"/>
      <w:szCs w:val="32"/>
    </w:rPr>
  </w:style>
  <w:style w:type="character" w:customStyle="1" w:styleId="106">
    <w:name w:val="标题 5 Char1"/>
    <w:basedOn w:val="29"/>
    <w:autoRedefine/>
    <w:semiHidden/>
    <w:qFormat/>
    <w:uiPriority w:val="9"/>
    <w:rPr>
      <w:b/>
      <w:bCs/>
      <w:sz w:val="28"/>
      <w:szCs w:val="28"/>
    </w:rPr>
  </w:style>
  <w:style w:type="character" w:customStyle="1" w:styleId="107">
    <w:name w:val="标题 8 Char1"/>
    <w:basedOn w:val="29"/>
    <w:autoRedefine/>
    <w:semiHidden/>
    <w:qFormat/>
    <w:uiPriority w:val="9"/>
    <w:rPr>
      <w:rFonts w:asciiTheme="majorHAnsi" w:hAnsiTheme="majorHAnsi" w:eastAsiaTheme="majorEastAsia" w:cstheme="majorBidi"/>
      <w:sz w:val="24"/>
      <w:szCs w:val="24"/>
    </w:rPr>
  </w:style>
  <w:style w:type="character" w:customStyle="1" w:styleId="108">
    <w:name w:val="标题 9 Char1"/>
    <w:basedOn w:val="29"/>
    <w:autoRedefine/>
    <w:semiHidden/>
    <w:qFormat/>
    <w:uiPriority w:val="9"/>
    <w:rPr>
      <w:rFonts w:asciiTheme="majorHAnsi" w:hAnsiTheme="majorHAnsi" w:eastAsiaTheme="majorEastAsia" w:cstheme="majorBidi"/>
      <w:szCs w:val="21"/>
    </w:rPr>
  </w:style>
  <w:style w:type="character" w:customStyle="1" w:styleId="109">
    <w:name w:val="正文文本 3 Char1"/>
    <w:basedOn w:val="29"/>
    <w:link w:val="13"/>
    <w:autoRedefine/>
    <w:semiHidden/>
    <w:qFormat/>
    <w:uiPriority w:val="99"/>
    <w:rPr>
      <w:sz w:val="16"/>
      <w:szCs w:val="16"/>
    </w:rPr>
  </w:style>
  <w:style w:type="character" w:customStyle="1" w:styleId="110">
    <w:name w:val="正文文本缩进 Char1"/>
    <w:basedOn w:val="29"/>
    <w:link w:val="15"/>
    <w:autoRedefine/>
    <w:semiHidden/>
    <w:qFormat/>
    <w:uiPriority w:val="99"/>
  </w:style>
  <w:style w:type="character" w:customStyle="1" w:styleId="111">
    <w:name w:val="批注框文本 Char1"/>
    <w:basedOn w:val="29"/>
    <w:link w:val="19"/>
    <w:autoRedefine/>
    <w:semiHidden/>
    <w:qFormat/>
    <w:uiPriority w:val="99"/>
    <w:rPr>
      <w:sz w:val="18"/>
      <w:szCs w:val="18"/>
    </w:rPr>
  </w:style>
  <w:style w:type="character" w:customStyle="1" w:styleId="112">
    <w:name w:val="页脚 Char1"/>
    <w:basedOn w:val="29"/>
    <w:link w:val="20"/>
    <w:autoRedefine/>
    <w:semiHidden/>
    <w:qFormat/>
    <w:uiPriority w:val="99"/>
    <w:rPr>
      <w:sz w:val="18"/>
      <w:szCs w:val="18"/>
    </w:rPr>
  </w:style>
  <w:style w:type="character" w:customStyle="1" w:styleId="113">
    <w:name w:val="页眉 Char1"/>
    <w:basedOn w:val="29"/>
    <w:link w:val="21"/>
    <w:autoRedefine/>
    <w:qFormat/>
    <w:uiPriority w:val="99"/>
    <w:rPr>
      <w:sz w:val="18"/>
      <w:szCs w:val="18"/>
    </w:rPr>
  </w:style>
  <w:style w:type="character" w:customStyle="1" w:styleId="114">
    <w:name w:val="批注主题 Char1"/>
    <w:basedOn w:val="53"/>
    <w:autoRedefine/>
    <w:semiHidden/>
    <w:qFormat/>
    <w:uiPriority w:val="99"/>
    <w:rPr>
      <w:rFonts w:ascii="Times New Roman" w:hAnsi="Times New Roman" w:eastAsia="宋体" w:cs="Times New Roman"/>
      <w:b/>
      <w:bCs/>
      <w:szCs w:val="24"/>
    </w:rPr>
  </w:style>
  <w:style w:type="paragraph" w:customStyle="1" w:styleId="11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6">
    <w:name w:val="列出段落2"/>
    <w:basedOn w:val="1"/>
    <w:autoRedefine/>
    <w:qFormat/>
    <w:uiPriority w:val="99"/>
    <w:pPr>
      <w:ind w:firstLine="420" w:firstLineChars="200"/>
    </w:pPr>
    <w:rPr>
      <w:rFonts w:ascii="Calibri" w:hAnsi="Calibri" w:eastAsia="宋体" w:cs="Times New Roman"/>
    </w:rPr>
  </w:style>
  <w:style w:type="paragraph" w:customStyle="1" w:styleId="117">
    <w:name w:val="样式2"/>
    <w:basedOn w:val="1"/>
    <w:autoRedefine/>
    <w:qFormat/>
    <w:uiPriority w:val="0"/>
    <w:pPr>
      <w:spacing w:before="100" w:beforeAutospacing="1" w:after="100" w:afterAutospacing="1" w:line="360" w:lineRule="auto"/>
      <w:ind w:firstLine="480"/>
    </w:pPr>
    <w:rPr>
      <w:rFonts w:ascii="宋体" w:hAnsi="宋体" w:cs="Times New Roman"/>
      <w:kern w:val="0"/>
      <w:sz w:val="24"/>
      <w:szCs w:val="20"/>
    </w:rPr>
  </w:style>
  <w:style w:type="paragraph" w:customStyle="1" w:styleId="118">
    <w:name w:val="投标文件格式"/>
    <w:basedOn w:val="1"/>
    <w:autoRedefine/>
    <w:qFormat/>
    <w:uiPriority w:val="0"/>
    <w:pPr>
      <w:autoSpaceDE w:val="0"/>
      <w:autoSpaceDN w:val="0"/>
      <w:adjustRightInd w:val="0"/>
      <w:snapToGrid w:val="0"/>
      <w:spacing w:line="360" w:lineRule="auto"/>
      <w:ind w:firstLine="200" w:firstLineChars="200"/>
      <w:jc w:val="left"/>
    </w:pPr>
    <w:rPr>
      <w:rFonts w:ascii="仿宋_GB2312" w:eastAsia="仿宋_GB2312" w:cs="SimSun,Bold"/>
      <w:kern w:val="0"/>
      <w:sz w:val="28"/>
      <w:szCs w:val="28"/>
    </w:rPr>
  </w:style>
  <w:style w:type="paragraph" w:customStyle="1" w:styleId="119">
    <w:name w:val="佛山投标文件格式"/>
    <w:basedOn w:val="1"/>
    <w:autoRedefine/>
    <w:qFormat/>
    <w:uiPriority w:val="0"/>
    <w:pPr>
      <w:autoSpaceDE w:val="0"/>
      <w:autoSpaceDN w:val="0"/>
      <w:adjustRightInd w:val="0"/>
      <w:snapToGrid w:val="0"/>
      <w:spacing w:line="360" w:lineRule="auto"/>
      <w:ind w:firstLine="480" w:firstLineChars="200"/>
      <w:jc w:val="left"/>
    </w:pPr>
    <w:rPr>
      <w:rFonts w:ascii="宋体" w:hAnsi="宋体" w:cs="SimSun,Bold"/>
      <w:bCs/>
      <w:kern w:val="0"/>
      <w:sz w:val="24"/>
      <w:szCs w:val="24"/>
    </w:rPr>
  </w:style>
  <w:style w:type="paragraph" w:customStyle="1" w:styleId="120">
    <w:name w:val="01 正文-首行缩进2字符"/>
    <w:basedOn w:val="1"/>
    <w:autoRedefine/>
    <w:qFormat/>
    <w:uiPriority w:val="0"/>
    <w:pPr>
      <w:spacing w:before="50" w:beforeLines="50" w:after="50" w:afterLines="50"/>
      <w:ind w:firstLine="200" w:firstLineChars="200"/>
    </w:pPr>
    <w:rPr>
      <w:rFonts w:ascii="Arial" w:hAnsi="Arial"/>
      <w:color w:val="000000"/>
      <w:sz w:val="28"/>
    </w:rPr>
  </w:style>
  <w:style w:type="table" w:customStyle="1" w:styleId="12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67</Pages>
  <Words>24381</Words>
  <Characters>25881</Characters>
  <Lines>307</Lines>
  <Paragraphs>86</Paragraphs>
  <TotalTime>38</TotalTime>
  <ScaleCrop>false</ScaleCrop>
  <LinksUpToDate>false</LinksUpToDate>
  <CharactersWithSpaces>26485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2023-04-11T00:56:00Z</dcterms:created>
  <dc:creator>Administrator</dc:creator>
  <cp:lastModifiedBy>一叶知秋</cp:lastModifiedBy>
  <dcterms:modified xsi:type="dcterms:W3CDTF">2025-10-31T02:22:50Z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63A62099F11A432D8E41CC3932D8FACC_13</vt:lpwstr>
  </property>
  <property fmtid="{D5CDD505-2E9C-101B-9397-08002B2CF9AE}" pid="4" name="KSOTemplateDocerSaveRecord">
    <vt:lpwstr>eyJoZGlkIjoiZDQzNmVhNGE2YzEyNzE4YzY0Y2I1OGQ4NTBmYzE4MzUiLCJ1c2VySWQiOiI1NjI2NDc5NDMifQ==</vt:lpwstr>
  </property>
</Properties>
</file>