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3EEC2">
      <w:pPr>
        <w:pStyle w:val="16"/>
        <w:jc w:val="center"/>
        <w:rPr>
          <w:rFonts w:hAnsi="宋体" w:cs="宋体"/>
          <w:b/>
          <w:bCs/>
          <w:sz w:val="72"/>
          <w:szCs w:val="72"/>
        </w:rPr>
      </w:pPr>
    </w:p>
    <w:p w14:paraId="1DD287ED">
      <w:pPr>
        <w:pStyle w:val="16"/>
        <w:jc w:val="center"/>
        <w:rPr>
          <w:rFonts w:hAnsi="宋体" w:cs="宋体"/>
          <w:b/>
          <w:bCs/>
          <w:sz w:val="72"/>
          <w:szCs w:val="72"/>
        </w:rPr>
      </w:pPr>
      <w:r>
        <w:rPr>
          <w:rFonts w:hint="eastAsia" w:hAnsi="宋体" w:cs="宋体"/>
          <w:b/>
          <w:bCs/>
          <w:sz w:val="72"/>
          <w:szCs w:val="72"/>
        </w:rPr>
        <w:t>竞争性谈判采购文件</w:t>
      </w:r>
    </w:p>
    <w:p w14:paraId="30B5426D">
      <w:pPr>
        <w:spacing w:before="318" w:beforeLines="100" w:after="159" w:afterLines="50" w:line="360" w:lineRule="auto"/>
        <w:jc w:val="center"/>
        <w:rPr>
          <w:rFonts w:ascii="宋体" w:hAnsi="宋体"/>
          <w:szCs w:val="21"/>
        </w:rPr>
      </w:pPr>
      <w:r>
        <w:rPr>
          <w:rFonts w:hint="eastAsia" w:ascii="宋体" w:hAnsi="宋体"/>
          <w:szCs w:val="21"/>
        </w:rPr>
        <w:t>（全流程电子化评标）</w:t>
      </w:r>
    </w:p>
    <w:p w14:paraId="34C21355">
      <w:pPr>
        <w:snapToGrid w:val="0"/>
        <w:spacing w:line="360" w:lineRule="auto"/>
        <w:rPr>
          <w:rFonts w:ascii="宋体" w:hAnsi="宋体" w:cs="宋体"/>
          <w:sz w:val="30"/>
          <w:szCs w:val="72"/>
        </w:rPr>
      </w:pPr>
    </w:p>
    <w:p w14:paraId="57FAD664">
      <w:pPr>
        <w:pStyle w:val="16"/>
        <w:ind w:firstLine="2108" w:firstLineChars="700"/>
        <w:jc w:val="left"/>
        <w:rPr>
          <w:rFonts w:hAnsi="宋体" w:cs="宋体"/>
          <w:b/>
          <w:sz w:val="30"/>
          <w:szCs w:val="72"/>
        </w:rPr>
      </w:pPr>
    </w:p>
    <w:p w14:paraId="31767C8E">
      <w:pPr>
        <w:pStyle w:val="16"/>
        <w:ind w:firstLine="1205" w:firstLineChars="400"/>
        <w:jc w:val="left"/>
        <w:rPr>
          <w:rFonts w:hAnsi="宋体" w:cs="宋体"/>
          <w:b/>
          <w:sz w:val="30"/>
          <w:szCs w:val="72"/>
        </w:rPr>
      </w:pPr>
    </w:p>
    <w:p w14:paraId="2753D2E1">
      <w:pPr>
        <w:pStyle w:val="16"/>
        <w:ind w:firstLine="1205" w:firstLineChars="400"/>
        <w:jc w:val="left"/>
        <w:rPr>
          <w:rFonts w:hAnsi="宋体" w:cs="宋体"/>
          <w:b/>
          <w:sz w:val="30"/>
          <w:szCs w:val="72"/>
        </w:rPr>
      </w:pPr>
      <w:r>
        <w:rPr>
          <w:rFonts w:hint="eastAsia" w:hAnsi="宋体" w:cs="宋体"/>
          <w:b/>
          <w:sz w:val="30"/>
          <w:szCs w:val="72"/>
        </w:rPr>
        <w:t>项目名称：学生公寓配电房老旧非阻燃机械表更换及数据</w:t>
      </w:r>
    </w:p>
    <w:p w14:paraId="0C8233EF">
      <w:pPr>
        <w:pStyle w:val="16"/>
        <w:ind w:firstLine="2711" w:firstLineChars="900"/>
        <w:jc w:val="left"/>
        <w:rPr>
          <w:rFonts w:hAnsi="宋体" w:cs="宋体"/>
          <w:b/>
          <w:sz w:val="30"/>
          <w:szCs w:val="72"/>
        </w:rPr>
      </w:pPr>
      <w:r>
        <w:rPr>
          <w:rFonts w:hint="eastAsia" w:hAnsi="宋体" w:cs="宋体"/>
          <w:b/>
          <w:sz w:val="30"/>
          <w:szCs w:val="72"/>
        </w:rPr>
        <w:t>采集项目</w:t>
      </w:r>
    </w:p>
    <w:p w14:paraId="146C8583">
      <w:pPr>
        <w:pStyle w:val="16"/>
        <w:ind w:firstLine="1205" w:firstLineChars="400"/>
        <w:rPr>
          <w:rFonts w:hAnsi="宋体" w:cs="宋体"/>
          <w:b/>
          <w:sz w:val="30"/>
          <w:szCs w:val="72"/>
        </w:rPr>
      </w:pPr>
      <w:r>
        <w:rPr>
          <w:rFonts w:hint="eastAsia" w:hAnsi="宋体" w:cs="宋体"/>
          <w:b/>
          <w:sz w:val="30"/>
          <w:szCs w:val="72"/>
        </w:rPr>
        <w:t>项目编号：GXZC2025-J1-001746-YJZB</w:t>
      </w:r>
    </w:p>
    <w:p w14:paraId="1E1DC362">
      <w:pPr>
        <w:pStyle w:val="16"/>
        <w:ind w:left="3602" w:leftChars="568" w:hanging="2409" w:hangingChars="800"/>
        <w:rPr>
          <w:rFonts w:hint="default" w:hAnsi="宋体" w:eastAsia="宋体" w:cs="宋体"/>
          <w:b/>
          <w:sz w:val="30"/>
          <w:szCs w:val="72"/>
          <w:lang w:val="en-US" w:eastAsia="zh-CN"/>
        </w:rPr>
      </w:pPr>
      <w:r>
        <w:rPr>
          <w:rFonts w:hint="eastAsia" w:hAnsi="宋体" w:cs="宋体"/>
          <w:b/>
          <w:sz w:val="30"/>
          <w:szCs w:val="72"/>
        </w:rPr>
        <w:t>采购计划编号：广西政采[2025]11254号</w:t>
      </w:r>
      <w:r>
        <w:rPr>
          <w:rFonts w:hint="eastAsia" w:hAnsi="宋体" w:cs="宋体"/>
          <w:b/>
          <w:sz w:val="30"/>
          <w:szCs w:val="72"/>
          <w:lang w:val="en-US" w:eastAsia="zh-CN"/>
        </w:rPr>
        <w:t>-001、002、003、004、005</w:t>
      </w:r>
    </w:p>
    <w:p w14:paraId="224AC011">
      <w:pPr>
        <w:pStyle w:val="16"/>
        <w:ind w:firstLine="2108" w:firstLineChars="700"/>
        <w:jc w:val="center"/>
        <w:rPr>
          <w:rFonts w:hAnsi="宋体" w:cs="宋体"/>
          <w:b/>
          <w:sz w:val="30"/>
          <w:szCs w:val="72"/>
        </w:rPr>
      </w:pPr>
    </w:p>
    <w:p w14:paraId="76FD141D">
      <w:pPr>
        <w:pStyle w:val="5"/>
      </w:pPr>
    </w:p>
    <w:p w14:paraId="5CDE5DB7">
      <w:pPr>
        <w:pStyle w:val="16"/>
        <w:rPr>
          <w:rFonts w:hAnsi="宋体" w:cs="宋体"/>
          <w:b/>
          <w:sz w:val="30"/>
          <w:szCs w:val="72"/>
        </w:rPr>
      </w:pPr>
    </w:p>
    <w:p w14:paraId="6A00E65C">
      <w:pPr>
        <w:pStyle w:val="16"/>
        <w:ind w:firstLine="1807" w:firstLineChars="600"/>
        <w:rPr>
          <w:rFonts w:hAnsi="宋体" w:cs="宋体"/>
          <w:b/>
          <w:sz w:val="30"/>
          <w:szCs w:val="72"/>
        </w:rPr>
      </w:pPr>
    </w:p>
    <w:p w14:paraId="192AA1A7">
      <w:pPr>
        <w:pStyle w:val="16"/>
        <w:ind w:firstLine="1807" w:firstLineChars="600"/>
        <w:rPr>
          <w:rFonts w:hAnsi="宋体" w:cs="宋体"/>
          <w:b/>
          <w:sz w:val="30"/>
          <w:szCs w:val="72"/>
        </w:rPr>
      </w:pPr>
      <w:r>
        <w:rPr>
          <w:rFonts w:hint="eastAsia" w:hAnsi="宋体" w:cs="宋体"/>
          <w:b/>
          <w:sz w:val="30"/>
          <w:szCs w:val="72"/>
        </w:rPr>
        <w:t>采购单位：广西大学</w:t>
      </w:r>
    </w:p>
    <w:p w14:paraId="142C0549">
      <w:pPr>
        <w:pStyle w:val="16"/>
        <w:ind w:firstLine="1807" w:firstLineChars="600"/>
        <w:rPr>
          <w:rFonts w:hAnsi="宋体" w:cs="宋体"/>
          <w:b/>
          <w:sz w:val="30"/>
          <w:szCs w:val="72"/>
        </w:rPr>
      </w:pPr>
      <w:r>
        <w:rPr>
          <w:rFonts w:hint="eastAsia" w:hAnsi="宋体" w:cs="宋体"/>
          <w:b/>
          <w:sz w:val="30"/>
          <w:szCs w:val="72"/>
        </w:rPr>
        <w:t>采购代理机构：广西阳嘉招标代理有限公司</w:t>
      </w:r>
    </w:p>
    <w:p w14:paraId="39DC56A0">
      <w:pPr>
        <w:pStyle w:val="5"/>
      </w:pPr>
    </w:p>
    <w:p w14:paraId="77D3784A">
      <w:pPr>
        <w:pStyle w:val="16"/>
        <w:jc w:val="center"/>
        <w:rPr>
          <w:rFonts w:hAnsi="宋体" w:cs="宋体"/>
        </w:rPr>
        <w:sectPr>
          <w:headerReference r:id="rId3" w:type="default"/>
          <w:footerReference r:id="rId4" w:type="default"/>
          <w:footerReference r:id="rId5" w:type="even"/>
          <w:pgSz w:w="11905" w:h="16838"/>
          <w:pgMar w:top="1417" w:right="1417" w:bottom="1417" w:left="1417" w:header="850" w:footer="992" w:gutter="0"/>
          <w:pgNumType w:start="0"/>
          <w:cols w:space="720" w:num="1"/>
          <w:titlePg/>
          <w:docGrid w:type="lines" w:linePitch="318" w:charSpace="0"/>
        </w:sectPr>
      </w:pPr>
      <w:r>
        <w:rPr>
          <w:rFonts w:hint="eastAsia" w:hAnsi="宋体" w:cs="宋体"/>
          <w:b/>
          <w:sz w:val="30"/>
          <w:szCs w:val="72"/>
        </w:rPr>
        <w:t>2025年6月</w:t>
      </w:r>
      <w:r>
        <w:rPr>
          <w:rFonts w:hint="eastAsia" w:hAnsi="宋体" w:cs="宋体"/>
          <w:b/>
          <w:sz w:val="30"/>
          <w:szCs w:val="72"/>
          <w:lang w:val="en-US" w:eastAsia="zh-CN"/>
        </w:rPr>
        <w:t>23</w:t>
      </w:r>
      <w:r>
        <w:rPr>
          <w:rFonts w:hint="eastAsia" w:hAnsi="宋体" w:cs="宋体"/>
          <w:b/>
          <w:sz w:val="30"/>
          <w:szCs w:val="72"/>
        </w:rPr>
        <w:t>日</w:t>
      </w:r>
      <w:r>
        <w:rPr>
          <w:rFonts w:hAnsi="宋体" w:cs="宋体"/>
          <w:b/>
          <w:sz w:val="30"/>
          <w:szCs w:val="72"/>
        </w:rPr>
        <w:t xml:space="preserve">  </w:t>
      </w:r>
    </w:p>
    <w:p w14:paraId="06BAA69F">
      <w:pPr>
        <w:spacing w:line="360" w:lineRule="auto"/>
        <w:rPr>
          <w:rFonts w:ascii="宋体" w:hAnsi="宋体" w:cs="宋体"/>
          <w:b/>
          <w:sz w:val="44"/>
          <w:szCs w:val="44"/>
        </w:rPr>
      </w:pPr>
    </w:p>
    <w:p w14:paraId="4196DF6E">
      <w:pPr>
        <w:spacing w:line="360" w:lineRule="auto"/>
        <w:jc w:val="center"/>
        <w:rPr>
          <w:rFonts w:ascii="宋体" w:hAnsi="宋体" w:cs="宋体"/>
          <w:b/>
          <w:sz w:val="44"/>
          <w:szCs w:val="44"/>
        </w:rPr>
      </w:pPr>
      <w:r>
        <w:rPr>
          <w:rFonts w:hint="eastAsia" w:ascii="宋体" w:hAnsi="宋体" w:cs="宋体"/>
          <w:b/>
          <w:sz w:val="44"/>
          <w:szCs w:val="44"/>
        </w:rPr>
        <w:t>目  录</w:t>
      </w:r>
    </w:p>
    <w:p w14:paraId="5406453E">
      <w:pPr>
        <w:spacing w:line="400" w:lineRule="exact"/>
        <w:jc w:val="center"/>
        <w:rPr>
          <w:rFonts w:ascii="宋体" w:hAnsi="宋体" w:cs="宋体"/>
          <w:b/>
          <w:sz w:val="44"/>
          <w:szCs w:val="44"/>
        </w:rPr>
      </w:pPr>
    </w:p>
    <w:p w14:paraId="0F9B43E7">
      <w:pPr>
        <w:pStyle w:val="20"/>
        <w:tabs>
          <w:tab w:val="right" w:leader="dot" w:pos="8730"/>
        </w:tabs>
        <w:spacing w:before="120" w:after="120"/>
        <w:ind w:firstLine="241" w:firstLineChars="100"/>
        <w:jc w:val="left"/>
        <w:rPr>
          <w:rFonts w:ascii="宋体" w:hAnsi="宋体"/>
          <w:b/>
          <w:bCs/>
          <w:caps/>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fldChar w:fldCharType="begin"/>
      </w:r>
      <w:r>
        <w:instrText xml:space="preserve"> HYPERLINK \l "_Toc74322008" </w:instrText>
      </w:r>
      <w:r>
        <w:fldChar w:fldCharType="separate"/>
      </w:r>
      <w:r>
        <w:rPr>
          <w:rFonts w:hint="eastAsia" w:ascii="宋体" w:hAnsi="宋体"/>
          <w:b/>
          <w:bCs/>
          <w:caps/>
          <w:sz w:val="24"/>
        </w:rPr>
        <w:t>第一章 竞争性谈判公告</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1</w:t>
      </w:r>
    </w:p>
    <w:p w14:paraId="5288A95E">
      <w:pPr>
        <w:pStyle w:val="20"/>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"_Toc74322009" </w:instrText>
      </w:r>
      <w:r>
        <w:fldChar w:fldCharType="separate"/>
      </w:r>
      <w:r>
        <w:rPr>
          <w:rFonts w:hint="eastAsia" w:ascii="宋体" w:hAnsi="宋体"/>
          <w:b/>
          <w:bCs/>
          <w:caps/>
          <w:sz w:val="24"/>
        </w:rPr>
        <w:t>第二章 供应商须知</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5</w:t>
      </w:r>
    </w:p>
    <w:p w14:paraId="51AFB01F">
      <w:pPr>
        <w:pStyle w:val="20"/>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"_Toc74322010" </w:instrText>
      </w:r>
      <w:r>
        <w:fldChar w:fldCharType="separate"/>
      </w:r>
      <w:r>
        <w:rPr>
          <w:rFonts w:hint="eastAsia" w:ascii="宋体" w:hAnsi="宋体"/>
          <w:b/>
          <w:bCs/>
          <w:caps/>
          <w:sz w:val="24"/>
        </w:rPr>
        <w:t>第三章 采购需求</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27</w:t>
      </w:r>
    </w:p>
    <w:p w14:paraId="5FA717C1">
      <w:pPr>
        <w:pStyle w:val="20"/>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"_Toc74322011" </w:instrText>
      </w:r>
      <w:r>
        <w:fldChar w:fldCharType="separate"/>
      </w:r>
      <w:r>
        <w:rPr>
          <w:rFonts w:hint="eastAsia" w:ascii="宋体" w:hAnsi="宋体"/>
          <w:b/>
          <w:bCs/>
          <w:caps/>
          <w:sz w:val="24"/>
        </w:rPr>
        <w:t>第四章 评审程序和评定成交的标准</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36</w:t>
      </w:r>
    </w:p>
    <w:p w14:paraId="11329475">
      <w:pPr>
        <w:pStyle w:val="20"/>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"_Toc74322012" </w:instrText>
      </w:r>
      <w:r>
        <w:fldChar w:fldCharType="separate"/>
      </w:r>
      <w:r>
        <w:rPr>
          <w:rFonts w:hint="eastAsia" w:ascii="宋体" w:hAnsi="宋体"/>
          <w:b/>
          <w:bCs/>
          <w:caps/>
          <w:sz w:val="24"/>
        </w:rPr>
        <w:t>第五章 响应文件格式</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43</w:t>
      </w:r>
    </w:p>
    <w:p w14:paraId="39F3F248">
      <w:pPr>
        <w:pStyle w:val="20"/>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"_Toc74322013" </w:instrText>
      </w:r>
      <w:r>
        <w:fldChar w:fldCharType="separate"/>
      </w:r>
      <w:r>
        <w:rPr>
          <w:rFonts w:hint="eastAsia" w:ascii="宋体" w:hAnsi="宋体"/>
          <w:b/>
          <w:bCs/>
          <w:caps/>
          <w:sz w:val="24"/>
        </w:rPr>
        <w:t>第六章 合同文本</w:t>
      </w:r>
      <w:r>
        <w:rPr>
          <w:rFonts w:hint="eastAsia" w:ascii="宋体" w:hAnsi="宋体"/>
          <w:b/>
          <w:bCs/>
          <w:caps/>
          <w:sz w:val="24"/>
        </w:rPr>
        <w:fldChar w:fldCharType="end"/>
      </w:r>
      <w:r>
        <w:rPr>
          <w:rFonts w:hint="eastAsia" w:ascii="宋体" w:hAnsi="宋体"/>
          <w:b/>
          <w:bCs/>
          <w:caps/>
          <w:sz w:val="24"/>
        </w:rPr>
        <w:t>……………………………………………………………</w:t>
      </w:r>
      <w:r>
        <w:rPr>
          <w:rFonts w:ascii="宋体" w:hAnsi="宋体"/>
          <w:b/>
          <w:bCs/>
          <w:caps/>
          <w:sz w:val="24"/>
        </w:rPr>
        <w:t>67</w:t>
      </w:r>
    </w:p>
    <w:p w14:paraId="0AF15BF5">
      <w:pPr>
        <w:pStyle w:val="20"/>
        <w:tabs>
          <w:tab w:val="right" w:leader="dot" w:pos="8869"/>
        </w:tabs>
        <w:snapToGrid w:val="0"/>
        <w:spacing w:line="500" w:lineRule="atLeast"/>
        <w:ind w:firstLine="1484" w:firstLineChars="616"/>
        <w:rPr>
          <w:rFonts w:ascii="宋体" w:hAnsi="宋体" w:cs="宋体"/>
          <w:b/>
          <w:sz w:val="24"/>
        </w:rPr>
      </w:pPr>
    </w:p>
    <w:p w14:paraId="68616C4A">
      <w:pPr>
        <w:pStyle w:val="20"/>
        <w:tabs>
          <w:tab w:val="right" w:leader="dot" w:pos="8869"/>
        </w:tabs>
        <w:snapToGrid w:val="0"/>
        <w:spacing w:line="500" w:lineRule="atLeast"/>
        <w:ind w:firstLine="1484" w:firstLineChars="616"/>
        <w:rPr>
          <w:rFonts w:ascii="宋体" w:hAnsi="宋体" w:cs="宋体"/>
          <w:b/>
          <w:sz w:val="24"/>
        </w:rPr>
      </w:pPr>
      <w:r>
        <w:rPr>
          <w:rFonts w:hint="eastAsia" w:ascii="宋体" w:hAnsi="宋体" w:cs="宋体"/>
          <w:b/>
          <w:sz w:val="24"/>
        </w:rPr>
        <w:fldChar w:fldCharType="end"/>
      </w:r>
    </w:p>
    <w:p w14:paraId="7C844C1D">
      <w:pPr>
        <w:pStyle w:val="21"/>
        <w:tabs>
          <w:tab w:val="right" w:leader="dot" w:pos="8931"/>
          <w:tab w:val="clear" w:pos="8296"/>
        </w:tabs>
        <w:snapToGrid w:val="0"/>
        <w:spacing w:line="500" w:lineRule="atLeast"/>
        <w:ind w:left="0" w:leftChars="0"/>
        <w:rPr>
          <w:rFonts w:ascii="宋体" w:hAnsi="宋体" w:cs="宋体"/>
          <w:b/>
          <w:sz w:val="24"/>
        </w:rPr>
      </w:pPr>
      <w:r>
        <w:rPr>
          <w:rFonts w:hint="eastAsia" w:ascii="宋体" w:hAnsi="宋体" w:cs="宋体"/>
          <w:b/>
          <w:sz w:val="24"/>
        </w:rPr>
        <w:fldChar w:fldCharType="end"/>
      </w:r>
    </w:p>
    <w:p w14:paraId="7A68F0B0">
      <w:pPr>
        <w:spacing w:line="400" w:lineRule="exact"/>
        <w:jc w:val="left"/>
        <w:rPr>
          <w:rFonts w:ascii="宋体" w:hAnsi="宋体" w:cs="宋体"/>
          <w:b/>
          <w:sz w:val="32"/>
          <w:szCs w:val="32"/>
        </w:rPr>
      </w:pPr>
    </w:p>
    <w:p w14:paraId="26E68F64">
      <w:pPr>
        <w:spacing w:line="400" w:lineRule="exact"/>
        <w:jc w:val="center"/>
        <w:rPr>
          <w:rFonts w:ascii="宋体" w:hAnsi="宋体" w:cs="宋体"/>
          <w:b/>
          <w:sz w:val="32"/>
          <w:szCs w:val="32"/>
        </w:rPr>
      </w:pPr>
    </w:p>
    <w:p w14:paraId="7617C81D">
      <w:pPr>
        <w:spacing w:line="400" w:lineRule="exact"/>
        <w:jc w:val="center"/>
        <w:rPr>
          <w:rFonts w:ascii="宋体" w:hAnsi="宋体" w:cs="宋体"/>
          <w:b/>
          <w:sz w:val="32"/>
          <w:szCs w:val="32"/>
        </w:rPr>
      </w:pPr>
    </w:p>
    <w:p w14:paraId="09650A1B">
      <w:pPr>
        <w:spacing w:line="400" w:lineRule="exact"/>
        <w:jc w:val="center"/>
        <w:rPr>
          <w:rFonts w:ascii="宋体" w:hAnsi="宋体" w:cs="宋体"/>
          <w:b/>
          <w:sz w:val="32"/>
          <w:szCs w:val="32"/>
        </w:rPr>
      </w:pPr>
    </w:p>
    <w:p w14:paraId="0441742C">
      <w:pPr>
        <w:spacing w:line="400" w:lineRule="exact"/>
        <w:jc w:val="center"/>
        <w:rPr>
          <w:rFonts w:ascii="宋体" w:hAnsi="宋体" w:cs="宋体"/>
          <w:b/>
          <w:sz w:val="32"/>
          <w:szCs w:val="32"/>
        </w:rPr>
      </w:pPr>
    </w:p>
    <w:p w14:paraId="5E125E9A">
      <w:pPr>
        <w:spacing w:line="400" w:lineRule="exact"/>
        <w:rPr>
          <w:rFonts w:ascii="宋体" w:hAnsi="宋体" w:cs="宋体"/>
          <w:b/>
          <w:sz w:val="32"/>
          <w:szCs w:val="32"/>
        </w:rPr>
        <w:sectPr>
          <w:headerReference r:id="rId6" w:type="default"/>
          <w:footerReference r:id="rId7" w:type="default"/>
          <w:pgSz w:w="11905" w:h="16838"/>
          <w:pgMar w:top="1417" w:right="1417" w:bottom="1417" w:left="1417" w:header="850" w:footer="992" w:gutter="0"/>
          <w:pgNumType w:start="0"/>
          <w:cols w:space="720" w:num="1"/>
          <w:titlePg/>
          <w:docGrid w:type="lines" w:linePitch="318" w:charSpace="0"/>
        </w:sectPr>
      </w:pPr>
    </w:p>
    <w:p w14:paraId="59BF1D1F">
      <w:pPr>
        <w:pStyle w:val="3"/>
        <w:numPr>
          <w:ilvl w:val="0"/>
          <w:numId w:val="1"/>
        </w:numPr>
        <w:spacing w:before="0" w:after="0" w:line="240" w:lineRule="auto"/>
        <w:jc w:val="center"/>
        <w:rPr>
          <w:rFonts w:ascii="宋体" w:hAnsi="宋体" w:cs="宋体"/>
        </w:rPr>
      </w:pPr>
      <w:bookmarkStart w:id="0" w:name="_Toc74322008"/>
      <w:r>
        <w:rPr>
          <w:rFonts w:hint="eastAsia" w:ascii="宋体" w:hAnsi="宋体" w:cs="宋体"/>
        </w:rPr>
        <w:t>竞争性谈判公告</w:t>
      </w:r>
      <w:bookmarkEnd w:id="0"/>
    </w:p>
    <w:p w14:paraId="7C671AFD"/>
    <w:p w14:paraId="13CD1B4A">
      <w:pPr>
        <w:pStyle w:val="16"/>
        <w:jc w:val="center"/>
        <w:rPr>
          <w:rFonts w:hAnsi="宋体" w:cs="宋体"/>
          <w:b/>
          <w:sz w:val="32"/>
          <w:szCs w:val="32"/>
        </w:rPr>
      </w:pPr>
      <w:r>
        <w:rPr>
          <w:rFonts w:hint="eastAsia" w:hAnsi="宋体" w:cs="宋体"/>
          <w:b/>
          <w:sz w:val="32"/>
          <w:szCs w:val="32"/>
        </w:rPr>
        <w:t>广西阳嘉招标代理有限公司</w:t>
      </w:r>
    </w:p>
    <w:p w14:paraId="3728DBB7">
      <w:pPr>
        <w:jc w:val="center"/>
        <w:rPr>
          <w:rFonts w:ascii="宋体" w:hAnsi="宋体" w:cs="宋体"/>
          <w:b/>
          <w:bCs/>
          <w:sz w:val="32"/>
          <w:szCs w:val="32"/>
        </w:rPr>
      </w:pPr>
      <w:r>
        <w:rPr>
          <w:rFonts w:hint="eastAsia" w:ascii="宋体" w:hAnsi="宋体" w:cs="宋体"/>
          <w:b/>
          <w:bCs/>
          <w:sz w:val="32"/>
          <w:szCs w:val="32"/>
        </w:rPr>
        <w:t>学生公寓配电房老旧非阻燃机械表更换及数据采集项目</w:t>
      </w:r>
    </w:p>
    <w:p w14:paraId="6CA4B91C">
      <w:pPr>
        <w:jc w:val="center"/>
        <w:rPr>
          <w:rFonts w:ascii="宋体" w:hAnsi="宋体" w:cs="宋体"/>
          <w:b/>
          <w:bCs/>
          <w:sz w:val="32"/>
          <w:szCs w:val="32"/>
        </w:rPr>
      </w:pPr>
      <w:r>
        <w:rPr>
          <w:rFonts w:hint="eastAsia" w:ascii="宋体" w:hAnsi="宋体" w:cs="宋体"/>
          <w:b/>
          <w:bCs/>
          <w:sz w:val="32"/>
          <w:szCs w:val="32"/>
        </w:rPr>
        <w:t>（项目编号：GXZC2025-J1-001746-YJZB）</w:t>
      </w:r>
    </w:p>
    <w:p w14:paraId="7FF826D9">
      <w:pPr>
        <w:jc w:val="center"/>
        <w:rPr>
          <w:rFonts w:hint="eastAsia" w:eastAsia="宋体"/>
          <w:lang w:eastAsia="zh-CN"/>
        </w:rPr>
      </w:pPr>
      <w:r>
        <w:rPr>
          <w:rFonts w:hint="eastAsia" w:ascii="宋体" w:hAnsi="宋体" w:cs="宋体"/>
          <w:b/>
          <w:kern w:val="0"/>
          <w:sz w:val="32"/>
          <w:szCs w:val="32"/>
        </w:rPr>
        <w:t>竞争性谈判公告</w:t>
      </w:r>
    </w:p>
    <w:p w14:paraId="3F9051D3">
      <w:pPr>
        <w:pStyle w:val="32"/>
      </w:pPr>
    </w:p>
    <w:p w14:paraId="3B25CE7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bookmarkStart w:id="1" w:name="_Hlk37430271"/>
      <w:r>
        <w:rPr>
          <w:rFonts w:hint="eastAsia" w:ascii="宋体" w:hAnsi="宋体" w:cs="宋体"/>
          <w:sz w:val="24"/>
        </w:rPr>
        <w:t>项目概况</w:t>
      </w:r>
    </w:p>
    <w:p w14:paraId="346DC34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学生公寓配电房老旧非阻燃机械表更换及数据采集项目</w:t>
      </w:r>
      <w:r>
        <w:rPr>
          <w:rFonts w:hint="eastAsia" w:ascii="宋体" w:hAnsi="宋体" w:cs="宋体"/>
          <w:sz w:val="24"/>
        </w:rPr>
        <w:t>项目的潜在供应商应在广西政府采购云平台（https://www.gcy.zfcg.gxzf.gov.cn/）获取（下载）竞争性谈判采购文件，并于2025年6月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w:t>
      </w:r>
      <w:r>
        <w:rPr>
          <w:rFonts w:hint="eastAsia" w:ascii="宋体" w:hAnsi="宋体" w:cs="宋体"/>
          <w:bCs/>
          <w:sz w:val="24"/>
        </w:rPr>
        <w:t>（北京时间）前提交响应文件</w:t>
      </w:r>
      <w:r>
        <w:rPr>
          <w:rFonts w:hint="eastAsia" w:ascii="宋体" w:hAnsi="宋体" w:cs="宋体"/>
          <w:sz w:val="24"/>
        </w:rPr>
        <w:t>。</w:t>
      </w:r>
    </w:p>
    <w:p w14:paraId="38F0BB68">
      <w:pPr>
        <w:spacing w:line="360" w:lineRule="auto"/>
        <w:ind w:firstLine="361" w:firstLineChars="150"/>
        <w:rPr>
          <w:rFonts w:ascii="宋体" w:hAnsi="宋体" w:cs="宋体"/>
          <w:b/>
          <w:bCs/>
          <w:sz w:val="24"/>
        </w:rPr>
      </w:pPr>
      <w:bookmarkStart w:id="2" w:name="_Toc71366047"/>
      <w:bookmarkStart w:id="3" w:name="_Toc28359018"/>
      <w:bookmarkStart w:id="4" w:name="_Toc28359095"/>
      <w:bookmarkStart w:id="5" w:name="_Toc71365369"/>
      <w:bookmarkStart w:id="6" w:name="_Toc35393636"/>
      <w:bookmarkStart w:id="7" w:name="_Toc35393805"/>
      <w:r>
        <w:rPr>
          <w:rFonts w:hint="eastAsia" w:ascii="宋体" w:hAnsi="宋体" w:cs="宋体"/>
          <w:b/>
          <w:bCs/>
          <w:sz w:val="24"/>
        </w:rPr>
        <w:t>一、项目基本情况</w:t>
      </w:r>
    </w:p>
    <w:p w14:paraId="7FEF5503">
      <w:pPr>
        <w:spacing w:line="440" w:lineRule="exact"/>
        <w:ind w:firstLine="480" w:firstLineChars="200"/>
        <w:rPr>
          <w:rFonts w:ascii="宋体" w:hAnsi="宋体" w:cs="宋体"/>
          <w:sz w:val="24"/>
        </w:rPr>
      </w:pPr>
      <w:r>
        <w:rPr>
          <w:rFonts w:hint="eastAsia" w:ascii="宋体" w:hAnsi="宋体" w:cs="宋体"/>
          <w:sz w:val="24"/>
        </w:rPr>
        <w:t>项目名称：学生公寓配电房老旧非阻燃机械表更换及数据采集项目</w:t>
      </w:r>
    </w:p>
    <w:p w14:paraId="0652569B">
      <w:pPr>
        <w:spacing w:line="440" w:lineRule="exact"/>
        <w:ind w:firstLine="480" w:firstLineChars="200"/>
        <w:rPr>
          <w:rFonts w:ascii="宋体" w:hAnsi="宋体" w:cs="宋体"/>
          <w:sz w:val="24"/>
        </w:rPr>
      </w:pPr>
      <w:r>
        <w:rPr>
          <w:rFonts w:hint="eastAsia" w:ascii="宋体" w:hAnsi="宋体" w:cs="宋体"/>
          <w:sz w:val="24"/>
        </w:rPr>
        <w:t>项目编号：GXZC2025-J1-001746-YJZB</w:t>
      </w:r>
    </w:p>
    <w:p w14:paraId="2B1AA1CB">
      <w:pPr>
        <w:spacing w:line="440" w:lineRule="exact"/>
        <w:ind w:firstLine="480" w:firstLineChars="200"/>
        <w:rPr>
          <w:rFonts w:hint="eastAsia" w:ascii="宋体" w:hAnsi="宋体" w:cs="宋体"/>
          <w:sz w:val="24"/>
        </w:rPr>
      </w:pPr>
      <w:r>
        <w:rPr>
          <w:rFonts w:hint="eastAsia" w:ascii="宋体" w:hAnsi="宋体" w:cs="宋体"/>
          <w:sz w:val="24"/>
        </w:rPr>
        <w:t>采购计划编号：广西政采[2025]11254号-001、002、003、004、005</w:t>
      </w:r>
    </w:p>
    <w:p w14:paraId="33CB8306">
      <w:pPr>
        <w:spacing w:line="440" w:lineRule="exact"/>
        <w:ind w:firstLine="480" w:firstLineChars="200"/>
        <w:rPr>
          <w:rFonts w:ascii="宋体" w:hAnsi="宋体" w:cs="宋体"/>
          <w:sz w:val="24"/>
        </w:rPr>
      </w:pPr>
      <w:r>
        <w:rPr>
          <w:rFonts w:hint="eastAsia" w:ascii="宋体" w:hAnsi="宋体" w:cs="宋体"/>
          <w:sz w:val="24"/>
        </w:rPr>
        <w:t>预算金额（人民币）：</w:t>
      </w:r>
      <w:r>
        <w:rPr>
          <w:rFonts w:hint="eastAsia" w:ascii="宋体" w:hAnsi="宋体" w:cs="宋体"/>
          <w:bCs/>
          <w:sz w:val="24"/>
        </w:rPr>
        <w:t>贰佰陆拾万零柒仟壹佰柒拾元整（¥2607170.00）</w:t>
      </w:r>
    </w:p>
    <w:p w14:paraId="21AE2540">
      <w:pPr>
        <w:spacing w:line="440" w:lineRule="exact"/>
        <w:ind w:firstLine="480" w:firstLineChars="200"/>
        <w:rPr>
          <w:rFonts w:ascii="宋体" w:hAnsi="宋体" w:cs="宋体"/>
          <w:sz w:val="24"/>
        </w:rPr>
      </w:pPr>
      <w:r>
        <w:rPr>
          <w:rFonts w:hint="eastAsia" w:ascii="宋体" w:hAnsi="宋体" w:cs="宋体"/>
          <w:sz w:val="24"/>
        </w:rPr>
        <w:t>采购需求：</w:t>
      </w:r>
    </w:p>
    <w:tbl>
      <w:tblPr>
        <w:tblStyle w:val="26"/>
        <w:tblW w:w="9840" w:type="dxa"/>
        <w:jc w:val="center"/>
        <w:tblLayout w:type="fixed"/>
        <w:tblCellMar>
          <w:top w:w="0" w:type="dxa"/>
          <w:left w:w="108" w:type="dxa"/>
          <w:bottom w:w="0" w:type="dxa"/>
          <w:right w:w="108" w:type="dxa"/>
        </w:tblCellMar>
      </w:tblPr>
      <w:tblGrid>
        <w:gridCol w:w="545"/>
        <w:gridCol w:w="1170"/>
        <w:gridCol w:w="885"/>
        <w:gridCol w:w="900"/>
        <w:gridCol w:w="4020"/>
        <w:gridCol w:w="1320"/>
        <w:gridCol w:w="1000"/>
      </w:tblGrid>
      <w:tr w14:paraId="7AB584BD">
        <w:tblPrEx>
          <w:tblCellMar>
            <w:top w:w="0" w:type="dxa"/>
            <w:left w:w="108" w:type="dxa"/>
            <w:bottom w:w="0" w:type="dxa"/>
            <w:right w:w="108" w:type="dxa"/>
          </w:tblCellMar>
        </w:tblPrEx>
        <w:trPr>
          <w:trHeight w:val="183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BAAE">
            <w:pPr>
              <w:widowControl/>
              <w:spacing w:line="300" w:lineRule="exact"/>
              <w:jc w:val="center"/>
              <w:textAlignment w:val="center"/>
              <w:rPr>
                <w:rFonts w:ascii="宋体" w:hAnsi="宋体" w:cs="宋体"/>
                <w:bCs/>
                <w:sz w:val="24"/>
              </w:rPr>
            </w:pPr>
            <w:r>
              <w:rPr>
                <w:rFonts w:hint="eastAsia" w:ascii="宋体" w:hAnsi="宋体" w:cs="宋体"/>
                <w:bCs/>
                <w:kern w:val="0"/>
                <w:sz w:val="24"/>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620D">
            <w:pPr>
              <w:widowControl/>
              <w:spacing w:line="300" w:lineRule="exact"/>
              <w:jc w:val="center"/>
              <w:textAlignment w:val="center"/>
              <w:rPr>
                <w:rFonts w:ascii="宋体" w:hAnsi="宋体" w:cs="宋体"/>
                <w:bCs/>
                <w:sz w:val="24"/>
              </w:rPr>
            </w:pPr>
            <w:r>
              <w:rPr>
                <w:rFonts w:hint="eastAsia" w:ascii="宋体" w:hAnsi="宋体" w:cs="宋体"/>
                <w:bCs/>
                <w:kern w:val="0"/>
                <w:sz w:val="24"/>
                <w:lang w:bidi="ar"/>
              </w:rPr>
              <w:t>标的名称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972">
            <w:pPr>
              <w:widowControl/>
              <w:spacing w:line="300" w:lineRule="exact"/>
              <w:jc w:val="center"/>
              <w:textAlignment w:val="center"/>
              <w:rPr>
                <w:rFonts w:ascii="宋体" w:hAnsi="宋体" w:cs="宋体"/>
                <w:bCs/>
                <w:sz w:val="24"/>
              </w:rPr>
            </w:pPr>
            <w:r>
              <w:rPr>
                <w:rFonts w:hint="eastAsia" w:ascii="宋体" w:hAnsi="宋体" w:cs="宋体"/>
                <w:bCs/>
                <w:kern w:val="0"/>
                <w:sz w:val="24"/>
                <w:lang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D366">
            <w:pPr>
              <w:widowControl/>
              <w:spacing w:line="300" w:lineRule="exact"/>
              <w:jc w:val="center"/>
              <w:textAlignment w:val="center"/>
              <w:rPr>
                <w:rFonts w:ascii="宋体" w:hAnsi="宋体" w:cs="宋体"/>
                <w:bCs/>
                <w:sz w:val="24"/>
              </w:rPr>
            </w:pPr>
            <w:r>
              <w:rPr>
                <w:rFonts w:hint="eastAsia" w:ascii="宋体" w:hAnsi="宋体" w:cs="宋体"/>
                <w:bCs/>
                <w:kern w:val="0"/>
                <w:sz w:val="24"/>
                <w:lang w:bidi="ar"/>
              </w:rPr>
              <w:t>单位</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062">
            <w:pPr>
              <w:widowControl/>
              <w:spacing w:line="300" w:lineRule="exact"/>
              <w:jc w:val="center"/>
              <w:textAlignment w:val="center"/>
              <w:rPr>
                <w:rFonts w:ascii="宋体" w:hAnsi="宋体" w:cs="宋体"/>
                <w:bCs/>
                <w:sz w:val="24"/>
              </w:rPr>
            </w:pPr>
            <w:r>
              <w:rPr>
                <w:rFonts w:hint="eastAsia" w:ascii="宋体" w:hAnsi="宋体" w:cs="宋体"/>
                <w:bCs/>
                <w:sz w:val="24"/>
              </w:rPr>
              <w:t>简要技术需求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AF82">
            <w:pPr>
              <w:widowControl/>
              <w:spacing w:line="300" w:lineRule="exact"/>
              <w:jc w:val="center"/>
              <w:textAlignment w:val="center"/>
              <w:rPr>
                <w:rFonts w:ascii="宋体" w:hAnsi="宋体" w:cs="宋体"/>
                <w:bCs/>
                <w:sz w:val="24"/>
              </w:rPr>
            </w:pPr>
            <w:r>
              <w:rPr>
                <w:rFonts w:hint="eastAsia" w:ascii="宋体" w:hAnsi="宋体" w:cs="宋体"/>
                <w:bCs/>
                <w:sz w:val="24"/>
              </w:rPr>
              <w:t>预算单价（万元/人民币）</w:t>
            </w:r>
          </w:p>
        </w:tc>
        <w:tc>
          <w:tcPr>
            <w:tcW w:w="1000" w:type="dxa"/>
            <w:tcBorders>
              <w:top w:val="single" w:color="000000" w:sz="4" w:space="0"/>
              <w:left w:val="single" w:color="000000" w:sz="4" w:space="0"/>
              <w:bottom w:val="single" w:color="000000" w:sz="4" w:space="0"/>
              <w:right w:val="single" w:color="000000" w:sz="4" w:space="0"/>
            </w:tcBorders>
            <w:vAlign w:val="center"/>
          </w:tcPr>
          <w:p w14:paraId="3DEAFB3F">
            <w:pPr>
              <w:widowControl/>
              <w:spacing w:line="300" w:lineRule="exact"/>
              <w:jc w:val="center"/>
              <w:textAlignment w:val="center"/>
              <w:rPr>
                <w:rFonts w:ascii="宋体" w:hAnsi="宋体" w:cs="宋体"/>
                <w:bCs/>
                <w:sz w:val="24"/>
              </w:rPr>
            </w:pPr>
            <w:r>
              <w:rPr>
                <w:rFonts w:hint="eastAsia" w:ascii="宋体" w:hAnsi="宋体" w:cs="宋体"/>
                <w:bCs/>
                <w:sz w:val="24"/>
              </w:rPr>
              <w:t>单项预算合计（万元/人民币）</w:t>
            </w:r>
          </w:p>
        </w:tc>
      </w:tr>
      <w:tr w14:paraId="0C44470B">
        <w:tblPrEx>
          <w:tblCellMar>
            <w:top w:w="0" w:type="dxa"/>
            <w:left w:w="108" w:type="dxa"/>
            <w:bottom w:w="0" w:type="dxa"/>
            <w:right w:w="108" w:type="dxa"/>
          </w:tblCellMar>
        </w:tblPrEx>
        <w:trPr>
          <w:trHeight w:val="161"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333C">
            <w:pPr>
              <w:spacing w:line="300" w:lineRule="exact"/>
              <w:jc w:val="center"/>
              <w:rPr>
                <w:rFonts w:ascii="宋体" w:hAnsi="宋体" w:cs="宋体"/>
                <w:bCs/>
                <w:sz w:val="24"/>
              </w:rPr>
            </w:pPr>
            <w:r>
              <w:rPr>
                <w:rFonts w:hint="eastAsia" w:ascii="宋体" w:hAnsi="宋体" w:cs="宋体"/>
                <w:bCs/>
                <w:sz w:val="24"/>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700">
            <w:pPr>
              <w:spacing w:line="300" w:lineRule="exact"/>
              <w:jc w:val="center"/>
              <w:rPr>
                <w:rFonts w:ascii="宋体" w:hAnsi="宋体" w:cs="宋体"/>
                <w:bCs/>
                <w:kern w:val="0"/>
                <w:sz w:val="24"/>
              </w:rPr>
            </w:pPr>
            <w:r>
              <w:rPr>
                <w:rFonts w:hint="eastAsia" w:ascii="宋体" w:hAnsi="宋体" w:cs="宋体"/>
                <w:bCs/>
                <w:kern w:val="0"/>
                <w:sz w:val="24"/>
              </w:rPr>
              <w:t>单相智能电表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D9E8">
            <w:pPr>
              <w:spacing w:line="300" w:lineRule="exact"/>
              <w:jc w:val="center"/>
              <w:rPr>
                <w:rFonts w:ascii="宋体" w:hAnsi="宋体" w:cs="宋体"/>
                <w:bCs/>
                <w:sz w:val="24"/>
              </w:rPr>
            </w:pPr>
            <w:r>
              <w:rPr>
                <w:rFonts w:hint="eastAsia" w:ascii="宋体" w:hAnsi="宋体" w:cs="宋体"/>
                <w:bCs/>
                <w:sz w:val="24"/>
              </w:rPr>
              <w:t>4300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9AAF">
            <w:pPr>
              <w:spacing w:line="300" w:lineRule="exact"/>
              <w:jc w:val="center"/>
              <w:rPr>
                <w:rFonts w:ascii="宋体" w:hAnsi="宋体" w:cs="宋体"/>
                <w:bCs/>
                <w:sz w:val="24"/>
              </w:rPr>
            </w:pPr>
            <w:r>
              <w:rPr>
                <w:rFonts w:hint="eastAsia" w:ascii="宋体" w:hAnsi="宋体" w:cs="宋体"/>
                <w:bCs/>
                <w:sz w:val="24"/>
              </w:rPr>
              <w:t>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EEF7">
            <w:pPr>
              <w:spacing w:line="300" w:lineRule="exact"/>
              <w:jc w:val="left"/>
              <w:rPr>
                <w:rFonts w:ascii="宋体" w:hAnsi="宋体" w:cs="Batang"/>
                <w:bCs/>
                <w:sz w:val="24"/>
              </w:rPr>
            </w:pPr>
            <w:r>
              <w:rPr>
                <w:rFonts w:hint="eastAsia" w:ascii="宋体" w:hAnsi="宋体" w:cs="Batang"/>
                <w:bCs/>
                <w:sz w:val="24"/>
              </w:rPr>
              <w:t>DDZY型壁挂表</w:t>
            </w:r>
          </w:p>
          <w:p w14:paraId="3DCDD74E">
            <w:pPr>
              <w:spacing w:line="300" w:lineRule="exact"/>
              <w:jc w:val="left"/>
              <w:rPr>
                <w:rFonts w:ascii="宋体" w:hAnsi="宋体" w:cs="Batang"/>
                <w:bCs/>
                <w:sz w:val="24"/>
              </w:rPr>
            </w:pPr>
            <w:r>
              <w:rPr>
                <w:rFonts w:hint="eastAsia" w:ascii="宋体" w:hAnsi="宋体" w:cs="Batang"/>
                <w:bCs/>
                <w:sz w:val="24"/>
              </w:rPr>
              <w:t>▲1. 性能要求：符合国家标准《GB/T 17215.321-2021》。</w:t>
            </w:r>
          </w:p>
          <w:p w14:paraId="3BBDC689">
            <w:pPr>
              <w:pStyle w:val="2"/>
              <w:spacing w:line="300" w:lineRule="exact"/>
              <w:rPr>
                <w:bCs/>
                <w:sz w:val="24"/>
                <w:szCs w:val="24"/>
              </w:rPr>
            </w:pPr>
            <w:r>
              <w:rPr>
                <w:rFonts w:hint="eastAsia" w:ascii="宋体" w:hAnsi="宋体" w:cs="Batang"/>
                <w:bCs/>
                <w:sz w:val="24"/>
                <w:szCs w:val="24"/>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195B">
            <w:pPr>
              <w:spacing w:line="300" w:lineRule="exact"/>
              <w:jc w:val="center"/>
              <w:rPr>
                <w:rFonts w:ascii="宋体" w:hAnsi="宋体" w:cs="宋体"/>
                <w:bCs/>
                <w:sz w:val="24"/>
              </w:rPr>
            </w:pPr>
            <w:r>
              <w:rPr>
                <w:rFonts w:hint="eastAsia" w:ascii="宋体" w:hAnsi="宋体" w:cs="宋体"/>
                <w:bCs/>
                <w:sz w:val="24"/>
              </w:rPr>
              <w:t>0.0363</w:t>
            </w:r>
          </w:p>
        </w:tc>
        <w:tc>
          <w:tcPr>
            <w:tcW w:w="1000" w:type="dxa"/>
            <w:tcBorders>
              <w:top w:val="single" w:color="000000" w:sz="4" w:space="0"/>
              <w:left w:val="single" w:color="000000" w:sz="4" w:space="0"/>
              <w:bottom w:val="single" w:color="000000" w:sz="4" w:space="0"/>
              <w:right w:val="single" w:color="000000" w:sz="4" w:space="0"/>
            </w:tcBorders>
            <w:vAlign w:val="center"/>
          </w:tcPr>
          <w:p w14:paraId="63108828">
            <w:pPr>
              <w:spacing w:line="300" w:lineRule="exact"/>
              <w:jc w:val="center"/>
              <w:rPr>
                <w:rFonts w:ascii="宋体" w:hAnsi="宋体" w:cs="宋体"/>
                <w:bCs/>
                <w:sz w:val="24"/>
                <w:shd w:val="clear" w:color="auto" w:fill="FFFFFF"/>
              </w:rPr>
            </w:pPr>
            <w:r>
              <w:rPr>
                <w:rFonts w:hint="eastAsia" w:ascii="宋体" w:hAnsi="宋体" w:cs="宋体"/>
                <w:bCs/>
                <w:sz w:val="24"/>
              </w:rPr>
              <w:t>156.09</w:t>
            </w:r>
          </w:p>
        </w:tc>
      </w:tr>
      <w:tr w14:paraId="159A4C2E">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2AD">
            <w:pPr>
              <w:spacing w:line="300" w:lineRule="exact"/>
              <w:jc w:val="center"/>
              <w:rPr>
                <w:rFonts w:ascii="宋体" w:hAnsi="宋体" w:cs="宋体"/>
                <w:bCs/>
                <w:sz w:val="24"/>
              </w:rPr>
            </w:pPr>
            <w:r>
              <w:rPr>
                <w:rFonts w:hint="eastAsia" w:ascii="宋体" w:hAnsi="宋体" w:cs="宋体"/>
                <w:bCs/>
                <w:sz w:val="24"/>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0ABC">
            <w:pPr>
              <w:spacing w:line="300" w:lineRule="exact"/>
              <w:jc w:val="center"/>
              <w:rPr>
                <w:rFonts w:ascii="宋体" w:hAnsi="宋体" w:cs="宋体"/>
                <w:bCs/>
                <w:kern w:val="0"/>
                <w:sz w:val="24"/>
              </w:rPr>
            </w:pPr>
            <w:r>
              <w:rPr>
                <w:rFonts w:hint="eastAsia" w:ascii="宋体" w:hAnsi="宋体" w:cs="宋体"/>
                <w:bCs/>
                <w:kern w:val="0"/>
                <w:sz w:val="24"/>
              </w:rPr>
              <w:t>三相导轨费控电表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9781">
            <w:pPr>
              <w:spacing w:line="300" w:lineRule="exact"/>
              <w:jc w:val="center"/>
              <w:rPr>
                <w:rFonts w:ascii="宋体" w:hAnsi="宋体" w:cs="宋体"/>
                <w:bCs/>
                <w:sz w:val="24"/>
              </w:rPr>
            </w:pPr>
            <w:r>
              <w:rPr>
                <w:rFonts w:hint="eastAsia" w:ascii="宋体" w:hAnsi="宋体" w:cs="宋体"/>
                <w:bCs/>
                <w:sz w:val="24"/>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F51A">
            <w:pPr>
              <w:spacing w:line="300" w:lineRule="exact"/>
              <w:jc w:val="center"/>
              <w:rPr>
                <w:rFonts w:ascii="宋体" w:hAnsi="宋体" w:cs="宋体"/>
                <w:bCs/>
                <w:sz w:val="24"/>
              </w:rPr>
            </w:pPr>
            <w:r>
              <w:rPr>
                <w:rFonts w:hint="eastAsia" w:ascii="宋体" w:hAnsi="宋体" w:cs="宋体"/>
                <w:bCs/>
                <w:sz w:val="24"/>
              </w:rPr>
              <w:t>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060">
            <w:pPr>
              <w:spacing w:line="300" w:lineRule="exact"/>
              <w:jc w:val="left"/>
              <w:rPr>
                <w:rFonts w:ascii="宋体" w:hAnsi="宋体" w:cs="Batang"/>
                <w:bCs/>
                <w:sz w:val="24"/>
              </w:rPr>
            </w:pPr>
            <w:r>
              <w:rPr>
                <w:rFonts w:hint="eastAsia" w:ascii="宋体" w:hAnsi="宋体" w:cs="Batang"/>
                <w:bCs/>
                <w:sz w:val="24"/>
              </w:rPr>
              <w:t>DTSU型导轨表</w:t>
            </w:r>
          </w:p>
          <w:p w14:paraId="20C6ECCF">
            <w:pPr>
              <w:spacing w:line="300" w:lineRule="exact"/>
              <w:jc w:val="left"/>
              <w:rPr>
                <w:rFonts w:ascii="宋体" w:hAnsi="宋体" w:cs="Batang"/>
                <w:bCs/>
                <w:sz w:val="24"/>
              </w:rPr>
            </w:pPr>
            <w:r>
              <w:rPr>
                <w:rFonts w:hint="eastAsia" w:ascii="宋体" w:hAnsi="宋体" w:cs="Batang"/>
                <w:bCs/>
                <w:sz w:val="24"/>
              </w:rPr>
              <w:t>▲1. 性能要求：符合国家标准《GB/T 17215.321-2021》标准。</w:t>
            </w:r>
          </w:p>
          <w:p w14:paraId="1C5B75AB">
            <w:pPr>
              <w:pStyle w:val="2"/>
              <w:spacing w:line="300" w:lineRule="exact"/>
              <w:rPr>
                <w:bCs/>
              </w:rPr>
            </w:pPr>
            <w:r>
              <w:rPr>
                <w:rFonts w:hint="eastAsia" w:ascii="宋体" w:hAnsi="宋体" w:cs="Batang"/>
                <w:bCs/>
                <w:sz w:val="24"/>
                <w:szCs w:val="24"/>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F45">
            <w:pPr>
              <w:spacing w:line="300" w:lineRule="exact"/>
              <w:jc w:val="center"/>
              <w:rPr>
                <w:rFonts w:ascii="宋体" w:hAnsi="宋体" w:cs="宋体"/>
                <w:bCs/>
                <w:sz w:val="24"/>
              </w:rPr>
            </w:pPr>
            <w:r>
              <w:rPr>
                <w:rFonts w:ascii="宋体" w:hAnsi="宋体" w:cs="宋体"/>
                <w:bCs/>
                <w:sz w:val="24"/>
              </w:rPr>
              <w:t>0.0</w:t>
            </w:r>
            <w:r>
              <w:rPr>
                <w:rFonts w:hint="eastAsia" w:ascii="宋体" w:hAnsi="宋体" w:cs="宋体"/>
                <w:bCs/>
                <w:sz w:val="24"/>
              </w:rPr>
              <w:t>98</w:t>
            </w:r>
          </w:p>
        </w:tc>
        <w:tc>
          <w:tcPr>
            <w:tcW w:w="1000" w:type="dxa"/>
            <w:tcBorders>
              <w:top w:val="single" w:color="000000" w:sz="4" w:space="0"/>
              <w:left w:val="single" w:color="000000" w:sz="4" w:space="0"/>
              <w:bottom w:val="single" w:color="000000" w:sz="4" w:space="0"/>
              <w:right w:val="single" w:color="000000" w:sz="4" w:space="0"/>
            </w:tcBorders>
            <w:vAlign w:val="center"/>
          </w:tcPr>
          <w:p w14:paraId="6A59E45A">
            <w:pPr>
              <w:spacing w:line="300" w:lineRule="exact"/>
              <w:jc w:val="center"/>
              <w:rPr>
                <w:rFonts w:ascii="宋体" w:hAnsi="宋体" w:cs="宋体"/>
                <w:bCs/>
                <w:sz w:val="24"/>
              </w:rPr>
            </w:pPr>
            <w:r>
              <w:rPr>
                <w:rFonts w:hint="eastAsia" w:ascii="宋体" w:hAnsi="宋体" w:cs="宋体"/>
                <w:bCs/>
                <w:sz w:val="24"/>
              </w:rPr>
              <w:t>10.976</w:t>
            </w:r>
          </w:p>
        </w:tc>
      </w:tr>
      <w:tr w14:paraId="4EA16BDC">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884">
            <w:pPr>
              <w:spacing w:line="300" w:lineRule="exact"/>
              <w:jc w:val="center"/>
              <w:rPr>
                <w:rFonts w:ascii="宋体" w:hAnsi="宋体" w:cs="宋体"/>
                <w:bCs/>
                <w:sz w:val="24"/>
              </w:rPr>
            </w:pPr>
            <w:r>
              <w:rPr>
                <w:rFonts w:hint="eastAsia" w:ascii="宋体" w:hAnsi="宋体" w:cs="宋体"/>
                <w:bCs/>
                <w:sz w:val="24"/>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252">
            <w:pPr>
              <w:spacing w:line="300" w:lineRule="exact"/>
              <w:jc w:val="center"/>
              <w:rPr>
                <w:rFonts w:ascii="宋体" w:hAnsi="宋体" w:cs="宋体"/>
                <w:bCs/>
                <w:kern w:val="0"/>
                <w:sz w:val="24"/>
              </w:rPr>
            </w:pPr>
            <w:r>
              <w:rPr>
                <w:rFonts w:hint="eastAsia" w:ascii="宋体" w:hAnsi="宋体" w:cs="宋体"/>
                <w:bCs/>
                <w:kern w:val="0"/>
                <w:sz w:val="24"/>
              </w:rPr>
              <w:t>集中器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29B">
            <w:pPr>
              <w:spacing w:line="300" w:lineRule="exact"/>
              <w:jc w:val="center"/>
              <w:rPr>
                <w:rFonts w:ascii="宋体" w:hAnsi="宋体" w:cs="宋体"/>
                <w:bCs/>
                <w:sz w:val="24"/>
              </w:rPr>
            </w:pPr>
            <w:r>
              <w:rPr>
                <w:rFonts w:hint="eastAsia" w:ascii="宋体" w:hAnsi="宋体" w:cs="宋体"/>
                <w:bCs/>
                <w:sz w:val="24"/>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B7ED">
            <w:pPr>
              <w:spacing w:line="300" w:lineRule="exact"/>
              <w:jc w:val="center"/>
              <w:rPr>
                <w:rFonts w:ascii="宋体" w:hAnsi="宋体" w:cs="宋体"/>
                <w:bCs/>
                <w:sz w:val="24"/>
              </w:rPr>
            </w:pPr>
            <w:r>
              <w:rPr>
                <w:rFonts w:hint="eastAsia" w:ascii="宋体" w:hAnsi="宋体" w:cs="宋体"/>
                <w:bCs/>
                <w:sz w:val="24"/>
              </w:rPr>
              <w:t>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D016">
            <w:pPr>
              <w:numPr>
                <w:ilvl w:val="0"/>
                <w:numId w:val="2"/>
              </w:numPr>
              <w:spacing w:line="300" w:lineRule="exact"/>
              <w:jc w:val="left"/>
              <w:rPr>
                <w:rFonts w:ascii="宋体" w:hAnsi="宋体" w:cs="Batang"/>
                <w:bCs/>
                <w:sz w:val="24"/>
              </w:rPr>
            </w:pPr>
            <w:r>
              <w:rPr>
                <w:rFonts w:hint="eastAsia" w:ascii="宋体" w:hAnsi="宋体" w:cs="Batang"/>
                <w:bCs/>
                <w:sz w:val="24"/>
              </w:rPr>
              <w:t>上行接口：包含≥1个以太网接口，≥1个4G接口；</w:t>
            </w:r>
          </w:p>
          <w:p w14:paraId="2F1A481C">
            <w:pPr>
              <w:numPr>
                <w:ilvl w:val="255"/>
                <w:numId w:val="0"/>
              </w:numPr>
              <w:spacing w:line="300" w:lineRule="exact"/>
              <w:jc w:val="left"/>
              <w:rPr>
                <w:bCs/>
              </w:rPr>
            </w:pPr>
            <w:r>
              <w:rPr>
                <w:rFonts w:hint="eastAsia" w:ascii="宋体" w:hAnsi="宋体" w:cs="Batang"/>
                <w:bCs/>
                <w:sz w:val="24"/>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7D5C">
            <w:pPr>
              <w:spacing w:line="300" w:lineRule="exact"/>
              <w:jc w:val="center"/>
              <w:rPr>
                <w:rFonts w:ascii="宋体" w:hAnsi="宋体" w:cs="宋体"/>
                <w:bCs/>
                <w:sz w:val="24"/>
              </w:rPr>
            </w:pPr>
            <w:r>
              <w:rPr>
                <w:rFonts w:hint="eastAsia" w:ascii="宋体" w:hAnsi="宋体" w:cs="宋体"/>
                <w:bCs/>
                <w:sz w:val="24"/>
              </w:rPr>
              <w:t>0.351</w:t>
            </w:r>
          </w:p>
        </w:tc>
        <w:tc>
          <w:tcPr>
            <w:tcW w:w="1000" w:type="dxa"/>
            <w:tcBorders>
              <w:top w:val="single" w:color="000000" w:sz="4" w:space="0"/>
              <w:left w:val="single" w:color="000000" w:sz="4" w:space="0"/>
              <w:bottom w:val="single" w:color="000000" w:sz="4" w:space="0"/>
              <w:right w:val="single" w:color="000000" w:sz="4" w:space="0"/>
            </w:tcBorders>
            <w:vAlign w:val="center"/>
          </w:tcPr>
          <w:p w14:paraId="007E9D35">
            <w:pPr>
              <w:spacing w:line="300" w:lineRule="exact"/>
              <w:jc w:val="center"/>
              <w:rPr>
                <w:rFonts w:ascii="宋体" w:hAnsi="宋体" w:cs="宋体"/>
                <w:bCs/>
                <w:sz w:val="24"/>
              </w:rPr>
            </w:pPr>
            <w:r>
              <w:rPr>
                <w:rFonts w:hint="eastAsia" w:ascii="宋体" w:hAnsi="宋体" w:cs="宋体"/>
                <w:bCs/>
                <w:sz w:val="24"/>
              </w:rPr>
              <w:t>87.75</w:t>
            </w:r>
          </w:p>
        </w:tc>
      </w:tr>
      <w:tr w14:paraId="0AA7CEF6">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7B3">
            <w:pPr>
              <w:spacing w:line="300" w:lineRule="exact"/>
              <w:jc w:val="center"/>
              <w:rPr>
                <w:rFonts w:ascii="宋体" w:hAnsi="宋体" w:cs="宋体"/>
                <w:bCs/>
                <w:sz w:val="24"/>
              </w:rPr>
            </w:pPr>
            <w:r>
              <w:rPr>
                <w:rFonts w:hint="eastAsia" w:ascii="宋体" w:hAnsi="宋体" w:cs="宋体"/>
                <w:bCs/>
                <w:sz w:val="24"/>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D2D3">
            <w:pPr>
              <w:spacing w:line="300" w:lineRule="exact"/>
              <w:jc w:val="center"/>
              <w:rPr>
                <w:rFonts w:ascii="宋体" w:hAnsi="宋体" w:cs="宋体"/>
                <w:bCs/>
                <w:color w:val="000000"/>
                <w:kern w:val="0"/>
                <w:sz w:val="24"/>
                <w:lang w:bidi="ar"/>
              </w:rPr>
            </w:pPr>
          </w:p>
          <w:p w14:paraId="303FC92C">
            <w:pPr>
              <w:spacing w:line="300" w:lineRule="exact"/>
              <w:jc w:val="center"/>
              <w:rPr>
                <w:rFonts w:ascii="宋体" w:hAnsi="宋体" w:cs="宋体"/>
                <w:bCs/>
                <w:kern w:val="0"/>
                <w:sz w:val="24"/>
              </w:rPr>
            </w:pPr>
            <w:r>
              <w:rPr>
                <w:rFonts w:hint="eastAsia" w:ascii="宋体" w:hAnsi="宋体" w:cs="宋体"/>
                <w:bCs/>
                <w:color w:val="000000"/>
                <w:kern w:val="0"/>
                <w:sz w:val="24"/>
                <w:lang w:bidi="ar"/>
              </w:rPr>
              <w:t>通讯连接线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4FF9">
            <w:pPr>
              <w:spacing w:line="400" w:lineRule="exact"/>
              <w:jc w:val="center"/>
              <w:rPr>
                <w:rFonts w:ascii="宋体" w:hAnsi="宋体" w:cs="宋体"/>
                <w:bCs/>
                <w:sz w:val="24"/>
              </w:rPr>
            </w:pPr>
            <w:r>
              <w:rPr>
                <w:rFonts w:hint="eastAsia" w:ascii="宋体" w:hAnsi="宋体" w:cs="宋体"/>
                <w:sz w:val="24"/>
              </w:rPr>
              <w:t>7500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7D4">
            <w:pPr>
              <w:spacing w:line="400" w:lineRule="exact"/>
              <w:jc w:val="center"/>
              <w:rPr>
                <w:rFonts w:ascii="宋体" w:hAnsi="宋体" w:cs="宋体"/>
                <w:bCs/>
                <w:sz w:val="24"/>
              </w:rPr>
            </w:pPr>
            <w:r>
              <w:rPr>
                <w:rFonts w:hint="eastAsia" w:ascii="宋体" w:hAnsi="宋体" w:cs="宋体"/>
                <w:sz w:val="24"/>
              </w:rPr>
              <w:t>米</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D3A2">
            <w:pPr>
              <w:pStyle w:val="2"/>
              <w:spacing w:line="300" w:lineRule="exact"/>
              <w:rPr>
                <w:rFonts w:ascii="宋体" w:hAnsi="宋体" w:cs="Batang"/>
                <w:bCs/>
                <w:sz w:val="24"/>
                <w:szCs w:val="24"/>
              </w:rPr>
            </w:pPr>
            <w:r>
              <w:rPr>
                <w:rFonts w:hint="eastAsia" w:ascii="宋体" w:hAnsi="宋体" w:cs="Batang"/>
                <w:bCs/>
                <w:sz w:val="24"/>
                <w:szCs w:val="24"/>
              </w:rPr>
              <w:t>铜芯导体聚氯乙烯绝缘屏蔽聚氯乙烯护套软电缆，型号为Rvvp2*0.75 。</w:t>
            </w:r>
          </w:p>
          <w:p w14:paraId="0B75EDC9">
            <w:pPr>
              <w:pStyle w:val="2"/>
              <w:spacing w:line="300" w:lineRule="exact"/>
              <w:rPr>
                <w:bCs/>
              </w:rPr>
            </w:pPr>
            <w:r>
              <w:rPr>
                <w:rFonts w:hint="eastAsia" w:ascii="宋体" w:hAnsi="宋体" w:cs="Batang"/>
                <w:bCs/>
                <w:sz w:val="24"/>
                <w:szCs w:val="24"/>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A7C4">
            <w:pPr>
              <w:spacing w:line="300" w:lineRule="exact"/>
              <w:jc w:val="center"/>
              <w:rPr>
                <w:rFonts w:ascii="宋体" w:hAnsi="宋体" w:cs="宋体"/>
                <w:bCs/>
                <w:sz w:val="24"/>
              </w:rPr>
            </w:pPr>
            <w:r>
              <w:rPr>
                <w:rFonts w:hint="eastAsia" w:ascii="宋体" w:hAnsi="宋体" w:cs="宋体"/>
                <w:bCs/>
                <w:sz w:val="24"/>
              </w:rPr>
              <w:t>0.0007</w:t>
            </w:r>
          </w:p>
        </w:tc>
        <w:tc>
          <w:tcPr>
            <w:tcW w:w="1000" w:type="dxa"/>
            <w:tcBorders>
              <w:top w:val="single" w:color="000000" w:sz="4" w:space="0"/>
              <w:left w:val="single" w:color="000000" w:sz="4" w:space="0"/>
              <w:bottom w:val="single" w:color="000000" w:sz="4" w:space="0"/>
              <w:right w:val="single" w:color="000000" w:sz="4" w:space="0"/>
            </w:tcBorders>
            <w:vAlign w:val="center"/>
          </w:tcPr>
          <w:p w14:paraId="29BC1B32">
            <w:pPr>
              <w:spacing w:line="300" w:lineRule="exact"/>
              <w:jc w:val="center"/>
              <w:rPr>
                <w:rFonts w:ascii="宋体" w:hAnsi="宋体" w:cs="宋体"/>
                <w:bCs/>
                <w:sz w:val="24"/>
              </w:rPr>
            </w:pPr>
            <w:r>
              <w:rPr>
                <w:rFonts w:hint="eastAsia" w:ascii="宋体" w:hAnsi="宋体" w:cs="宋体"/>
                <w:bCs/>
                <w:sz w:val="24"/>
              </w:rPr>
              <w:t>5.25</w:t>
            </w:r>
          </w:p>
        </w:tc>
      </w:tr>
      <w:tr w14:paraId="36D5BF42">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132">
            <w:pPr>
              <w:spacing w:line="300" w:lineRule="exact"/>
              <w:jc w:val="center"/>
              <w:rPr>
                <w:rFonts w:ascii="宋体" w:hAnsi="宋体" w:cs="宋体"/>
                <w:bCs/>
                <w:sz w:val="24"/>
              </w:rPr>
            </w:pPr>
            <w:r>
              <w:rPr>
                <w:rFonts w:hint="eastAsia" w:ascii="宋体" w:hAnsi="宋体" w:cs="宋体"/>
                <w:bCs/>
                <w:sz w:val="24"/>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DBC">
            <w:pPr>
              <w:spacing w:line="300" w:lineRule="exact"/>
              <w:jc w:val="center"/>
              <w:rPr>
                <w:rFonts w:ascii="宋体" w:hAnsi="宋体" w:cs="宋体"/>
                <w:bCs/>
                <w:kern w:val="0"/>
                <w:sz w:val="24"/>
              </w:rPr>
            </w:pPr>
            <w:r>
              <w:rPr>
                <w:rFonts w:hint="eastAsia" w:ascii="宋体" w:hAnsi="宋体" w:cs="宋体"/>
                <w:bCs/>
                <w:color w:val="000000"/>
                <w:kern w:val="0"/>
                <w:sz w:val="24"/>
                <w:lang w:bidi="ar"/>
              </w:rPr>
              <w:t>PVC阻燃线管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0B79">
            <w:pPr>
              <w:spacing w:line="400" w:lineRule="exact"/>
              <w:jc w:val="center"/>
              <w:rPr>
                <w:rFonts w:ascii="宋体" w:hAnsi="宋体" w:cs="宋体"/>
                <w:bCs/>
                <w:sz w:val="24"/>
              </w:rPr>
            </w:pPr>
            <w:r>
              <w:rPr>
                <w:rFonts w:hint="eastAsia" w:ascii="宋体" w:hAnsi="宋体" w:cs="宋体"/>
                <w:sz w:val="24"/>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88D7">
            <w:pPr>
              <w:spacing w:line="400" w:lineRule="exact"/>
              <w:jc w:val="center"/>
              <w:rPr>
                <w:rFonts w:ascii="宋体" w:hAnsi="宋体" w:cs="宋体"/>
                <w:bCs/>
                <w:sz w:val="24"/>
              </w:rPr>
            </w:pPr>
            <w:r>
              <w:rPr>
                <w:rFonts w:hint="eastAsia" w:ascii="宋体" w:hAnsi="宋体" w:cs="宋体"/>
                <w:sz w:val="24"/>
              </w:rPr>
              <w:t>米</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2FD9">
            <w:pPr>
              <w:spacing w:line="300" w:lineRule="exact"/>
              <w:jc w:val="left"/>
              <w:rPr>
                <w:rFonts w:ascii="宋体" w:hAnsi="宋体" w:cs="Batang"/>
                <w:bCs/>
                <w:sz w:val="24"/>
              </w:rPr>
            </w:pPr>
            <w:r>
              <w:rPr>
                <w:rFonts w:hint="eastAsia" w:ascii="宋体" w:hAnsi="宋体" w:cs="Batang"/>
                <w:bCs/>
                <w:sz w:val="24"/>
              </w:rPr>
              <w:t>型号为：DN25。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A185">
            <w:pPr>
              <w:spacing w:line="300" w:lineRule="exact"/>
              <w:jc w:val="center"/>
              <w:rPr>
                <w:rFonts w:ascii="宋体" w:hAnsi="宋体" w:cs="宋体"/>
                <w:bCs/>
                <w:sz w:val="24"/>
              </w:rPr>
            </w:pPr>
            <w:r>
              <w:rPr>
                <w:rFonts w:hint="eastAsia" w:ascii="宋体" w:hAnsi="宋体" w:cs="宋体"/>
                <w:bCs/>
                <w:sz w:val="24"/>
              </w:rPr>
              <w:t>0.00065</w:t>
            </w:r>
            <w:r>
              <w:rPr>
                <w:rFonts w:ascii="宋体" w:hAnsi="宋体" w:cs="宋体"/>
                <w:bCs/>
                <w:sz w:val="24"/>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5CB7BC03">
            <w:pPr>
              <w:spacing w:line="300" w:lineRule="exact"/>
              <w:jc w:val="center"/>
              <w:rPr>
                <w:rFonts w:ascii="宋体" w:hAnsi="宋体" w:cs="宋体"/>
                <w:bCs/>
                <w:sz w:val="24"/>
              </w:rPr>
            </w:pPr>
            <w:r>
              <w:rPr>
                <w:rFonts w:hint="eastAsia" w:ascii="宋体" w:hAnsi="宋体" w:cs="宋体"/>
                <w:bCs/>
                <w:sz w:val="24"/>
              </w:rPr>
              <w:t>0.65</w:t>
            </w:r>
            <w:r>
              <w:rPr>
                <w:rFonts w:ascii="宋体" w:hAnsi="宋体" w:cs="宋体"/>
                <w:bCs/>
                <w:sz w:val="24"/>
              </w:rPr>
              <w:t>1</w:t>
            </w:r>
          </w:p>
        </w:tc>
      </w:tr>
      <w:tr w14:paraId="3D604F62">
        <w:tblPrEx>
          <w:tblCellMar>
            <w:top w:w="0" w:type="dxa"/>
            <w:left w:w="108" w:type="dxa"/>
            <w:bottom w:w="0" w:type="dxa"/>
            <w:right w:w="108" w:type="dxa"/>
          </w:tblCellMar>
        </w:tblPrEx>
        <w:trPr>
          <w:trHeight w:val="90" w:hRule="atLeast"/>
          <w:jc w:val="center"/>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46F637">
            <w:pPr>
              <w:widowControl/>
              <w:spacing w:line="300" w:lineRule="exact"/>
              <w:jc w:val="left"/>
              <w:textAlignment w:val="center"/>
              <w:rPr>
                <w:rFonts w:ascii="宋体" w:hAnsi="宋体" w:cs="宋体"/>
                <w:bCs/>
                <w:sz w:val="24"/>
              </w:rPr>
            </w:pPr>
            <w:r>
              <w:rPr>
                <w:rFonts w:hint="eastAsia" w:ascii="宋体" w:hAnsi="宋体" w:cs="宋体"/>
                <w:bCs/>
                <w:sz w:val="24"/>
              </w:rPr>
              <w:t>预算合计金额（人民币大写）</w:t>
            </w:r>
            <w:r>
              <w:rPr>
                <w:rFonts w:hint="eastAsia" w:ascii="宋体" w:hAnsi="宋体" w:cs="宋体"/>
                <w:bCs/>
                <w:sz w:val="24"/>
                <w:lang w:eastAsia="zh-CN"/>
              </w:rPr>
              <w:t>：</w:t>
            </w:r>
            <w:r>
              <w:rPr>
                <w:rFonts w:hint="eastAsia" w:ascii="宋体" w:hAnsi="宋体" w:cs="宋体"/>
                <w:bCs/>
                <w:sz w:val="24"/>
              </w:rPr>
              <w:t>贰佰陆拾万零柒仟壹佰柒拾元整（¥ 2607170.00）</w:t>
            </w:r>
          </w:p>
        </w:tc>
      </w:tr>
    </w:tbl>
    <w:p w14:paraId="32D22D4F">
      <w:pPr>
        <w:spacing w:line="440" w:lineRule="exact"/>
        <w:ind w:firstLine="480" w:firstLineChars="200"/>
        <w:rPr>
          <w:rFonts w:ascii="宋体" w:hAnsi="宋体" w:cs="宋体"/>
          <w:sz w:val="24"/>
        </w:rPr>
      </w:pPr>
      <w:r>
        <w:rPr>
          <w:rFonts w:hint="eastAsia" w:ascii="宋体" w:hAnsi="宋体" w:cs="宋体"/>
          <w:bCs/>
          <w:sz w:val="24"/>
        </w:rPr>
        <w:t>详见采购需求表。</w:t>
      </w:r>
    </w:p>
    <w:p w14:paraId="5F2F3629">
      <w:pPr>
        <w:spacing w:line="440" w:lineRule="exact"/>
        <w:ind w:firstLine="480" w:firstLineChars="200"/>
        <w:rPr>
          <w:rFonts w:ascii="宋体" w:hAnsi="宋体" w:cs="宋体"/>
          <w:sz w:val="24"/>
        </w:rPr>
      </w:pPr>
      <w:r>
        <w:rPr>
          <w:rFonts w:hint="eastAsia" w:ascii="宋体" w:hAnsi="宋体" w:cs="宋体"/>
          <w:sz w:val="24"/>
        </w:rPr>
        <w:t>合同履行期限：自签订合同之日起100日历天内到货安装调试完成并通过预验收。</w:t>
      </w:r>
    </w:p>
    <w:p w14:paraId="3F6CC7DA">
      <w:pPr>
        <w:spacing w:line="440" w:lineRule="exact"/>
        <w:ind w:firstLine="480" w:firstLineChars="200"/>
        <w:rPr>
          <w:rFonts w:ascii="宋体" w:hAnsi="宋体" w:cs="宋体"/>
          <w:sz w:val="24"/>
        </w:rPr>
      </w:pPr>
      <w:r>
        <w:rPr>
          <w:rFonts w:hint="eastAsia" w:ascii="宋体" w:hAnsi="宋体" w:cs="宋体"/>
          <w:sz w:val="24"/>
        </w:rPr>
        <w:t>本项目是否接受联合体：否。</w:t>
      </w:r>
    </w:p>
    <w:p w14:paraId="4B3BD3DB">
      <w:pPr>
        <w:spacing w:line="440" w:lineRule="exact"/>
        <w:ind w:firstLine="361" w:firstLineChars="150"/>
        <w:rPr>
          <w:rFonts w:ascii="宋体" w:hAnsi="宋体" w:cs="宋体"/>
          <w:b/>
          <w:bCs/>
          <w:sz w:val="24"/>
        </w:rPr>
      </w:pPr>
      <w:r>
        <w:rPr>
          <w:rFonts w:hint="eastAsia" w:ascii="宋体" w:hAnsi="宋体" w:cs="宋体"/>
          <w:b/>
          <w:bCs/>
          <w:sz w:val="24"/>
        </w:rPr>
        <w:t>二、申请人的资格条件：</w:t>
      </w:r>
    </w:p>
    <w:p w14:paraId="513B5458">
      <w:pPr>
        <w:spacing w:line="440" w:lineRule="exact"/>
        <w:ind w:firstLine="480" w:firstLineChars="200"/>
        <w:rPr>
          <w:rFonts w:ascii="宋体" w:hAnsi="宋体" w:cs="宋体"/>
          <w:sz w:val="24"/>
        </w:rPr>
      </w:pPr>
      <w:bookmarkStart w:id="8" w:name="_Hlk51746371"/>
      <w:r>
        <w:rPr>
          <w:rFonts w:hint="eastAsia" w:ascii="宋体" w:hAnsi="宋体" w:cs="宋体"/>
          <w:sz w:val="24"/>
        </w:rPr>
        <w:t>1.满足《中华人民共和国政府采购法》第二十二条规定，国内注册（指按国家有关规定要求注册），具备独立法人资格；</w:t>
      </w:r>
    </w:p>
    <w:p w14:paraId="6C1FA15D">
      <w:pPr>
        <w:spacing w:line="440" w:lineRule="exact"/>
        <w:ind w:firstLine="480" w:firstLineChars="200"/>
        <w:rPr>
          <w:rFonts w:ascii="宋体" w:hAnsi="宋体"/>
          <w:sz w:val="24"/>
        </w:rPr>
      </w:pPr>
      <w:r>
        <w:rPr>
          <w:rFonts w:hint="eastAsia" w:ascii="宋体" w:hAnsi="宋体" w:cs="宋体"/>
          <w:sz w:val="24"/>
        </w:rPr>
        <w:t>2.落实政府采购政策需满足的资格要求：</w:t>
      </w:r>
      <w:r>
        <w:rPr>
          <w:rFonts w:hint="eastAsia" w:ascii="宋体" w:hAnsi="宋体" w:cs="宋体"/>
          <w:sz w:val="24"/>
          <w:lang w:val="en-US" w:eastAsia="zh-CN"/>
        </w:rPr>
        <w:t>是否</w:t>
      </w:r>
      <w:r>
        <w:rPr>
          <w:rFonts w:hint="eastAsia" w:ascii="宋体" w:hAnsi="宋体"/>
          <w:sz w:val="24"/>
        </w:rPr>
        <w:t>专门面向中小企业采购（</w:t>
      </w:r>
      <w:r>
        <w:rPr>
          <w:rFonts w:hint="eastAsia" w:ascii="黑体" w:hAnsi="黑体" w:eastAsia="黑体"/>
          <w:sz w:val="24"/>
        </w:rPr>
        <w:sym w:font="Wingdings 2" w:char="00A3"/>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14:paraId="147E4E1F">
      <w:pPr>
        <w:spacing w:line="440" w:lineRule="exact"/>
        <w:ind w:firstLine="480" w:firstLineChars="200"/>
        <w:rPr>
          <w:rFonts w:ascii="宋体" w:hAnsi="宋体" w:cs="宋体"/>
          <w:sz w:val="24"/>
        </w:rPr>
      </w:pPr>
      <w:r>
        <w:rPr>
          <w:rFonts w:hint="eastAsia" w:ascii="宋体" w:hAnsi="宋体" w:cs="宋体"/>
          <w:sz w:val="24"/>
        </w:rPr>
        <w:t>3.本项目的特定资格要求：</w:t>
      </w:r>
      <w:bookmarkEnd w:id="8"/>
      <w:r>
        <w:rPr>
          <w:rFonts w:hint="eastAsia" w:ascii="宋体" w:hAnsi="宋体" w:cs="宋体"/>
          <w:sz w:val="24"/>
        </w:rPr>
        <w:t>项目负责人</w:t>
      </w:r>
      <w:r>
        <w:rPr>
          <w:rFonts w:hint="eastAsia" w:ascii="宋体" w:hAnsi="宋体" w:cs="宋体"/>
          <w:sz w:val="24"/>
          <w:lang w:val="en-US" w:eastAsia="zh-CN"/>
        </w:rPr>
        <w:t>具有</w:t>
      </w:r>
      <w:r>
        <w:rPr>
          <w:rFonts w:hint="eastAsia" w:ascii="宋体" w:hAnsi="宋体" w:cs="宋体"/>
          <w:sz w:val="24"/>
        </w:rPr>
        <w:t>电力工程技术、电气自动化等相关</w:t>
      </w:r>
      <w:r>
        <w:rPr>
          <w:rFonts w:hint="eastAsia" w:ascii="宋体" w:hAnsi="宋体" w:cs="宋体"/>
          <w:sz w:val="24"/>
          <w:lang w:val="en-US" w:eastAsia="zh-CN"/>
        </w:rPr>
        <w:t>专业的中级及以上职称</w:t>
      </w:r>
      <w:r>
        <w:rPr>
          <w:rFonts w:hint="eastAsia" w:ascii="宋体" w:hAnsi="宋体" w:cs="宋体"/>
          <w:sz w:val="24"/>
        </w:rPr>
        <w:t>或机电工程专业</w:t>
      </w:r>
      <w:r>
        <w:rPr>
          <w:rFonts w:hint="eastAsia" w:ascii="宋体" w:hAnsi="宋体" w:cs="宋体"/>
          <w:sz w:val="24"/>
          <w:lang w:val="en-US" w:eastAsia="zh-CN"/>
        </w:rPr>
        <w:t>二</w:t>
      </w:r>
      <w:r>
        <w:rPr>
          <w:rFonts w:hint="eastAsia" w:ascii="宋体" w:hAnsi="宋体" w:cs="宋体"/>
          <w:sz w:val="24"/>
        </w:rPr>
        <w:t>级</w:t>
      </w:r>
      <w:r>
        <w:rPr>
          <w:rFonts w:hint="eastAsia" w:ascii="宋体" w:hAnsi="宋体" w:cs="宋体"/>
          <w:sz w:val="24"/>
          <w:lang w:val="en-US" w:eastAsia="zh-CN"/>
        </w:rPr>
        <w:t>及以上注册建造师执业资格</w:t>
      </w:r>
      <w:r>
        <w:rPr>
          <w:rFonts w:hint="eastAsia" w:ascii="宋体" w:hAnsi="宋体" w:cs="宋体"/>
          <w:sz w:val="24"/>
        </w:rPr>
        <w:t>。</w:t>
      </w:r>
    </w:p>
    <w:p w14:paraId="4C87ACF0">
      <w:pPr>
        <w:spacing w:line="440" w:lineRule="exact"/>
        <w:ind w:firstLine="361" w:firstLineChars="150"/>
        <w:rPr>
          <w:rFonts w:ascii="宋体" w:hAnsi="宋体" w:cs="宋体"/>
          <w:b/>
          <w:bCs/>
          <w:sz w:val="24"/>
        </w:rPr>
      </w:pPr>
      <w:r>
        <w:rPr>
          <w:rFonts w:hint="eastAsia" w:ascii="宋体" w:hAnsi="宋体" w:cs="宋体"/>
          <w:b/>
          <w:bCs/>
          <w:sz w:val="24"/>
        </w:rPr>
        <w:t>三、获取竞争性谈判采购文件</w:t>
      </w:r>
    </w:p>
    <w:p w14:paraId="0C025D70">
      <w:pPr>
        <w:spacing w:line="440" w:lineRule="exact"/>
        <w:ind w:firstLine="480" w:firstLineChars="200"/>
        <w:rPr>
          <w:rFonts w:ascii="宋体" w:hAnsi="宋体" w:cs="宋体"/>
          <w:sz w:val="24"/>
        </w:rPr>
      </w:pPr>
      <w:r>
        <w:rPr>
          <w:rFonts w:hint="eastAsia" w:ascii="宋体" w:hAnsi="宋体" w:cs="宋体"/>
          <w:sz w:val="24"/>
        </w:rPr>
        <w:t>时间：2025年6月</w:t>
      </w:r>
      <w:r>
        <w:rPr>
          <w:rFonts w:hint="eastAsia" w:ascii="宋体" w:hAnsi="宋体" w:cs="宋体"/>
          <w:sz w:val="24"/>
          <w:lang w:val="en-US" w:eastAsia="zh-CN"/>
        </w:rPr>
        <w:t>23</w:t>
      </w:r>
      <w:r>
        <w:rPr>
          <w:rFonts w:hint="eastAsia" w:ascii="宋体" w:hAnsi="宋体" w:cs="宋体"/>
          <w:sz w:val="24"/>
        </w:rPr>
        <w:t>日至2025年6月</w:t>
      </w:r>
      <w:r>
        <w:rPr>
          <w:rFonts w:hint="eastAsia" w:ascii="宋体" w:hAnsi="宋体" w:cs="宋体"/>
          <w:sz w:val="24"/>
          <w:lang w:val="en-US" w:eastAsia="zh-CN"/>
        </w:rPr>
        <w:t>26</w:t>
      </w:r>
      <w:r>
        <w:rPr>
          <w:rFonts w:hint="eastAsia" w:ascii="宋体" w:hAnsi="宋体" w:cs="宋体"/>
          <w:sz w:val="24"/>
        </w:rPr>
        <w:t>日，每天上午00:00至12:00 ，下午12:00至23:59（北京时间，法定节假日除外）</w:t>
      </w:r>
    </w:p>
    <w:p w14:paraId="51C75AE4">
      <w:pPr>
        <w:spacing w:line="44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67F6C86C">
      <w:pPr>
        <w:spacing w:line="440" w:lineRule="exact"/>
        <w:ind w:firstLine="480" w:firstLineChars="200"/>
        <w:rPr>
          <w:rFonts w:ascii="宋体" w:hAnsi="宋体" w:cs="宋体"/>
          <w:sz w:val="24"/>
        </w:rPr>
      </w:pPr>
      <w:r>
        <w:rPr>
          <w:rFonts w:hint="eastAsia" w:ascii="宋体" w:hAnsi="宋体" w:cs="宋体"/>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sz w:val="24"/>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14:paraId="0173D126">
      <w:pPr>
        <w:spacing w:line="440" w:lineRule="exact"/>
        <w:ind w:firstLine="840" w:firstLineChars="350"/>
        <w:rPr>
          <w:rFonts w:ascii="宋体" w:hAnsi="宋体" w:cs="宋体"/>
          <w:sz w:val="24"/>
        </w:rPr>
      </w:pPr>
      <w:r>
        <w:rPr>
          <w:rFonts w:hint="eastAsia" w:ascii="宋体" w:hAnsi="宋体" w:cs="宋体"/>
          <w:sz w:val="24"/>
        </w:rPr>
        <w:t>售价：0元。</w:t>
      </w:r>
    </w:p>
    <w:p w14:paraId="532B4039">
      <w:pPr>
        <w:spacing w:line="440" w:lineRule="exact"/>
        <w:ind w:firstLine="361" w:firstLineChars="150"/>
        <w:rPr>
          <w:rFonts w:ascii="宋体" w:hAnsi="宋体" w:cs="宋体"/>
          <w:b/>
          <w:bCs/>
          <w:sz w:val="24"/>
        </w:rPr>
      </w:pPr>
      <w:r>
        <w:rPr>
          <w:rFonts w:hint="eastAsia" w:ascii="宋体" w:hAnsi="宋体" w:cs="宋体"/>
          <w:b/>
          <w:bCs/>
          <w:sz w:val="24"/>
        </w:rPr>
        <w:t>四、响应文件提交</w:t>
      </w:r>
    </w:p>
    <w:p w14:paraId="3D4BA4FF">
      <w:pPr>
        <w:spacing w:line="440" w:lineRule="exact"/>
        <w:ind w:firstLine="480" w:firstLineChars="200"/>
        <w:rPr>
          <w:rFonts w:ascii="宋体" w:hAnsi="宋体" w:cs="宋体"/>
          <w:sz w:val="24"/>
        </w:rPr>
      </w:pPr>
      <w:r>
        <w:rPr>
          <w:rFonts w:hint="eastAsia" w:ascii="宋体" w:hAnsi="宋体" w:cs="宋体"/>
          <w:sz w:val="24"/>
        </w:rPr>
        <w:t>1.首次响应文件提交截止时间：2025年6月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点</w:t>
      </w:r>
      <w:r>
        <w:rPr>
          <w:rFonts w:hint="eastAsia" w:ascii="宋体" w:hAnsi="宋体" w:cs="宋体"/>
          <w:sz w:val="24"/>
          <w:lang w:val="en-US" w:eastAsia="zh-CN"/>
        </w:rPr>
        <w:t>30</w:t>
      </w:r>
      <w:r>
        <w:rPr>
          <w:rFonts w:hint="eastAsia" w:ascii="宋体" w:hAnsi="宋体" w:cs="宋体"/>
          <w:sz w:val="24"/>
        </w:rPr>
        <w:t>分（北京时间）</w:t>
      </w:r>
    </w:p>
    <w:p w14:paraId="1A05AB39">
      <w:pPr>
        <w:spacing w:line="440" w:lineRule="exact"/>
        <w:ind w:firstLine="480" w:firstLineChars="200"/>
        <w:rPr>
          <w:rFonts w:ascii="宋体" w:hAnsi="宋体" w:cs="宋体"/>
          <w:sz w:val="24"/>
        </w:rPr>
      </w:pPr>
      <w:r>
        <w:rPr>
          <w:rFonts w:hint="eastAsia" w:ascii="宋体" w:hAnsi="宋体" w:cs="宋体"/>
          <w:sz w:val="24"/>
        </w:rPr>
        <w:t>2.地点：通过广西政府采购云平台在线提交。</w:t>
      </w:r>
    </w:p>
    <w:p w14:paraId="1D3A45F4">
      <w:pPr>
        <w:spacing w:line="440" w:lineRule="exact"/>
        <w:ind w:firstLine="480" w:firstLineChars="200"/>
        <w:rPr>
          <w:rFonts w:ascii="宋体" w:hAnsi="宋体" w:cs="宋体"/>
          <w:sz w:val="24"/>
        </w:rPr>
      </w:pPr>
      <w:r>
        <w:rPr>
          <w:rFonts w:hint="eastAsia" w:ascii="宋体" w:hAnsi="宋体" w:cs="宋体"/>
          <w:sz w:val="24"/>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广西政府采购云平台，供应商在广西政府采购云平台提交电子版响应文件时，请填写参加远程开标活动经办人联系方式，如在谈判评审过程中有电子询标，应在规定的时间内对电子询标函进行澄清回复。</w:t>
      </w:r>
    </w:p>
    <w:p w14:paraId="6686625A">
      <w:pPr>
        <w:spacing w:line="440" w:lineRule="exact"/>
        <w:ind w:firstLine="361" w:firstLineChars="150"/>
        <w:rPr>
          <w:rFonts w:ascii="宋体" w:hAnsi="宋体" w:cs="宋体"/>
          <w:b/>
          <w:bCs/>
          <w:sz w:val="24"/>
        </w:rPr>
      </w:pPr>
      <w:r>
        <w:rPr>
          <w:rFonts w:hint="eastAsia" w:ascii="宋体" w:hAnsi="宋体" w:cs="宋体"/>
          <w:b/>
          <w:bCs/>
          <w:sz w:val="24"/>
        </w:rPr>
        <w:t>五、开启</w:t>
      </w:r>
    </w:p>
    <w:p w14:paraId="4C77FCD2">
      <w:pPr>
        <w:spacing w:line="440" w:lineRule="exact"/>
        <w:ind w:firstLine="480" w:firstLineChars="200"/>
        <w:rPr>
          <w:rFonts w:ascii="宋体" w:hAnsi="宋体" w:cs="宋体"/>
          <w:sz w:val="24"/>
        </w:rPr>
      </w:pPr>
      <w:r>
        <w:rPr>
          <w:rFonts w:hint="eastAsia" w:ascii="宋体" w:hAnsi="宋体" w:cs="宋体"/>
          <w:sz w:val="24"/>
        </w:rPr>
        <w:t>1.首次响应文件开启时间：2025年6月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点</w:t>
      </w:r>
      <w:r>
        <w:rPr>
          <w:rFonts w:hint="eastAsia" w:ascii="宋体" w:hAnsi="宋体" w:cs="宋体"/>
          <w:sz w:val="24"/>
          <w:lang w:val="en-US" w:eastAsia="zh-CN"/>
        </w:rPr>
        <w:t>30</w:t>
      </w:r>
      <w:r>
        <w:rPr>
          <w:rFonts w:hint="eastAsia" w:ascii="宋体" w:hAnsi="宋体" w:cs="宋体"/>
          <w:sz w:val="24"/>
        </w:rPr>
        <w:t>分（北京时间）</w:t>
      </w:r>
    </w:p>
    <w:p w14:paraId="322AF43C">
      <w:pPr>
        <w:spacing w:line="440" w:lineRule="exact"/>
        <w:ind w:firstLine="480" w:firstLineChars="200"/>
        <w:rPr>
          <w:rFonts w:ascii="宋体" w:hAnsi="宋体" w:cs="宋体"/>
          <w:sz w:val="24"/>
        </w:rPr>
      </w:pPr>
      <w:r>
        <w:rPr>
          <w:rFonts w:hint="eastAsia" w:ascii="宋体" w:hAnsi="宋体" w:cs="宋体"/>
          <w:sz w:val="24"/>
        </w:rPr>
        <w:t>2.地点：本项目将在广西政府采购云平台电子开标大厅解密、开启。</w:t>
      </w:r>
    </w:p>
    <w:p w14:paraId="34E86383">
      <w:pPr>
        <w:spacing w:line="440" w:lineRule="exact"/>
        <w:ind w:firstLine="361" w:firstLineChars="150"/>
        <w:rPr>
          <w:rFonts w:ascii="宋体" w:hAnsi="宋体" w:cs="宋体"/>
          <w:b/>
          <w:bCs/>
          <w:sz w:val="24"/>
        </w:rPr>
      </w:pPr>
      <w:r>
        <w:rPr>
          <w:rFonts w:hint="eastAsia" w:ascii="宋体" w:hAnsi="宋体" w:cs="宋体"/>
          <w:b/>
          <w:bCs/>
          <w:sz w:val="24"/>
        </w:rPr>
        <w:t>六、公告期限</w:t>
      </w:r>
    </w:p>
    <w:p w14:paraId="523E5787">
      <w:pPr>
        <w:spacing w:line="440" w:lineRule="exact"/>
        <w:ind w:firstLine="480" w:firstLineChars="200"/>
        <w:rPr>
          <w:rFonts w:ascii="宋体" w:hAnsi="宋体" w:cs="宋体"/>
          <w:sz w:val="24"/>
        </w:rPr>
      </w:pPr>
      <w:r>
        <w:rPr>
          <w:rFonts w:hint="eastAsia" w:ascii="宋体" w:hAnsi="宋体" w:cs="宋体"/>
          <w:sz w:val="24"/>
        </w:rPr>
        <w:t>自本公告发布之日起3个工作日。</w:t>
      </w:r>
    </w:p>
    <w:p w14:paraId="71F21D9C">
      <w:pPr>
        <w:spacing w:line="440" w:lineRule="exact"/>
        <w:ind w:firstLine="361" w:firstLineChars="150"/>
        <w:rPr>
          <w:rFonts w:ascii="宋体" w:hAnsi="宋体" w:cs="宋体"/>
          <w:b/>
          <w:bCs/>
          <w:sz w:val="24"/>
        </w:rPr>
      </w:pPr>
      <w:r>
        <w:rPr>
          <w:rFonts w:hint="eastAsia" w:ascii="宋体" w:hAnsi="宋体" w:cs="宋体"/>
          <w:b/>
          <w:bCs/>
          <w:sz w:val="24"/>
        </w:rPr>
        <w:t>七、其他补充事宜</w:t>
      </w:r>
    </w:p>
    <w:p w14:paraId="7066E2E7">
      <w:pPr>
        <w:spacing w:line="44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61BB43A">
      <w:pPr>
        <w:spacing w:line="440" w:lineRule="exact"/>
        <w:ind w:firstLine="480" w:firstLineChars="200"/>
        <w:rPr>
          <w:rFonts w:ascii="宋体" w:hAnsi="宋体" w:cs="宋体"/>
          <w:sz w:val="24"/>
        </w:rPr>
      </w:pPr>
      <w:r>
        <w:rPr>
          <w:rFonts w:hint="eastAsia" w:ascii="宋体" w:hAnsi="宋体" w:cs="宋体"/>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FDDD5BB">
      <w:pPr>
        <w:spacing w:line="440" w:lineRule="exact"/>
        <w:ind w:firstLine="480" w:firstLineChars="200"/>
        <w:rPr>
          <w:rFonts w:ascii="宋体" w:hAnsi="宋体" w:cs="宋体"/>
          <w:sz w:val="24"/>
        </w:rPr>
      </w:pPr>
      <w:r>
        <w:rPr>
          <w:rFonts w:hint="eastAsia" w:ascii="宋体" w:hAnsi="宋体" w:cs="宋体"/>
          <w:sz w:val="24"/>
        </w:rPr>
        <w:t>3.网上查询地址：中国政府采购网（www.ccgp.gov.cn）、广西政府采购网（zfcg.gxzf.gov.cn）。</w:t>
      </w:r>
    </w:p>
    <w:p w14:paraId="5C5D5DC5">
      <w:pPr>
        <w:spacing w:line="440" w:lineRule="exact"/>
        <w:ind w:firstLine="480" w:firstLineChars="200"/>
        <w:rPr>
          <w:rFonts w:ascii="宋体" w:hAnsi="宋体" w:cs="宋体"/>
          <w:sz w:val="24"/>
        </w:rPr>
      </w:pPr>
      <w:r>
        <w:rPr>
          <w:rFonts w:hint="eastAsia" w:ascii="宋体" w:hAnsi="宋体" w:cs="宋体"/>
          <w:sz w:val="24"/>
        </w:rPr>
        <w:t>4.本项目需要落实的政府采购政策：</w:t>
      </w:r>
    </w:p>
    <w:p w14:paraId="04E32B8E">
      <w:pPr>
        <w:spacing w:line="440" w:lineRule="exact"/>
        <w:ind w:firstLine="480" w:firstLineChars="200"/>
        <w:rPr>
          <w:rFonts w:ascii="宋体" w:hAnsi="宋体" w:cs="宋体"/>
          <w:sz w:val="24"/>
        </w:rPr>
      </w:pPr>
      <w:r>
        <w:rPr>
          <w:rFonts w:hint="eastAsia" w:ascii="宋体" w:hAnsi="宋体" w:cs="宋体"/>
          <w:sz w:val="24"/>
        </w:rPr>
        <w:t>（1）政府采购促进中小企业发展。</w:t>
      </w:r>
    </w:p>
    <w:p w14:paraId="1A0AAA06">
      <w:pPr>
        <w:spacing w:line="440" w:lineRule="exact"/>
        <w:ind w:firstLine="480" w:firstLineChars="200"/>
        <w:rPr>
          <w:rFonts w:ascii="宋体" w:hAnsi="宋体" w:cs="宋体"/>
          <w:sz w:val="24"/>
        </w:rPr>
      </w:pPr>
      <w:r>
        <w:rPr>
          <w:rFonts w:hint="eastAsia" w:ascii="宋体" w:hAnsi="宋体" w:cs="宋体"/>
          <w:sz w:val="24"/>
        </w:rPr>
        <w:t>（2）政府采购支持采用本国产品的政策。</w:t>
      </w:r>
    </w:p>
    <w:p w14:paraId="26296DF1">
      <w:pPr>
        <w:spacing w:line="440" w:lineRule="exact"/>
        <w:ind w:firstLine="480" w:firstLineChars="200"/>
        <w:rPr>
          <w:rFonts w:ascii="宋体" w:hAnsi="宋体" w:cs="宋体"/>
          <w:sz w:val="24"/>
        </w:rPr>
      </w:pPr>
      <w:r>
        <w:rPr>
          <w:rFonts w:hint="eastAsia" w:ascii="宋体" w:hAnsi="宋体" w:cs="宋体"/>
          <w:sz w:val="24"/>
        </w:rPr>
        <w:t>（3）强制采购节能产品；优先采购节能产品、环境标志产品。</w:t>
      </w:r>
    </w:p>
    <w:p w14:paraId="1E6B6E26">
      <w:pPr>
        <w:spacing w:line="440" w:lineRule="exact"/>
        <w:ind w:firstLine="480" w:firstLineChars="200"/>
        <w:rPr>
          <w:rFonts w:ascii="宋体" w:hAnsi="宋体" w:cs="宋体"/>
          <w:sz w:val="24"/>
        </w:rPr>
      </w:pPr>
      <w:r>
        <w:rPr>
          <w:rFonts w:hint="eastAsia" w:ascii="宋体" w:hAnsi="宋体" w:cs="宋体"/>
          <w:sz w:val="24"/>
        </w:rPr>
        <w:t>（4）政府采购促进残疾人就业政策。</w:t>
      </w:r>
    </w:p>
    <w:p w14:paraId="1A6D791B">
      <w:pPr>
        <w:spacing w:line="440" w:lineRule="exact"/>
        <w:ind w:firstLine="480" w:firstLineChars="200"/>
        <w:rPr>
          <w:rFonts w:ascii="宋体" w:hAnsi="宋体" w:cs="宋体"/>
          <w:sz w:val="24"/>
        </w:rPr>
      </w:pPr>
      <w:r>
        <w:rPr>
          <w:rFonts w:hint="eastAsia" w:ascii="宋体" w:hAnsi="宋体" w:cs="宋体"/>
          <w:sz w:val="24"/>
        </w:rPr>
        <w:t>（5）政府采购支持监狱企业发展。</w:t>
      </w:r>
    </w:p>
    <w:p w14:paraId="74CBB75A">
      <w:pPr>
        <w:spacing w:line="440" w:lineRule="exact"/>
        <w:ind w:firstLine="480" w:firstLineChars="200"/>
        <w:rPr>
          <w:rFonts w:ascii="宋体" w:hAnsi="宋体" w:cs="宋体"/>
          <w:sz w:val="24"/>
        </w:rPr>
      </w:pPr>
      <w:r>
        <w:rPr>
          <w:rFonts w:hint="eastAsia" w:ascii="宋体" w:hAnsi="宋体" w:cs="宋体"/>
          <w:sz w:val="24"/>
        </w:rPr>
        <w:t>（6）扶持不发达地区和少数民族地区政策</w:t>
      </w:r>
    </w:p>
    <w:p w14:paraId="464600E4">
      <w:pPr>
        <w:spacing w:line="440" w:lineRule="exact"/>
        <w:ind w:firstLine="480" w:firstLineChars="200"/>
        <w:rPr>
          <w:rFonts w:ascii="宋体" w:hAnsi="宋体" w:cs="宋体"/>
          <w:sz w:val="24"/>
        </w:rPr>
      </w:pPr>
      <w:r>
        <w:rPr>
          <w:rFonts w:hint="eastAsia" w:ascii="宋体" w:hAnsi="宋体" w:cs="宋体"/>
          <w:sz w:val="24"/>
        </w:rPr>
        <w:t>5.谈判注意事项：</w:t>
      </w:r>
    </w:p>
    <w:p w14:paraId="069CF4C9">
      <w:pPr>
        <w:spacing w:line="440" w:lineRule="exact"/>
        <w:ind w:firstLine="480" w:firstLineChars="200"/>
        <w:rPr>
          <w:rFonts w:ascii="宋体" w:hAnsi="宋体" w:cs="宋体"/>
          <w:sz w:val="24"/>
        </w:rPr>
      </w:pPr>
      <w:r>
        <w:rPr>
          <w:rFonts w:hint="eastAsia" w:ascii="宋体" w:hAnsi="宋体" w:cs="宋体"/>
          <w:sz w:val="24"/>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w:t>
      </w:r>
      <w:r>
        <w:rPr>
          <w:rFonts w:hint="eastAsia" w:ascii="宋体" w:hAnsi="宋体" w:cs="宋体"/>
          <w:b/>
          <w:sz w:val="24"/>
        </w:rPr>
        <w:t>供应商在广西政府采购云平台提交电子版响应文件时，请填写参加远程开标活动经办人联系方式。</w:t>
      </w:r>
    </w:p>
    <w:p w14:paraId="3BE6EFEC">
      <w:pPr>
        <w:spacing w:line="440" w:lineRule="exact"/>
        <w:ind w:firstLine="480" w:firstLineChars="200"/>
        <w:rPr>
          <w:rFonts w:ascii="宋体" w:hAnsi="宋体" w:cs="宋体"/>
          <w:sz w:val="24"/>
        </w:rPr>
      </w:pPr>
      <w:r>
        <w:rPr>
          <w:rFonts w:hint="eastAsia" w:ascii="宋体" w:hAnsi="宋体" w:cs="宋体"/>
          <w:sz w:val="24"/>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73D4C550">
      <w:pPr>
        <w:spacing w:line="440" w:lineRule="exact"/>
        <w:ind w:firstLine="480" w:firstLineChars="200"/>
        <w:rPr>
          <w:rFonts w:ascii="宋体" w:hAnsi="宋体" w:cs="宋体"/>
          <w:sz w:val="24"/>
        </w:rPr>
      </w:pPr>
      <w:r>
        <w:rPr>
          <w:rFonts w:hint="eastAsia" w:ascii="宋体" w:hAnsi="宋体" w:cs="宋体"/>
          <w:sz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44A27FF4">
      <w:pPr>
        <w:spacing w:line="440" w:lineRule="exact"/>
        <w:ind w:firstLine="480" w:firstLineChars="200"/>
        <w:rPr>
          <w:rFonts w:ascii="宋体" w:hAnsi="宋体" w:cs="宋体"/>
          <w:sz w:val="24"/>
        </w:rPr>
      </w:pPr>
      <w:r>
        <w:rPr>
          <w:rFonts w:hint="eastAsia" w:ascii="宋体" w:hAnsi="宋体" w:cs="宋体"/>
          <w:sz w:val="24"/>
        </w:rPr>
        <w:t>（4）为确保网上操作合法、有效和安全，请供应商确保在参与电子竞争性谈判过程中能够对相关数据电文进行加密和使用电子签章，妥善保管CA数字证书并使用有效的CA数字证书参与整个采购活动。</w:t>
      </w:r>
    </w:p>
    <w:p w14:paraId="29139114">
      <w:pPr>
        <w:spacing w:line="440" w:lineRule="exact"/>
        <w:ind w:firstLine="482" w:firstLineChars="200"/>
        <w:rPr>
          <w:rFonts w:ascii="楷体" w:hAnsi="楷体" w:eastAsia="楷体" w:cs="宋体"/>
          <w:b/>
          <w:sz w:val="24"/>
        </w:rPr>
      </w:pPr>
      <w:r>
        <w:rPr>
          <w:rFonts w:hint="eastAsia" w:ascii="楷体" w:hAnsi="楷体" w:eastAsia="楷体" w:cs="宋体"/>
          <w:b/>
          <w:sz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EB17325">
      <w:pPr>
        <w:spacing w:line="440" w:lineRule="exact"/>
        <w:ind w:firstLine="480" w:firstLineChars="200"/>
        <w:rPr>
          <w:rFonts w:ascii="宋体" w:hAnsi="宋体" w:cs="宋体"/>
          <w:sz w:val="24"/>
        </w:rPr>
      </w:pPr>
      <w:r>
        <w:rPr>
          <w:rFonts w:hint="eastAsia" w:ascii="宋体" w:hAnsi="宋体" w:cs="宋体"/>
          <w:sz w:val="24"/>
        </w:rPr>
        <w:t>6.CA证书在线解密：首次响应文件开启时，须要供应商携带制作响应文件时用来加密的有效数字证书（CA认证）登录广西政府采购云平台电子开标大厅现场按规定时间对加密的响应文件进行解密，否则后果自负。</w:t>
      </w:r>
    </w:p>
    <w:p w14:paraId="289B4C34">
      <w:pPr>
        <w:spacing w:line="440" w:lineRule="exact"/>
        <w:ind w:firstLine="480" w:firstLineChars="200"/>
        <w:rPr>
          <w:rFonts w:ascii="宋体" w:hAnsi="宋体" w:cs="宋体"/>
          <w:sz w:val="24"/>
        </w:rPr>
      </w:pPr>
      <w:r>
        <w:rPr>
          <w:rFonts w:hint="eastAsia" w:ascii="宋体" w:hAnsi="宋体" w:cs="宋体"/>
          <w:sz w:val="24"/>
        </w:rPr>
        <w:t>7.供应商需要在具备有摄像头及语音功能且互联网网络状况良好的电脑登录广西政府采购云平台远程开标大厅参与本次谈判，否则后果自负。</w:t>
      </w:r>
    </w:p>
    <w:p w14:paraId="68C720CF">
      <w:pPr>
        <w:spacing w:line="440" w:lineRule="exact"/>
        <w:ind w:firstLine="480" w:firstLineChars="200"/>
        <w:rPr>
          <w:rFonts w:ascii="宋体" w:hAnsi="宋体" w:cs="宋体"/>
          <w:sz w:val="24"/>
        </w:rPr>
      </w:pPr>
      <w:r>
        <w:rPr>
          <w:rFonts w:hint="eastAsia" w:ascii="宋体" w:hAnsi="宋体" w:cs="宋体"/>
          <w:sz w:val="24"/>
        </w:rPr>
        <w:t>8.若对项目采购电子交易系统操作有疑问，可登录广西政府采购云平台（https://www.gcy.zfcg.gxzf.gov.cn/），点击右侧咨询小采，获取采小蜜智能服务管家帮助，或拨打广西政府采购云平台服务热线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sz w:val="24"/>
        </w:rPr>
        <w:t>95763</w:t>
      </w:r>
      <w:r>
        <w:rPr>
          <w:rFonts w:hint="eastAsia" w:ascii="宋体" w:hAnsi="宋体" w:cs="宋体"/>
          <w:sz w:val="24"/>
        </w:rPr>
        <w:t>获取热线服务帮助。</w:t>
      </w:r>
    </w:p>
    <w:p w14:paraId="3A428EB3">
      <w:pPr>
        <w:spacing w:line="440" w:lineRule="exact"/>
        <w:ind w:firstLine="361" w:firstLineChars="150"/>
        <w:rPr>
          <w:rFonts w:ascii="宋体" w:hAnsi="宋体" w:cs="宋体"/>
          <w:b/>
          <w:bCs/>
          <w:sz w:val="24"/>
        </w:rPr>
      </w:pPr>
      <w:r>
        <w:rPr>
          <w:rFonts w:hint="eastAsia" w:ascii="宋体" w:hAnsi="宋体" w:cs="宋体"/>
          <w:b/>
          <w:bCs/>
          <w:sz w:val="24"/>
        </w:rPr>
        <w:t>八、凡对本次采购提出询问，请按以下方式联系。</w:t>
      </w:r>
      <w:bookmarkEnd w:id="2"/>
      <w:bookmarkEnd w:id="3"/>
      <w:bookmarkEnd w:id="4"/>
      <w:bookmarkEnd w:id="5"/>
      <w:bookmarkEnd w:id="6"/>
      <w:bookmarkEnd w:id="7"/>
    </w:p>
    <w:p w14:paraId="26693947">
      <w:pPr>
        <w:spacing w:line="440" w:lineRule="exact"/>
        <w:ind w:firstLine="482" w:firstLineChars="200"/>
        <w:rPr>
          <w:rFonts w:ascii="宋体" w:hAnsi="宋体" w:cs="宋体"/>
          <w:b/>
          <w:bCs/>
          <w:sz w:val="24"/>
        </w:rPr>
      </w:pPr>
      <w:bookmarkStart w:id="9" w:name="_Toc28359019"/>
      <w:bookmarkStart w:id="10" w:name="_Toc28359096"/>
      <w:bookmarkStart w:id="11" w:name="_Toc35393637"/>
      <w:bookmarkStart w:id="12" w:name="_Toc35393806"/>
      <w:r>
        <w:rPr>
          <w:rFonts w:hint="eastAsia" w:ascii="宋体" w:hAnsi="宋体" w:cs="宋体"/>
          <w:b/>
          <w:bCs/>
          <w:sz w:val="24"/>
        </w:rPr>
        <w:t>1.采购人信息</w:t>
      </w:r>
    </w:p>
    <w:p w14:paraId="2DC720E0">
      <w:pPr>
        <w:spacing w:line="440" w:lineRule="exact"/>
        <w:ind w:firstLine="480" w:firstLineChars="200"/>
        <w:rPr>
          <w:rFonts w:ascii="宋体" w:hAnsi="宋体" w:cs="宋体"/>
          <w:sz w:val="24"/>
        </w:rPr>
      </w:pPr>
      <w:r>
        <w:rPr>
          <w:rFonts w:hint="eastAsia" w:ascii="宋体" w:hAnsi="宋体" w:cs="宋体"/>
          <w:sz w:val="24"/>
        </w:rPr>
        <w:t>名 称：广西大学</w:t>
      </w:r>
    </w:p>
    <w:p w14:paraId="4B45012C">
      <w:pPr>
        <w:spacing w:line="440" w:lineRule="exact"/>
        <w:ind w:firstLine="480" w:firstLineChars="200"/>
        <w:rPr>
          <w:rFonts w:ascii="宋体" w:hAnsi="宋体" w:cs="宋体"/>
          <w:sz w:val="24"/>
        </w:rPr>
      </w:pPr>
      <w:r>
        <w:rPr>
          <w:rFonts w:hint="eastAsia" w:ascii="宋体" w:hAnsi="宋体" w:cs="宋体"/>
          <w:sz w:val="24"/>
        </w:rPr>
        <w:t>地址：广西壮族自治区南宁市大学东路100号</w:t>
      </w:r>
    </w:p>
    <w:p w14:paraId="314ADFFC">
      <w:pPr>
        <w:spacing w:line="440" w:lineRule="exact"/>
        <w:ind w:firstLine="480" w:firstLineChars="200"/>
        <w:rPr>
          <w:rFonts w:ascii="宋体" w:hAnsi="宋体" w:cs="宋体"/>
          <w:sz w:val="24"/>
        </w:rPr>
      </w:pPr>
      <w:r>
        <w:rPr>
          <w:rFonts w:hint="eastAsia" w:ascii="宋体" w:hAnsi="宋体" w:cs="宋体"/>
          <w:sz w:val="24"/>
        </w:rPr>
        <w:t>联系人：黄老师</w:t>
      </w:r>
      <w:r>
        <w:rPr>
          <w:rFonts w:ascii="宋体" w:hAnsi="宋体" w:cs="宋体"/>
          <w:sz w:val="24"/>
        </w:rPr>
        <w:t xml:space="preserve"> </w:t>
      </w:r>
      <w:r>
        <w:rPr>
          <w:rFonts w:hint="eastAsia" w:ascii="宋体" w:hAnsi="宋体" w:cs="宋体"/>
          <w:sz w:val="24"/>
        </w:rPr>
        <w:t>，联系电话：</w:t>
      </w:r>
      <w:r>
        <w:rPr>
          <w:rFonts w:hint="eastAsia" w:ascii="宋体" w:hAnsi="宋体" w:cs="宋体"/>
          <w:sz w:val="24"/>
          <w:lang w:val="en-US" w:eastAsia="zh-CN"/>
        </w:rPr>
        <w:t>0771-3274121</w:t>
      </w:r>
      <w:r>
        <w:rPr>
          <w:rFonts w:ascii="宋体" w:hAnsi="宋体" w:cs="宋体"/>
          <w:sz w:val="24"/>
        </w:rPr>
        <w:t xml:space="preserve"> </w:t>
      </w:r>
      <w:r>
        <w:rPr>
          <w:rFonts w:hint="eastAsia" w:ascii="宋体" w:hAnsi="宋体" w:cs="宋体"/>
          <w:sz w:val="24"/>
        </w:rPr>
        <w:t xml:space="preserve">　　　　　　　 </w:t>
      </w:r>
    </w:p>
    <w:p w14:paraId="207F88B6">
      <w:pPr>
        <w:spacing w:line="440" w:lineRule="exact"/>
        <w:ind w:firstLine="482" w:firstLineChars="200"/>
        <w:rPr>
          <w:rFonts w:ascii="宋体" w:hAnsi="宋体" w:cs="宋体"/>
          <w:b/>
          <w:bCs/>
          <w:sz w:val="24"/>
        </w:rPr>
      </w:pPr>
      <w:r>
        <w:rPr>
          <w:rFonts w:hint="eastAsia" w:ascii="宋体" w:hAnsi="宋体" w:cs="宋体"/>
          <w:b/>
          <w:bCs/>
          <w:sz w:val="24"/>
        </w:rPr>
        <w:t>2.采购代理机构信息</w:t>
      </w:r>
    </w:p>
    <w:p w14:paraId="57AC7081">
      <w:pPr>
        <w:spacing w:line="440" w:lineRule="exact"/>
        <w:ind w:firstLine="480" w:firstLineChars="200"/>
        <w:rPr>
          <w:rFonts w:ascii="宋体" w:hAnsi="宋体" w:cs="宋体"/>
          <w:sz w:val="24"/>
        </w:rPr>
      </w:pPr>
      <w:r>
        <w:rPr>
          <w:rFonts w:hint="eastAsia" w:ascii="宋体" w:hAnsi="宋体" w:cs="宋体"/>
          <w:sz w:val="24"/>
        </w:rPr>
        <w:t xml:space="preserve">名 称：广西阳嘉招标代理有限公司     </w:t>
      </w:r>
    </w:p>
    <w:p w14:paraId="07C0C193">
      <w:pPr>
        <w:spacing w:line="440" w:lineRule="exact"/>
        <w:ind w:firstLine="480" w:firstLineChars="200"/>
        <w:rPr>
          <w:rFonts w:ascii="宋体" w:hAnsi="宋体" w:cs="宋体"/>
          <w:sz w:val="24"/>
        </w:rPr>
      </w:pPr>
      <w:r>
        <w:rPr>
          <w:rFonts w:hint="eastAsia" w:ascii="宋体" w:hAnsi="宋体" w:cs="宋体"/>
          <w:sz w:val="24"/>
        </w:rPr>
        <w:t>地　址：广西壮族自治区南宁市</w:t>
      </w:r>
      <w:r>
        <w:rPr>
          <w:rFonts w:ascii="宋体" w:hAnsi="宋体" w:cs="宋体"/>
          <w:sz w:val="24"/>
        </w:rPr>
        <w:t xml:space="preserve"> </w:t>
      </w:r>
      <w:r>
        <w:rPr>
          <w:rFonts w:hint="eastAsia" w:ascii="宋体" w:hAnsi="宋体" w:cs="宋体"/>
          <w:sz w:val="24"/>
        </w:rPr>
        <w:t>青秀区双拥路36-1号绿城画卷A座31楼3108室</w:t>
      </w:r>
    </w:p>
    <w:p w14:paraId="715EB575">
      <w:pPr>
        <w:spacing w:line="440" w:lineRule="exact"/>
        <w:ind w:firstLine="480" w:firstLineChars="200"/>
        <w:rPr>
          <w:rFonts w:ascii="宋体" w:hAnsi="宋体" w:cs="宋体"/>
          <w:sz w:val="24"/>
        </w:rPr>
      </w:pPr>
      <w:r>
        <w:rPr>
          <w:rFonts w:hint="eastAsia" w:ascii="宋体" w:hAnsi="宋体" w:cs="宋体"/>
          <w:sz w:val="24"/>
        </w:rPr>
        <w:t>联系人：苏秀露、邓永辉   联系电话：0771-5383100</w:t>
      </w:r>
      <w:r>
        <w:rPr>
          <w:rFonts w:ascii="宋体" w:hAnsi="宋体" w:cs="宋体"/>
          <w:sz w:val="24"/>
        </w:rPr>
        <w:t xml:space="preserve">  </w:t>
      </w:r>
    </w:p>
    <w:p w14:paraId="59643BEB">
      <w:pPr>
        <w:spacing w:line="440" w:lineRule="exact"/>
        <w:ind w:firstLine="482" w:firstLineChars="200"/>
        <w:rPr>
          <w:rFonts w:ascii="宋体" w:hAnsi="宋体" w:cs="宋体"/>
          <w:b/>
          <w:bCs/>
          <w:sz w:val="24"/>
        </w:rPr>
      </w:pPr>
      <w:r>
        <w:rPr>
          <w:rFonts w:hint="eastAsia" w:ascii="宋体" w:hAnsi="宋体" w:cs="宋体"/>
          <w:b/>
          <w:bCs/>
          <w:sz w:val="24"/>
        </w:rPr>
        <w:t>3.项目联系方式</w:t>
      </w:r>
    </w:p>
    <w:p w14:paraId="755B8E4B">
      <w:pPr>
        <w:spacing w:line="440" w:lineRule="exact"/>
        <w:ind w:firstLine="480" w:firstLineChars="200"/>
        <w:rPr>
          <w:rFonts w:ascii="宋体" w:hAnsi="宋体" w:cs="宋体"/>
          <w:sz w:val="24"/>
        </w:rPr>
      </w:pPr>
      <w:r>
        <w:rPr>
          <w:rFonts w:hint="eastAsia" w:ascii="宋体" w:hAnsi="宋体" w:cs="宋体"/>
          <w:sz w:val="24"/>
        </w:rPr>
        <w:t xml:space="preserve">项目联系人：苏秀露、邓永辉 </w:t>
      </w:r>
      <w:r>
        <w:rPr>
          <w:rFonts w:ascii="宋体" w:hAnsi="宋体" w:cs="宋体"/>
          <w:sz w:val="24"/>
        </w:rPr>
        <w:t xml:space="preserve">  </w:t>
      </w:r>
      <w:r>
        <w:rPr>
          <w:rFonts w:hint="eastAsia" w:ascii="宋体" w:hAnsi="宋体" w:cs="宋体"/>
          <w:sz w:val="24"/>
        </w:rPr>
        <w:t xml:space="preserve">   电　话：</w:t>
      </w:r>
      <w:r>
        <w:rPr>
          <w:rFonts w:ascii="宋体" w:hAnsi="宋体" w:cs="宋体"/>
          <w:sz w:val="24"/>
        </w:rPr>
        <w:t xml:space="preserve"> </w:t>
      </w:r>
      <w:r>
        <w:rPr>
          <w:rFonts w:hint="eastAsia" w:ascii="宋体" w:hAnsi="宋体" w:cs="宋体"/>
          <w:sz w:val="24"/>
        </w:rPr>
        <w:t xml:space="preserve">0771-5383100 </w:t>
      </w:r>
      <w:r>
        <w:rPr>
          <w:rFonts w:ascii="宋体" w:hAnsi="宋体" w:cs="宋体"/>
          <w:sz w:val="24"/>
        </w:rPr>
        <w:t xml:space="preserve">  </w:t>
      </w:r>
    </w:p>
    <w:p w14:paraId="438757D1">
      <w:pPr>
        <w:spacing w:line="360" w:lineRule="auto"/>
        <w:ind w:firstLine="840" w:firstLineChars="350"/>
        <w:rPr>
          <w:rFonts w:ascii="宋体" w:hAnsi="宋体" w:cs="宋体"/>
          <w:sz w:val="24"/>
        </w:rPr>
      </w:pPr>
      <w:r>
        <w:rPr>
          <w:rFonts w:hint="eastAsia" w:ascii="宋体" w:hAnsi="宋体" w:cs="宋体"/>
          <w:sz w:val="24"/>
        </w:rPr>
        <w:t>　　　　　　　　　　　</w:t>
      </w:r>
      <w:bookmarkEnd w:id="9"/>
      <w:bookmarkEnd w:id="10"/>
      <w:bookmarkEnd w:id="11"/>
      <w:bookmarkEnd w:id="12"/>
      <w:r>
        <w:rPr>
          <w:rFonts w:hint="eastAsia" w:ascii="宋体" w:hAnsi="宋体" w:cs="宋体"/>
          <w:sz w:val="24"/>
        </w:rPr>
        <w:t xml:space="preserve"> </w:t>
      </w:r>
      <w:r>
        <w:rPr>
          <w:rFonts w:ascii="宋体" w:hAnsi="宋体" w:cs="宋体"/>
          <w:sz w:val="24"/>
        </w:rPr>
        <w:t xml:space="preserve">           </w:t>
      </w:r>
    </w:p>
    <w:p w14:paraId="3DB39284">
      <w:pPr>
        <w:spacing w:line="360" w:lineRule="auto"/>
        <w:ind w:firstLine="840" w:firstLineChars="350"/>
        <w:jc w:val="right"/>
        <w:rPr>
          <w:rFonts w:ascii="宋体" w:hAnsi="宋体" w:cs="宋体"/>
          <w:sz w:val="24"/>
        </w:rPr>
      </w:pPr>
      <w:r>
        <w:rPr>
          <w:rFonts w:ascii="宋体" w:hAnsi="宋体" w:cs="宋体"/>
          <w:sz w:val="24"/>
        </w:rPr>
        <w:t xml:space="preserve"> </w:t>
      </w:r>
      <w:r>
        <w:rPr>
          <w:rFonts w:hint="eastAsia" w:ascii="宋体" w:hAnsi="宋体" w:cs="宋体"/>
          <w:sz w:val="24"/>
        </w:rPr>
        <w:t>代理机构名称：广西阳嘉招标代理有限公司</w:t>
      </w:r>
    </w:p>
    <w:bookmarkEnd w:id="1"/>
    <w:p w14:paraId="4CEF6F0D">
      <w:pPr>
        <w:jc w:val="right"/>
        <w:rPr>
          <w:rFonts w:ascii="宋体" w:hAnsi="宋体" w:cs="宋体"/>
          <w:sz w:val="24"/>
        </w:rPr>
      </w:pPr>
      <w:r>
        <w:rPr>
          <w:rFonts w:hint="eastAsia" w:ascii="宋体" w:hAnsi="宋体" w:cs="宋体"/>
          <w:sz w:val="24"/>
        </w:rPr>
        <w:t>2025年6月</w:t>
      </w:r>
      <w:r>
        <w:rPr>
          <w:rFonts w:hint="eastAsia" w:ascii="宋体" w:hAnsi="宋体" w:cs="宋体"/>
          <w:sz w:val="24"/>
          <w:lang w:val="en-US" w:eastAsia="zh-CN"/>
        </w:rPr>
        <w:t>23</w:t>
      </w:r>
      <w:r>
        <w:rPr>
          <w:rFonts w:hint="eastAsia" w:ascii="宋体" w:hAnsi="宋体" w:cs="宋体"/>
          <w:sz w:val="24"/>
        </w:rPr>
        <w:t>日</w:t>
      </w:r>
      <w:bookmarkStart w:id="13" w:name="_Toc74322009"/>
    </w:p>
    <w:p w14:paraId="62217A2B">
      <w:pPr>
        <w:jc w:val="left"/>
        <w:rPr>
          <w:rFonts w:ascii="宋体" w:hAnsi="宋体" w:cs="宋体"/>
          <w:sz w:val="24"/>
        </w:rPr>
      </w:pPr>
      <w:r>
        <w:rPr>
          <w:rFonts w:hint="eastAsia" w:ascii="宋体" w:hAnsi="宋体" w:cs="宋体"/>
          <w:sz w:val="24"/>
        </w:rPr>
        <w:br w:type="page"/>
      </w:r>
    </w:p>
    <w:p w14:paraId="0E7B394C">
      <w:pPr>
        <w:pStyle w:val="3"/>
        <w:ind w:firstLine="3092" w:firstLineChars="700"/>
        <w:jc w:val="left"/>
      </w:pPr>
      <w:r>
        <w:rPr>
          <w:rStyle w:val="33"/>
          <w:rFonts w:hint="eastAsia"/>
          <w:b/>
          <w:bCs/>
        </w:rPr>
        <w:t>第二章 供应商须知</w:t>
      </w:r>
      <w:bookmarkEnd w:id="13"/>
    </w:p>
    <w:p w14:paraId="2851DF32">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67EC38AF">
      <w:pPr>
        <w:spacing w:line="400" w:lineRule="exact"/>
        <w:jc w:val="center"/>
        <w:rPr>
          <w:rFonts w:ascii="宋体" w:hAnsi="宋体" w:cs="宋体"/>
          <w:b/>
          <w:sz w:val="32"/>
          <w:szCs w:val="32"/>
        </w:rPr>
      </w:pPr>
    </w:p>
    <w:tbl>
      <w:tblPr>
        <w:tblStyle w:val="26"/>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14:paraId="2C2F4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6C478244">
            <w:pPr>
              <w:spacing w:line="500" w:lineRule="exact"/>
              <w:jc w:val="center"/>
              <w:rPr>
                <w:rFonts w:ascii="宋体" w:hAnsi="宋体" w:cs="宋体"/>
                <w:b/>
                <w:sz w:val="24"/>
              </w:rPr>
            </w:pPr>
            <w:r>
              <w:rPr>
                <w:rFonts w:hint="eastAsia" w:ascii="宋体" w:hAnsi="宋体" w:cs="宋体"/>
                <w:b/>
                <w:sz w:val="24"/>
              </w:rPr>
              <w:t>条款号</w:t>
            </w:r>
          </w:p>
        </w:tc>
        <w:tc>
          <w:tcPr>
            <w:tcW w:w="8181" w:type="dxa"/>
            <w:vAlign w:val="center"/>
          </w:tcPr>
          <w:p w14:paraId="0E5D4BBD">
            <w:pPr>
              <w:spacing w:line="500" w:lineRule="exact"/>
              <w:jc w:val="center"/>
              <w:rPr>
                <w:rFonts w:ascii="宋体" w:hAnsi="宋体" w:cs="宋体"/>
                <w:b/>
                <w:sz w:val="24"/>
              </w:rPr>
            </w:pPr>
            <w:r>
              <w:rPr>
                <w:rFonts w:hint="eastAsia" w:ascii="宋体" w:hAnsi="宋体" w:cs="宋体"/>
                <w:b/>
                <w:sz w:val="24"/>
              </w:rPr>
              <w:t>内    容</w:t>
            </w:r>
          </w:p>
        </w:tc>
      </w:tr>
      <w:tr w14:paraId="3F8A4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2DC99263">
            <w:pPr>
              <w:spacing w:line="500" w:lineRule="exact"/>
              <w:jc w:val="center"/>
              <w:rPr>
                <w:rFonts w:ascii="宋体" w:hAnsi="宋体" w:cs="宋体"/>
                <w:sz w:val="24"/>
              </w:rPr>
            </w:pPr>
            <w:r>
              <w:rPr>
                <w:rFonts w:hint="eastAsia" w:ascii="宋体" w:hAnsi="宋体" w:cs="宋体"/>
                <w:sz w:val="24"/>
              </w:rPr>
              <w:t>3</w:t>
            </w:r>
          </w:p>
        </w:tc>
        <w:tc>
          <w:tcPr>
            <w:tcW w:w="8181" w:type="dxa"/>
            <w:vAlign w:val="center"/>
          </w:tcPr>
          <w:p w14:paraId="2901A7AC">
            <w:pPr>
              <w:spacing w:line="500" w:lineRule="exact"/>
              <w:rPr>
                <w:rFonts w:ascii="宋体" w:hAnsi="宋体" w:cs="宋体"/>
                <w:sz w:val="24"/>
              </w:rPr>
            </w:pPr>
            <w:r>
              <w:rPr>
                <w:rFonts w:hint="eastAsia" w:ascii="宋体" w:hAnsi="宋体" w:cs="宋体"/>
                <w:sz w:val="24"/>
              </w:rPr>
              <w:t>供应商的资格条件：详见竞争性谈判公告</w:t>
            </w:r>
          </w:p>
        </w:tc>
      </w:tr>
      <w:tr w14:paraId="79334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367E6C14">
            <w:pPr>
              <w:spacing w:line="500" w:lineRule="exact"/>
              <w:jc w:val="center"/>
              <w:rPr>
                <w:rFonts w:ascii="宋体" w:hAnsi="宋体" w:cs="宋体"/>
                <w:sz w:val="24"/>
              </w:rPr>
            </w:pPr>
            <w:r>
              <w:rPr>
                <w:rFonts w:hint="eastAsia" w:ascii="宋体" w:hAnsi="宋体" w:cs="宋体"/>
                <w:sz w:val="24"/>
              </w:rPr>
              <w:t>5.1</w:t>
            </w:r>
          </w:p>
        </w:tc>
        <w:tc>
          <w:tcPr>
            <w:tcW w:w="8181" w:type="dxa"/>
            <w:vAlign w:val="center"/>
          </w:tcPr>
          <w:p w14:paraId="2B04FB8E">
            <w:pPr>
              <w:spacing w:line="500" w:lineRule="exact"/>
              <w:rPr>
                <w:rFonts w:ascii="宋体" w:hAnsi="宋体" w:cs="宋体"/>
                <w:sz w:val="24"/>
              </w:rPr>
            </w:pPr>
            <w:r>
              <w:rPr>
                <w:rFonts w:hint="eastAsia" w:ascii="宋体" w:hAnsi="宋体" w:cs="宋体"/>
                <w:sz w:val="24"/>
              </w:rPr>
              <w:t>是否接受联合体参与: 详见竞争性谈判公告</w:t>
            </w:r>
          </w:p>
        </w:tc>
      </w:tr>
      <w:tr w14:paraId="021C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14:paraId="3FC1015B">
            <w:pPr>
              <w:spacing w:line="500" w:lineRule="exact"/>
              <w:jc w:val="center"/>
              <w:rPr>
                <w:rFonts w:ascii="宋体" w:hAnsi="宋体" w:cs="宋体"/>
                <w:sz w:val="24"/>
              </w:rPr>
            </w:pPr>
            <w:r>
              <w:rPr>
                <w:rFonts w:hint="eastAsia" w:ascii="宋体" w:hAnsi="宋体" w:cs="宋体"/>
                <w:sz w:val="24"/>
              </w:rPr>
              <w:t>5.2</w:t>
            </w:r>
          </w:p>
        </w:tc>
        <w:tc>
          <w:tcPr>
            <w:tcW w:w="8181" w:type="dxa"/>
            <w:vAlign w:val="center"/>
          </w:tcPr>
          <w:p w14:paraId="6A5DE7FB">
            <w:pPr>
              <w:spacing w:line="500" w:lineRule="exact"/>
              <w:rPr>
                <w:rFonts w:ascii="宋体" w:hAnsi="宋体" w:cs="宋体"/>
                <w:sz w:val="24"/>
              </w:rPr>
            </w:pPr>
            <w:r>
              <w:rPr>
                <w:rFonts w:hint="eastAsia" w:ascii="宋体" w:hAnsi="宋体" w:cs="宋体"/>
                <w:sz w:val="24"/>
              </w:rPr>
              <w:t>如接受联合体参与，要求如下：</w:t>
            </w:r>
          </w:p>
          <w:p w14:paraId="2F9985EA">
            <w:pPr>
              <w:autoSpaceDE w:val="0"/>
              <w:autoSpaceDN w:val="0"/>
              <w:snapToGrid w:val="0"/>
              <w:spacing w:line="500" w:lineRule="exact"/>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两个以上供应商可以组成一个联合体，以一个供应商的身份共同参与竞争性谈判，联合体供应商的名称应统一按“XXX 公司与 XXX 公司的联合体”的规则填写。</w:t>
            </w:r>
            <w:r>
              <w:rPr>
                <w:rFonts w:hint="eastAsia" w:ascii="宋体" w:hAnsi="宋体" w:cs="宋体"/>
                <w:sz w:val="24"/>
              </w:rPr>
              <w:tab/>
            </w:r>
          </w:p>
          <w:p w14:paraId="2FB333E8">
            <w:pPr>
              <w:autoSpaceDE w:val="0"/>
              <w:autoSpaceDN w:val="0"/>
              <w:snapToGrid w:val="0"/>
              <w:spacing w:line="500" w:lineRule="exact"/>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以联合体形式参与竞争性谈判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14:paraId="08DB1337">
            <w:pPr>
              <w:autoSpaceDE w:val="0"/>
              <w:autoSpaceDN w:val="0"/>
              <w:snapToGrid w:val="0"/>
              <w:spacing w:line="500" w:lineRule="exact"/>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联合体参与竞争性谈判的，须提供《联合体参与竞争性谈判协议书》（格式后附），协议书必须明确主体方（或者牵头方）并明确约定联合体各方承担的工作和相应的责任（各方承担责任与义务的分工必须符合采购需求，否则，联合体响应无效），并将《联合体参与竞争性谈判协议书》放入响应文件。联合体各方必须共同与采购人签订采购合同，就采购合同约定的事项对采购人承担连带责任。</w:t>
            </w:r>
            <w:r>
              <w:rPr>
                <w:rFonts w:hint="eastAsia" w:ascii="宋体" w:hAnsi="宋体" w:cs="宋体"/>
                <w:sz w:val="24"/>
              </w:rPr>
              <w:tab/>
            </w:r>
          </w:p>
          <w:p w14:paraId="577CE6D7">
            <w:pPr>
              <w:autoSpaceDE w:val="0"/>
              <w:autoSpaceDN w:val="0"/>
              <w:snapToGrid w:val="0"/>
              <w:spacing w:line="500" w:lineRule="exact"/>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 w:val="24"/>
              </w:rPr>
              <w:tab/>
            </w:r>
            <w:r>
              <w:rPr>
                <w:rFonts w:hint="eastAsia" w:ascii="宋体" w:hAnsi="宋体" w:cs="宋体"/>
                <w:sz w:val="24"/>
              </w:rPr>
              <w:tab/>
            </w:r>
          </w:p>
          <w:p w14:paraId="6DB0B958">
            <w:pPr>
              <w:autoSpaceDE w:val="0"/>
              <w:autoSpaceDN w:val="0"/>
              <w:snapToGrid w:val="0"/>
              <w:spacing w:line="500" w:lineRule="exact"/>
              <w:textAlignment w:val="bottom"/>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联合体中有同类资质的供应商按照联合体分工承担相同工作的，应当按照资质等级较低的供应商确定资质等级。</w:t>
            </w:r>
            <w:r>
              <w:rPr>
                <w:rFonts w:hint="eastAsia" w:ascii="宋体" w:hAnsi="宋体" w:cs="宋体"/>
                <w:sz w:val="24"/>
              </w:rPr>
              <w:tab/>
            </w:r>
            <w:r>
              <w:rPr>
                <w:rFonts w:hint="eastAsia" w:ascii="宋体" w:hAnsi="宋体" w:cs="宋体"/>
                <w:sz w:val="24"/>
              </w:rPr>
              <w:tab/>
            </w:r>
          </w:p>
          <w:p w14:paraId="2FC34CBF">
            <w:pPr>
              <w:autoSpaceDE w:val="0"/>
              <w:autoSpaceDN w:val="0"/>
              <w:snapToGrid w:val="0"/>
              <w:spacing w:line="500" w:lineRule="exact"/>
              <w:textAlignment w:val="bottom"/>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联合体参与竞争性谈判的业绩、履约能力按照联合体各方其中较高的一方认定并计算（竞争性谈判采购文件另有规定的除外）。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726404E3">
            <w:pPr>
              <w:spacing w:line="500" w:lineRule="exac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联合体各方均应按照竞争性谈判采购文件的规定提交资格证明文件。</w:t>
            </w:r>
          </w:p>
        </w:tc>
      </w:tr>
      <w:tr w14:paraId="0EDDB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991" w:type="dxa"/>
            <w:vAlign w:val="center"/>
          </w:tcPr>
          <w:p w14:paraId="1A64DD40">
            <w:pPr>
              <w:spacing w:line="500" w:lineRule="exact"/>
              <w:jc w:val="center"/>
              <w:rPr>
                <w:rFonts w:ascii="宋体" w:hAnsi="宋体" w:cs="宋体"/>
                <w:sz w:val="24"/>
              </w:rPr>
            </w:pPr>
            <w:r>
              <w:rPr>
                <w:rFonts w:hint="eastAsia" w:ascii="宋体" w:hAnsi="宋体" w:cs="宋体"/>
                <w:sz w:val="24"/>
              </w:rPr>
              <w:t>6.2</w:t>
            </w:r>
          </w:p>
        </w:tc>
        <w:tc>
          <w:tcPr>
            <w:tcW w:w="8181" w:type="dxa"/>
            <w:vAlign w:val="center"/>
          </w:tcPr>
          <w:p w14:paraId="2A88A989">
            <w:pPr>
              <w:pStyle w:val="9"/>
              <w:spacing w:line="500" w:lineRule="exact"/>
              <w:jc w:val="both"/>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本项目不允许分包。</w:t>
            </w:r>
          </w:p>
          <w:p w14:paraId="57DCA99C">
            <w:pPr>
              <w:pStyle w:val="9"/>
              <w:spacing w:line="500" w:lineRule="exact"/>
              <w:jc w:val="both"/>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14:paraId="4763B265">
            <w:pPr>
              <w:pStyle w:val="9"/>
              <w:spacing w:line="500" w:lineRule="exact"/>
              <w:jc w:val="both"/>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w:t>
            </w:r>
          </w:p>
          <w:p w14:paraId="56BF95AC">
            <w:pPr>
              <w:pStyle w:val="9"/>
              <w:spacing w:line="500" w:lineRule="exact"/>
              <w:jc w:val="both"/>
              <w:rPr>
                <w:rFonts w:ascii="宋体" w:hAnsi="宋体" w:cs="宋体"/>
                <w:sz w:val="24"/>
                <w:u w:val="single"/>
              </w:rPr>
            </w:pPr>
            <w:r>
              <w:rPr>
                <w:rFonts w:hint="eastAsia" w:ascii="宋体" w:hAnsi="宋体" w:cs="宋体"/>
                <w:sz w:val="24"/>
              </w:rPr>
              <w:t>分包金额或者比例：</w:t>
            </w:r>
            <w:r>
              <w:rPr>
                <w:rFonts w:hint="eastAsia" w:ascii="宋体" w:hAnsi="宋体" w:cs="宋体"/>
                <w:sz w:val="24"/>
                <w:u w:val="single"/>
              </w:rPr>
              <w:t>/</w:t>
            </w:r>
          </w:p>
        </w:tc>
      </w:tr>
      <w:tr w14:paraId="7EA0C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14:paraId="6BD5A441">
            <w:pPr>
              <w:spacing w:line="500" w:lineRule="exact"/>
              <w:jc w:val="center"/>
              <w:rPr>
                <w:rFonts w:ascii="宋体" w:hAnsi="宋体" w:cs="宋体"/>
                <w:sz w:val="24"/>
              </w:rPr>
            </w:pPr>
            <w:r>
              <w:rPr>
                <w:rFonts w:hint="eastAsia" w:ascii="宋体" w:hAnsi="宋体" w:cs="宋体"/>
                <w:sz w:val="24"/>
              </w:rPr>
              <w:t>12.1.1</w:t>
            </w:r>
          </w:p>
        </w:tc>
        <w:tc>
          <w:tcPr>
            <w:tcW w:w="8181" w:type="dxa"/>
            <w:vAlign w:val="center"/>
          </w:tcPr>
          <w:p w14:paraId="7E0B3EA1">
            <w:pPr>
              <w:snapToGrid w:val="0"/>
              <w:spacing w:line="500" w:lineRule="exact"/>
              <w:rPr>
                <w:rFonts w:ascii="宋体" w:hAnsi="宋体" w:cs="宋体"/>
                <w:b/>
                <w:sz w:val="24"/>
              </w:rPr>
            </w:pPr>
            <w:r>
              <w:rPr>
                <w:rFonts w:hint="eastAsia" w:ascii="宋体" w:hAnsi="宋体" w:cs="宋体"/>
                <w:b/>
                <w:sz w:val="24"/>
              </w:rPr>
              <w:t>资格证明文件</w:t>
            </w:r>
          </w:p>
          <w:p w14:paraId="106EB1C9">
            <w:pPr>
              <w:snapToGrid w:val="0"/>
              <w:spacing w:line="500" w:lineRule="exac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 w:val="24"/>
              </w:rPr>
              <w:t>必须提供，否则响应文件按无效响应处理</w:t>
            </w:r>
            <w:r>
              <w:rPr>
                <w:rFonts w:hint="eastAsia" w:ascii="宋体" w:hAnsi="宋体" w:cs="宋体"/>
                <w:sz w:val="24"/>
              </w:rPr>
              <w:t>）</w:t>
            </w:r>
          </w:p>
          <w:p w14:paraId="01A712E9">
            <w:pPr>
              <w:spacing w:line="500" w:lineRule="exact"/>
              <w:contextualSpacing/>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供应商依法缴纳税收的相关材料（截至首次响应文件提交截止之日半年内连续三个月的依法缴纳税收的凭据复印件；依法免税的，必须提供相应文件证明。从成立之日起到首次响应文件提交截止之日不足要求月数的，只需提供从成立之日起的依法缴纳税收相应证明文件）；（</w:t>
            </w:r>
            <w:r>
              <w:rPr>
                <w:rFonts w:hint="eastAsia" w:ascii="宋体" w:hAnsi="宋体" w:cs="宋体"/>
                <w:b/>
                <w:sz w:val="24"/>
              </w:rPr>
              <w:t>必须提供，否则响应文件按无效响应处理</w:t>
            </w:r>
            <w:r>
              <w:rPr>
                <w:rFonts w:hint="eastAsia" w:ascii="宋体" w:hAnsi="宋体" w:cs="宋体"/>
                <w:sz w:val="24"/>
              </w:rPr>
              <w:t>）</w:t>
            </w:r>
          </w:p>
          <w:p w14:paraId="018D328A">
            <w:pPr>
              <w:spacing w:line="500" w:lineRule="exact"/>
              <w:contextualSpacing/>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供应商依法缴纳社会保障资金的相关材料（截至首次响应文件提交截止之日半年内连续三个月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宋体" w:hAnsi="宋体" w:cs="宋体"/>
                <w:b/>
                <w:sz w:val="24"/>
              </w:rPr>
              <w:t>必须提供，否则响应文件按无效响应处理</w:t>
            </w:r>
            <w:r>
              <w:rPr>
                <w:rFonts w:hint="eastAsia" w:ascii="宋体" w:hAnsi="宋体" w:cs="宋体"/>
                <w:sz w:val="24"/>
              </w:rPr>
              <w:t>）</w:t>
            </w:r>
          </w:p>
          <w:p w14:paraId="20D88CF6">
            <w:pPr>
              <w:spacing w:line="500" w:lineRule="exact"/>
              <w:contextualSpacing/>
              <w:rPr>
                <w:rFonts w:ascii="宋体" w:hAnsi="宋体" w:cs="宋体"/>
                <w:b/>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供应商财务状况报告（提供2024年财务状况报告复印件，或者银行出具的资信证明（资信证明应在有效期内，未注明有效期的，银行出具时间至首次响应文件提交截止之日不超过一年）；</w:t>
            </w:r>
            <w:r>
              <w:rPr>
                <w:rFonts w:hint="eastAsia" w:ascii="宋体" w:hAnsi="宋体"/>
                <w:sz w:val="24"/>
              </w:rPr>
              <w:t>供应商成立不满一年的应按提供首次响应文件提交截止之日上一个月的财务状况报告复印件</w:t>
            </w:r>
            <w:r>
              <w:rPr>
                <w:rFonts w:hint="eastAsia" w:ascii="宋体" w:hAnsi="宋体" w:cs="宋体"/>
                <w:sz w:val="24"/>
              </w:rPr>
              <w:t>）</w:t>
            </w:r>
            <w:r>
              <w:rPr>
                <w:rFonts w:hint="eastAsia" w:ascii="宋体" w:hAnsi="宋体" w:cs="宋体"/>
                <w:bCs/>
                <w:sz w:val="24"/>
              </w:rPr>
              <w:t>（</w:t>
            </w:r>
            <w:r>
              <w:rPr>
                <w:rFonts w:hint="eastAsia" w:ascii="宋体" w:hAnsi="宋体" w:cs="宋体"/>
                <w:b/>
                <w:sz w:val="24"/>
              </w:rPr>
              <w:t>除自然人外必须提供，否则响应文件按无效响应处理</w:t>
            </w:r>
            <w:r>
              <w:rPr>
                <w:rFonts w:hint="eastAsia" w:ascii="宋体" w:hAnsi="宋体" w:cs="宋体"/>
                <w:bCs/>
                <w:sz w:val="24"/>
              </w:rPr>
              <w:t>）</w:t>
            </w:r>
          </w:p>
          <w:p w14:paraId="2EA47A84">
            <w:pPr>
              <w:snapToGrid w:val="0"/>
              <w:spacing w:line="500" w:lineRule="exac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供应商直接控股、管理关系信息表（格式后附）；（</w:t>
            </w:r>
            <w:r>
              <w:rPr>
                <w:rFonts w:hint="eastAsia" w:ascii="宋体" w:hAnsi="宋体" w:cs="宋体"/>
                <w:b/>
                <w:sz w:val="24"/>
              </w:rPr>
              <w:t>必须提供，否则响应文件按无效响应处理</w:t>
            </w:r>
            <w:r>
              <w:rPr>
                <w:rFonts w:hint="eastAsia" w:ascii="宋体" w:hAnsi="宋体" w:cs="宋体"/>
                <w:sz w:val="24"/>
              </w:rPr>
              <w:t>）</w:t>
            </w:r>
          </w:p>
          <w:p w14:paraId="76FCED88">
            <w:pPr>
              <w:snapToGrid w:val="0"/>
              <w:spacing w:line="500" w:lineRule="exac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参与竞争性谈判声明（格式后附）；（</w:t>
            </w:r>
            <w:r>
              <w:rPr>
                <w:rFonts w:hint="eastAsia" w:ascii="宋体" w:hAnsi="宋体" w:cs="宋体"/>
                <w:b/>
                <w:sz w:val="24"/>
              </w:rPr>
              <w:t>必须提供，否则响应文件按无效响应处理</w:t>
            </w:r>
            <w:r>
              <w:rPr>
                <w:rFonts w:hint="eastAsia" w:ascii="宋体" w:hAnsi="宋体" w:cs="宋体"/>
                <w:sz w:val="24"/>
              </w:rPr>
              <w:t>）</w:t>
            </w:r>
          </w:p>
          <w:p w14:paraId="60317F37">
            <w:pPr>
              <w:snapToGrid w:val="0"/>
              <w:spacing w:line="500" w:lineRule="exac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联合体参与竞争性谈判协议书（格式后附）；（</w:t>
            </w:r>
            <w:r>
              <w:rPr>
                <w:rFonts w:hint="eastAsia" w:ascii="宋体" w:hAnsi="宋体" w:cs="宋体"/>
                <w:b/>
                <w:sz w:val="24"/>
              </w:rPr>
              <w:t>联合体</w:t>
            </w:r>
            <w:r>
              <w:rPr>
                <w:rFonts w:hint="eastAsia" w:ascii="宋体" w:hAnsi="宋体" w:cs="宋体"/>
                <w:sz w:val="24"/>
              </w:rPr>
              <w:t>参与竞争性谈判</w:t>
            </w:r>
            <w:r>
              <w:rPr>
                <w:rFonts w:hint="eastAsia" w:ascii="宋体" w:hAnsi="宋体" w:cs="宋体"/>
                <w:b/>
                <w:sz w:val="24"/>
              </w:rPr>
              <w:t>时必须提供，否则响应文件按无效响应处理</w:t>
            </w:r>
            <w:r>
              <w:rPr>
                <w:rFonts w:hint="eastAsia" w:ascii="宋体" w:hAnsi="宋体" w:cs="宋体"/>
                <w:sz w:val="24"/>
              </w:rPr>
              <w:t>）</w:t>
            </w:r>
          </w:p>
          <w:p w14:paraId="65EA4C80">
            <w:pPr>
              <w:snapToGrid w:val="0"/>
              <w:spacing w:line="500" w:lineRule="exact"/>
              <w:rPr>
                <w:rFonts w:hint="eastAsia" w:ascii="宋体" w:hAnsi="宋体" w:cs="宋体"/>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竞争性谈判公告中特定资格要求的资格证明材料；（</w:t>
            </w:r>
            <w:r>
              <w:rPr>
                <w:rFonts w:hint="eastAsia" w:ascii="宋体" w:hAnsi="宋体" w:cs="宋体"/>
                <w:b/>
                <w:bCs/>
                <w:sz w:val="24"/>
              </w:rPr>
              <w:t>公告如有则必</w:t>
            </w:r>
            <w:r>
              <w:rPr>
                <w:rFonts w:hint="eastAsia" w:ascii="宋体" w:hAnsi="宋体" w:cs="宋体"/>
                <w:b/>
                <w:sz w:val="24"/>
              </w:rPr>
              <w:t>须提供，否则响应文件按无效响应处理</w:t>
            </w:r>
            <w:r>
              <w:rPr>
                <w:rFonts w:hint="eastAsia" w:ascii="宋体" w:hAnsi="宋体" w:cs="宋体"/>
                <w:sz w:val="24"/>
              </w:rPr>
              <w:t>）</w:t>
            </w:r>
          </w:p>
          <w:p w14:paraId="6885BD70">
            <w:pPr>
              <w:snapToGrid w:val="0"/>
              <w:spacing w:line="500" w:lineRule="exact"/>
              <w:rPr>
                <w:rFonts w:ascii="宋体" w:hAnsi="宋体" w:cs="宋体"/>
                <w:sz w:val="24"/>
              </w:rPr>
            </w:pPr>
            <w:r>
              <w:rPr>
                <w:rFonts w:hint="eastAsia" w:ascii="宋体" w:hAnsi="宋体" w:cs="宋体"/>
                <w:sz w:val="24"/>
                <w:lang w:val="en-US" w:eastAsia="zh-CN"/>
              </w:rPr>
              <w:t>9</w:t>
            </w:r>
            <w:r>
              <w:rPr>
                <w:rFonts w:hint="eastAsia" w:ascii="宋体" w:hAnsi="宋体" w:cs="宋体"/>
                <w:bCs/>
                <w:sz w:val="24"/>
              </w:rPr>
              <w:t>.</w:t>
            </w:r>
            <w:r>
              <w:rPr>
                <w:rFonts w:hint="eastAsia" w:ascii="宋体" w:hAnsi="宋体" w:cs="宋体"/>
                <w:sz w:val="24"/>
              </w:rPr>
              <w:t>除谈判文件规定必须提供以外，供应商认为需要提供的其他证明材料。</w:t>
            </w:r>
          </w:p>
          <w:p w14:paraId="2F24618E">
            <w:pPr>
              <w:snapToGrid w:val="0"/>
              <w:spacing w:line="500" w:lineRule="exact"/>
              <w:rPr>
                <w:rFonts w:ascii="楷体" w:hAnsi="楷体" w:eastAsia="楷体" w:cs="宋体"/>
                <w:bCs/>
                <w:sz w:val="24"/>
              </w:rPr>
            </w:pPr>
            <w:r>
              <w:rPr>
                <w:rFonts w:hint="eastAsia" w:ascii="楷体" w:hAnsi="楷体" w:eastAsia="楷体" w:cs="宋体"/>
                <w:b/>
                <w:bCs/>
                <w:sz w:val="24"/>
              </w:rPr>
              <w:t>【注】</w:t>
            </w:r>
            <w:r>
              <w:rPr>
                <w:rFonts w:ascii="楷体" w:hAnsi="楷体" w:eastAsia="楷体" w:cs="宋体"/>
                <w:bCs/>
                <w:sz w:val="24"/>
              </w:rPr>
              <w:t>1.以上标明“必须提供”的材料属于复印件的，必须加盖供应商公章，否则响应文件按无效响应处理。</w:t>
            </w:r>
          </w:p>
          <w:p w14:paraId="21BF5D3A">
            <w:pPr>
              <w:snapToGrid w:val="0"/>
              <w:spacing w:line="500" w:lineRule="exact"/>
              <w:rPr>
                <w:rFonts w:ascii="楷体" w:hAnsi="楷体" w:eastAsia="楷体" w:cs="宋体"/>
                <w:bCs/>
                <w:sz w:val="24"/>
              </w:rPr>
            </w:pPr>
            <w:r>
              <w:rPr>
                <w:rFonts w:ascii="楷体" w:hAnsi="楷体" w:eastAsia="楷体" w:cs="宋体"/>
                <w:bCs/>
                <w:sz w:val="24"/>
              </w:rPr>
              <w:t>2.</w:t>
            </w:r>
            <w:r>
              <w:rPr>
                <w:rFonts w:hint="eastAsia" w:ascii="楷体" w:hAnsi="楷体" w:eastAsia="楷体" w:cs="宋体"/>
                <w:bCs/>
                <w:sz w:val="24"/>
              </w:rPr>
              <w:t>参与竞争性谈判</w:t>
            </w:r>
            <w:r>
              <w:rPr>
                <w:rFonts w:ascii="楷体" w:hAnsi="楷体" w:eastAsia="楷体" w:cs="宋体"/>
                <w:bCs/>
                <w:sz w:val="24"/>
              </w:rPr>
              <w:t>声明必须由法定代表人在规定签章处逐一签字并加盖供应商公章，否则响应文件按无效响应处理。</w:t>
            </w:r>
          </w:p>
          <w:p w14:paraId="45684F57">
            <w:pPr>
              <w:snapToGrid w:val="0"/>
              <w:spacing w:line="500" w:lineRule="exact"/>
              <w:rPr>
                <w:rFonts w:ascii="楷体" w:hAnsi="楷体" w:eastAsia="楷体" w:cs="宋体"/>
                <w:bCs/>
                <w:sz w:val="24"/>
              </w:rPr>
            </w:pPr>
            <w:r>
              <w:rPr>
                <w:rFonts w:ascii="楷体" w:hAnsi="楷体" w:eastAsia="楷体" w:cs="宋体"/>
                <w:bCs/>
                <w:sz w:val="24"/>
              </w:rPr>
              <w:t>3.供应商直接控股、管理关系信息表必须由法定代表人或者委托代理人在规定签章处逐一签字并加盖供应商公章，否则响应文件按无效响应处理。</w:t>
            </w:r>
          </w:p>
          <w:p w14:paraId="4DB88B34">
            <w:pPr>
              <w:snapToGrid w:val="0"/>
              <w:spacing w:line="500" w:lineRule="exact"/>
              <w:rPr>
                <w:rFonts w:ascii="楷体" w:hAnsi="楷体" w:eastAsia="楷体" w:cs="宋体"/>
                <w:bCs/>
                <w:sz w:val="24"/>
              </w:rPr>
            </w:pPr>
            <w:r>
              <w:rPr>
                <w:rFonts w:ascii="楷体" w:hAnsi="楷体" w:eastAsia="楷体" w:cs="宋体"/>
                <w:bCs/>
                <w:sz w:val="24"/>
              </w:rPr>
              <w:t>4.联合体</w:t>
            </w:r>
            <w:r>
              <w:rPr>
                <w:rFonts w:hint="eastAsia" w:ascii="楷体" w:hAnsi="楷体" w:eastAsia="楷体" w:cs="宋体"/>
                <w:bCs/>
                <w:sz w:val="24"/>
              </w:rPr>
              <w:t>参与竞争性谈判</w:t>
            </w:r>
            <w:r>
              <w:rPr>
                <w:rFonts w:ascii="楷体" w:hAnsi="楷体" w:eastAsia="楷体" w:cs="宋体"/>
                <w:bCs/>
                <w:sz w:val="24"/>
              </w:rPr>
              <w:t>时，</w:t>
            </w:r>
            <w:r>
              <w:rPr>
                <w:rFonts w:hint="eastAsia" w:ascii="楷体" w:hAnsi="楷体" w:eastAsia="楷体" w:cs="宋体"/>
                <w:bCs/>
                <w:sz w:val="24"/>
              </w:rPr>
              <w:t>以上第</w:t>
            </w:r>
            <w:r>
              <w:rPr>
                <w:rFonts w:ascii="楷体" w:hAnsi="楷体" w:eastAsia="楷体" w:cs="宋体"/>
                <w:bCs/>
                <w:sz w:val="24"/>
              </w:rPr>
              <w:t>1-5项资格证明文件联合体各方均必须分别提供，联合体各方分别按格式要求盖章或签字，否则响应文件按无效响应处理。</w:t>
            </w:r>
          </w:p>
          <w:p w14:paraId="3BC1387C">
            <w:pPr>
              <w:snapToGrid w:val="0"/>
              <w:spacing w:line="500" w:lineRule="exact"/>
              <w:rPr>
                <w:rFonts w:ascii="宋体" w:hAnsi="宋体" w:cs="宋体"/>
                <w:b/>
                <w:sz w:val="24"/>
              </w:rPr>
            </w:pPr>
            <w:r>
              <w:rPr>
                <w:rFonts w:ascii="楷体" w:hAnsi="楷体" w:eastAsia="楷体" w:cs="宋体"/>
                <w:bCs/>
                <w:sz w:val="24"/>
              </w:rPr>
              <w:t>5.分公司参加</w:t>
            </w:r>
            <w:r>
              <w:rPr>
                <w:rFonts w:hint="eastAsia" w:ascii="楷体" w:hAnsi="楷体" w:eastAsia="楷体" w:cs="宋体"/>
                <w:bCs/>
                <w:sz w:val="24"/>
              </w:rPr>
              <w:t>参与竞争性谈判</w:t>
            </w:r>
            <w:r>
              <w:rPr>
                <w:rFonts w:ascii="楷体" w:hAnsi="楷体" w:eastAsia="楷体" w:cs="宋体"/>
                <w:bCs/>
                <w:sz w:val="24"/>
              </w:rPr>
              <w:t>的，应当取得总公司授权，否则响应文件按无效响应处理</w:t>
            </w:r>
            <w:r>
              <w:rPr>
                <w:rFonts w:hint="eastAsia" w:ascii="楷体" w:hAnsi="楷体" w:eastAsia="楷体" w:cs="宋体"/>
                <w:b/>
                <w:sz w:val="24"/>
              </w:rPr>
              <w:t>。</w:t>
            </w:r>
          </w:p>
        </w:tc>
      </w:tr>
      <w:tr w14:paraId="2531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restart"/>
            <w:vAlign w:val="center"/>
          </w:tcPr>
          <w:p w14:paraId="79903D69">
            <w:pPr>
              <w:spacing w:line="500" w:lineRule="exact"/>
              <w:jc w:val="center"/>
              <w:rPr>
                <w:rFonts w:ascii="宋体" w:hAnsi="宋体" w:cs="宋体"/>
                <w:sz w:val="24"/>
              </w:rPr>
            </w:pPr>
            <w:r>
              <w:rPr>
                <w:rFonts w:hint="eastAsia" w:ascii="宋体" w:hAnsi="宋体" w:cs="宋体"/>
                <w:sz w:val="24"/>
              </w:rPr>
              <w:t>12.1.2</w:t>
            </w:r>
          </w:p>
        </w:tc>
        <w:tc>
          <w:tcPr>
            <w:tcW w:w="8181" w:type="dxa"/>
            <w:vAlign w:val="center"/>
          </w:tcPr>
          <w:p w14:paraId="2D90CE92">
            <w:pPr>
              <w:spacing w:line="500" w:lineRule="exact"/>
              <w:rPr>
                <w:rFonts w:ascii="宋体" w:hAnsi="宋体" w:cs="宋体"/>
                <w:sz w:val="24"/>
              </w:rPr>
            </w:pPr>
            <w:r>
              <w:rPr>
                <w:rFonts w:hint="eastAsia" w:ascii="宋体" w:hAnsi="宋体" w:cs="宋体"/>
                <w:b/>
                <w:sz w:val="24"/>
              </w:rPr>
              <w:t>报价文件</w:t>
            </w:r>
          </w:p>
          <w:p w14:paraId="27518065">
            <w:pPr>
              <w:spacing w:line="500" w:lineRule="exac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无串通参与竞争性谈判行为的承诺函（格式后附）；（</w:t>
            </w:r>
            <w:r>
              <w:rPr>
                <w:rFonts w:hint="eastAsia" w:ascii="宋体" w:hAnsi="宋体" w:cs="宋体"/>
                <w:b/>
                <w:sz w:val="24"/>
              </w:rPr>
              <w:t>必须提供，否则响应文件按无效响应处理</w:t>
            </w:r>
            <w:r>
              <w:rPr>
                <w:rFonts w:hint="eastAsia" w:ascii="宋体" w:hAnsi="宋体" w:cs="宋体"/>
                <w:sz w:val="24"/>
              </w:rPr>
              <w:t>）</w:t>
            </w:r>
          </w:p>
          <w:p w14:paraId="39FC2332">
            <w:pPr>
              <w:spacing w:line="500" w:lineRule="exact"/>
              <w:rPr>
                <w:rFonts w:hint="eastAsia"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竞争性谈判报价表（格式后附）；（</w:t>
            </w:r>
            <w:r>
              <w:rPr>
                <w:rFonts w:hint="eastAsia" w:ascii="宋体" w:hAnsi="宋体" w:cs="宋体"/>
                <w:b/>
                <w:sz w:val="24"/>
              </w:rPr>
              <w:t>必须提供，否则响应文件按无效响应处理</w:t>
            </w:r>
            <w:r>
              <w:rPr>
                <w:rFonts w:hint="eastAsia" w:ascii="宋体" w:hAnsi="宋体" w:cs="宋体"/>
                <w:sz w:val="24"/>
              </w:rPr>
              <w:t>）</w:t>
            </w:r>
          </w:p>
          <w:p w14:paraId="6BC7C7F8">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eastAsia="宋体"/>
                <w:b/>
                <w:bCs/>
                <w:lang w:val="en-US" w:eastAsia="zh-CN"/>
              </w:rPr>
            </w:pPr>
            <w:r>
              <w:rPr>
                <w:rFonts w:hint="eastAsia" w:ascii="宋体" w:hAnsi="宋体" w:cs="宋体"/>
                <w:sz w:val="24"/>
                <w:lang w:val="en-US" w:eastAsia="zh-CN"/>
              </w:rPr>
              <w:t>3.</w:t>
            </w:r>
            <w:r>
              <w:rPr>
                <w:rFonts w:hint="eastAsia" w:ascii="宋体" w:hAnsi="宋体" w:eastAsia="宋体" w:cs="宋体"/>
                <w:kern w:val="2"/>
                <w:sz w:val="24"/>
                <w:szCs w:val="24"/>
                <w:lang w:val="en-US" w:eastAsia="zh-CN" w:bidi="ar-SA"/>
              </w:rPr>
              <w:t>中小企业声明函（或残疾人福利性单位声明函或监狱企业声明函，残疾人福利性单位或监狱企业视同小微</w:t>
            </w:r>
            <w:r>
              <w:rPr>
                <w:rFonts w:hint="eastAsia" w:ascii="宋体" w:hAnsi="宋体" w:eastAsia="宋体" w:cs="宋体"/>
                <w:b w:val="0"/>
                <w:bCs w:val="0"/>
                <w:kern w:val="2"/>
                <w:sz w:val="24"/>
                <w:szCs w:val="24"/>
                <w:lang w:val="en-US" w:eastAsia="zh-CN" w:bidi="ar-SA"/>
              </w:rPr>
              <w:t>企业）（格式自拟）；</w:t>
            </w:r>
          </w:p>
          <w:p w14:paraId="6B0A2885">
            <w:pPr>
              <w:pStyle w:val="2"/>
              <w:rPr>
                <w:rFonts w:hint="default" w:eastAsia="宋体"/>
                <w:lang w:val="en-US" w:eastAsia="zh-CN"/>
              </w:rPr>
            </w:pPr>
          </w:p>
          <w:p w14:paraId="3E9F70EC">
            <w:pPr>
              <w:spacing w:line="500" w:lineRule="exact"/>
              <w:rPr>
                <w:rFonts w:ascii="宋体" w:hAnsi="宋体" w:cs="宋体"/>
                <w:sz w:val="24"/>
              </w:rPr>
            </w:pPr>
            <w:r>
              <w:rPr>
                <w:rFonts w:hint="eastAsia" w:ascii="宋体" w:hAnsi="宋体" w:cs="宋体"/>
                <w:sz w:val="24"/>
                <w:lang w:val="en-US" w:eastAsia="zh-CN"/>
              </w:rPr>
              <w:t>4</w:t>
            </w:r>
            <w:r>
              <w:rPr>
                <w:rFonts w:hint="eastAsia" w:ascii="宋体" w:hAnsi="宋体" w:cs="宋体"/>
                <w:bCs/>
                <w:sz w:val="24"/>
              </w:rPr>
              <w:t>.供应商</w:t>
            </w:r>
            <w:r>
              <w:rPr>
                <w:rFonts w:hint="eastAsia" w:ascii="宋体" w:hAnsi="宋体" w:cs="宋体"/>
                <w:sz w:val="24"/>
              </w:rPr>
              <w:t>针对报价需要说明的其他文件和说明（格式自拟）。</w:t>
            </w:r>
          </w:p>
          <w:p w14:paraId="7CB775DC">
            <w:pPr>
              <w:spacing w:line="500" w:lineRule="exact"/>
              <w:rPr>
                <w:rFonts w:ascii="楷体" w:hAnsi="楷体" w:eastAsia="楷体" w:cs="宋体"/>
                <w:bCs/>
                <w:sz w:val="24"/>
              </w:rPr>
            </w:pPr>
            <w:r>
              <w:rPr>
                <w:rFonts w:hint="eastAsia" w:ascii="楷体" w:hAnsi="楷体" w:eastAsia="楷体" w:cs="宋体"/>
                <w:b/>
                <w:sz w:val="24"/>
              </w:rPr>
              <w:t>注</w:t>
            </w:r>
            <w:r>
              <w:rPr>
                <w:rFonts w:hint="eastAsia" w:ascii="楷体" w:hAnsi="楷体" w:eastAsia="楷体" w:cs="宋体"/>
                <w:sz w:val="24"/>
              </w:rPr>
              <w:t>：以上标明“必须提供”材料复印件的，必须加盖供应商公章，否则响应文件按无效响应处理。</w:t>
            </w:r>
          </w:p>
        </w:tc>
      </w:tr>
      <w:tr w14:paraId="5101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91" w:type="dxa"/>
            <w:vMerge w:val="continue"/>
            <w:vAlign w:val="center"/>
          </w:tcPr>
          <w:p w14:paraId="73D2EB75">
            <w:pPr>
              <w:spacing w:line="500" w:lineRule="exact"/>
              <w:jc w:val="center"/>
              <w:rPr>
                <w:rFonts w:ascii="宋体" w:hAnsi="宋体" w:cs="宋体"/>
                <w:sz w:val="24"/>
              </w:rPr>
            </w:pPr>
          </w:p>
        </w:tc>
        <w:tc>
          <w:tcPr>
            <w:tcW w:w="8181" w:type="dxa"/>
            <w:vAlign w:val="center"/>
          </w:tcPr>
          <w:p w14:paraId="7D9FE814">
            <w:pPr>
              <w:spacing w:line="500" w:lineRule="exact"/>
              <w:rPr>
                <w:rFonts w:ascii="宋体" w:hAnsi="宋体" w:cs="宋体"/>
                <w:sz w:val="24"/>
              </w:rPr>
            </w:pPr>
            <w:r>
              <w:rPr>
                <w:rFonts w:hint="eastAsia" w:ascii="宋体" w:hAnsi="宋体" w:cs="宋体"/>
                <w:b/>
                <w:sz w:val="24"/>
              </w:rPr>
              <w:t>商务技术文件</w:t>
            </w:r>
          </w:p>
          <w:p w14:paraId="7A973BC7">
            <w:pPr>
              <w:snapToGrid w:val="0"/>
              <w:spacing w:line="500" w:lineRule="exac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法定代表人身份证明及法定代表人有效身份证正反面复印件（格式后附）；（</w:t>
            </w:r>
            <w:r>
              <w:rPr>
                <w:rFonts w:hint="eastAsia" w:ascii="宋体" w:hAnsi="宋体" w:cs="宋体"/>
                <w:b/>
                <w:sz w:val="24"/>
              </w:rPr>
              <w:t>必须提供，否则响应文件按无效响应处理</w:t>
            </w:r>
            <w:r>
              <w:rPr>
                <w:rFonts w:hint="eastAsia" w:ascii="宋体" w:hAnsi="宋体" w:cs="宋体"/>
                <w:sz w:val="24"/>
              </w:rPr>
              <w:t>）</w:t>
            </w:r>
          </w:p>
          <w:p w14:paraId="16DD2C85">
            <w:pPr>
              <w:spacing w:line="500" w:lineRule="exact"/>
              <w:rPr>
                <w:rFonts w:ascii="宋体" w:hAnsi="宋体" w:cs="宋体"/>
                <w:b/>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授权委托书及委托代理人有效身份证正反面复印件（格式后附）；（</w:t>
            </w:r>
            <w:r>
              <w:rPr>
                <w:rFonts w:hint="eastAsia" w:ascii="宋体" w:hAnsi="宋体" w:cs="宋体"/>
                <w:b/>
                <w:sz w:val="24"/>
              </w:rPr>
              <w:t>委托时必须提供，否则响应文件按无效响应处理</w:t>
            </w:r>
            <w:r>
              <w:rPr>
                <w:rFonts w:hint="eastAsia" w:ascii="宋体" w:hAnsi="宋体" w:cs="宋体"/>
                <w:sz w:val="24"/>
              </w:rPr>
              <w:t>）</w:t>
            </w:r>
          </w:p>
          <w:p w14:paraId="3E019B18">
            <w:pPr>
              <w:spacing w:line="500" w:lineRule="exac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谈判保证金提交凭证；（</w:t>
            </w:r>
            <w:r>
              <w:rPr>
                <w:rFonts w:hint="eastAsia" w:ascii="宋体" w:hAnsi="宋体" w:cs="宋体"/>
                <w:b/>
                <w:bCs/>
                <w:sz w:val="24"/>
              </w:rPr>
              <w:t>如要求提交谈判保证金的则必须提供</w:t>
            </w:r>
            <w:r>
              <w:rPr>
                <w:rFonts w:hint="eastAsia" w:ascii="宋体" w:hAnsi="宋体" w:cs="宋体"/>
                <w:b/>
                <w:sz w:val="24"/>
              </w:rPr>
              <w:t>，否则响应文件按无效响应处理</w:t>
            </w:r>
            <w:r>
              <w:rPr>
                <w:rFonts w:hint="eastAsia" w:ascii="宋体" w:hAnsi="宋体" w:cs="宋体"/>
                <w:sz w:val="24"/>
              </w:rPr>
              <w:t>）</w:t>
            </w:r>
          </w:p>
          <w:p w14:paraId="5EA7CB12">
            <w:pPr>
              <w:spacing w:line="500" w:lineRule="exac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商务要求偏离表（格式后附）；（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66266C32">
            <w:pPr>
              <w:spacing w:line="500" w:lineRule="exac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售后服务承诺（格式自拟）；（</w:t>
            </w:r>
            <w:r>
              <w:rPr>
                <w:rFonts w:hint="eastAsia" w:ascii="宋体" w:hAnsi="宋体" w:cs="宋体"/>
                <w:b/>
                <w:sz w:val="24"/>
              </w:rPr>
              <w:t>必须提供，否则响应文件按无效响应处理</w:t>
            </w:r>
            <w:r>
              <w:rPr>
                <w:rFonts w:hint="eastAsia" w:ascii="宋体" w:hAnsi="宋体" w:cs="宋体"/>
                <w:sz w:val="24"/>
              </w:rPr>
              <w:t>）</w:t>
            </w:r>
          </w:p>
          <w:p w14:paraId="6B11A143">
            <w:pPr>
              <w:spacing w:line="500" w:lineRule="exac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货物配置清单（均不含报价）（格式后附）；（</w:t>
            </w:r>
            <w:r>
              <w:rPr>
                <w:rFonts w:hint="eastAsia" w:ascii="宋体" w:hAnsi="宋体" w:cs="宋体"/>
                <w:b/>
                <w:sz w:val="24"/>
              </w:rPr>
              <w:t>必须提供，否则响应文件按无效响应处理</w:t>
            </w:r>
            <w:r>
              <w:rPr>
                <w:rFonts w:hint="eastAsia" w:ascii="宋体" w:hAnsi="宋体" w:cs="宋体"/>
                <w:sz w:val="24"/>
              </w:rPr>
              <w:t>）</w:t>
            </w:r>
          </w:p>
          <w:p w14:paraId="1E648526">
            <w:pPr>
              <w:spacing w:line="500" w:lineRule="exac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技术偏离表（格式后附）；（</w:t>
            </w:r>
            <w:r>
              <w:rPr>
                <w:rFonts w:hint="eastAsia" w:ascii="宋体" w:hAnsi="宋体" w:cs="宋体"/>
                <w:b/>
                <w:sz w:val="24"/>
              </w:rPr>
              <w:t>必须提供，否则响应文件按无效响应处理</w:t>
            </w:r>
            <w:r>
              <w:rPr>
                <w:rFonts w:hint="eastAsia" w:ascii="宋体" w:hAnsi="宋体" w:cs="宋体"/>
                <w:sz w:val="24"/>
              </w:rPr>
              <w:t>）</w:t>
            </w:r>
          </w:p>
          <w:p w14:paraId="1154B562">
            <w:pPr>
              <w:spacing w:line="500" w:lineRule="exact"/>
              <w:rPr>
                <w:rFonts w:ascii="宋体" w:hAnsi="宋体" w:cs="宋体"/>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对应采购需求的技术要求、商务要求提供的其他文件资料（格式自拟）；</w:t>
            </w:r>
          </w:p>
          <w:p w14:paraId="79BF3B60">
            <w:pPr>
              <w:spacing w:line="500" w:lineRule="exact"/>
              <w:rPr>
                <w:rFonts w:ascii="宋体" w:hAnsi="宋体" w:cs="宋体"/>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供应商认为需要提供的其他有关资料。</w:t>
            </w:r>
          </w:p>
          <w:p w14:paraId="14112340">
            <w:pPr>
              <w:spacing w:line="500" w:lineRule="exact"/>
              <w:rPr>
                <w:rFonts w:ascii="楷体" w:hAnsi="楷体" w:eastAsia="楷体" w:cs="宋体"/>
                <w:sz w:val="24"/>
              </w:rPr>
            </w:pPr>
            <w:r>
              <w:rPr>
                <w:rFonts w:hint="eastAsia" w:ascii="楷体" w:hAnsi="楷体" w:eastAsia="楷体" w:cs="宋体"/>
                <w:b/>
                <w:bCs/>
                <w:sz w:val="24"/>
              </w:rPr>
              <w:t>【注】</w:t>
            </w:r>
            <w:r>
              <w:rPr>
                <w:rFonts w:ascii="楷体" w:hAnsi="楷体" w:eastAsia="楷体" w:cs="宋体"/>
                <w:sz w:val="24"/>
              </w:rPr>
              <w:t>1.法定代表人授权委托书必须由法定代表人及委托代理人签字，并加盖</w:t>
            </w:r>
            <w:r>
              <w:rPr>
                <w:rFonts w:hint="eastAsia" w:ascii="楷体" w:hAnsi="楷体" w:eastAsia="楷体" w:cs="宋体"/>
                <w:sz w:val="24"/>
              </w:rPr>
              <w:t>供应商公章，否则做无效响应处理。</w:t>
            </w:r>
          </w:p>
          <w:p w14:paraId="3855DCB8">
            <w:pPr>
              <w:spacing w:line="500" w:lineRule="exact"/>
              <w:rPr>
                <w:rFonts w:ascii="宋体" w:hAnsi="宋体" w:cs="宋体"/>
                <w:b/>
                <w:sz w:val="24"/>
              </w:rPr>
            </w:pPr>
            <w:r>
              <w:rPr>
                <w:rFonts w:ascii="楷体" w:hAnsi="楷体" w:eastAsia="楷体" w:cs="宋体"/>
                <w:sz w:val="24"/>
              </w:rPr>
              <w:t>2.</w:t>
            </w:r>
            <w:r>
              <w:rPr>
                <w:rFonts w:hint="eastAsia" w:ascii="楷体" w:hAnsi="楷体" w:eastAsia="楷体" w:cs="宋体"/>
                <w:sz w:val="24"/>
              </w:rPr>
              <w:t>以上标明“必须提供”材料复印件的，必须加盖供应商公章，否则响应文件按无效响应处理。</w:t>
            </w:r>
          </w:p>
        </w:tc>
      </w:tr>
      <w:tr w14:paraId="02EE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14:paraId="394CDEEC">
            <w:pPr>
              <w:spacing w:line="500" w:lineRule="exact"/>
              <w:jc w:val="center"/>
              <w:rPr>
                <w:rFonts w:ascii="宋体" w:hAnsi="宋体" w:cs="宋体"/>
                <w:sz w:val="24"/>
              </w:rPr>
            </w:pPr>
            <w:r>
              <w:rPr>
                <w:rFonts w:hint="eastAsia" w:ascii="宋体" w:hAnsi="宋体" w:cs="宋体"/>
                <w:sz w:val="24"/>
              </w:rPr>
              <w:t>15.2</w:t>
            </w:r>
          </w:p>
        </w:tc>
        <w:tc>
          <w:tcPr>
            <w:tcW w:w="8181" w:type="dxa"/>
            <w:vAlign w:val="center"/>
          </w:tcPr>
          <w:p w14:paraId="5510DCAC">
            <w:pPr>
              <w:spacing w:line="500" w:lineRule="exact"/>
              <w:rPr>
                <w:rFonts w:ascii="宋体" w:hAnsi="宋体" w:cs="宋体"/>
                <w:sz w:val="24"/>
              </w:rPr>
            </w:pPr>
            <w:r>
              <w:rPr>
                <w:rFonts w:hint="eastAsia" w:ascii="宋体" w:hAnsi="宋体" w:cs="宋体"/>
                <w:sz w:val="24"/>
              </w:rPr>
              <w:t>竞争性谈判报价包括货物价款、配套软件、标准附件、备品备件、专用工具、包装、运输、装卸、货到就位、安装、调试、检验、技术培训、技术资料、售后服务、保险、投标费用、一切税费等全部费用，采购人不再支付合同合计金额以外的其他费用。税费因政策等原因发生变化的，由成交供应商承担。（采购需求另有约定的，从其约定）</w:t>
            </w:r>
          </w:p>
        </w:tc>
      </w:tr>
      <w:tr w14:paraId="50955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1808159B">
            <w:pPr>
              <w:spacing w:line="500" w:lineRule="exact"/>
              <w:jc w:val="center"/>
              <w:rPr>
                <w:rFonts w:ascii="宋体" w:hAnsi="宋体" w:cs="宋体"/>
                <w:sz w:val="24"/>
              </w:rPr>
            </w:pPr>
            <w:r>
              <w:rPr>
                <w:rFonts w:hint="eastAsia" w:ascii="宋体" w:hAnsi="宋体" w:cs="宋体"/>
                <w:sz w:val="24"/>
              </w:rPr>
              <w:t>16.2</w:t>
            </w:r>
          </w:p>
        </w:tc>
        <w:tc>
          <w:tcPr>
            <w:tcW w:w="8181" w:type="dxa"/>
            <w:vAlign w:val="center"/>
          </w:tcPr>
          <w:p w14:paraId="0931A50B">
            <w:pPr>
              <w:pStyle w:val="8"/>
              <w:widowControl w:val="0"/>
              <w:tabs>
                <w:tab w:val="clear" w:pos="454"/>
              </w:tabs>
              <w:snapToGrid w:val="0"/>
              <w:spacing w:after="0" w:afterLines="0" w:line="500" w:lineRule="exact"/>
              <w:ind w:left="324" w:hanging="324" w:hangingChars="135"/>
              <w:jc w:val="both"/>
              <w:rPr>
                <w:rFonts w:ascii="宋体" w:hAnsi="宋体" w:cs="宋体"/>
                <w:kern w:val="2"/>
                <w:szCs w:val="24"/>
              </w:rPr>
            </w:pPr>
            <w:r>
              <w:rPr>
                <w:rFonts w:hint="eastAsia" w:ascii="宋体" w:hAnsi="宋体" w:cs="宋体"/>
                <w:kern w:val="2"/>
                <w:szCs w:val="24"/>
              </w:rPr>
              <w:t xml:space="preserve">竞争性谈判有效期：首次响应文件提交截止之日起60天内。 </w:t>
            </w:r>
          </w:p>
        </w:tc>
      </w:tr>
      <w:tr w14:paraId="0AB4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991" w:type="dxa"/>
            <w:vAlign w:val="center"/>
          </w:tcPr>
          <w:p w14:paraId="0C425F85">
            <w:pPr>
              <w:spacing w:line="500" w:lineRule="exact"/>
              <w:jc w:val="center"/>
              <w:rPr>
                <w:rFonts w:ascii="宋体" w:hAnsi="宋体" w:cs="宋体"/>
                <w:sz w:val="24"/>
              </w:rPr>
            </w:pPr>
            <w:r>
              <w:rPr>
                <w:rFonts w:hint="eastAsia" w:ascii="宋体" w:hAnsi="宋体" w:cs="宋体"/>
                <w:sz w:val="24"/>
              </w:rPr>
              <w:t>17.1</w:t>
            </w:r>
          </w:p>
        </w:tc>
        <w:tc>
          <w:tcPr>
            <w:tcW w:w="8181" w:type="dxa"/>
            <w:vAlign w:val="center"/>
          </w:tcPr>
          <w:p w14:paraId="6957162E">
            <w:pPr>
              <w:autoSpaceDE w:val="0"/>
              <w:autoSpaceDN w:val="0"/>
              <w:snapToGrid w:val="0"/>
              <w:spacing w:line="500" w:lineRule="exact"/>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本项目不收取谈判保证金。</w:t>
            </w:r>
          </w:p>
          <w:p w14:paraId="4CFACAA3">
            <w:pPr>
              <w:spacing w:line="500" w:lineRule="exact"/>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本项目收取谈判保证金。</w:t>
            </w:r>
          </w:p>
          <w:p w14:paraId="65C48E94">
            <w:pPr>
              <w:pStyle w:val="73"/>
              <w:jc w:val="left"/>
              <w:rPr>
                <w:rFonts w:ascii="宋体" w:hAnsi="宋体" w:eastAsia="宋体" w:cs="宋体"/>
                <w:b w:val="0"/>
                <w:kern w:val="0"/>
                <w:sz w:val="24"/>
              </w:rPr>
            </w:pPr>
            <w:r>
              <w:rPr>
                <w:rFonts w:hint="eastAsia" w:ascii="宋体" w:hAnsi="宋体" w:eastAsia="宋体" w:cs="宋体"/>
                <w:b w:val="0"/>
                <w:kern w:val="0"/>
                <w:sz w:val="24"/>
              </w:rPr>
              <w:t>谈判保证金（人民币）：26000.00元</w:t>
            </w:r>
          </w:p>
          <w:p w14:paraId="409E9E0E">
            <w:pPr>
              <w:spacing w:line="360" w:lineRule="auto"/>
              <w:jc w:val="left"/>
              <w:rPr>
                <w:rFonts w:ascii="宋体" w:hAnsi="宋体" w:cs="宋体"/>
                <w:sz w:val="24"/>
              </w:rPr>
            </w:pPr>
            <w:r>
              <w:rPr>
                <w:rFonts w:hint="eastAsia" w:ascii="宋体" w:hAnsi="宋体" w:cs="宋体"/>
                <w:sz w:val="24"/>
              </w:rPr>
              <w:t>保证金专用银行账号：</w:t>
            </w:r>
          </w:p>
          <w:p w14:paraId="23D69971">
            <w:pPr>
              <w:snapToGrid w:val="0"/>
              <w:spacing w:line="500" w:lineRule="exact"/>
              <w:rPr>
                <w:rFonts w:ascii="宋体" w:hAnsi="宋体" w:cs="宋体"/>
                <w:kern w:val="0"/>
                <w:sz w:val="24"/>
              </w:rPr>
            </w:pPr>
            <w:r>
              <w:rPr>
                <w:rFonts w:hint="eastAsia" w:ascii="宋体" w:hAnsi="宋体" w:cs="宋体"/>
                <w:kern w:val="0"/>
                <w:sz w:val="24"/>
              </w:rPr>
              <w:t xml:space="preserve">开户名称：广西阳嘉招标代理有限公司 </w:t>
            </w:r>
          </w:p>
          <w:p w14:paraId="144988D0">
            <w:pPr>
              <w:snapToGrid w:val="0"/>
              <w:spacing w:line="500" w:lineRule="exact"/>
              <w:rPr>
                <w:rFonts w:ascii="宋体" w:hAnsi="宋体" w:cs="宋体"/>
                <w:kern w:val="0"/>
                <w:sz w:val="24"/>
              </w:rPr>
            </w:pPr>
            <w:r>
              <w:rPr>
                <w:rFonts w:hint="eastAsia" w:ascii="宋体" w:hAnsi="宋体" w:cs="宋体"/>
                <w:kern w:val="0"/>
                <w:sz w:val="24"/>
              </w:rPr>
              <w:t>开户银行：招商银行股份有限公司南宁东葛路支行</w:t>
            </w:r>
          </w:p>
          <w:p w14:paraId="4627E938">
            <w:pPr>
              <w:snapToGrid w:val="0"/>
              <w:spacing w:line="500" w:lineRule="exact"/>
              <w:rPr>
                <w:rFonts w:ascii="宋体" w:hAnsi="宋体" w:cs="宋体"/>
                <w:kern w:val="0"/>
                <w:sz w:val="24"/>
              </w:rPr>
            </w:pPr>
            <w:r>
              <w:rPr>
                <w:rFonts w:hint="eastAsia" w:ascii="宋体" w:hAnsi="宋体" w:cs="宋体"/>
                <w:kern w:val="0"/>
                <w:sz w:val="24"/>
              </w:rPr>
              <w:t>帐    号：7719 0180 8710 112</w:t>
            </w:r>
          </w:p>
          <w:p w14:paraId="4C3CA695">
            <w:pPr>
              <w:snapToGrid w:val="0"/>
              <w:spacing w:line="500" w:lineRule="exact"/>
              <w:rPr>
                <w:rFonts w:ascii="宋体" w:hAnsi="宋体" w:cs="宋体"/>
                <w:kern w:val="0"/>
                <w:sz w:val="24"/>
              </w:rPr>
            </w:pPr>
            <w:r>
              <w:rPr>
                <w:rFonts w:hint="eastAsia" w:ascii="宋体" w:hAnsi="宋体" w:cs="宋体"/>
                <w:kern w:val="0"/>
                <w:sz w:val="24"/>
              </w:rPr>
              <w:t>谈判保证金的交纳方式：银行转账或者银行出具的保函，禁止采用现钞方式。采用银行转账方式的，在响应文件提交截止时间前交至指定账户并且到账；采用保函方式的，在响应文件提交截止时间前，供应商必须提交保函原件。否则视为无效谈判保证金。</w:t>
            </w:r>
          </w:p>
          <w:p w14:paraId="4DCF7406">
            <w:pPr>
              <w:snapToGrid w:val="0"/>
              <w:spacing w:line="500" w:lineRule="exact"/>
              <w:rPr>
                <w:rFonts w:ascii="宋体" w:hAnsi="宋体" w:cs="宋体"/>
                <w:sz w:val="24"/>
              </w:rPr>
            </w:pPr>
            <w:r>
              <w:rPr>
                <w:rFonts w:hint="eastAsia" w:ascii="宋体" w:hAnsi="宋体" w:cs="宋体"/>
                <w:sz w:val="24"/>
              </w:rPr>
              <w:t>相关要求：</w:t>
            </w:r>
          </w:p>
          <w:p w14:paraId="2AA2F87A">
            <w:pPr>
              <w:snapToGrid w:val="0"/>
              <w:spacing w:line="500" w:lineRule="exact"/>
              <w:rPr>
                <w:rFonts w:ascii="宋体" w:hAnsi="宋体" w:cs="宋体"/>
                <w:sz w:val="24"/>
              </w:rPr>
            </w:pPr>
            <w:r>
              <w:rPr>
                <w:rFonts w:hint="eastAsia" w:ascii="宋体" w:hAnsi="宋体" w:cs="宋体"/>
                <w:sz w:val="24"/>
              </w:rPr>
              <w:t>1.谈判保证金采用银行转账交纳方式的，在响应文件提交截止时间前交至指定账户并且到账，供应商应将银行转账底单的复印件作为谈判保证金提交凭证，放置于报价商务技术文件中，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p>
          <w:p w14:paraId="4923222F">
            <w:pPr>
              <w:snapToGrid w:val="0"/>
              <w:spacing w:line="500" w:lineRule="exact"/>
              <w:rPr>
                <w:rFonts w:ascii="宋体" w:hAnsi="宋体" w:cs="宋体"/>
                <w:b/>
                <w:sz w:val="24"/>
              </w:rPr>
            </w:pPr>
            <w:r>
              <w:rPr>
                <w:rFonts w:hint="eastAsia" w:ascii="宋体" w:hAnsi="宋体" w:cs="宋体"/>
                <w:sz w:val="24"/>
              </w:rPr>
              <w:t>2.谈判保证金采用银行出具的保函交纳方式的，供应商应将保函的复印件作为谈判保证金提交凭证，放置于报价商务技术文件中，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r>
              <w:rPr>
                <w:rFonts w:hint="eastAsia" w:ascii="宋体" w:hAnsi="宋体" w:cs="宋体"/>
                <w:b/>
                <w:sz w:val="24"/>
              </w:rPr>
              <w:t>供应商必须在首次响应文件提交截止时间前将保函原件提交给采购代理机构，由采购代理机构向供应商出具回执，并妥善保管。</w:t>
            </w:r>
          </w:p>
          <w:p w14:paraId="63E331F3">
            <w:pPr>
              <w:snapToGrid w:val="0"/>
              <w:spacing w:line="500" w:lineRule="exact"/>
              <w:rPr>
                <w:rFonts w:ascii="宋体" w:hAnsi="宋体" w:cs="宋体"/>
                <w:sz w:val="24"/>
              </w:rPr>
            </w:pPr>
            <w:r>
              <w:rPr>
                <w:rFonts w:hint="eastAsia" w:ascii="宋体" w:hAnsi="宋体" w:cs="宋体"/>
                <w:sz w:val="24"/>
              </w:rPr>
              <w:t>3.供应商为联合体的，可以由联合体中的一方或者多方共同交纳谈判保证金，其交纳的保证金对联合体各方均具有约束力。</w:t>
            </w:r>
          </w:p>
          <w:p w14:paraId="05B42585">
            <w:pPr>
              <w:snapToGrid w:val="0"/>
              <w:spacing w:line="500" w:lineRule="exact"/>
              <w:rPr>
                <w:rFonts w:ascii="楷体" w:hAnsi="楷体" w:eastAsia="楷体" w:cs="宋体"/>
                <w:sz w:val="24"/>
              </w:rPr>
            </w:pPr>
            <w:r>
              <w:rPr>
                <w:rFonts w:hint="eastAsia" w:ascii="楷体" w:hAnsi="楷体" w:eastAsia="楷体" w:cs="宋体"/>
                <w:b/>
                <w:sz w:val="24"/>
              </w:rPr>
              <w:t>【备注】</w:t>
            </w:r>
            <w:r>
              <w:rPr>
                <w:rFonts w:ascii="楷体" w:hAnsi="楷体" w:eastAsia="楷体" w:cs="宋体"/>
                <w:sz w:val="24"/>
              </w:rPr>
              <w:t>1.</w:t>
            </w:r>
            <w:r>
              <w:rPr>
                <w:rFonts w:hint="eastAsia" w:ascii="楷体" w:hAnsi="楷体" w:eastAsia="楷体" w:cs="宋体"/>
                <w:sz w:val="24"/>
              </w:rPr>
              <w:t>首次响应文件提交截止时间后提交的，或者未足额交纳的，或者保函额度不足的，视为无效谈判保证金。</w:t>
            </w:r>
          </w:p>
          <w:p w14:paraId="6B101317">
            <w:pPr>
              <w:snapToGrid w:val="0"/>
              <w:spacing w:line="500" w:lineRule="exact"/>
              <w:rPr>
                <w:rFonts w:ascii="楷体" w:hAnsi="楷体" w:eastAsia="楷体" w:cs="宋体"/>
                <w:sz w:val="24"/>
              </w:rPr>
            </w:pPr>
            <w:r>
              <w:rPr>
                <w:rFonts w:ascii="楷体" w:hAnsi="楷体" w:eastAsia="楷体" w:cs="宋体"/>
                <w:sz w:val="24"/>
              </w:rPr>
              <w:t>2.供应商采用现钞方式或者从个人账户（自然人</w:t>
            </w:r>
            <w:r>
              <w:rPr>
                <w:rFonts w:hint="eastAsia" w:ascii="楷体" w:hAnsi="楷体" w:eastAsia="楷体" w:cs="宋体"/>
                <w:sz w:val="24"/>
              </w:rPr>
              <w:t>参与竞争性谈判</w:t>
            </w:r>
            <w:r>
              <w:rPr>
                <w:rFonts w:ascii="楷体" w:hAnsi="楷体" w:eastAsia="楷体" w:cs="宋体"/>
                <w:sz w:val="24"/>
              </w:rPr>
              <w:t>除外）转出的</w:t>
            </w:r>
            <w:r>
              <w:rPr>
                <w:rFonts w:hint="eastAsia" w:ascii="楷体" w:hAnsi="楷体" w:eastAsia="楷体" w:cs="宋体"/>
                <w:sz w:val="24"/>
              </w:rPr>
              <w:t>谈判</w:t>
            </w:r>
            <w:r>
              <w:rPr>
                <w:rFonts w:ascii="楷体" w:hAnsi="楷体" w:eastAsia="楷体" w:cs="宋体"/>
                <w:sz w:val="24"/>
              </w:rPr>
              <w:t>保证金，视为无效</w:t>
            </w:r>
            <w:r>
              <w:rPr>
                <w:rFonts w:hint="eastAsia" w:ascii="楷体" w:hAnsi="楷体" w:eastAsia="楷体" w:cs="宋体"/>
                <w:sz w:val="24"/>
              </w:rPr>
              <w:t>谈判</w:t>
            </w:r>
            <w:r>
              <w:rPr>
                <w:rFonts w:ascii="楷体" w:hAnsi="楷体" w:eastAsia="楷体" w:cs="宋体"/>
                <w:sz w:val="24"/>
              </w:rPr>
              <w:t>保证金。</w:t>
            </w:r>
          </w:p>
          <w:p w14:paraId="62B946E6">
            <w:pPr>
              <w:snapToGrid w:val="0"/>
              <w:spacing w:line="500" w:lineRule="exact"/>
              <w:rPr>
                <w:rFonts w:ascii="楷体" w:hAnsi="楷体" w:eastAsia="楷体" w:cs="宋体"/>
                <w:sz w:val="24"/>
              </w:rPr>
            </w:pPr>
            <w:r>
              <w:rPr>
                <w:rFonts w:ascii="楷体" w:hAnsi="楷体" w:eastAsia="楷体" w:cs="宋体"/>
                <w:sz w:val="24"/>
              </w:rPr>
              <w:t>3.保函有效期</w:t>
            </w:r>
            <w:r>
              <w:rPr>
                <w:rFonts w:hint="eastAsia" w:ascii="楷体" w:hAnsi="楷体" w:eastAsia="楷体" w:cs="宋体"/>
                <w:sz w:val="24"/>
              </w:rPr>
              <w:t>短</w:t>
            </w:r>
            <w:r>
              <w:rPr>
                <w:rFonts w:ascii="楷体" w:hAnsi="楷体" w:eastAsia="楷体" w:cs="宋体"/>
                <w:sz w:val="24"/>
              </w:rPr>
              <w:t>于</w:t>
            </w:r>
            <w:r>
              <w:rPr>
                <w:rFonts w:hint="eastAsia" w:ascii="楷体" w:hAnsi="楷体" w:eastAsia="楷体" w:cs="宋体"/>
                <w:sz w:val="24"/>
              </w:rPr>
              <w:t>竞争性谈判</w:t>
            </w:r>
            <w:r>
              <w:rPr>
                <w:rFonts w:ascii="楷体" w:hAnsi="楷体" w:eastAsia="楷体" w:cs="宋体"/>
                <w:sz w:val="24"/>
              </w:rPr>
              <w:t>有效期的，视为无效</w:t>
            </w:r>
            <w:r>
              <w:rPr>
                <w:rFonts w:hint="eastAsia" w:ascii="楷体" w:hAnsi="楷体" w:eastAsia="楷体" w:cs="宋体"/>
                <w:sz w:val="24"/>
              </w:rPr>
              <w:t>谈判</w:t>
            </w:r>
            <w:r>
              <w:rPr>
                <w:rFonts w:ascii="楷体" w:hAnsi="楷体" w:eastAsia="楷体" w:cs="宋体"/>
                <w:sz w:val="24"/>
              </w:rPr>
              <w:t>保证金。</w:t>
            </w:r>
          </w:p>
          <w:p w14:paraId="78E1D4F8">
            <w:pPr>
              <w:snapToGrid w:val="0"/>
              <w:spacing w:line="500" w:lineRule="exact"/>
              <w:rPr>
                <w:rFonts w:ascii="宋体" w:hAnsi="宋体" w:cs="宋体"/>
                <w:sz w:val="24"/>
              </w:rPr>
            </w:pPr>
            <w:r>
              <w:rPr>
                <w:rFonts w:ascii="楷体" w:hAnsi="楷体" w:eastAsia="楷体" w:cs="宋体"/>
                <w:sz w:val="24"/>
              </w:rPr>
              <w:t>4.</w:t>
            </w:r>
            <w:r>
              <w:rPr>
                <w:rFonts w:hint="eastAsia" w:ascii="楷体" w:hAnsi="楷体" w:eastAsia="楷体" w:cs="宋体"/>
                <w:sz w:val="24"/>
              </w:rPr>
              <w:t>谈判</w:t>
            </w:r>
            <w:r>
              <w:rPr>
                <w:rFonts w:ascii="楷体" w:hAnsi="楷体" w:eastAsia="楷体" w:cs="宋体"/>
                <w:sz w:val="24"/>
              </w:rPr>
              <w:t>保证金采用保函为有条件保函的，视为无效</w:t>
            </w:r>
            <w:r>
              <w:rPr>
                <w:rFonts w:hint="eastAsia" w:ascii="楷体" w:hAnsi="楷体" w:eastAsia="楷体" w:cs="宋体"/>
                <w:sz w:val="24"/>
              </w:rPr>
              <w:t>谈判</w:t>
            </w:r>
            <w:r>
              <w:rPr>
                <w:rFonts w:ascii="楷体" w:hAnsi="楷体" w:eastAsia="楷体" w:cs="宋体"/>
                <w:sz w:val="24"/>
              </w:rPr>
              <w:t>保证金。</w:t>
            </w:r>
          </w:p>
        </w:tc>
      </w:tr>
      <w:tr w14:paraId="0D425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3DF384D6">
            <w:pPr>
              <w:spacing w:line="500" w:lineRule="exact"/>
              <w:jc w:val="center"/>
              <w:rPr>
                <w:rFonts w:ascii="宋体" w:hAnsi="宋体" w:cs="宋体"/>
                <w:sz w:val="24"/>
              </w:rPr>
            </w:pPr>
            <w:r>
              <w:rPr>
                <w:rFonts w:hint="eastAsia" w:ascii="宋体" w:hAnsi="宋体" w:cs="宋体"/>
                <w:sz w:val="24"/>
              </w:rPr>
              <w:t>18.2</w:t>
            </w:r>
          </w:p>
        </w:tc>
        <w:tc>
          <w:tcPr>
            <w:tcW w:w="8181" w:type="dxa"/>
            <w:vAlign w:val="center"/>
          </w:tcPr>
          <w:p w14:paraId="423BDAB6">
            <w:pPr>
              <w:spacing w:line="500" w:lineRule="exact"/>
              <w:rPr>
                <w:rFonts w:ascii="宋体" w:hAnsi="宋体" w:cs="宋体"/>
                <w:sz w:val="24"/>
              </w:rPr>
            </w:pPr>
            <w:r>
              <w:rPr>
                <w:rFonts w:hint="eastAsia" w:ascii="宋体" w:hAnsi="宋体" w:cs="宋体"/>
                <w:sz w:val="24"/>
              </w:rPr>
              <w:t>响应文件应按资格证明文件、报价商务技术文件分别编制，</w:t>
            </w:r>
            <w:r>
              <w:rPr>
                <w:rFonts w:hint="eastAsia" w:ascii="宋体" w:hAnsi="宋体" w:cs="宋体"/>
                <w:sz w:val="24"/>
                <w:lang w:bidi="ar"/>
              </w:rPr>
              <w:t>并按广西政府采购云平台的要求编制、加密、上传。</w:t>
            </w:r>
          </w:p>
        </w:tc>
      </w:tr>
      <w:tr w14:paraId="114A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443236F8">
            <w:pPr>
              <w:spacing w:line="500" w:lineRule="exact"/>
              <w:jc w:val="center"/>
              <w:rPr>
                <w:rFonts w:ascii="宋体" w:hAnsi="宋体" w:cs="宋体"/>
                <w:sz w:val="24"/>
              </w:rPr>
            </w:pPr>
            <w:r>
              <w:rPr>
                <w:rFonts w:hint="eastAsia" w:ascii="宋体" w:hAnsi="宋体" w:cs="宋体"/>
                <w:sz w:val="24"/>
              </w:rPr>
              <w:t>20.1</w:t>
            </w:r>
          </w:p>
        </w:tc>
        <w:tc>
          <w:tcPr>
            <w:tcW w:w="8181" w:type="dxa"/>
            <w:vAlign w:val="center"/>
          </w:tcPr>
          <w:p w14:paraId="5573A454">
            <w:pPr>
              <w:spacing w:line="500" w:lineRule="exact"/>
              <w:contextualSpacing/>
              <w:rPr>
                <w:rFonts w:ascii="宋体" w:hAnsi="宋体" w:cs="宋体"/>
                <w:sz w:val="24"/>
                <w:u w:val="single"/>
              </w:rPr>
            </w:pPr>
            <w:r>
              <w:rPr>
                <w:rFonts w:hint="eastAsia" w:ascii="宋体" w:hAnsi="宋体" w:cs="宋体"/>
                <w:sz w:val="24"/>
              </w:rPr>
              <w:t>首次响应文件提交截止时间：详见竞争性谈判公告。</w:t>
            </w:r>
          </w:p>
          <w:p w14:paraId="50741B5B">
            <w:pPr>
              <w:spacing w:line="500" w:lineRule="exact"/>
              <w:contextualSpacing/>
              <w:rPr>
                <w:rFonts w:ascii="宋体" w:hAnsi="宋体" w:cs="宋体"/>
                <w:sz w:val="24"/>
              </w:rPr>
            </w:pPr>
            <w:r>
              <w:rPr>
                <w:rFonts w:hint="eastAsia" w:ascii="宋体" w:hAnsi="宋体" w:cs="宋体"/>
                <w:sz w:val="24"/>
              </w:rPr>
              <w:t>首次响应文件提交地点：详见竞争性谈判公告。</w:t>
            </w:r>
          </w:p>
        </w:tc>
      </w:tr>
      <w:tr w14:paraId="308E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6D7923C1">
            <w:pPr>
              <w:spacing w:line="500" w:lineRule="exact"/>
              <w:jc w:val="center"/>
              <w:rPr>
                <w:rFonts w:ascii="宋体" w:hAnsi="宋体" w:cs="宋体"/>
                <w:sz w:val="24"/>
              </w:rPr>
            </w:pPr>
            <w:r>
              <w:rPr>
                <w:rFonts w:hint="eastAsia" w:ascii="宋体" w:hAnsi="宋体" w:cs="宋体"/>
                <w:sz w:val="24"/>
              </w:rPr>
              <w:t>24.1</w:t>
            </w:r>
          </w:p>
        </w:tc>
        <w:tc>
          <w:tcPr>
            <w:tcW w:w="8181" w:type="dxa"/>
            <w:vAlign w:val="center"/>
          </w:tcPr>
          <w:p w14:paraId="5B5D97A0">
            <w:pPr>
              <w:snapToGrid w:val="0"/>
              <w:spacing w:line="500" w:lineRule="exact"/>
              <w:rPr>
                <w:rFonts w:ascii="宋体" w:hAnsi="宋体" w:cs="宋体"/>
                <w:sz w:val="24"/>
                <w:u w:val="single"/>
              </w:rPr>
            </w:pPr>
            <w:r>
              <w:rPr>
                <w:rFonts w:hint="eastAsia" w:ascii="宋体" w:hAnsi="宋体" w:cs="宋体"/>
                <w:sz w:val="24"/>
              </w:rPr>
              <w:t>谈判小组的人数：3人。</w:t>
            </w:r>
          </w:p>
        </w:tc>
      </w:tr>
      <w:tr w14:paraId="08654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991" w:type="dxa"/>
            <w:vAlign w:val="center"/>
          </w:tcPr>
          <w:p w14:paraId="6F75ED65">
            <w:pPr>
              <w:spacing w:line="500" w:lineRule="exact"/>
              <w:jc w:val="center"/>
              <w:rPr>
                <w:rFonts w:ascii="宋体" w:hAnsi="宋体" w:cs="宋体"/>
                <w:sz w:val="24"/>
              </w:rPr>
            </w:pPr>
            <w:r>
              <w:rPr>
                <w:rFonts w:hint="eastAsia" w:ascii="宋体" w:hAnsi="宋体" w:cs="宋体"/>
                <w:sz w:val="24"/>
              </w:rPr>
              <w:t>25.2</w:t>
            </w:r>
          </w:p>
        </w:tc>
        <w:tc>
          <w:tcPr>
            <w:tcW w:w="8181" w:type="dxa"/>
            <w:vAlign w:val="center"/>
          </w:tcPr>
          <w:p w14:paraId="1A213E72">
            <w:pPr>
              <w:snapToGrid w:val="0"/>
              <w:spacing w:line="500" w:lineRule="exact"/>
              <w:rPr>
                <w:rFonts w:ascii="宋体" w:hAnsi="宋体" w:cs="宋体"/>
                <w:sz w:val="24"/>
              </w:rPr>
            </w:pPr>
            <w:r>
              <w:rPr>
                <w:rFonts w:hint="eastAsia" w:ascii="宋体" w:hAnsi="宋体" w:cs="宋体"/>
                <w:sz w:val="24"/>
              </w:rPr>
              <w:t>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响应文件未按时解密的，视为响应文件无效。</w:t>
            </w:r>
          </w:p>
        </w:tc>
      </w:tr>
      <w:tr w14:paraId="74F84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Merge w:val="restart"/>
            <w:vAlign w:val="center"/>
          </w:tcPr>
          <w:p w14:paraId="315C94D4">
            <w:pPr>
              <w:spacing w:line="500" w:lineRule="exact"/>
              <w:jc w:val="center"/>
              <w:rPr>
                <w:rFonts w:ascii="宋体" w:hAnsi="宋体" w:cs="宋体"/>
                <w:sz w:val="24"/>
              </w:rPr>
            </w:pPr>
            <w:r>
              <w:rPr>
                <w:rFonts w:hint="eastAsia" w:ascii="宋体" w:hAnsi="宋体" w:cs="宋体"/>
                <w:sz w:val="24"/>
              </w:rPr>
              <w:t>26</w:t>
            </w:r>
          </w:p>
        </w:tc>
        <w:tc>
          <w:tcPr>
            <w:tcW w:w="8181" w:type="dxa"/>
            <w:vAlign w:val="center"/>
          </w:tcPr>
          <w:p w14:paraId="47C65FDB">
            <w:pPr>
              <w:snapToGrid w:val="0"/>
              <w:spacing w:line="500" w:lineRule="exact"/>
              <w:rPr>
                <w:sz w:val="24"/>
              </w:rPr>
            </w:pPr>
            <w:r>
              <w:rPr>
                <w:rFonts w:hint="eastAsia"/>
                <w:sz w:val="24"/>
              </w:rPr>
              <w:t>商务要求评审中允许负偏离的条款数为0项。</w:t>
            </w:r>
          </w:p>
          <w:p w14:paraId="20584268">
            <w:pPr>
              <w:snapToGrid w:val="0"/>
              <w:spacing w:line="500" w:lineRule="exact"/>
              <w:rPr>
                <w:sz w:val="24"/>
              </w:rPr>
            </w:pPr>
            <w:r>
              <w:rPr>
                <w:rFonts w:hint="eastAsia"/>
                <w:sz w:val="24"/>
              </w:rPr>
              <w:t>技术要求评审中允许负偏离的条款:</w:t>
            </w:r>
            <w:r>
              <w:rPr>
                <w:rFonts w:hint="eastAsia"/>
              </w:rPr>
              <w:t xml:space="preserve"> </w:t>
            </w:r>
            <w:r>
              <w:rPr>
                <w:rFonts w:hint="eastAsia"/>
                <w:sz w:val="24"/>
              </w:rPr>
              <w:t>标注“▲”号的条款允许负偏离数为0项，未标注“▲”号的条款允许负偏离数为1项。</w:t>
            </w:r>
          </w:p>
        </w:tc>
      </w:tr>
      <w:tr w14:paraId="2A0B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continue"/>
            <w:vAlign w:val="center"/>
          </w:tcPr>
          <w:p w14:paraId="74DCB9C4">
            <w:pPr>
              <w:spacing w:line="500" w:lineRule="exact"/>
              <w:jc w:val="center"/>
              <w:rPr>
                <w:rFonts w:ascii="宋体" w:hAnsi="宋体" w:cs="宋体"/>
                <w:sz w:val="24"/>
              </w:rPr>
            </w:pPr>
          </w:p>
        </w:tc>
        <w:tc>
          <w:tcPr>
            <w:tcW w:w="8181" w:type="dxa"/>
            <w:vAlign w:val="center"/>
          </w:tcPr>
          <w:p w14:paraId="52CF79BB">
            <w:pPr>
              <w:snapToGrid w:val="0"/>
              <w:spacing w:line="500" w:lineRule="exact"/>
              <w:rPr>
                <w:rFonts w:ascii="宋体" w:hAnsi="宋体" w:cs="宋体"/>
                <w:sz w:val="24"/>
              </w:rPr>
            </w:pPr>
            <w:r>
              <w:rPr>
                <w:rFonts w:hint="eastAsia" w:ascii="宋体" w:hAnsi="宋体" w:cs="宋体"/>
                <w:sz w:val="24"/>
              </w:rPr>
              <w:t>谈判的顺序：按“广西政府采购云平台”系统的编号顺序。</w:t>
            </w:r>
          </w:p>
          <w:p w14:paraId="7C7DD991">
            <w:pPr>
              <w:snapToGrid w:val="0"/>
              <w:spacing w:line="500" w:lineRule="exact"/>
              <w:rPr>
                <w:rFonts w:ascii="宋体" w:hAnsi="宋体" w:cs="宋体"/>
                <w:b/>
                <w:sz w:val="24"/>
              </w:rPr>
            </w:pPr>
            <w:r>
              <w:rPr>
                <w:rFonts w:hint="eastAsia" w:ascii="宋体" w:hAnsi="宋体" w:cs="宋体"/>
                <w:b/>
                <w:sz w:val="24"/>
              </w:rPr>
              <w:t>符合谈判资格的供应商必须在接到谈判通知后规定时间内参加谈判，未在规定时间内参加谈判的视同放弃参加谈判权利，其响应文件按无效响应处理。</w:t>
            </w:r>
          </w:p>
          <w:p w14:paraId="03107954">
            <w:pPr>
              <w:snapToGrid w:val="0"/>
              <w:spacing w:line="500" w:lineRule="exact"/>
              <w:rPr>
                <w:rFonts w:ascii="宋体" w:hAnsi="宋体" w:cs="宋体"/>
                <w:sz w:val="24"/>
              </w:rPr>
            </w:pPr>
            <w:r>
              <w:rPr>
                <w:rFonts w:hint="eastAsia" w:ascii="宋体" w:hAnsi="宋体" w:cs="宋体"/>
                <w:b/>
                <w:sz w:val="24"/>
              </w:rPr>
              <w:t>参与谈判前，供应商法定代表人或者委托代理人必须向谈判小组出示本人有效证件原件[有效证件可以是身份证（含临时身份证明）或者护照的其中一项。</w:t>
            </w:r>
          </w:p>
        </w:tc>
      </w:tr>
      <w:tr w14:paraId="0E4B2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continue"/>
            <w:vAlign w:val="center"/>
          </w:tcPr>
          <w:p w14:paraId="0D28E031">
            <w:pPr>
              <w:spacing w:line="500" w:lineRule="exact"/>
              <w:jc w:val="center"/>
              <w:rPr>
                <w:rFonts w:ascii="宋体" w:hAnsi="宋体" w:cs="宋体"/>
                <w:sz w:val="24"/>
              </w:rPr>
            </w:pPr>
          </w:p>
        </w:tc>
        <w:tc>
          <w:tcPr>
            <w:tcW w:w="8181" w:type="dxa"/>
            <w:vAlign w:val="center"/>
          </w:tcPr>
          <w:p w14:paraId="22042AB6">
            <w:pPr>
              <w:spacing w:line="500" w:lineRule="exact"/>
              <w:contextualSpacing/>
              <w:rPr>
                <w:rFonts w:ascii="宋体" w:hAnsi="宋体" w:cs="宋体"/>
                <w:sz w:val="24"/>
              </w:rPr>
            </w:pPr>
            <w:r>
              <w:rPr>
                <w:rFonts w:hint="eastAsia" w:ascii="宋体" w:hAnsi="宋体" w:cs="宋体"/>
                <w:sz w:val="24"/>
              </w:rPr>
              <w:t>评审价相同时，按照最后报价由低到高顺序依次推荐；最后报价相同的，按以下原则确定成交候选人的顺序：</w:t>
            </w:r>
          </w:p>
          <w:p w14:paraId="3BDB6106">
            <w:pPr>
              <w:spacing w:line="500" w:lineRule="exact"/>
              <w:contextualSpacing/>
              <w:rPr>
                <w:rFonts w:ascii="宋体" w:hAnsi="宋体" w:cs="宋体"/>
                <w:sz w:val="24"/>
              </w:rPr>
            </w:pPr>
            <w:r>
              <w:rPr>
                <w:rFonts w:ascii="Segoe UI Symbol" w:hAnsi="Segoe UI Symbol" w:cs="Segoe UI Symbol"/>
                <w:sz w:val="24"/>
              </w:rPr>
              <w:t>☑</w:t>
            </w:r>
            <w:r>
              <w:rPr>
                <w:rFonts w:hint="eastAsia" w:ascii="宋体" w:hAnsi="宋体" w:cs="宋体"/>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p w14:paraId="742D70BE">
            <w:pPr>
              <w:spacing w:line="500" w:lineRule="exact"/>
              <w:contextualSpacing/>
            </w:pPr>
            <w:r>
              <w:rPr>
                <w:rFonts w:hint="eastAsia" w:ascii="Segoe UI Symbol" w:hAnsi="Segoe UI Symbol" w:cs="Segoe UI Symbol"/>
                <w:sz w:val="24"/>
              </w:rPr>
              <w:t>□由谈判小组推荐代表随机抽取。</w:t>
            </w:r>
          </w:p>
        </w:tc>
      </w:tr>
      <w:tr w14:paraId="4F6B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74BE64B6">
            <w:pPr>
              <w:spacing w:line="500" w:lineRule="exact"/>
              <w:jc w:val="center"/>
              <w:rPr>
                <w:rFonts w:ascii="宋体" w:hAnsi="宋体" w:cs="宋体"/>
                <w:sz w:val="24"/>
              </w:rPr>
            </w:pPr>
            <w:r>
              <w:rPr>
                <w:rFonts w:hint="eastAsia" w:ascii="宋体" w:hAnsi="宋体" w:cs="宋体"/>
                <w:sz w:val="24"/>
              </w:rPr>
              <w:t>28.1</w:t>
            </w:r>
          </w:p>
        </w:tc>
        <w:tc>
          <w:tcPr>
            <w:tcW w:w="8181" w:type="dxa"/>
            <w:vAlign w:val="center"/>
          </w:tcPr>
          <w:p w14:paraId="472A8AA9">
            <w:pPr>
              <w:autoSpaceDE w:val="0"/>
              <w:autoSpaceDN w:val="0"/>
              <w:snapToGrid w:val="0"/>
              <w:spacing w:line="500" w:lineRule="exact"/>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本项目不收取履约保证金。</w:t>
            </w:r>
          </w:p>
          <w:p w14:paraId="06041AB6">
            <w:pPr>
              <w:pStyle w:val="9"/>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本项目收取履约保证金：详见商务条款。</w:t>
            </w:r>
          </w:p>
          <w:p w14:paraId="6A0D69A3">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履约保证金递交方式：详见商务条款。</w:t>
            </w:r>
          </w:p>
          <w:p w14:paraId="463B7E58">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履约保证金退付方式、时间及条件详见商务条款。</w:t>
            </w:r>
          </w:p>
          <w:p w14:paraId="01CD9608">
            <w:pPr>
              <w:autoSpaceDE w:val="0"/>
              <w:autoSpaceDN w:val="0"/>
              <w:snapToGrid w:val="0"/>
              <w:spacing w:line="360" w:lineRule="auto"/>
              <w:textAlignment w:val="bottom"/>
              <w:rPr>
                <w:rFonts w:ascii="楷体" w:hAnsi="楷体" w:eastAsia="楷体" w:cs="宋体"/>
                <w:b/>
                <w:sz w:val="24"/>
              </w:rPr>
            </w:pPr>
            <w:r>
              <w:rPr>
                <w:rFonts w:hint="eastAsia" w:ascii="楷体" w:hAnsi="楷体" w:eastAsia="楷体" w:cs="宋体"/>
                <w:b/>
                <w:sz w:val="24"/>
              </w:rPr>
              <w:t>【备注】</w:t>
            </w:r>
          </w:p>
          <w:p w14:paraId="5C160181">
            <w:pPr>
              <w:autoSpaceDE w:val="0"/>
              <w:autoSpaceDN w:val="0"/>
              <w:snapToGrid w:val="0"/>
              <w:spacing w:line="360" w:lineRule="auto"/>
              <w:textAlignment w:val="bottom"/>
              <w:rPr>
                <w:rFonts w:ascii="楷体" w:hAnsi="楷体" w:eastAsia="楷体" w:cs="宋体"/>
                <w:b/>
                <w:sz w:val="24"/>
              </w:rPr>
            </w:pPr>
            <w:r>
              <w:rPr>
                <w:rFonts w:ascii="楷体" w:hAnsi="楷体" w:eastAsia="楷体" w:cs="宋体"/>
                <w:b/>
                <w:sz w:val="24"/>
              </w:rPr>
              <w:t>1.</w:t>
            </w:r>
            <w:r>
              <w:rPr>
                <w:rFonts w:hint="eastAsia" w:ascii="楷体" w:hAnsi="楷体" w:eastAsia="楷体" w:cs="宋体"/>
                <w:b/>
                <w:sz w:val="24"/>
              </w:rPr>
              <w:t>根据《广西壮族自治区财政厅关于持续优化政府采购营商环境推动高质量发展的通知》（桂财采〔2024〕55号），采购文件要求中标人或者成交供应商提交履约保证金的，履约保证金数额不得超过政府采购合同金额的5%，对中小企业收取的履约保证金数额不得超过政府采购合同金额的2%。</w:t>
            </w:r>
          </w:p>
          <w:p w14:paraId="3A5DFC33">
            <w:pPr>
              <w:autoSpaceDE w:val="0"/>
              <w:autoSpaceDN w:val="0"/>
              <w:snapToGrid w:val="0"/>
              <w:spacing w:line="360" w:lineRule="auto"/>
              <w:textAlignment w:val="bottom"/>
              <w:rPr>
                <w:rFonts w:ascii="楷体" w:hAnsi="楷体" w:eastAsia="楷体" w:cs="宋体"/>
                <w:b/>
                <w:sz w:val="24"/>
              </w:rPr>
            </w:pPr>
            <w:r>
              <w:rPr>
                <w:rFonts w:hint="eastAsia" w:ascii="楷体" w:hAnsi="楷体" w:eastAsia="楷体" w:cs="宋体"/>
                <w:b/>
                <w:sz w:val="24"/>
              </w:rPr>
              <w:t>2.履约保证金必须足额缴纳，或出具的保函额度必须足额且保函有效期不能低于合同履行期限（即签订采购合同之日起至履行完合同约定的权利及义务之日止）</w:t>
            </w:r>
            <w:r>
              <w:rPr>
                <w:rFonts w:hint="eastAsia" w:ascii="楷体" w:hAnsi="楷体" w:eastAsia="楷体" w:cs="宋体"/>
                <w:b/>
                <w:color w:val="FF0000"/>
                <w:sz w:val="24"/>
              </w:rPr>
              <w:t>，否则视为无效履约保证金。</w:t>
            </w:r>
          </w:p>
          <w:p w14:paraId="15430CA5">
            <w:pPr>
              <w:autoSpaceDE w:val="0"/>
              <w:autoSpaceDN w:val="0"/>
              <w:snapToGrid w:val="0"/>
              <w:spacing w:line="360" w:lineRule="auto"/>
              <w:textAlignment w:val="bottom"/>
              <w:rPr>
                <w:rFonts w:ascii="楷体" w:hAnsi="楷体" w:eastAsia="楷体" w:cs="宋体"/>
                <w:b/>
                <w:sz w:val="24"/>
              </w:rPr>
            </w:pPr>
            <w:r>
              <w:rPr>
                <w:rFonts w:hint="eastAsia" w:ascii="楷体" w:hAnsi="楷体" w:eastAsia="楷体" w:cs="宋体"/>
                <w:b/>
                <w:sz w:val="24"/>
              </w:rPr>
              <w:t>3.采用保函的，必须为无条件保函</w:t>
            </w:r>
            <w:r>
              <w:rPr>
                <w:rFonts w:hint="eastAsia" w:ascii="楷体" w:hAnsi="楷体" w:eastAsia="楷体" w:cs="宋体"/>
                <w:b/>
                <w:color w:val="FF0000"/>
                <w:sz w:val="24"/>
              </w:rPr>
              <w:t>，否则视为无效履约保证金。</w:t>
            </w:r>
          </w:p>
          <w:p w14:paraId="55D45FC9">
            <w:pPr>
              <w:autoSpaceDE w:val="0"/>
              <w:autoSpaceDN w:val="0"/>
              <w:snapToGrid w:val="0"/>
              <w:spacing w:line="360" w:lineRule="auto"/>
              <w:textAlignment w:val="bottom"/>
              <w:rPr>
                <w:rFonts w:ascii="宋体" w:hAnsi="宋体" w:cs="宋体"/>
                <w:sz w:val="24"/>
              </w:rPr>
            </w:pPr>
            <w:r>
              <w:rPr>
                <w:rFonts w:ascii="楷体" w:hAnsi="楷体" w:eastAsia="楷体" w:cs="宋体"/>
                <w:b/>
                <w:sz w:val="24"/>
              </w:rPr>
              <w:t>4.供应商为联合体的，由联合体任意一方按规定提交的履约保证金，视为有效履约保证金。</w:t>
            </w:r>
          </w:p>
        </w:tc>
      </w:tr>
      <w:tr w14:paraId="77300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1" w:type="dxa"/>
            <w:vAlign w:val="center"/>
          </w:tcPr>
          <w:p w14:paraId="68D4C018">
            <w:pPr>
              <w:spacing w:line="500" w:lineRule="exact"/>
              <w:jc w:val="center"/>
              <w:rPr>
                <w:rFonts w:ascii="宋体" w:hAnsi="宋体" w:cs="宋体"/>
                <w:sz w:val="24"/>
              </w:rPr>
            </w:pPr>
            <w:r>
              <w:rPr>
                <w:rFonts w:hint="eastAsia" w:ascii="宋体" w:hAnsi="宋体" w:cs="宋体"/>
                <w:sz w:val="24"/>
              </w:rPr>
              <w:t>29.1</w:t>
            </w:r>
          </w:p>
        </w:tc>
        <w:tc>
          <w:tcPr>
            <w:tcW w:w="8181" w:type="dxa"/>
            <w:vAlign w:val="center"/>
          </w:tcPr>
          <w:p w14:paraId="44DA3AF3">
            <w:pPr>
              <w:autoSpaceDE w:val="0"/>
              <w:autoSpaceDN w:val="0"/>
              <w:snapToGrid w:val="0"/>
              <w:spacing w:line="500" w:lineRule="exact"/>
              <w:textAlignment w:val="bottom"/>
              <w:rPr>
                <w:rFonts w:ascii="宋体" w:hAnsi="宋体" w:cs="宋体"/>
                <w:sz w:val="24"/>
              </w:rPr>
            </w:pPr>
            <w:r>
              <w:rPr>
                <w:rFonts w:hint="eastAsia" w:ascii="宋体" w:hAnsi="宋体" w:cs="宋体"/>
                <w:sz w:val="24"/>
              </w:rPr>
              <w:t xml:space="preserve">签订合同携带的证明材料： </w:t>
            </w:r>
          </w:p>
          <w:p w14:paraId="03145B24">
            <w:pPr>
              <w:autoSpaceDE w:val="0"/>
              <w:autoSpaceDN w:val="0"/>
              <w:snapToGrid w:val="0"/>
              <w:spacing w:line="500" w:lineRule="exact"/>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委托代理人负责签订合同的，须携带授权委托书及委托代理人身份证原件等其他资格证件。</w:t>
            </w:r>
          </w:p>
          <w:p w14:paraId="3EF925E8">
            <w:pPr>
              <w:snapToGrid w:val="0"/>
              <w:spacing w:line="500" w:lineRule="exac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法定代表人负责签订合同的，须携带法定代表人身份证明原件及身份证原件等其他证明材料。</w:t>
            </w:r>
          </w:p>
        </w:tc>
      </w:tr>
      <w:tr w14:paraId="3574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91" w:type="dxa"/>
            <w:vAlign w:val="center"/>
          </w:tcPr>
          <w:p w14:paraId="088D6EC7">
            <w:pPr>
              <w:spacing w:line="500" w:lineRule="exact"/>
              <w:jc w:val="center"/>
              <w:rPr>
                <w:rFonts w:ascii="宋体" w:hAnsi="宋体" w:cs="宋体"/>
                <w:sz w:val="24"/>
              </w:rPr>
            </w:pPr>
            <w:r>
              <w:rPr>
                <w:rFonts w:hint="eastAsia" w:ascii="宋体" w:hAnsi="宋体" w:cs="宋体"/>
                <w:sz w:val="24"/>
              </w:rPr>
              <w:t>31.2</w:t>
            </w:r>
          </w:p>
        </w:tc>
        <w:tc>
          <w:tcPr>
            <w:tcW w:w="8181" w:type="dxa"/>
            <w:vAlign w:val="center"/>
          </w:tcPr>
          <w:p w14:paraId="34DF855C">
            <w:pPr>
              <w:snapToGrid w:val="0"/>
              <w:spacing w:line="500" w:lineRule="exact"/>
              <w:rPr>
                <w:rFonts w:ascii="宋体" w:hAnsi="宋体" w:cs="宋体"/>
                <w:sz w:val="24"/>
              </w:rPr>
            </w:pPr>
            <w:r>
              <w:rPr>
                <w:rFonts w:hint="eastAsia" w:ascii="宋体" w:hAnsi="宋体" w:cs="宋体"/>
                <w:sz w:val="24"/>
              </w:rPr>
              <w:t>接收质疑函方式：以纸质书面形式。</w:t>
            </w:r>
          </w:p>
          <w:p w14:paraId="7E0BF5AE">
            <w:pPr>
              <w:pStyle w:val="16"/>
              <w:snapToGrid w:val="0"/>
              <w:spacing w:line="500" w:lineRule="exact"/>
              <w:rPr>
                <w:rFonts w:hAnsi="宋体" w:cs="宋体"/>
                <w:sz w:val="24"/>
                <w:szCs w:val="24"/>
              </w:rPr>
            </w:pPr>
            <w:r>
              <w:rPr>
                <w:rFonts w:hint="eastAsia" w:hAnsi="宋体" w:cs="宋体"/>
                <w:kern w:val="2"/>
                <w:sz w:val="24"/>
                <w:szCs w:val="24"/>
              </w:rPr>
              <w:t>质疑联系部门及联系方式：广西阳嘉招标代理有限公司</w:t>
            </w:r>
            <w:r>
              <w:rPr>
                <w:rFonts w:hAnsi="宋体" w:cs="宋体"/>
                <w:kern w:val="2"/>
                <w:sz w:val="24"/>
                <w:szCs w:val="24"/>
              </w:rPr>
              <w:t xml:space="preserve"> </w:t>
            </w:r>
            <w:r>
              <w:rPr>
                <w:rFonts w:hint="eastAsia" w:hAnsi="宋体" w:cs="宋体"/>
                <w:sz w:val="24"/>
                <w:szCs w:val="24"/>
              </w:rPr>
              <w:t>，</w:t>
            </w:r>
          </w:p>
          <w:p w14:paraId="1373EC5A">
            <w:pPr>
              <w:pStyle w:val="16"/>
              <w:snapToGrid w:val="0"/>
              <w:spacing w:line="500" w:lineRule="exact"/>
              <w:rPr>
                <w:rFonts w:hAnsi="宋体" w:cs="宋体"/>
                <w:sz w:val="24"/>
                <w:szCs w:val="24"/>
              </w:rPr>
            </w:pPr>
            <w:r>
              <w:rPr>
                <w:rFonts w:hint="eastAsia" w:hAnsi="宋体" w:cs="宋体"/>
                <w:sz w:val="24"/>
                <w:szCs w:val="24"/>
              </w:rPr>
              <w:t>质疑联系人：苏秀露、邓永辉 ；联系电话：0771-5383100</w:t>
            </w:r>
          </w:p>
          <w:p w14:paraId="5CC3A87A">
            <w:pPr>
              <w:pStyle w:val="16"/>
              <w:snapToGrid w:val="0"/>
              <w:spacing w:line="500" w:lineRule="exact"/>
              <w:rPr>
                <w:rFonts w:hAnsi="宋体" w:cs="宋体"/>
                <w:sz w:val="24"/>
                <w:szCs w:val="24"/>
              </w:rPr>
            </w:pPr>
            <w:r>
              <w:rPr>
                <w:rFonts w:hint="eastAsia" w:hAnsi="宋体" w:cs="宋体"/>
                <w:sz w:val="24"/>
                <w:szCs w:val="24"/>
              </w:rPr>
              <w:t>通讯地址：南宁市青秀区双拥路36-1号绿城画卷A座31楼3108室</w:t>
            </w:r>
          </w:p>
          <w:p w14:paraId="59232CA1">
            <w:pPr>
              <w:pStyle w:val="16"/>
              <w:snapToGrid w:val="0"/>
              <w:spacing w:line="500" w:lineRule="exact"/>
              <w:rPr>
                <w:rFonts w:hAnsi="宋体" w:cs="宋体"/>
                <w:kern w:val="2"/>
                <w:sz w:val="24"/>
                <w:szCs w:val="24"/>
              </w:rPr>
            </w:pPr>
            <w:r>
              <w:rPr>
                <w:rFonts w:hint="eastAsia" w:hAnsi="宋体" w:cs="宋体"/>
                <w:sz w:val="24"/>
                <w:szCs w:val="24"/>
              </w:rPr>
              <w:t>业务时间： 工作日（上午9:00-12:00；下午15:00-18:00）。</w:t>
            </w:r>
          </w:p>
        </w:tc>
      </w:tr>
      <w:tr w14:paraId="320AF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91" w:type="dxa"/>
            <w:vAlign w:val="center"/>
          </w:tcPr>
          <w:p w14:paraId="413B9275">
            <w:pPr>
              <w:spacing w:line="500" w:lineRule="exact"/>
              <w:jc w:val="center"/>
              <w:rPr>
                <w:rFonts w:ascii="宋体" w:hAnsi="宋体" w:cs="宋体"/>
                <w:sz w:val="24"/>
              </w:rPr>
            </w:pPr>
            <w:r>
              <w:rPr>
                <w:rFonts w:hint="eastAsia" w:ascii="宋体" w:hAnsi="宋体" w:cs="宋体"/>
                <w:sz w:val="24"/>
              </w:rPr>
              <w:t>32.1</w:t>
            </w:r>
          </w:p>
        </w:tc>
        <w:tc>
          <w:tcPr>
            <w:tcW w:w="8181" w:type="dxa"/>
            <w:vAlign w:val="center"/>
          </w:tcPr>
          <w:p w14:paraId="256E6D18">
            <w:pPr>
              <w:pStyle w:val="16"/>
              <w:snapToGrid w:val="0"/>
              <w:spacing w:line="500" w:lineRule="exact"/>
              <w:rPr>
                <w:rFonts w:hAnsi="宋体" w:cs="宋体"/>
                <w:sz w:val="24"/>
                <w:szCs w:val="24"/>
              </w:rPr>
            </w:pPr>
            <w:r>
              <w:rPr>
                <w:rFonts w:hint="eastAsia" w:hAnsi="宋体" w:cs="宋体"/>
                <w:sz w:val="24"/>
                <w:szCs w:val="24"/>
              </w:rPr>
              <w:t>1.采购代理服务费支付方式：本项目的招标代理服务费按以下收费标准向成交供应商收取。</w:t>
            </w:r>
          </w:p>
          <w:p w14:paraId="185BFC5A">
            <w:pPr>
              <w:pStyle w:val="16"/>
              <w:snapToGrid w:val="0"/>
              <w:spacing w:line="500" w:lineRule="exact"/>
              <w:rPr>
                <w:rFonts w:hAnsi="宋体" w:cs="宋体"/>
                <w:sz w:val="24"/>
                <w:szCs w:val="24"/>
              </w:rPr>
            </w:pPr>
            <w:r>
              <w:rPr>
                <w:rFonts w:hint="eastAsia" w:hAnsi="宋体" w:cs="宋体"/>
                <w:sz w:val="24"/>
                <w:szCs w:val="24"/>
              </w:rPr>
              <w:t>2</w:t>
            </w:r>
            <w:r>
              <w:rPr>
                <w:rFonts w:hint="eastAsia" w:hAnsi="宋体" w:cs="宋体"/>
                <w:bCs/>
                <w:sz w:val="24"/>
                <w:szCs w:val="24"/>
              </w:rPr>
              <w:t>.</w:t>
            </w:r>
            <w:r>
              <w:rPr>
                <w:rFonts w:hint="eastAsia" w:hAnsi="宋体" w:cs="宋体"/>
                <w:sz w:val="24"/>
                <w:szCs w:val="24"/>
              </w:rPr>
              <w:t>采购代理服务费收取标准：</w:t>
            </w:r>
          </w:p>
          <w:p w14:paraId="1BECB8E0">
            <w:pPr>
              <w:pStyle w:val="16"/>
              <w:snapToGrid w:val="0"/>
              <w:spacing w:line="500" w:lineRule="exact"/>
              <w:rPr>
                <w:rFonts w:hAnsi="宋体" w:cs="宋体"/>
                <w:sz w:val="24"/>
                <w:szCs w:val="24"/>
              </w:rPr>
            </w:pPr>
            <w:r>
              <w:rPr>
                <w:rFonts w:hint="eastAsia" w:hAnsi="宋体" w:cs="宋体"/>
                <w:sz w:val="24"/>
                <w:szCs w:val="24"/>
              </w:rPr>
              <w:t>以分标成交金额为计费额，按本采购文件之供应商须知正文第32.2条规定的收费计算标准（货物类/服务类/工程类）采用差额定率累进法计算出收费基准价格，采购代理服务费收费以收费基准价格收取。</w:t>
            </w:r>
          </w:p>
          <w:p w14:paraId="637D3B58">
            <w:pPr>
              <w:pStyle w:val="16"/>
              <w:snapToGrid w:val="0"/>
              <w:spacing w:line="500" w:lineRule="exact"/>
              <w:rPr>
                <w:rFonts w:hAnsi="宋体" w:cs="宋体"/>
                <w:b/>
                <w:bCs/>
                <w:sz w:val="24"/>
                <w:szCs w:val="24"/>
              </w:rPr>
            </w:pPr>
            <w:r>
              <w:rPr>
                <w:rFonts w:hint="eastAsia" w:hAnsi="宋体" w:cs="宋体"/>
                <w:b/>
                <w:bCs/>
                <w:sz w:val="24"/>
                <w:szCs w:val="24"/>
              </w:rPr>
              <w:t>3</w:t>
            </w:r>
            <w:r>
              <w:rPr>
                <w:rFonts w:hint="eastAsia" w:hAnsi="宋体" w:cs="宋体"/>
                <w:bCs/>
                <w:sz w:val="24"/>
                <w:szCs w:val="24"/>
              </w:rPr>
              <w:t>.</w:t>
            </w:r>
            <w:r>
              <w:rPr>
                <w:rFonts w:hint="eastAsia" w:hAnsi="宋体" w:cs="宋体"/>
                <w:b/>
                <w:bCs/>
                <w:sz w:val="24"/>
                <w:szCs w:val="24"/>
              </w:rPr>
              <w:t>采购代理服务费专用银行信息：</w:t>
            </w:r>
          </w:p>
          <w:p w14:paraId="40B7BE59">
            <w:pPr>
              <w:pStyle w:val="16"/>
              <w:snapToGrid w:val="0"/>
              <w:spacing w:line="500" w:lineRule="exact"/>
              <w:rPr>
                <w:rFonts w:hAnsi="宋体" w:cs="宋体"/>
                <w:sz w:val="24"/>
                <w:szCs w:val="24"/>
                <w:u w:val="single"/>
              </w:rPr>
            </w:pPr>
            <w:r>
              <w:rPr>
                <w:rFonts w:hint="eastAsia" w:hAnsi="宋体" w:cs="宋体"/>
                <w:sz w:val="24"/>
                <w:szCs w:val="24"/>
                <w:u w:val="single"/>
              </w:rPr>
              <w:t xml:space="preserve">开户名称：广西阳嘉招标代理有限公司 </w:t>
            </w:r>
          </w:p>
          <w:p w14:paraId="034A51F9">
            <w:pPr>
              <w:pStyle w:val="16"/>
              <w:snapToGrid w:val="0"/>
              <w:spacing w:line="500" w:lineRule="exact"/>
              <w:rPr>
                <w:rFonts w:hAnsi="宋体" w:cs="宋体"/>
                <w:sz w:val="24"/>
                <w:szCs w:val="24"/>
                <w:u w:val="single"/>
              </w:rPr>
            </w:pPr>
            <w:r>
              <w:rPr>
                <w:rFonts w:hint="eastAsia" w:hAnsi="宋体" w:cs="宋体"/>
                <w:sz w:val="24"/>
                <w:szCs w:val="24"/>
                <w:u w:val="single"/>
              </w:rPr>
              <w:t>开户银行：招商银行股份有限公司南宁东葛路支行</w:t>
            </w:r>
          </w:p>
          <w:p w14:paraId="442A9E62">
            <w:pPr>
              <w:pStyle w:val="16"/>
              <w:snapToGrid w:val="0"/>
              <w:spacing w:line="500" w:lineRule="exact"/>
              <w:rPr>
                <w:rFonts w:hAnsi="宋体" w:cs="宋体"/>
                <w:sz w:val="24"/>
                <w:szCs w:val="24"/>
                <w:u w:val="single"/>
              </w:rPr>
            </w:pPr>
            <w:r>
              <w:rPr>
                <w:rFonts w:hint="eastAsia" w:hAnsi="宋体" w:cs="宋体"/>
                <w:sz w:val="24"/>
                <w:szCs w:val="24"/>
                <w:u w:val="single"/>
              </w:rPr>
              <w:t>帐    号：7719 0180 8710 112</w:t>
            </w:r>
          </w:p>
        </w:tc>
      </w:tr>
      <w:tr w14:paraId="4F53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91" w:type="dxa"/>
            <w:vAlign w:val="center"/>
          </w:tcPr>
          <w:p w14:paraId="6A23019D">
            <w:pPr>
              <w:spacing w:line="500" w:lineRule="exact"/>
              <w:jc w:val="center"/>
              <w:rPr>
                <w:rFonts w:ascii="宋体" w:hAnsi="宋体" w:cs="宋体"/>
                <w:sz w:val="24"/>
              </w:rPr>
            </w:pPr>
            <w:r>
              <w:rPr>
                <w:rFonts w:hint="eastAsia" w:ascii="宋体" w:hAnsi="宋体" w:cs="宋体"/>
                <w:sz w:val="24"/>
              </w:rPr>
              <w:t>33.1</w:t>
            </w:r>
          </w:p>
        </w:tc>
        <w:tc>
          <w:tcPr>
            <w:tcW w:w="8181" w:type="dxa"/>
            <w:vAlign w:val="center"/>
          </w:tcPr>
          <w:p w14:paraId="5C01E24A">
            <w:pPr>
              <w:pStyle w:val="16"/>
              <w:snapToGrid w:val="0"/>
              <w:spacing w:line="500" w:lineRule="exact"/>
              <w:rPr>
                <w:rFonts w:hAnsi="宋体" w:cs="宋体"/>
                <w:sz w:val="24"/>
                <w:szCs w:val="24"/>
              </w:rPr>
            </w:pPr>
            <w:r>
              <w:rPr>
                <w:rFonts w:hint="eastAsia" w:hAnsi="宋体" w:cs="宋体"/>
                <w:sz w:val="24"/>
                <w:szCs w:val="24"/>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2694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991" w:type="dxa"/>
            <w:vAlign w:val="center"/>
          </w:tcPr>
          <w:p w14:paraId="402E089D">
            <w:pPr>
              <w:spacing w:line="500" w:lineRule="exact"/>
              <w:jc w:val="center"/>
              <w:rPr>
                <w:rFonts w:ascii="宋体" w:hAnsi="宋体" w:cs="宋体"/>
                <w:sz w:val="24"/>
              </w:rPr>
            </w:pPr>
            <w:r>
              <w:rPr>
                <w:rFonts w:hint="eastAsia" w:ascii="宋体" w:hAnsi="宋体" w:cs="宋体"/>
                <w:sz w:val="24"/>
              </w:rPr>
              <w:t>33.2</w:t>
            </w:r>
          </w:p>
        </w:tc>
        <w:tc>
          <w:tcPr>
            <w:tcW w:w="8181" w:type="dxa"/>
            <w:vAlign w:val="center"/>
          </w:tcPr>
          <w:p w14:paraId="410D3385">
            <w:pPr>
              <w:pStyle w:val="16"/>
              <w:snapToGrid w:val="0"/>
              <w:spacing w:line="500" w:lineRule="exact"/>
              <w:rPr>
                <w:rFonts w:hAnsi="宋体" w:cs="宋体"/>
                <w:sz w:val="24"/>
                <w:szCs w:val="24"/>
              </w:rPr>
            </w:pPr>
            <w:r>
              <w:rPr>
                <w:rFonts w:hint="eastAsia" w:hAnsi="宋体" w:cs="宋体"/>
                <w:sz w:val="24"/>
                <w:szCs w:val="24"/>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14:paraId="327E4FE8">
            <w:pPr>
              <w:pStyle w:val="16"/>
              <w:snapToGrid w:val="0"/>
              <w:spacing w:line="500" w:lineRule="exact"/>
              <w:rPr>
                <w:rFonts w:hAnsi="宋体" w:cs="宋体"/>
                <w:sz w:val="24"/>
                <w:szCs w:val="24"/>
              </w:rPr>
            </w:pPr>
            <w:r>
              <w:rPr>
                <w:rFonts w:hint="eastAsia" w:hAnsi="宋体" w:cs="宋体"/>
                <w:sz w:val="24"/>
                <w:szCs w:val="24"/>
              </w:rPr>
              <w:t>2.供应商为其他组织或者自然人时，本谈判文件规定的法定代表人指负责人或者自然人。本谈判文件所称负责人是指参加竞争性谈判的其他组织</w:t>
            </w:r>
            <w:r>
              <w:rPr>
                <w:rFonts w:hint="eastAsia" w:hAnsi="宋体" w:cs="宋体"/>
                <w:bCs/>
                <w:sz w:val="24"/>
                <w:szCs w:val="24"/>
              </w:rPr>
              <w:t>营业执照或者执业许可证等证照上</w:t>
            </w:r>
            <w:r>
              <w:rPr>
                <w:rFonts w:hint="eastAsia" w:hAnsi="宋体" w:cs="宋体"/>
                <w:sz w:val="24"/>
                <w:szCs w:val="24"/>
              </w:rPr>
              <w:t>的负责人，本谈判文件所称自然人指参与竞争性谈判的自然人本人，</w:t>
            </w:r>
            <w:r>
              <w:rPr>
                <w:rFonts w:hint="eastAsia" w:hAnsi="宋体" w:cs="宋体"/>
                <w:bCs/>
                <w:sz w:val="24"/>
                <w:szCs w:val="24"/>
              </w:rPr>
              <w:t>且应具备独立承担民事责任能力，自然人应当为年满18岁以上成年人（十六周岁以上的未成年人，以自己的劳动收入为主要生活来源的，视为完全民事行为能力人）。</w:t>
            </w:r>
          </w:p>
          <w:p w14:paraId="32CC41E9">
            <w:pPr>
              <w:pStyle w:val="16"/>
              <w:snapToGrid w:val="0"/>
              <w:spacing w:line="500" w:lineRule="exact"/>
              <w:rPr>
                <w:rFonts w:hAnsi="宋体" w:cs="宋体"/>
                <w:sz w:val="24"/>
                <w:szCs w:val="24"/>
              </w:rPr>
            </w:pPr>
            <w:r>
              <w:rPr>
                <w:rFonts w:hint="eastAsia" w:hAnsi="宋体" w:cs="宋体"/>
                <w:sz w:val="24"/>
                <w:szCs w:val="24"/>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3E18B422">
            <w:pPr>
              <w:pStyle w:val="16"/>
              <w:snapToGrid w:val="0"/>
              <w:spacing w:line="500" w:lineRule="exact"/>
              <w:rPr>
                <w:rFonts w:hAnsi="宋体" w:cs="宋体"/>
                <w:sz w:val="24"/>
                <w:szCs w:val="24"/>
              </w:rPr>
            </w:pPr>
            <w:r>
              <w:rPr>
                <w:rFonts w:hAnsi="宋体" w:cs="宋体"/>
                <w:sz w:val="24"/>
                <w:szCs w:val="24"/>
              </w:rPr>
              <w:t>4</w:t>
            </w:r>
            <w:r>
              <w:rPr>
                <w:rFonts w:hint="eastAsia" w:hAnsi="宋体" w:cs="宋体"/>
                <w:sz w:val="24"/>
                <w:szCs w:val="24"/>
              </w:rPr>
              <w:t>.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1095E2F">
            <w:pPr>
              <w:pStyle w:val="16"/>
              <w:snapToGrid w:val="0"/>
              <w:spacing w:line="500" w:lineRule="exact"/>
              <w:rPr>
                <w:rFonts w:hAnsi="宋体" w:cs="宋体"/>
                <w:sz w:val="24"/>
                <w:szCs w:val="24"/>
              </w:rPr>
            </w:pPr>
            <w:r>
              <w:rPr>
                <w:rFonts w:hAnsi="宋体" w:cs="宋体"/>
                <w:sz w:val="24"/>
                <w:szCs w:val="24"/>
              </w:rPr>
              <w:t>5</w:t>
            </w:r>
            <w:r>
              <w:rPr>
                <w:rFonts w:hint="eastAsia" w:hAnsi="宋体" w:cs="宋体"/>
                <w:sz w:val="24"/>
                <w:szCs w:val="24"/>
              </w:rPr>
              <w:t>.自然人参与竞争性谈判的，谈判文件规定盖章的地方自然人可以加盖手指指印。</w:t>
            </w:r>
          </w:p>
          <w:p w14:paraId="3F6F2969">
            <w:pPr>
              <w:pStyle w:val="16"/>
              <w:snapToGrid w:val="0"/>
              <w:spacing w:line="500" w:lineRule="exact"/>
              <w:rPr>
                <w:rFonts w:hAnsi="宋体" w:cs="宋体"/>
                <w:sz w:val="24"/>
                <w:szCs w:val="24"/>
              </w:rPr>
            </w:pPr>
            <w:r>
              <w:rPr>
                <w:rFonts w:hAnsi="宋体" w:cs="宋体"/>
                <w:sz w:val="24"/>
                <w:szCs w:val="24"/>
              </w:rPr>
              <w:t>6</w:t>
            </w:r>
            <w:r>
              <w:rPr>
                <w:rFonts w:hint="eastAsia" w:hAnsi="宋体" w:cs="宋体"/>
                <w:sz w:val="24"/>
                <w:szCs w:val="24"/>
              </w:rPr>
              <w:t>.本谈判文件所称的“以上”“以下”“以内”“届满”，包括本数；所称的“不满”“超过”“以外”，不包括本数。</w:t>
            </w:r>
          </w:p>
        </w:tc>
      </w:tr>
    </w:tbl>
    <w:p w14:paraId="279B3A1A">
      <w:pPr>
        <w:spacing w:line="360" w:lineRule="auto"/>
        <w:jc w:val="center"/>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供应商须知正文</w:t>
      </w:r>
    </w:p>
    <w:p w14:paraId="0910C4B3">
      <w:pPr>
        <w:spacing w:line="360" w:lineRule="auto"/>
        <w:jc w:val="center"/>
        <w:rPr>
          <w:rFonts w:ascii="宋体" w:hAnsi="宋体" w:cs="宋体"/>
          <w:b/>
          <w:sz w:val="36"/>
          <w:szCs w:val="36"/>
        </w:rPr>
      </w:pPr>
      <w:r>
        <w:rPr>
          <w:rFonts w:hint="eastAsia" w:ascii="宋体" w:hAnsi="宋体" w:cs="宋体"/>
          <w:b/>
          <w:sz w:val="36"/>
          <w:szCs w:val="36"/>
        </w:rPr>
        <w:t>一、总则</w:t>
      </w:r>
    </w:p>
    <w:p w14:paraId="6356C4EB">
      <w:pPr>
        <w:spacing w:line="400" w:lineRule="exact"/>
        <w:rPr>
          <w:rFonts w:ascii="宋体" w:hAnsi="宋体" w:cs="宋体"/>
          <w:szCs w:val="21"/>
        </w:rPr>
      </w:pPr>
    </w:p>
    <w:p w14:paraId="12CD4690">
      <w:pPr>
        <w:spacing w:line="360" w:lineRule="auto"/>
        <w:ind w:firstLine="643" w:firstLineChars="200"/>
        <w:rPr>
          <w:rFonts w:ascii="宋体" w:hAnsi="宋体" w:cs="宋体"/>
          <w:b/>
          <w:bCs/>
          <w:sz w:val="32"/>
          <w:szCs w:val="32"/>
        </w:rPr>
      </w:pPr>
      <w:r>
        <w:rPr>
          <w:rFonts w:hint="eastAsia" w:ascii="宋体" w:hAnsi="宋体" w:cs="宋体"/>
          <w:b/>
          <w:bCs/>
          <w:sz w:val="32"/>
          <w:szCs w:val="32"/>
        </w:rPr>
        <w:t>1.适用范围</w:t>
      </w:r>
    </w:p>
    <w:p w14:paraId="6818B7F6">
      <w:pPr>
        <w:spacing w:line="360" w:lineRule="auto"/>
        <w:ind w:firstLine="480" w:firstLineChars="200"/>
        <w:rPr>
          <w:rFonts w:ascii="宋体" w:hAnsi="宋体" w:cs="宋体"/>
          <w:sz w:val="24"/>
        </w:rPr>
      </w:pPr>
      <w:r>
        <w:rPr>
          <w:rFonts w:hint="eastAsia" w:ascii="宋体" w:hAnsi="宋体" w:cs="宋体"/>
          <w:sz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756344F">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pacing w:val="-6"/>
          <w:sz w:val="24"/>
        </w:rPr>
        <w:t>本竞争性谈判采购文件（以下简称谈判文件）适用于本项目的所有采购程序和环节（法律、法规另有规定的，从其规定）。</w:t>
      </w:r>
    </w:p>
    <w:p w14:paraId="6121694E">
      <w:pPr>
        <w:spacing w:line="360" w:lineRule="auto"/>
        <w:ind w:firstLine="643" w:firstLineChars="200"/>
        <w:rPr>
          <w:rFonts w:ascii="宋体" w:hAnsi="宋体" w:cs="宋体"/>
          <w:b/>
          <w:bCs/>
          <w:sz w:val="32"/>
          <w:szCs w:val="32"/>
        </w:rPr>
      </w:pPr>
      <w:r>
        <w:rPr>
          <w:rFonts w:hint="eastAsia" w:ascii="宋体" w:hAnsi="宋体" w:cs="宋体"/>
          <w:b/>
          <w:bCs/>
          <w:sz w:val="32"/>
          <w:szCs w:val="32"/>
        </w:rPr>
        <w:t>2.定义</w:t>
      </w:r>
    </w:p>
    <w:p w14:paraId="59D1AE6D">
      <w:pPr>
        <w:spacing w:line="360" w:lineRule="auto"/>
        <w:ind w:firstLine="480" w:firstLineChars="200"/>
        <w:rPr>
          <w:rFonts w:ascii="宋体" w:hAnsi="宋体" w:cs="宋体"/>
          <w:sz w:val="24"/>
        </w:rPr>
      </w:pPr>
      <w:r>
        <w:rPr>
          <w:rFonts w:hint="eastAsia" w:ascii="宋体" w:hAnsi="宋体" w:cs="宋体"/>
          <w:sz w:val="24"/>
        </w:rPr>
        <w:t>2.1“采购人”是指依法进行采购的国家机关、事业单位、团体组织。</w:t>
      </w:r>
    </w:p>
    <w:p w14:paraId="5C1D6450">
      <w:pPr>
        <w:spacing w:line="360" w:lineRule="auto"/>
        <w:ind w:firstLine="480" w:firstLineChars="200"/>
        <w:rPr>
          <w:rFonts w:ascii="宋体" w:hAnsi="宋体" w:cs="宋体"/>
          <w:b/>
          <w:sz w:val="24"/>
        </w:rPr>
      </w:pPr>
      <w:r>
        <w:rPr>
          <w:rFonts w:hint="eastAsia" w:ascii="宋体" w:hAnsi="宋体" w:cs="宋体"/>
          <w:sz w:val="24"/>
        </w:rPr>
        <w:t>2.2“采购代理机构”</w:t>
      </w:r>
      <w:r>
        <w:rPr>
          <w:rFonts w:hint="eastAsia" w:ascii="宋体" w:hAnsi="宋体" w:cs="宋体"/>
          <w:b/>
          <w:sz w:val="24"/>
        </w:rPr>
        <w:t>是指政府采购集中采购机构和集中采购机构以外的采购代理机构。</w:t>
      </w:r>
    </w:p>
    <w:p w14:paraId="6E9E2D4C">
      <w:pPr>
        <w:spacing w:line="360" w:lineRule="auto"/>
        <w:ind w:firstLine="480" w:firstLineChars="200"/>
        <w:rPr>
          <w:rFonts w:ascii="宋体" w:hAnsi="宋体" w:cs="宋体"/>
          <w:sz w:val="24"/>
        </w:rPr>
      </w:pPr>
      <w:r>
        <w:rPr>
          <w:rFonts w:hint="eastAsia" w:ascii="宋体" w:hAnsi="宋体" w:cs="宋体"/>
          <w:sz w:val="24"/>
        </w:rPr>
        <w:t>2.3“供应商”是指向采购人提供货物、工程或者服务的法人、其他组织或者自然人。</w:t>
      </w:r>
    </w:p>
    <w:p w14:paraId="453CAD74">
      <w:pPr>
        <w:spacing w:line="360" w:lineRule="auto"/>
        <w:ind w:firstLine="480" w:firstLineChars="200"/>
        <w:rPr>
          <w:rFonts w:ascii="宋体" w:hAnsi="宋体" w:cs="宋体"/>
          <w:sz w:val="24"/>
        </w:rPr>
      </w:pPr>
      <w:r>
        <w:rPr>
          <w:rFonts w:hint="eastAsia" w:ascii="宋体" w:hAnsi="宋体" w:cs="宋体"/>
          <w:sz w:val="24"/>
        </w:rPr>
        <w:t>2.4“货物”是指各种形态和种类的物品，包括原材料、燃料、设备、产品等。</w:t>
      </w:r>
    </w:p>
    <w:p w14:paraId="43D703E5">
      <w:pPr>
        <w:spacing w:line="360" w:lineRule="auto"/>
        <w:ind w:firstLine="480" w:firstLineChars="200"/>
        <w:rPr>
          <w:rFonts w:ascii="宋体" w:hAnsi="宋体" w:cs="宋体"/>
          <w:sz w:val="24"/>
        </w:rPr>
      </w:pPr>
      <w:r>
        <w:rPr>
          <w:rFonts w:hint="eastAsia" w:ascii="宋体" w:hAnsi="宋体" w:cs="宋体"/>
          <w:sz w:val="24"/>
        </w:rPr>
        <w:t>2.5“</w:t>
      </w:r>
      <w:r>
        <w:rPr>
          <w:rFonts w:hint="eastAsia" w:hAnsi="宋体" w:cs="宋体"/>
          <w:sz w:val="24"/>
        </w:rPr>
        <w:t>竞争性谈判</w:t>
      </w:r>
      <w:r>
        <w:rPr>
          <w:rFonts w:hint="eastAsia" w:ascii="宋体" w:hAnsi="宋体" w:cs="宋体"/>
          <w:sz w:val="24"/>
        </w:rPr>
        <w:t>”是指按照本项目竞争性谈判公告或者邀请函规定的方式供应商获取谈判文件、提交响应文件并希望获得标的的行为。</w:t>
      </w:r>
    </w:p>
    <w:p w14:paraId="2ABD5058">
      <w:pPr>
        <w:spacing w:line="360" w:lineRule="auto"/>
        <w:ind w:firstLine="480" w:firstLineChars="200"/>
        <w:rPr>
          <w:rFonts w:ascii="宋体" w:hAnsi="宋体" w:cs="宋体"/>
          <w:sz w:val="24"/>
        </w:rPr>
      </w:pPr>
      <w:r>
        <w:rPr>
          <w:rFonts w:hint="eastAsia" w:ascii="宋体" w:hAnsi="宋体" w:cs="宋体"/>
          <w:sz w:val="24"/>
        </w:rPr>
        <w:t>2.6“售后服务” 是指包含但不限于供应商须承担的备品备件、包装、运输、装卸、保险、货到就位以及安装、调试、培训、保修和其他类似的义务。</w:t>
      </w:r>
    </w:p>
    <w:p w14:paraId="3BC005E1">
      <w:pPr>
        <w:spacing w:line="360" w:lineRule="auto"/>
        <w:ind w:firstLine="480" w:firstLineChars="200"/>
        <w:rPr>
          <w:rFonts w:ascii="宋体" w:hAnsi="宋体" w:cs="宋体"/>
          <w:sz w:val="24"/>
        </w:rPr>
      </w:pPr>
      <w:r>
        <w:rPr>
          <w:rFonts w:hint="eastAsia" w:ascii="宋体" w:hAnsi="宋体" w:cs="宋体"/>
          <w:sz w:val="24"/>
        </w:rPr>
        <w:t>2.7“书面形式”是指合同书、信件和数据电文（包括电报、电传、传真、电子数据交换和电子邮件）等可以有形地表现所载内容的形式。</w:t>
      </w:r>
    </w:p>
    <w:p w14:paraId="50AE4E45">
      <w:pPr>
        <w:spacing w:line="360" w:lineRule="auto"/>
        <w:ind w:firstLine="480" w:firstLineChars="200"/>
        <w:rPr>
          <w:rFonts w:ascii="宋体" w:hAnsi="宋体" w:cs="宋体"/>
          <w:sz w:val="24"/>
        </w:rPr>
      </w:pPr>
      <w:r>
        <w:rPr>
          <w:rFonts w:hint="eastAsia" w:ascii="宋体" w:hAnsi="宋体" w:cs="宋体"/>
          <w:sz w:val="24"/>
        </w:rPr>
        <w:t>2.8“响应文件”</w:t>
      </w:r>
      <w:r>
        <w:rPr>
          <w:rFonts w:hint="eastAsia" w:ascii="宋体" w:hAnsi="宋体" w:cs="宋体"/>
          <w:spacing w:val="-6"/>
          <w:sz w:val="24"/>
        </w:rPr>
        <w:t>是指：供应商根据本谈判文件要求，编制包含报价、技术和服务等所有内容的文件。</w:t>
      </w:r>
    </w:p>
    <w:p w14:paraId="49FD9C7C">
      <w:pPr>
        <w:spacing w:line="360" w:lineRule="auto"/>
        <w:ind w:firstLine="480" w:firstLineChars="200"/>
        <w:rPr>
          <w:rFonts w:ascii="宋体" w:hAnsi="宋体" w:cs="宋体"/>
          <w:sz w:val="24"/>
        </w:rPr>
      </w:pPr>
      <w:r>
        <w:rPr>
          <w:rFonts w:hint="eastAsia" w:ascii="宋体" w:hAnsi="宋体" w:cs="宋体"/>
          <w:sz w:val="24"/>
        </w:rPr>
        <w:t>2.9 “实质性要求”是指采购需求中带“▲”的条款或者不能负偏离的条款或者已经指明不满足按响应文件按无效响应处理的条款。</w:t>
      </w:r>
    </w:p>
    <w:p w14:paraId="21691EB6">
      <w:pPr>
        <w:spacing w:line="360" w:lineRule="auto"/>
        <w:ind w:firstLine="480" w:firstLineChars="200"/>
        <w:rPr>
          <w:rFonts w:ascii="宋体" w:hAnsi="宋体" w:cs="宋体"/>
          <w:sz w:val="24"/>
        </w:rPr>
      </w:pPr>
      <w:r>
        <w:rPr>
          <w:rFonts w:hint="eastAsia" w:ascii="宋体" w:hAnsi="宋体" w:cs="宋体"/>
          <w:sz w:val="24"/>
        </w:rPr>
        <w:t>2.10“正偏离”，是指响应文件对谈判文件“采购需求”中有关条款作出优于条款要求并有利于采购人的响应情形；</w:t>
      </w:r>
    </w:p>
    <w:p w14:paraId="58CBE18A">
      <w:pPr>
        <w:spacing w:line="360" w:lineRule="auto"/>
        <w:ind w:firstLine="480" w:firstLineChars="200"/>
        <w:rPr>
          <w:rFonts w:ascii="宋体" w:hAnsi="宋体" w:cs="宋体"/>
          <w:sz w:val="24"/>
        </w:rPr>
      </w:pPr>
      <w:r>
        <w:rPr>
          <w:rFonts w:hint="eastAsia" w:ascii="宋体" w:hAnsi="宋体" w:cs="宋体"/>
          <w:sz w:val="24"/>
        </w:rPr>
        <w:t>2.11“负偏离”，是指响应文件对谈判文件“采购需求”中有关条款作出的响应不满足条款要求，导致采购人要求不能得到满足的情形。</w:t>
      </w:r>
    </w:p>
    <w:p w14:paraId="20985888">
      <w:pPr>
        <w:spacing w:line="360" w:lineRule="auto"/>
        <w:ind w:firstLine="480" w:firstLineChars="200"/>
        <w:rPr>
          <w:rFonts w:ascii="宋体" w:hAnsi="宋体" w:cs="宋体"/>
          <w:sz w:val="24"/>
        </w:rPr>
      </w:pPr>
      <w:r>
        <w:rPr>
          <w:rFonts w:hint="eastAsia" w:ascii="宋体" w:hAnsi="宋体" w:cs="宋体"/>
          <w:sz w:val="24"/>
        </w:rPr>
        <w:t>2.12“允许负偏离的条款”是指采购需求中的不属于“实质性要求”的条款。</w:t>
      </w:r>
    </w:p>
    <w:p w14:paraId="0F891461">
      <w:pPr>
        <w:spacing w:line="360" w:lineRule="auto"/>
        <w:ind w:firstLine="480" w:firstLineChars="200"/>
        <w:rPr>
          <w:rFonts w:ascii="宋体" w:hAnsi="宋体" w:cs="宋体"/>
          <w:sz w:val="24"/>
        </w:rPr>
      </w:pPr>
      <w:r>
        <w:rPr>
          <w:rFonts w:hint="eastAsia" w:ascii="宋体" w:hAnsi="宋体" w:cs="宋体"/>
          <w:sz w:val="24"/>
        </w:rPr>
        <w:t>2.13“首次报价”是指供应商提交的首次响应文件中的</w:t>
      </w:r>
      <w:r>
        <w:rPr>
          <w:rFonts w:hint="eastAsia" w:hAnsi="宋体" w:cs="宋体"/>
          <w:sz w:val="24"/>
        </w:rPr>
        <w:t>竞争性谈判</w:t>
      </w:r>
      <w:r>
        <w:rPr>
          <w:rFonts w:hint="eastAsia" w:ascii="宋体" w:hAnsi="宋体" w:cs="宋体"/>
          <w:sz w:val="24"/>
        </w:rPr>
        <w:t>报价。</w:t>
      </w:r>
    </w:p>
    <w:p w14:paraId="18DF7ED8">
      <w:pPr>
        <w:spacing w:line="360" w:lineRule="auto"/>
        <w:ind w:firstLine="643" w:firstLineChars="200"/>
        <w:contextualSpacing/>
        <w:rPr>
          <w:rFonts w:ascii="宋体" w:hAnsi="宋体" w:cs="宋体"/>
          <w:b/>
          <w:bCs/>
          <w:sz w:val="32"/>
          <w:szCs w:val="32"/>
        </w:rPr>
      </w:pPr>
      <w:r>
        <w:rPr>
          <w:rFonts w:hint="eastAsia" w:ascii="宋体" w:hAnsi="宋体" w:cs="宋体"/>
          <w:b/>
          <w:bCs/>
          <w:sz w:val="32"/>
          <w:szCs w:val="32"/>
        </w:rPr>
        <w:t>3.供应商的资格条件</w:t>
      </w:r>
    </w:p>
    <w:p w14:paraId="5111E162">
      <w:pPr>
        <w:spacing w:line="360" w:lineRule="auto"/>
        <w:ind w:firstLine="480" w:firstLineChars="200"/>
        <w:contextualSpacing/>
        <w:rPr>
          <w:rFonts w:ascii="宋体" w:hAnsi="宋体" w:cs="宋体"/>
          <w:sz w:val="24"/>
        </w:rPr>
      </w:pPr>
      <w:r>
        <w:rPr>
          <w:rFonts w:hint="eastAsia" w:ascii="宋体" w:hAnsi="宋体" w:cs="宋体"/>
          <w:sz w:val="24"/>
        </w:rPr>
        <w:t>供应商的资格条件详见“供应商须知前附表”。</w:t>
      </w:r>
    </w:p>
    <w:p w14:paraId="3600604B">
      <w:pPr>
        <w:spacing w:line="360" w:lineRule="auto"/>
        <w:ind w:firstLine="643" w:firstLineChars="200"/>
        <w:rPr>
          <w:rFonts w:ascii="宋体" w:hAnsi="宋体" w:cs="宋体"/>
          <w:b/>
          <w:bCs/>
          <w:sz w:val="32"/>
          <w:szCs w:val="32"/>
        </w:rPr>
      </w:pPr>
      <w:r>
        <w:rPr>
          <w:rFonts w:hint="eastAsia" w:ascii="宋体" w:hAnsi="宋体" w:cs="宋体"/>
          <w:b/>
          <w:bCs/>
          <w:sz w:val="32"/>
          <w:szCs w:val="32"/>
        </w:rPr>
        <w:t>4.竞争性谈判费用</w:t>
      </w:r>
    </w:p>
    <w:p w14:paraId="477AE21B">
      <w:pPr>
        <w:spacing w:line="360" w:lineRule="auto"/>
        <w:ind w:firstLine="480" w:firstLineChars="200"/>
        <w:rPr>
          <w:rFonts w:ascii="宋体" w:hAnsi="宋体" w:cs="宋体"/>
          <w:sz w:val="24"/>
        </w:rPr>
      </w:pPr>
      <w:r>
        <w:rPr>
          <w:rFonts w:hint="eastAsia" w:hAnsi="宋体" w:cs="宋体"/>
          <w:sz w:val="24"/>
        </w:rPr>
        <w:t>竞争性谈判</w:t>
      </w:r>
      <w:r>
        <w:rPr>
          <w:rFonts w:hint="eastAsia" w:ascii="宋体" w:hAnsi="宋体" w:cs="宋体"/>
          <w:sz w:val="24"/>
        </w:rPr>
        <w:t>费用：供应商应承担参与本次采购活动有关的所有费用，包括但不限于获取谈判文件、勘查现场、编制和提交响应文件、参加谈判与应答、签订合同等，不论</w:t>
      </w:r>
      <w:r>
        <w:rPr>
          <w:rFonts w:hint="eastAsia" w:hAnsi="宋体" w:cs="宋体"/>
          <w:sz w:val="24"/>
        </w:rPr>
        <w:t>竞争性谈判</w:t>
      </w:r>
      <w:r>
        <w:rPr>
          <w:rFonts w:hint="eastAsia" w:ascii="宋体" w:hAnsi="宋体" w:cs="宋体"/>
          <w:sz w:val="24"/>
        </w:rPr>
        <w:t>结果如何，均应自行承担。</w:t>
      </w:r>
    </w:p>
    <w:p w14:paraId="5040FCE0">
      <w:pPr>
        <w:spacing w:line="360" w:lineRule="auto"/>
        <w:ind w:firstLine="643" w:firstLineChars="200"/>
        <w:rPr>
          <w:rFonts w:ascii="宋体" w:hAnsi="宋体" w:cs="宋体"/>
          <w:b/>
          <w:bCs/>
          <w:sz w:val="32"/>
          <w:szCs w:val="32"/>
        </w:rPr>
      </w:pPr>
      <w:r>
        <w:rPr>
          <w:rFonts w:hint="eastAsia" w:ascii="宋体" w:hAnsi="宋体" w:cs="宋体"/>
          <w:b/>
          <w:bCs/>
          <w:sz w:val="32"/>
          <w:szCs w:val="32"/>
        </w:rPr>
        <w:t>5.联合体参与竞争性谈判</w:t>
      </w:r>
    </w:p>
    <w:p w14:paraId="6831F9C2">
      <w:pPr>
        <w:spacing w:line="360" w:lineRule="auto"/>
        <w:ind w:firstLine="480" w:firstLineChars="200"/>
        <w:rPr>
          <w:rFonts w:ascii="宋体" w:hAnsi="宋体" w:cs="宋体"/>
          <w:sz w:val="24"/>
        </w:rPr>
      </w:pPr>
      <w:r>
        <w:rPr>
          <w:rFonts w:hint="eastAsia" w:ascii="宋体" w:hAnsi="宋体" w:cs="宋体"/>
          <w:sz w:val="24"/>
        </w:rPr>
        <w:t>5.1本项目是否接受联合体参与</w:t>
      </w:r>
      <w:r>
        <w:rPr>
          <w:rFonts w:hint="eastAsia" w:hAnsi="宋体" w:cs="宋体"/>
          <w:sz w:val="24"/>
        </w:rPr>
        <w:t>竞争性谈判</w:t>
      </w:r>
      <w:r>
        <w:rPr>
          <w:rFonts w:hint="eastAsia" w:ascii="宋体" w:hAnsi="宋体" w:cs="宋体"/>
          <w:sz w:val="24"/>
        </w:rPr>
        <w:t>，详见“供应商须知前附表”。</w:t>
      </w:r>
    </w:p>
    <w:p w14:paraId="60478641">
      <w:pPr>
        <w:spacing w:line="360" w:lineRule="auto"/>
        <w:ind w:firstLine="480" w:firstLineChars="200"/>
        <w:rPr>
          <w:rFonts w:ascii="宋体" w:hAnsi="宋体" w:cs="宋体"/>
          <w:sz w:val="24"/>
        </w:rPr>
      </w:pPr>
      <w:r>
        <w:rPr>
          <w:rFonts w:hint="eastAsia" w:ascii="宋体" w:hAnsi="宋体" w:cs="宋体"/>
          <w:sz w:val="24"/>
        </w:rPr>
        <w:t>5.2</w:t>
      </w:r>
      <w:r>
        <w:rPr>
          <w:rFonts w:hint="eastAsia" w:ascii="宋体" w:hAnsi="宋体" w:cs="宋体"/>
          <w:bCs/>
          <w:sz w:val="24"/>
        </w:rPr>
        <w:t>如接受联合体参与</w:t>
      </w:r>
      <w:r>
        <w:rPr>
          <w:rFonts w:hint="eastAsia" w:hAnsi="宋体" w:cs="宋体"/>
          <w:sz w:val="24"/>
        </w:rPr>
        <w:t>竞争性谈判</w:t>
      </w:r>
      <w:r>
        <w:rPr>
          <w:rFonts w:hint="eastAsia" w:ascii="宋体" w:hAnsi="宋体" w:cs="宋体"/>
          <w:bCs/>
          <w:sz w:val="24"/>
        </w:rPr>
        <w:t>，</w:t>
      </w:r>
      <w:r>
        <w:rPr>
          <w:rFonts w:hint="eastAsia" w:ascii="宋体" w:hAnsi="宋体" w:cs="宋体"/>
          <w:sz w:val="24"/>
        </w:rPr>
        <w:t>具体要求详见“供应商须知前附表”。</w:t>
      </w:r>
    </w:p>
    <w:p w14:paraId="32F65257">
      <w:pPr>
        <w:spacing w:line="360" w:lineRule="auto"/>
        <w:ind w:firstLine="480" w:firstLineChars="200"/>
        <w:rPr>
          <w:rFonts w:ascii="宋体" w:hAnsi="宋体" w:cs="宋体"/>
          <w:sz w:val="24"/>
        </w:rPr>
      </w:pPr>
      <w:r>
        <w:rPr>
          <w:rFonts w:hint="eastAsia" w:ascii="宋体" w:hAnsi="宋体" w:cs="宋体"/>
          <w:sz w:val="24"/>
        </w:rPr>
        <w:t>5.3</w:t>
      </w:r>
      <w:bookmarkStart w:id="14" w:name="_Hlk65857072"/>
      <w:r>
        <w:rPr>
          <w:rFonts w:hint="eastAsia" w:ascii="宋体" w:hAnsi="宋体" w:cs="宋体"/>
          <w:sz w:val="24"/>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14:paraId="2EC1AE92">
      <w:pPr>
        <w:spacing w:line="360" w:lineRule="auto"/>
        <w:ind w:firstLine="643" w:firstLineChars="200"/>
        <w:rPr>
          <w:rFonts w:ascii="宋体" w:hAnsi="宋体" w:cs="宋体"/>
          <w:b/>
          <w:bCs/>
          <w:sz w:val="32"/>
          <w:szCs w:val="32"/>
        </w:rPr>
      </w:pPr>
      <w:r>
        <w:rPr>
          <w:rFonts w:hint="eastAsia" w:ascii="宋体" w:hAnsi="宋体" w:cs="宋体"/>
          <w:b/>
          <w:bCs/>
          <w:sz w:val="32"/>
          <w:szCs w:val="32"/>
        </w:rPr>
        <w:t xml:space="preserve">6.转包与分包             </w:t>
      </w:r>
    </w:p>
    <w:p w14:paraId="5752DE25">
      <w:pPr>
        <w:spacing w:line="360" w:lineRule="auto"/>
        <w:ind w:firstLine="480" w:firstLineChars="200"/>
        <w:rPr>
          <w:rFonts w:ascii="宋体" w:hAnsi="宋体" w:cs="宋体"/>
          <w:sz w:val="24"/>
        </w:rPr>
      </w:pPr>
      <w:bookmarkStart w:id="15" w:name="_Toc254970532"/>
      <w:bookmarkStart w:id="16" w:name="_Toc254970673"/>
      <w:r>
        <w:rPr>
          <w:rFonts w:hint="eastAsia" w:ascii="宋体" w:hAnsi="宋体" w:cs="宋体"/>
          <w:sz w:val="24"/>
        </w:rPr>
        <w:t>6.1本项目不允许转包。</w:t>
      </w:r>
    </w:p>
    <w:p w14:paraId="212119BE">
      <w:pPr>
        <w:spacing w:line="360" w:lineRule="auto"/>
        <w:ind w:firstLine="480" w:firstLineChars="200"/>
        <w:rPr>
          <w:rFonts w:ascii="宋体" w:hAnsi="宋体" w:cs="宋体"/>
          <w:sz w:val="24"/>
        </w:rPr>
      </w:pPr>
      <w:r>
        <w:rPr>
          <w:rFonts w:hint="eastAsia" w:ascii="宋体" w:hAnsi="宋体" w:cs="宋体"/>
          <w:sz w:val="24"/>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DE561DF">
      <w:pPr>
        <w:spacing w:line="360" w:lineRule="auto"/>
        <w:ind w:firstLine="480" w:firstLineChars="200"/>
        <w:rPr>
          <w:rFonts w:ascii="宋体" w:hAnsi="宋体" w:cs="宋体"/>
          <w:sz w:val="24"/>
        </w:rPr>
      </w:pPr>
      <w:r>
        <w:rPr>
          <w:rFonts w:hint="eastAsia" w:ascii="宋体" w:hAnsi="宋体" w:cs="宋体"/>
          <w:sz w:val="24"/>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5404E7EB">
      <w:pPr>
        <w:spacing w:line="360" w:lineRule="auto"/>
        <w:ind w:firstLine="643" w:firstLineChars="200"/>
        <w:rPr>
          <w:rFonts w:ascii="宋体" w:hAnsi="宋体" w:cs="宋体"/>
          <w:sz w:val="24"/>
        </w:rPr>
      </w:pPr>
      <w:r>
        <w:rPr>
          <w:rFonts w:hint="eastAsia" w:ascii="宋体" w:hAnsi="宋体" w:cs="宋体"/>
          <w:b/>
          <w:bCs/>
          <w:sz w:val="32"/>
          <w:szCs w:val="32"/>
        </w:rPr>
        <w:t>7.特别说明</w:t>
      </w:r>
      <w:bookmarkEnd w:id="15"/>
      <w:bookmarkEnd w:id="16"/>
      <w:bookmarkStart w:id="17" w:name="_8.1提供相同品牌产品且通过资格审查、符合性审查的不同投标人参加同一合"/>
      <w:bookmarkEnd w:id="17"/>
    </w:p>
    <w:p w14:paraId="75832B23">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1</w:t>
      </w:r>
      <w:r>
        <w:rPr>
          <w:rFonts w:hint="eastAsia" w:ascii="宋体" w:hAnsi="宋体" w:cs="宋体"/>
          <w:sz w:val="24"/>
        </w:rPr>
        <w:t>如果本谈判文件要求提供供应商或制造商的资格、信誉、荣誉、业绩与企业认证等材料的，资格、信誉、荣誉、业绩与企业认证等必须为供应商或者制造商所拥有或自身获得 。</w:t>
      </w:r>
    </w:p>
    <w:p w14:paraId="441ADAB2">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供应商应仔细阅读谈判文件的所有内容，按照谈判文件的要求提交响应文件，并对所提供的全部资料的真实性承担法律责任。</w:t>
      </w:r>
    </w:p>
    <w:p w14:paraId="5544B79A">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3</w:t>
      </w:r>
      <w:r>
        <w:rPr>
          <w:rFonts w:hint="eastAsia" w:ascii="宋体" w:hAnsi="宋体" w:cs="宋体"/>
          <w:sz w:val="24"/>
        </w:rPr>
        <w:t>供应商在参与</w:t>
      </w:r>
      <w:r>
        <w:rPr>
          <w:rFonts w:hint="eastAsia" w:hAnsi="宋体" w:cs="宋体"/>
          <w:sz w:val="24"/>
        </w:rPr>
        <w:t>竞争性谈判</w:t>
      </w:r>
      <w:r>
        <w:rPr>
          <w:rFonts w:hint="eastAsia" w:ascii="宋体" w:hAnsi="宋体" w:cs="宋体"/>
          <w:sz w:val="24"/>
        </w:rPr>
        <w:t>活动中提供任何虚假材料,其响应文件按无效响应处理，并报监管部门查处；签订合同后发现的,成交供应商须依法赔偿采购人，且民事赔偿并不免除违法供应商的行政与刑事责任。</w:t>
      </w:r>
    </w:p>
    <w:p w14:paraId="48448016">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4</w:t>
      </w:r>
      <w:r>
        <w:rPr>
          <w:rFonts w:hint="eastAsia" w:ascii="宋体" w:hAnsi="宋体" w:cs="宋体"/>
          <w:sz w:val="24"/>
        </w:rPr>
        <w:t>在政府采购活动中，采购人员及相关人员与供应商有下列利害关系之一的，应当回避：</w:t>
      </w:r>
    </w:p>
    <w:p w14:paraId="06F2B07A">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14:paraId="2768DBB0">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14:paraId="7CC0BE95">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095C5D8F">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377DDB24">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14:paraId="724CC3A6">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FAB3C4">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5</w:t>
      </w:r>
      <w:r>
        <w:rPr>
          <w:rFonts w:hint="eastAsia" w:ascii="宋体" w:hAnsi="宋体" w:cs="宋体"/>
          <w:sz w:val="24"/>
        </w:rPr>
        <w:t>有下列情形之一的视为供应商相互串通参与</w:t>
      </w:r>
      <w:r>
        <w:rPr>
          <w:rFonts w:hint="eastAsia" w:hAnsi="宋体" w:cs="宋体"/>
          <w:sz w:val="24"/>
        </w:rPr>
        <w:t>竞争性谈判</w:t>
      </w:r>
      <w:r>
        <w:rPr>
          <w:rFonts w:hint="eastAsia" w:ascii="宋体" w:hAnsi="宋体" w:cs="宋体"/>
          <w:sz w:val="24"/>
        </w:rPr>
        <w:t>，响应文件将被视为无效：</w:t>
      </w:r>
    </w:p>
    <w:p w14:paraId="7DCF0E70">
      <w:pPr>
        <w:spacing w:line="360" w:lineRule="auto"/>
        <w:ind w:firstLine="480" w:firstLineChars="200"/>
        <w:rPr>
          <w:rFonts w:ascii="宋体" w:hAnsi="宋体" w:cs="宋体"/>
          <w:sz w:val="24"/>
        </w:rPr>
      </w:pPr>
      <w:r>
        <w:rPr>
          <w:rFonts w:hint="eastAsia" w:ascii="宋体" w:hAnsi="宋体" w:cs="宋体"/>
          <w:sz w:val="24"/>
        </w:rPr>
        <w:t>（1）不同供应商的响应文件由同一单位或者个人编制；</w:t>
      </w:r>
    </w:p>
    <w:p w14:paraId="0B69CD49">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w:t>
      </w:r>
      <w:r>
        <w:rPr>
          <w:rFonts w:hint="eastAsia" w:hAnsi="宋体" w:cs="宋体"/>
          <w:sz w:val="24"/>
        </w:rPr>
        <w:t>竞争性谈判</w:t>
      </w:r>
      <w:r>
        <w:rPr>
          <w:rFonts w:hint="eastAsia" w:ascii="宋体" w:hAnsi="宋体" w:cs="宋体"/>
          <w:sz w:val="24"/>
        </w:rPr>
        <w:t>事宜；</w:t>
      </w:r>
    </w:p>
    <w:p w14:paraId="74F520E3">
      <w:pPr>
        <w:spacing w:line="360" w:lineRule="auto"/>
        <w:ind w:firstLine="480" w:firstLineChars="200"/>
        <w:rPr>
          <w:rFonts w:ascii="宋体" w:hAnsi="宋体" w:cs="宋体"/>
          <w:sz w:val="24"/>
        </w:rPr>
      </w:pPr>
      <w:r>
        <w:rPr>
          <w:rFonts w:hint="eastAsia" w:ascii="宋体" w:hAnsi="宋体" w:cs="宋体"/>
          <w:sz w:val="24"/>
        </w:rPr>
        <w:t>（3）不同的供应商的响应文件载明的项目管理员为同一个人；</w:t>
      </w:r>
    </w:p>
    <w:p w14:paraId="7AFBAD95">
      <w:pPr>
        <w:spacing w:line="360" w:lineRule="auto"/>
        <w:ind w:firstLine="480" w:firstLineChars="200"/>
        <w:rPr>
          <w:rFonts w:ascii="宋体" w:hAnsi="宋体" w:cs="宋体"/>
          <w:sz w:val="24"/>
        </w:rPr>
      </w:pPr>
      <w:r>
        <w:rPr>
          <w:rFonts w:hint="eastAsia" w:ascii="宋体" w:hAnsi="宋体" w:cs="宋体"/>
          <w:sz w:val="24"/>
        </w:rPr>
        <w:t>（4）不同供应商的响应文件异常一致或者报价呈规律性差异；</w:t>
      </w:r>
    </w:p>
    <w:p w14:paraId="243F168E">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23510EF1">
      <w:pPr>
        <w:spacing w:line="360" w:lineRule="auto"/>
        <w:ind w:firstLine="480" w:firstLineChars="200"/>
        <w:rPr>
          <w:rFonts w:ascii="宋体" w:hAnsi="宋体" w:cs="宋体"/>
          <w:sz w:val="24"/>
        </w:rPr>
      </w:pPr>
      <w:r>
        <w:rPr>
          <w:rFonts w:hint="eastAsia" w:ascii="宋体" w:hAnsi="宋体" w:cs="宋体"/>
          <w:sz w:val="24"/>
        </w:rPr>
        <w:t>（6）不同供应商的谈判保证金从同一单位或者个人账户转出；</w:t>
      </w:r>
    </w:p>
    <w:p w14:paraId="3A774C29">
      <w:pPr>
        <w:spacing w:line="360" w:lineRule="auto"/>
        <w:ind w:firstLine="480" w:firstLineChars="200"/>
        <w:rPr>
          <w:rFonts w:ascii="宋体" w:hAnsi="宋体" w:cs="宋体"/>
          <w:sz w:val="24"/>
        </w:rPr>
      </w:pPr>
      <w:r>
        <w:rPr>
          <w:rFonts w:hint="eastAsia" w:ascii="宋体" w:hAnsi="宋体" w:cs="宋体"/>
          <w:sz w:val="24"/>
        </w:rPr>
        <w:t>（7）供应商之间协商报价等响应文件的实质性内容；</w:t>
      </w:r>
    </w:p>
    <w:p w14:paraId="0DB1A71A">
      <w:pPr>
        <w:spacing w:line="360" w:lineRule="auto"/>
        <w:ind w:firstLine="480" w:firstLineChars="200"/>
        <w:rPr>
          <w:rFonts w:ascii="宋体" w:hAnsi="宋体" w:cs="宋体"/>
          <w:sz w:val="24"/>
        </w:rPr>
      </w:pPr>
      <w:r>
        <w:rPr>
          <w:rFonts w:hint="eastAsia" w:ascii="宋体" w:hAnsi="宋体" w:cs="宋体"/>
          <w:sz w:val="24"/>
        </w:rPr>
        <w:t>（8）供应商之间约定成交供应商；</w:t>
      </w:r>
    </w:p>
    <w:p w14:paraId="73643AA1">
      <w:pPr>
        <w:spacing w:line="360" w:lineRule="auto"/>
        <w:ind w:firstLine="480" w:firstLineChars="200"/>
        <w:rPr>
          <w:rFonts w:ascii="宋体" w:hAnsi="宋体" w:cs="宋体"/>
          <w:sz w:val="24"/>
        </w:rPr>
      </w:pPr>
      <w:r>
        <w:rPr>
          <w:rFonts w:hint="eastAsia" w:ascii="宋体" w:hAnsi="宋体" w:cs="宋体"/>
          <w:sz w:val="24"/>
        </w:rPr>
        <w:t>（9）供应商之间约定部分供应商放弃参与竞争性谈判或者成交；</w:t>
      </w:r>
    </w:p>
    <w:p w14:paraId="672A1671">
      <w:pPr>
        <w:spacing w:line="360" w:lineRule="auto"/>
        <w:ind w:firstLine="480" w:firstLineChars="200"/>
        <w:rPr>
          <w:rFonts w:ascii="宋体" w:hAnsi="宋体" w:cs="宋体"/>
          <w:sz w:val="24"/>
        </w:rPr>
      </w:pPr>
      <w:r>
        <w:rPr>
          <w:rFonts w:hint="eastAsia" w:ascii="宋体" w:hAnsi="宋体" w:cs="宋体"/>
          <w:sz w:val="24"/>
        </w:rPr>
        <w:t>（10）属于同一集团、协会、商会等组织成员的供应商按照该组织要求协同参与竞争性谈判；</w:t>
      </w:r>
    </w:p>
    <w:p w14:paraId="4D6E6C60">
      <w:pPr>
        <w:spacing w:line="360" w:lineRule="auto"/>
        <w:ind w:firstLine="480" w:firstLineChars="200"/>
        <w:rPr>
          <w:rFonts w:ascii="宋体" w:hAnsi="宋体" w:cs="宋体"/>
          <w:sz w:val="24"/>
        </w:rPr>
      </w:pPr>
      <w:r>
        <w:rPr>
          <w:rFonts w:hint="eastAsia" w:ascii="宋体" w:hAnsi="宋体" w:cs="宋体"/>
          <w:sz w:val="24"/>
        </w:rPr>
        <w:t>（11）供应商之间为谋取成交或者排斥特定供应商而采取的其他联合行动。</w:t>
      </w:r>
    </w:p>
    <w:p w14:paraId="77B706B8">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6</w:t>
      </w:r>
      <w:r>
        <w:rPr>
          <w:rFonts w:hint="eastAsia" w:ascii="宋体" w:hAnsi="宋体" w:cs="宋体"/>
          <w:sz w:val="24"/>
        </w:rPr>
        <w:t>供应商有下列情形之一的，属于恶意串通行为</w:t>
      </w:r>
      <w:bookmarkStart w:id="18" w:name="_Hlk54682620"/>
      <w:r>
        <w:rPr>
          <w:rFonts w:hint="eastAsia" w:ascii="宋体" w:hAnsi="宋体" w:cs="宋体"/>
          <w:sz w:val="24"/>
        </w:rPr>
        <w:t>，将报同级监督管理部门</w:t>
      </w:r>
      <w:bookmarkEnd w:id="18"/>
      <w:r>
        <w:rPr>
          <w:rFonts w:hint="eastAsia" w:ascii="宋体" w:hAnsi="宋体" w:cs="宋体"/>
          <w:sz w:val="24"/>
        </w:rPr>
        <w:t>：</w:t>
      </w:r>
    </w:p>
    <w:p w14:paraId="4389B283">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14921433">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431D9C61">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（3）供应商之间协商报价、技术方案等响应文件或者响应文件的实质性内容；</w:t>
      </w:r>
    </w:p>
    <w:p w14:paraId="62050363">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755FD81C">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w:t>
      </w:r>
      <w:r>
        <w:rPr>
          <w:rFonts w:hint="eastAsia" w:hAnsi="宋体" w:cs="宋体"/>
          <w:sz w:val="24"/>
        </w:rPr>
        <w:t>竞争性谈判</w:t>
      </w:r>
      <w:r>
        <w:rPr>
          <w:rFonts w:hint="eastAsia" w:ascii="宋体" w:hAnsi="宋体" w:cs="宋体"/>
          <w:sz w:val="24"/>
        </w:rPr>
        <w:t>；</w:t>
      </w:r>
    </w:p>
    <w:p w14:paraId="78F2A0A1">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0F094770">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7F21403C">
      <w:pPr>
        <w:spacing w:line="360" w:lineRule="auto"/>
        <w:ind w:firstLine="480" w:firstLineChars="200"/>
        <w:rPr>
          <w:rFonts w:ascii="宋体" w:hAnsi="宋体" w:cs="宋体"/>
          <w:sz w:val="24"/>
        </w:rPr>
      </w:pPr>
      <w:r>
        <w:rPr>
          <w:rFonts w:ascii="宋体" w:hAnsi="宋体" w:cs="宋体"/>
          <w:sz w:val="24"/>
        </w:rPr>
        <w:t>7.7</w:t>
      </w:r>
      <w:r>
        <w:rPr>
          <w:rFonts w:hint="eastAsia" w:ascii="宋体" w:hAnsi="宋体" w:cs="宋体"/>
          <w:sz w:val="24"/>
        </w:rPr>
        <w:t>单一产品采购项目，提供相同品牌产品的不同供应商参加同一合同项下</w:t>
      </w:r>
      <w:r>
        <w:rPr>
          <w:rFonts w:hint="eastAsia" w:hAnsi="宋体" w:cs="宋体"/>
          <w:sz w:val="24"/>
        </w:rPr>
        <w:t>竞争性谈判</w:t>
      </w:r>
      <w:r>
        <w:rPr>
          <w:rFonts w:hint="eastAsia" w:ascii="宋体" w:hAnsi="宋体" w:cs="宋体"/>
          <w:sz w:val="24"/>
        </w:rPr>
        <w:t>的，以其中通过资格审查、符合性审查、谈判且最后报价最低的参加报价评审；最后报价相同的，按照前附表第2</w:t>
      </w:r>
      <w:r>
        <w:rPr>
          <w:rFonts w:ascii="宋体" w:hAnsi="宋体" w:cs="宋体"/>
          <w:sz w:val="24"/>
        </w:rPr>
        <w:t>6</w:t>
      </w:r>
      <w:r>
        <w:rPr>
          <w:rFonts w:hint="eastAsia" w:ascii="宋体" w:hAnsi="宋体" w:cs="宋体"/>
          <w:sz w:val="24"/>
        </w:rPr>
        <w:t>条规定确定一个参加评审的供应商，其他响应文件作无效处理。</w:t>
      </w:r>
    </w:p>
    <w:p w14:paraId="3F2CA4F7">
      <w:pPr>
        <w:spacing w:line="360" w:lineRule="auto"/>
        <w:ind w:firstLine="480" w:firstLineChars="200"/>
        <w:rPr>
          <w:rFonts w:ascii="宋体" w:hAnsi="宋体" w:cs="宋体"/>
          <w:sz w:val="24"/>
        </w:rPr>
      </w:pPr>
      <w:r>
        <w:rPr>
          <w:rFonts w:hint="eastAsia" w:ascii="宋体" w:hAnsi="宋体" w:cs="宋体"/>
          <w:sz w:val="24"/>
        </w:rPr>
        <w:t>非单一产品采购项目，多家供应商提供的核心产品品牌相同的，按前款规定处理；多家供应商提供的所有产品品牌相同，按前款处理。</w:t>
      </w:r>
    </w:p>
    <w:p w14:paraId="72064C68">
      <w:pPr>
        <w:spacing w:line="360" w:lineRule="auto"/>
        <w:ind w:firstLine="477" w:firstLineChars="199"/>
        <w:jc w:val="center"/>
        <w:rPr>
          <w:rFonts w:ascii="宋体" w:hAnsi="宋体" w:cs="宋体"/>
          <w:sz w:val="24"/>
          <w:szCs w:val="32"/>
        </w:rPr>
      </w:pPr>
      <w:bookmarkStart w:id="19" w:name="_Toc254970675"/>
      <w:bookmarkStart w:id="20" w:name="_Toc254970534"/>
    </w:p>
    <w:p w14:paraId="76AE1EE0">
      <w:pPr>
        <w:spacing w:line="360" w:lineRule="auto"/>
        <w:jc w:val="center"/>
        <w:rPr>
          <w:rFonts w:ascii="宋体" w:hAnsi="宋体" w:cs="宋体"/>
          <w:b/>
          <w:sz w:val="40"/>
          <w:szCs w:val="40"/>
        </w:rPr>
      </w:pPr>
      <w:r>
        <w:rPr>
          <w:rFonts w:hint="eastAsia" w:ascii="宋体" w:hAnsi="宋体" w:cs="宋体"/>
          <w:b/>
          <w:sz w:val="40"/>
          <w:szCs w:val="40"/>
        </w:rPr>
        <w:t>二、谈判文件</w:t>
      </w:r>
      <w:bookmarkEnd w:id="19"/>
      <w:bookmarkEnd w:id="20"/>
    </w:p>
    <w:p w14:paraId="10E36333">
      <w:pPr>
        <w:spacing w:line="360" w:lineRule="auto"/>
        <w:jc w:val="center"/>
        <w:rPr>
          <w:rFonts w:ascii="宋体" w:hAnsi="宋体" w:cs="宋体"/>
          <w:sz w:val="24"/>
        </w:rPr>
      </w:pPr>
    </w:p>
    <w:p w14:paraId="7E615DAF">
      <w:pPr>
        <w:spacing w:line="360" w:lineRule="auto"/>
        <w:ind w:firstLine="643" w:firstLineChars="200"/>
        <w:rPr>
          <w:rFonts w:ascii="宋体" w:hAnsi="宋体" w:cs="宋体"/>
          <w:b/>
          <w:bCs/>
          <w:sz w:val="32"/>
          <w:szCs w:val="32"/>
        </w:rPr>
      </w:pPr>
      <w:r>
        <w:rPr>
          <w:rFonts w:hint="eastAsia" w:ascii="宋体" w:hAnsi="宋体" w:cs="宋体"/>
          <w:b/>
          <w:bCs/>
          <w:sz w:val="32"/>
          <w:szCs w:val="32"/>
        </w:rPr>
        <w:t>8.谈判文件的构成</w:t>
      </w:r>
    </w:p>
    <w:p w14:paraId="785411AF">
      <w:pPr>
        <w:spacing w:line="360" w:lineRule="auto"/>
        <w:ind w:firstLine="480" w:firstLineChars="200"/>
        <w:jc w:val="left"/>
        <w:rPr>
          <w:rFonts w:ascii="宋体" w:hAnsi="宋体" w:cs="宋体"/>
          <w:sz w:val="24"/>
        </w:rPr>
      </w:pPr>
      <w:r>
        <w:rPr>
          <w:rFonts w:hint="eastAsia" w:ascii="宋体" w:hAnsi="宋体" w:cs="宋体"/>
          <w:sz w:val="24"/>
        </w:rPr>
        <w:t>（1）竞争性谈判公告；</w:t>
      </w:r>
    </w:p>
    <w:p w14:paraId="4C376461">
      <w:pPr>
        <w:spacing w:line="360" w:lineRule="auto"/>
        <w:ind w:firstLine="480" w:firstLineChars="200"/>
        <w:jc w:val="left"/>
        <w:rPr>
          <w:rFonts w:ascii="宋体" w:hAnsi="宋体" w:cs="宋体"/>
          <w:sz w:val="24"/>
        </w:rPr>
      </w:pPr>
      <w:r>
        <w:rPr>
          <w:rFonts w:hint="eastAsia" w:ascii="宋体" w:hAnsi="宋体" w:cs="宋体"/>
          <w:sz w:val="24"/>
        </w:rPr>
        <w:t xml:space="preserve">（2）供应商须知； </w:t>
      </w:r>
    </w:p>
    <w:p w14:paraId="0412B62F">
      <w:pPr>
        <w:spacing w:line="360" w:lineRule="auto"/>
        <w:ind w:firstLine="480" w:firstLineChars="200"/>
        <w:jc w:val="left"/>
        <w:rPr>
          <w:rFonts w:ascii="宋体" w:hAnsi="宋体" w:cs="宋体"/>
          <w:sz w:val="24"/>
        </w:rPr>
      </w:pPr>
      <w:r>
        <w:rPr>
          <w:rFonts w:hint="eastAsia" w:ascii="宋体" w:hAnsi="宋体" w:cs="宋体"/>
          <w:sz w:val="24"/>
        </w:rPr>
        <w:t>（3）采购需求；</w:t>
      </w:r>
    </w:p>
    <w:p w14:paraId="5CE3CD7D">
      <w:pPr>
        <w:spacing w:line="360" w:lineRule="auto"/>
        <w:ind w:firstLine="480" w:firstLineChars="200"/>
        <w:jc w:val="left"/>
        <w:rPr>
          <w:rFonts w:ascii="宋体" w:hAnsi="宋体" w:cs="宋体"/>
          <w:sz w:val="24"/>
        </w:rPr>
      </w:pPr>
      <w:r>
        <w:rPr>
          <w:rFonts w:hint="eastAsia" w:ascii="宋体" w:hAnsi="宋体" w:cs="宋体"/>
          <w:sz w:val="24"/>
        </w:rPr>
        <w:t>（4）响应文件格式；</w:t>
      </w:r>
    </w:p>
    <w:p w14:paraId="2A4F18E4">
      <w:pPr>
        <w:spacing w:line="360" w:lineRule="auto"/>
        <w:ind w:firstLine="480" w:firstLineChars="200"/>
        <w:jc w:val="left"/>
        <w:rPr>
          <w:rFonts w:ascii="宋体" w:hAnsi="宋体" w:cs="宋体"/>
          <w:sz w:val="24"/>
        </w:rPr>
      </w:pPr>
      <w:r>
        <w:rPr>
          <w:rFonts w:hint="eastAsia" w:ascii="宋体" w:hAnsi="宋体" w:cs="宋体"/>
          <w:sz w:val="24"/>
        </w:rPr>
        <w:t>（5）合同文本；</w:t>
      </w:r>
    </w:p>
    <w:p w14:paraId="377AAC8F">
      <w:pPr>
        <w:spacing w:line="360" w:lineRule="auto"/>
        <w:ind w:firstLine="480" w:firstLineChars="200"/>
        <w:jc w:val="left"/>
        <w:rPr>
          <w:rFonts w:ascii="宋体" w:hAnsi="宋体" w:cs="宋体"/>
          <w:sz w:val="24"/>
        </w:rPr>
      </w:pPr>
      <w:r>
        <w:rPr>
          <w:rFonts w:hint="eastAsia" w:ascii="宋体" w:hAnsi="宋体" w:cs="宋体"/>
          <w:sz w:val="24"/>
        </w:rPr>
        <w:t>（6）评审程序和评定成交的标准。</w:t>
      </w:r>
    </w:p>
    <w:p w14:paraId="783AB998">
      <w:pPr>
        <w:spacing w:line="360" w:lineRule="auto"/>
        <w:ind w:firstLine="643" w:firstLineChars="200"/>
        <w:rPr>
          <w:rFonts w:ascii="宋体" w:hAnsi="宋体" w:cs="宋体"/>
          <w:b/>
          <w:bCs/>
          <w:sz w:val="32"/>
          <w:szCs w:val="32"/>
        </w:rPr>
      </w:pPr>
      <w:r>
        <w:rPr>
          <w:rFonts w:hint="eastAsia" w:ascii="宋体" w:hAnsi="宋体" w:cs="宋体"/>
          <w:b/>
          <w:bCs/>
          <w:sz w:val="32"/>
          <w:szCs w:val="32"/>
        </w:rPr>
        <w:t>9.供应商的询问</w:t>
      </w:r>
    </w:p>
    <w:p w14:paraId="7FEEFFA4">
      <w:pPr>
        <w:spacing w:line="360" w:lineRule="auto"/>
        <w:ind w:firstLine="480" w:firstLineChars="200"/>
        <w:rPr>
          <w:rFonts w:ascii="宋体" w:hAnsi="宋体" w:cs="宋体"/>
          <w:sz w:val="24"/>
        </w:rPr>
      </w:pPr>
      <w:r>
        <w:rPr>
          <w:rFonts w:hint="eastAsia" w:ascii="宋体" w:hAnsi="宋体" w:cs="宋体"/>
          <w:sz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14:paraId="0ED22780">
      <w:pPr>
        <w:spacing w:line="360" w:lineRule="auto"/>
        <w:ind w:firstLine="643" w:firstLineChars="200"/>
        <w:rPr>
          <w:rFonts w:ascii="宋体" w:hAnsi="宋体" w:cs="宋体"/>
          <w:b/>
          <w:bCs/>
          <w:sz w:val="32"/>
          <w:szCs w:val="32"/>
        </w:rPr>
      </w:pPr>
      <w:r>
        <w:rPr>
          <w:rFonts w:hint="eastAsia" w:ascii="宋体" w:hAnsi="宋体" w:cs="宋体"/>
          <w:b/>
          <w:bCs/>
          <w:sz w:val="32"/>
          <w:szCs w:val="32"/>
        </w:rPr>
        <w:t>10.谈判文件的澄清和修改</w:t>
      </w:r>
    </w:p>
    <w:p w14:paraId="2F4202C9">
      <w:pPr>
        <w:spacing w:line="360" w:lineRule="auto"/>
        <w:ind w:firstLine="480" w:firstLineChars="200"/>
        <w:rPr>
          <w:rFonts w:ascii="宋体" w:hAnsi="宋体" w:cs="宋体"/>
          <w:sz w:val="24"/>
        </w:rPr>
      </w:pPr>
      <w:r>
        <w:rPr>
          <w:rFonts w:hint="eastAsia" w:ascii="宋体" w:hAnsi="宋体" w:cs="宋体"/>
          <w:sz w:val="24"/>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w:t>
      </w:r>
      <w:r>
        <w:rPr>
          <w:rFonts w:ascii="宋体" w:hAnsi="宋体" w:cs="宋体"/>
          <w:sz w:val="24"/>
        </w:rPr>
        <w:t>3个工作日前，在原公告发布媒体上发布更正公告</w:t>
      </w:r>
      <w:r>
        <w:rPr>
          <w:rFonts w:hint="eastAsia" w:ascii="宋体" w:hAnsi="宋体" w:cs="宋体"/>
          <w:sz w:val="24"/>
        </w:rPr>
        <w:t>；不足</w:t>
      </w:r>
      <w:r>
        <w:rPr>
          <w:rFonts w:ascii="宋体" w:hAnsi="宋体" w:cs="宋体"/>
          <w:sz w:val="24"/>
        </w:rPr>
        <w:t>3个工作日的，应当顺延提交首次响应文件截止</w:t>
      </w:r>
      <w:r>
        <w:rPr>
          <w:rFonts w:hint="eastAsia" w:ascii="宋体" w:hAnsi="宋体" w:cs="宋体"/>
          <w:sz w:val="24"/>
        </w:rPr>
        <w:t>时间。</w:t>
      </w:r>
    </w:p>
    <w:p w14:paraId="1271B615">
      <w:pPr>
        <w:spacing w:line="400" w:lineRule="exact"/>
        <w:ind w:firstLine="480" w:firstLineChars="200"/>
        <w:rPr>
          <w:rFonts w:ascii="宋体" w:hAnsi="宋体" w:cs="宋体"/>
          <w:sz w:val="24"/>
        </w:rPr>
      </w:pPr>
      <w:r>
        <w:rPr>
          <w:rFonts w:hint="eastAsia" w:ascii="宋体" w:hAnsi="宋体" w:cs="宋体"/>
          <w:sz w:val="24"/>
          <w:szCs w:val="32"/>
        </w:rPr>
        <w:t>10.2采购人和采购代理机构可以视采购具体情况，变更</w:t>
      </w:r>
      <w:r>
        <w:rPr>
          <w:rFonts w:hint="eastAsia" w:ascii="宋体" w:hAnsi="宋体" w:cs="宋体"/>
          <w:sz w:val="24"/>
        </w:rPr>
        <w:t>首次响应文件提交截止时间</w:t>
      </w:r>
      <w:r>
        <w:rPr>
          <w:rFonts w:hint="eastAsia" w:ascii="宋体" w:hAnsi="宋体" w:cs="宋体"/>
          <w:sz w:val="24"/>
          <w:szCs w:val="32"/>
        </w:rPr>
        <w:t>，并</w:t>
      </w:r>
      <w:r>
        <w:rPr>
          <w:rFonts w:hint="eastAsia" w:ascii="宋体" w:hAnsi="宋体" w:cs="宋体"/>
          <w:sz w:val="24"/>
        </w:rPr>
        <w:t>在原公告发布媒体上发布更正公告。</w:t>
      </w:r>
    </w:p>
    <w:p w14:paraId="2F630E09">
      <w:pPr>
        <w:spacing w:line="360" w:lineRule="auto"/>
        <w:ind w:firstLine="480" w:firstLineChars="200"/>
        <w:rPr>
          <w:rFonts w:ascii="宋体" w:hAnsi="宋体" w:cs="宋体"/>
          <w:sz w:val="24"/>
        </w:rPr>
      </w:pPr>
      <w:r>
        <w:rPr>
          <w:rFonts w:hint="eastAsia" w:ascii="宋体" w:hAnsi="宋体" w:cs="宋体"/>
          <w:sz w:val="24"/>
        </w:rPr>
        <w:t>10.3谈判文件澄清、答复、修改、补充的内容为谈判文件的组成部分。当谈判文件与谈判文件的澄清、答复、修改、补充通知就同一内容的表述不一致时，以最后发出的文件为准。</w:t>
      </w:r>
    </w:p>
    <w:p w14:paraId="061E30E9">
      <w:pPr>
        <w:spacing w:line="360" w:lineRule="auto"/>
        <w:ind w:firstLine="480" w:firstLineChars="200"/>
        <w:rPr>
          <w:rFonts w:ascii="宋体" w:hAnsi="宋体" w:cs="宋体"/>
          <w:sz w:val="24"/>
        </w:rPr>
      </w:pPr>
      <w:r>
        <w:rPr>
          <w:rFonts w:hint="eastAsia" w:ascii="宋体" w:hAnsi="宋体" w:cs="宋体"/>
          <w:sz w:val="24"/>
        </w:rPr>
        <w:t>10.4响应文件未按谈判文件的澄清、修改后的内容编制的，其响应文件作无效响应处理。</w:t>
      </w:r>
    </w:p>
    <w:p w14:paraId="4F47129E">
      <w:pPr>
        <w:spacing w:line="360" w:lineRule="auto"/>
        <w:ind w:firstLine="480" w:firstLineChars="200"/>
        <w:rPr>
          <w:rFonts w:ascii="宋体" w:hAnsi="宋体" w:cs="宋体"/>
          <w:sz w:val="24"/>
        </w:rPr>
      </w:pPr>
    </w:p>
    <w:p w14:paraId="74A2052C">
      <w:pPr>
        <w:spacing w:line="360" w:lineRule="auto"/>
        <w:rPr>
          <w:rFonts w:ascii="宋体" w:hAnsi="宋体" w:cs="宋体"/>
          <w:sz w:val="24"/>
        </w:rPr>
      </w:pPr>
    </w:p>
    <w:p w14:paraId="06AD57A8">
      <w:pPr>
        <w:spacing w:line="360" w:lineRule="auto"/>
        <w:jc w:val="center"/>
        <w:rPr>
          <w:rFonts w:ascii="宋体" w:hAnsi="宋体" w:cs="宋体"/>
          <w:b/>
          <w:sz w:val="24"/>
        </w:rPr>
      </w:pPr>
      <w:r>
        <w:rPr>
          <w:rFonts w:hint="eastAsia" w:ascii="宋体" w:hAnsi="宋体" w:cs="宋体"/>
          <w:b/>
          <w:sz w:val="40"/>
          <w:szCs w:val="40"/>
        </w:rPr>
        <w:t>三、响应文件的编制</w:t>
      </w:r>
    </w:p>
    <w:p w14:paraId="43088672">
      <w:pPr>
        <w:spacing w:line="360" w:lineRule="auto"/>
        <w:rPr>
          <w:rFonts w:ascii="宋体" w:hAnsi="宋体" w:cs="宋体"/>
          <w:sz w:val="24"/>
        </w:rPr>
      </w:pPr>
    </w:p>
    <w:p w14:paraId="391AA904">
      <w:pPr>
        <w:spacing w:line="360" w:lineRule="auto"/>
        <w:ind w:firstLine="643" w:firstLineChars="200"/>
        <w:rPr>
          <w:rFonts w:ascii="宋体" w:hAnsi="宋体" w:cs="宋体"/>
          <w:b/>
          <w:bCs/>
          <w:sz w:val="32"/>
          <w:szCs w:val="32"/>
        </w:rPr>
      </w:pPr>
      <w:r>
        <w:rPr>
          <w:rFonts w:hint="eastAsia" w:ascii="宋体" w:hAnsi="宋体" w:cs="宋体"/>
          <w:b/>
          <w:bCs/>
          <w:sz w:val="32"/>
          <w:szCs w:val="32"/>
        </w:rPr>
        <w:t>11.响应文件的编制原则</w:t>
      </w:r>
    </w:p>
    <w:p w14:paraId="4ED2E3FB">
      <w:pPr>
        <w:spacing w:line="360" w:lineRule="auto"/>
        <w:ind w:firstLine="480" w:firstLineChars="200"/>
        <w:rPr>
          <w:rFonts w:ascii="宋体" w:hAnsi="宋体" w:cs="宋体"/>
          <w:sz w:val="24"/>
        </w:rPr>
      </w:pPr>
      <w:r>
        <w:rPr>
          <w:rFonts w:hint="eastAsia" w:ascii="宋体" w:hAnsi="宋体" w:cs="宋体"/>
          <w:sz w:val="24"/>
        </w:rPr>
        <w:t>供应商必须按照谈判文件的要求编制响应文件，并对其提交的响应文件的真实性、合法性承担法律责任。响应文件必须对谈判文件作出实质性响应。</w:t>
      </w:r>
    </w:p>
    <w:p w14:paraId="0B80F2BF">
      <w:pPr>
        <w:spacing w:line="360" w:lineRule="auto"/>
        <w:ind w:firstLine="643" w:firstLineChars="200"/>
        <w:rPr>
          <w:rFonts w:ascii="宋体" w:hAnsi="宋体" w:cs="宋体"/>
          <w:b/>
          <w:bCs/>
          <w:sz w:val="32"/>
          <w:szCs w:val="32"/>
        </w:rPr>
      </w:pPr>
      <w:r>
        <w:rPr>
          <w:rFonts w:hint="eastAsia" w:ascii="宋体" w:hAnsi="宋体" w:cs="宋体"/>
          <w:b/>
          <w:bCs/>
          <w:sz w:val="32"/>
          <w:szCs w:val="32"/>
        </w:rPr>
        <w:t>12.响应文件的组成</w:t>
      </w:r>
    </w:p>
    <w:p w14:paraId="6CED45B4">
      <w:pPr>
        <w:spacing w:line="360" w:lineRule="auto"/>
        <w:ind w:firstLine="480" w:firstLineChars="200"/>
        <w:rPr>
          <w:rFonts w:ascii="宋体" w:hAnsi="宋体" w:cs="宋体"/>
          <w:sz w:val="24"/>
        </w:rPr>
      </w:pPr>
      <w:r>
        <w:rPr>
          <w:rFonts w:hint="eastAsia" w:ascii="宋体" w:hAnsi="宋体" w:cs="宋体"/>
          <w:sz w:val="24"/>
        </w:rPr>
        <w:t>12.1响应文件由资格证明文件、报价商务技术文件两部分组成。</w:t>
      </w:r>
    </w:p>
    <w:p w14:paraId="6597ECB2">
      <w:pPr>
        <w:spacing w:line="360" w:lineRule="auto"/>
        <w:ind w:firstLine="480" w:firstLineChars="200"/>
        <w:rPr>
          <w:rFonts w:ascii="宋体" w:hAnsi="宋体" w:cs="宋体"/>
          <w:sz w:val="24"/>
        </w:rPr>
      </w:pPr>
      <w:r>
        <w:rPr>
          <w:rFonts w:hint="eastAsia" w:ascii="宋体" w:hAnsi="宋体" w:cs="宋体"/>
          <w:sz w:val="24"/>
        </w:rPr>
        <w:t>12.1.1资格证明文件：详见“供应商须知前附表”</w:t>
      </w:r>
    </w:p>
    <w:p w14:paraId="10604E7F">
      <w:pPr>
        <w:spacing w:line="360" w:lineRule="auto"/>
        <w:ind w:firstLine="480" w:firstLineChars="200"/>
        <w:rPr>
          <w:rFonts w:ascii="宋体" w:hAnsi="宋体" w:cs="宋体"/>
          <w:sz w:val="24"/>
        </w:rPr>
      </w:pPr>
      <w:r>
        <w:rPr>
          <w:rFonts w:hint="eastAsia" w:ascii="宋体" w:hAnsi="宋体" w:cs="宋体"/>
          <w:sz w:val="24"/>
        </w:rPr>
        <w:t>12.1.2报价商务技术文件：详见“供应商须知前附表”</w:t>
      </w:r>
    </w:p>
    <w:p w14:paraId="59B00BD7">
      <w:pPr>
        <w:spacing w:line="360" w:lineRule="auto"/>
        <w:ind w:firstLine="643" w:firstLineChars="200"/>
        <w:rPr>
          <w:rFonts w:ascii="宋体" w:hAnsi="宋体" w:cs="宋体"/>
          <w:b/>
          <w:bCs/>
          <w:sz w:val="32"/>
          <w:szCs w:val="32"/>
        </w:rPr>
      </w:pPr>
      <w:r>
        <w:rPr>
          <w:rFonts w:hint="eastAsia" w:ascii="宋体" w:hAnsi="宋体" w:cs="宋体"/>
          <w:b/>
          <w:bCs/>
          <w:sz w:val="32"/>
          <w:szCs w:val="32"/>
        </w:rPr>
        <w:t>13.计量单位</w:t>
      </w:r>
    </w:p>
    <w:p w14:paraId="51C32FAA">
      <w:pPr>
        <w:spacing w:line="360" w:lineRule="auto"/>
        <w:ind w:firstLine="480" w:firstLineChars="200"/>
        <w:rPr>
          <w:rFonts w:ascii="宋体" w:hAnsi="宋体" w:cs="宋体"/>
          <w:sz w:val="24"/>
        </w:rPr>
      </w:pPr>
      <w:r>
        <w:rPr>
          <w:rFonts w:hint="eastAsia" w:ascii="宋体" w:hAnsi="宋体" w:cs="宋体"/>
          <w:sz w:val="24"/>
        </w:rPr>
        <w:t>谈判文件已有明确规定的，使用谈判文件规定的计量单位；谈判文件没有规定的，应采用中华人民共和国法定计量单位，货币种类为人民币，否则视同未响应。</w:t>
      </w:r>
    </w:p>
    <w:p w14:paraId="48087090">
      <w:pPr>
        <w:spacing w:line="360" w:lineRule="auto"/>
        <w:ind w:firstLine="643" w:firstLineChars="200"/>
        <w:rPr>
          <w:rFonts w:ascii="宋体" w:hAnsi="宋体" w:cs="宋体"/>
          <w:b/>
          <w:bCs/>
          <w:sz w:val="32"/>
          <w:szCs w:val="32"/>
        </w:rPr>
      </w:pPr>
      <w:r>
        <w:rPr>
          <w:rFonts w:hint="eastAsia" w:ascii="宋体" w:hAnsi="宋体" w:cs="宋体"/>
          <w:b/>
          <w:bCs/>
          <w:sz w:val="32"/>
          <w:szCs w:val="32"/>
        </w:rPr>
        <w:t>14.竞争性谈判的风险</w:t>
      </w:r>
    </w:p>
    <w:p w14:paraId="06D31C0F">
      <w:pPr>
        <w:spacing w:line="360" w:lineRule="auto"/>
        <w:ind w:firstLine="480" w:firstLineChars="200"/>
        <w:rPr>
          <w:rFonts w:ascii="宋体" w:hAnsi="宋体" w:cs="宋体"/>
          <w:sz w:val="24"/>
        </w:rPr>
      </w:pPr>
      <w:r>
        <w:rPr>
          <w:rFonts w:hint="eastAsia" w:ascii="宋体" w:hAnsi="宋体" w:cs="宋体"/>
          <w:sz w:val="24"/>
        </w:rPr>
        <w:t>供应商没有按照谈判文件要求提供全部资料，或者供应商没有对谈判文件在各方面作出实质性响应可能导致其响应文件按无效响应处理，是供应商应当考虑的风险。</w:t>
      </w:r>
    </w:p>
    <w:p w14:paraId="6BE81375">
      <w:pPr>
        <w:spacing w:line="360" w:lineRule="auto"/>
        <w:ind w:firstLine="643" w:firstLineChars="200"/>
        <w:rPr>
          <w:rFonts w:ascii="宋体" w:hAnsi="宋体" w:cs="宋体"/>
          <w:b/>
          <w:bCs/>
          <w:sz w:val="32"/>
          <w:szCs w:val="32"/>
        </w:rPr>
      </w:pPr>
      <w:r>
        <w:rPr>
          <w:rFonts w:hint="eastAsia" w:ascii="宋体" w:hAnsi="宋体" w:cs="宋体"/>
          <w:b/>
          <w:bCs/>
          <w:sz w:val="32"/>
          <w:szCs w:val="32"/>
        </w:rPr>
        <w:t>15.竞争性谈判报价</w:t>
      </w:r>
    </w:p>
    <w:p w14:paraId="413F6F8E">
      <w:pPr>
        <w:spacing w:line="360" w:lineRule="auto"/>
        <w:ind w:firstLine="480" w:firstLineChars="200"/>
        <w:rPr>
          <w:rFonts w:ascii="宋体" w:hAnsi="宋体" w:cs="宋体"/>
          <w:sz w:val="24"/>
        </w:rPr>
      </w:pPr>
      <w:r>
        <w:rPr>
          <w:rFonts w:hint="eastAsia" w:ascii="宋体" w:hAnsi="宋体" w:cs="宋体"/>
          <w:sz w:val="24"/>
        </w:rPr>
        <w:t>15.1</w:t>
      </w:r>
      <w:r>
        <w:rPr>
          <w:rFonts w:hint="eastAsia" w:hAnsi="宋体" w:cs="宋体"/>
          <w:sz w:val="24"/>
        </w:rPr>
        <w:t>竞争性谈判</w:t>
      </w:r>
      <w:r>
        <w:rPr>
          <w:rFonts w:hint="eastAsia" w:ascii="宋体" w:hAnsi="宋体" w:cs="宋体"/>
          <w:sz w:val="24"/>
        </w:rPr>
        <w:t>报价应按谈判文件中“</w:t>
      </w:r>
      <w:r>
        <w:rPr>
          <w:rFonts w:hint="eastAsia" w:hAnsi="宋体" w:cs="宋体"/>
          <w:sz w:val="24"/>
        </w:rPr>
        <w:t>竞争性谈判</w:t>
      </w:r>
      <w:r>
        <w:rPr>
          <w:rFonts w:hint="eastAsia" w:ascii="宋体" w:hAnsi="宋体" w:cs="宋体"/>
          <w:sz w:val="24"/>
        </w:rPr>
        <w:t>报价表”格式填写。</w:t>
      </w:r>
    </w:p>
    <w:p w14:paraId="39A784C3">
      <w:pPr>
        <w:spacing w:line="360" w:lineRule="auto"/>
        <w:ind w:firstLine="480" w:firstLineChars="200"/>
        <w:rPr>
          <w:rFonts w:ascii="宋体" w:hAnsi="宋体" w:cs="宋体"/>
          <w:sz w:val="24"/>
        </w:rPr>
      </w:pPr>
      <w:r>
        <w:rPr>
          <w:rFonts w:hint="eastAsia" w:ascii="宋体" w:hAnsi="宋体" w:cs="宋体"/>
          <w:sz w:val="24"/>
        </w:rPr>
        <w:t>15.2</w:t>
      </w:r>
      <w:r>
        <w:rPr>
          <w:rFonts w:hint="eastAsia" w:hAnsi="宋体" w:cs="宋体"/>
          <w:sz w:val="24"/>
        </w:rPr>
        <w:t>竞争性谈判</w:t>
      </w:r>
      <w:r>
        <w:rPr>
          <w:rFonts w:hint="eastAsia" w:ascii="宋体" w:hAnsi="宋体" w:cs="宋体"/>
          <w:sz w:val="24"/>
        </w:rPr>
        <w:t>报价的内容详见“供应商须知前附表”。</w:t>
      </w:r>
    </w:p>
    <w:p w14:paraId="6A9CEF13">
      <w:pPr>
        <w:spacing w:line="360" w:lineRule="auto"/>
        <w:ind w:firstLine="480" w:firstLineChars="200"/>
        <w:rPr>
          <w:rFonts w:ascii="宋体" w:hAnsi="宋体" w:cs="宋体"/>
          <w:sz w:val="24"/>
        </w:rPr>
      </w:pPr>
      <w:r>
        <w:rPr>
          <w:rFonts w:hint="eastAsia" w:ascii="宋体" w:hAnsi="宋体" w:cs="宋体"/>
          <w:sz w:val="24"/>
        </w:rPr>
        <w:t>15.3</w:t>
      </w:r>
      <w:r>
        <w:rPr>
          <w:rFonts w:hint="eastAsia" w:hAnsi="宋体" w:cs="宋体"/>
          <w:sz w:val="24"/>
        </w:rPr>
        <w:t>竞争性谈判</w:t>
      </w:r>
      <w:r>
        <w:rPr>
          <w:rFonts w:hint="eastAsia" w:ascii="宋体" w:hAnsi="宋体" w:cs="宋体"/>
          <w:sz w:val="24"/>
        </w:rPr>
        <w:t>报价要求</w:t>
      </w:r>
    </w:p>
    <w:p w14:paraId="218C9B9F">
      <w:pPr>
        <w:spacing w:line="360" w:lineRule="auto"/>
        <w:ind w:firstLine="480" w:firstLineChars="200"/>
        <w:rPr>
          <w:rFonts w:ascii="宋体" w:hAnsi="宋体" w:cs="宋体"/>
          <w:sz w:val="24"/>
        </w:rPr>
      </w:pPr>
      <w:r>
        <w:rPr>
          <w:rFonts w:hint="eastAsia" w:ascii="宋体" w:hAnsi="宋体" w:cs="宋体"/>
          <w:sz w:val="24"/>
        </w:rPr>
        <w:t>15.3.1供应商的</w:t>
      </w:r>
      <w:r>
        <w:rPr>
          <w:rFonts w:hint="eastAsia" w:hAnsi="宋体" w:cs="宋体"/>
          <w:sz w:val="24"/>
        </w:rPr>
        <w:t>竞争性谈判</w:t>
      </w:r>
      <w:r>
        <w:rPr>
          <w:rFonts w:hint="eastAsia" w:ascii="宋体" w:hAnsi="宋体" w:cs="宋体"/>
          <w:sz w:val="24"/>
        </w:rPr>
        <w:t>报价应符合以下要求，否则响应文件按无效响应处理：</w:t>
      </w:r>
    </w:p>
    <w:p w14:paraId="2A3AF5EF">
      <w:pPr>
        <w:spacing w:line="360" w:lineRule="auto"/>
        <w:ind w:firstLine="480" w:firstLineChars="200"/>
        <w:rPr>
          <w:rFonts w:ascii="宋体" w:hAnsi="宋体" w:cs="宋体"/>
          <w:sz w:val="24"/>
        </w:rPr>
      </w:pPr>
      <w:r>
        <w:rPr>
          <w:rFonts w:hint="eastAsia" w:ascii="宋体" w:hAnsi="宋体" w:cs="宋体"/>
          <w:sz w:val="24"/>
        </w:rPr>
        <w:t>（1）供应商必须就“采购需求”中所需</w:t>
      </w:r>
      <w:r>
        <w:rPr>
          <w:rFonts w:hint="eastAsia" w:hAnsi="宋体" w:cs="宋体"/>
          <w:sz w:val="24"/>
        </w:rPr>
        <w:t>竞争性谈判</w:t>
      </w:r>
      <w:r>
        <w:rPr>
          <w:rFonts w:hint="eastAsia" w:ascii="宋体" w:hAnsi="宋体" w:cs="宋体"/>
          <w:sz w:val="24"/>
        </w:rPr>
        <w:t>的每个分标的全部内容分别作完整唯一总价报价，不得存在漏项报价；</w:t>
      </w:r>
    </w:p>
    <w:p w14:paraId="32F99D21">
      <w:pPr>
        <w:spacing w:line="360" w:lineRule="auto"/>
        <w:ind w:firstLine="480" w:firstLineChars="200"/>
        <w:rPr>
          <w:rFonts w:ascii="宋体" w:hAnsi="宋体" w:cs="宋体"/>
          <w:sz w:val="24"/>
        </w:rPr>
      </w:pPr>
      <w:r>
        <w:rPr>
          <w:rFonts w:hint="eastAsia" w:ascii="宋体" w:hAnsi="宋体" w:cs="宋体"/>
          <w:sz w:val="24"/>
        </w:rPr>
        <w:t>（2）供应商必须就所需</w:t>
      </w:r>
      <w:r>
        <w:rPr>
          <w:rFonts w:hint="eastAsia" w:hAnsi="宋体" w:cs="宋体"/>
          <w:sz w:val="24"/>
        </w:rPr>
        <w:t>竞争性谈判</w:t>
      </w:r>
      <w:r>
        <w:rPr>
          <w:rFonts w:hint="eastAsia" w:ascii="宋体" w:hAnsi="宋体" w:cs="宋体"/>
          <w:sz w:val="24"/>
        </w:rPr>
        <w:t>的分标的单项内容作唯一报价。</w:t>
      </w:r>
    </w:p>
    <w:p w14:paraId="2D0DC385">
      <w:pPr>
        <w:spacing w:line="360" w:lineRule="auto"/>
        <w:ind w:firstLine="480" w:firstLineChars="200"/>
        <w:rPr>
          <w:rFonts w:ascii="宋体" w:hAnsi="宋体" w:cs="宋体"/>
          <w:sz w:val="24"/>
        </w:rPr>
      </w:pPr>
      <w:r>
        <w:rPr>
          <w:rFonts w:hint="eastAsia" w:ascii="宋体" w:hAnsi="宋体" w:cs="宋体"/>
          <w:sz w:val="24"/>
        </w:rPr>
        <w:t>15.3.2</w:t>
      </w:r>
      <w:r>
        <w:rPr>
          <w:rFonts w:hint="eastAsia" w:hAnsi="宋体" w:cs="宋体"/>
          <w:sz w:val="24"/>
        </w:rPr>
        <w:t>竞争性谈判</w:t>
      </w:r>
      <w:r>
        <w:rPr>
          <w:rFonts w:hint="eastAsia" w:ascii="宋体" w:hAnsi="宋体" w:cs="宋体"/>
          <w:sz w:val="24"/>
        </w:rPr>
        <w:t>报价（包含首次报价、最后报价）超过所参与</w:t>
      </w:r>
      <w:r>
        <w:rPr>
          <w:rFonts w:hint="eastAsia" w:hAnsi="宋体" w:cs="宋体"/>
          <w:sz w:val="24"/>
        </w:rPr>
        <w:t>竞争性谈判</w:t>
      </w:r>
      <w:r>
        <w:rPr>
          <w:rFonts w:hint="eastAsia" w:ascii="宋体" w:hAnsi="宋体" w:cs="宋体"/>
          <w:sz w:val="24"/>
        </w:rPr>
        <w:t>分标规定的采购预算金额或者最高限价的，其响应文件将按无效响应处理。</w:t>
      </w:r>
    </w:p>
    <w:p w14:paraId="06168CCD">
      <w:pPr>
        <w:spacing w:line="360" w:lineRule="auto"/>
        <w:ind w:firstLine="480" w:firstLineChars="200"/>
        <w:rPr>
          <w:rFonts w:ascii="宋体" w:hAnsi="宋体" w:cs="宋体"/>
          <w:sz w:val="24"/>
        </w:rPr>
      </w:pPr>
      <w:r>
        <w:rPr>
          <w:rFonts w:ascii="宋体" w:hAnsi="宋体" w:cs="宋体"/>
          <w:sz w:val="24"/>
        </w:rPr>
        <w:t>15.3.3</w:t>
      </w:r>
      <w:r>
        <w:rPr>
          <w:rFonts w:hint="eastAsia" w:hAnsi="宋体" w:cs="宋体"/>
          <w:sz w:val="24"/>
        </w:rPr>
        <w:t>竞争性谈判</w:t>
      </w:r>
      <w:r>
        <w:rPr>
          <w:rFonts w:hint="eastAsia" w:ascii="宋体" w:hAnsi="宋体" w:cs="宋体"/>
          <w:sz w:val="24"/>
        </w:rPr>
        <w:t>报价（包含首次报价、最后报价）超过分项采购预算金额或者最高限价的，其响应文件将作无效处理。</w:t>
      </w:r>
    </w:p>
    <w:p w14:paraId="04129891">
      <w:pPr>
        <w:spacing w:line="360" w:lineRule="auto"/>
        <w:ind w:firstLine="643" w:firstLineChars="200"/>
        <w:rPr>
          <w:rFonts w:ascii="宋体" w:hAnsi="宋体" w:cs="宋体"/>
          <w:b/>
          <w:bCs/>
          <w:sz w:val="32"/>
          <w:szCs w:val="32"/>
        </w:rPr>
      </w:pPr>
      <w:r>
        <w:rPr>
          <w:rFonts w:hint="eastAsia" w:ascii="宋体" w:hAnsi="宋体" w:cs="宋体"/>
          <w:b/>
          <w:bCs/>
          <w:sz w:val="32"/>
          <w:szCs w:val="32"/>
        </w:rPr>
        <w:t>16.竞争性谈判有效期</w:t>
      </w:r>
    </w:p>
    <w:p w14:paraId="58739E95">
      <w:pPr>
        <w:spacing w:line="360" w:lineRule="auto"/>
        <w:ind w:firstLine="480" w:firstLineChars="200"/>
        <w:rPr>
          <w:rFonts w:ascii="宋体" w:hAnsi="宋体" w:cs="宋体"/>
          <w:sz w:val="24"/>
        </w:rPr>
      </w:pPr>
      <w:r>
        <w:rPr>
          <w:rFonts w:hint="eastAsia" w:ascii="宋体" w:hAnsi="宋体" w:cs="宋体"/>
          <w:sz w:val="24"/>
        </w:rPr>
        <w:t>16.1</w:t>
      </w:r>
      <w:r>
        <w:rPr>
          <w:rFonts w:hint="eastAsia" w:hAnsi="宋体" w:cs="宋体"/>
          <w:sz w:val="24"/>
        </w:rPr>
        <w:t>竞争性谈判</w:t>
      </w:r>
      <w:r>
        <w:rPr>
          <w:rFonts w:hint="eastAsia" w:ascii="宋体" w:hAnsi="宋体" w:cs="宋体"/>
          <w:sz w:val="24"/>
        </w:rPr>
        <w:t>有效期是指为保证采购人有足够的时间在提交响应文件后完成评审、确定成交供应商、合同签订等工作而要求供应商提交的响应文件在一定时间内保持有效的期限。</w:t>
      </w:r>
    </w:p>
    <w:p w14:paraId="6697A4E6">
      <w:pPr>
        <w:spacing w:line="360" w:lineRule="auto"/>
        <w:ind w:firstLine="480" w:firstLineChars="200"/>
        <w:rPr>
          <w:rFonts w:ascii="宋体" w:hAnsi="宋体" w:cs="宋体"/>
          <w:sz w:val="24"/>
        </w:rPr>
      </w:pPr>
      <w:r>
        <w:rPr>
          <w:rFonts w:hint="eastAsia" w:ascii="宋体" w:hAnsi="宋体" w:cs="宋体"/>
          <w:sz w:val="24"/>
        </w:rPr>
        <w:t>16.2</w:t>
      </w:r>
      <w:r>
        <w:rPr>
          <w:rFonts w:hint="eastAsia" w:hAnsi="宋体" w:cs="宋体"/>
          <w:sz w:val="24"/>
        </w:rPr>
        <w:t>竞争性谈判</w:t>
      </w:r>
      <w:r>
        <w:rPr>
          <w:rFonts w:hint="eastAsia" w:ascii="宋体" w:hAnsi="宋体" w:cs="宋体"/>
          <w:sz w:val="24"/>
        </w:rPr>
        <w:t>有效期应由供应商按“供应商须知前附表”规定的期限作出响应。</w:t>
      </w:r>
    </w:p>
    <w:p w14:paraId="629E0589">
      <w:pPr>
        <w:spacing w:line="360" w:lineRule="auto"/>
        <w:ind w:firstLine="480" w:firstLineChars="200"/>
        <w:rPr>
          <w:rFonts w:ascii="宋体" w:hAnsi="宋体" w:cs="宋体"/>
          <w:sz w:val="24"/>
        </w:rPr>
      </w:pPr>
      <w:r>
        <w:rPr>
          <w:rFonts w:hint="eastAsia" w:ascii="宋体" w:hAnsi="宋体" w:cs="宋体"/>
          <w:sz w:val="24"/>
        </w:rPr>
        <w:t>16.3供应商的响应文件在</w:t>
      </w:r>
      <w:r>
        <w:rPr>
          <w:rFonts w:hint="eastAsia" w:hAnsi="宋体" w:cs="宋体"/>
          <w:sz w:val="24"/>
        </w:rPr>
        <w:t>竞争性谈判</w:t>
      </w:r>
      <w:r>
        <w:rPr>
          <w:rFonts w:hint="eastAsia" w:ascii="宋体" w:hAnsi="宋体" w:cs="宋体"/>
          <w:sz w:val="24"/>
        </w:rPr>
        <w:t>有效期内均保持有效。</w:t>
      </w:r>
    </w:p>
    <w:p w14:paraId="63474DE1">
      <w:pPr>
        <w:spacing w:line="360" w:lineRule="auto"/>
        <w:ind w:firstLine="643" w:firstLineChars="200"/>
        <w:rPr>
          <w:rFonts w:ascii="宋体" w:hAnsi="宋体" w:cs="宋体"/>
          <w:b/>
          <w:bCs/>
          <w:sz w:val="32"/>
          <w:szCs w:val="32"/>
        </w:rPr>
      </w:pPr>
      <w:r>
        <w:rPr>
          <w:rFonts w:hint="eastAsia" w:ascii="宋体" w:hAnsi="宋体" w:cs="宋体"/>
          <w:b/>
          <w:bCs/>
          <w:sz w:val="32"/>
          <w:szCs w:val="32"/>
        </w:rPr>
        <w:t>17.谈判保证金</w:t>
      </w:r>
    </w:p>
    <w:p w14:paraId="4183AD45">
      <w:pPr>
        <w:spacing w:line="360" w:lineRule="auto"/>
        <w:ind w:firstLine="480" w:firstLineChars="200"/>
        <w:rPr>
          <w:rFonts w:ascii="宋体" w:hAnsi="宋体" w:cs="宋体"/>
          <w:sz w:val="24"/>
        </w:rPr>
      </w:pPr>
      <w:r>
        <w:rPr>
          <w:rFonts w:hint="eastAsia" w:ascii="宋体" w:hAnsi="宋体" w:cs="宋体"/>
          <w:sz w:val="24"/>
        </w:rPr>
        <w:t>17.1供应商须按“供应商须知前附表”的规定提交谈判保证金。</w:t>
      </w:r>
    </w:p>
    <w:p w14:paraId="739B058F">
      <w:pPr>
        <w:spacing w:line="360" w:lineRule="auto"/>
        <w:ind w:firstLine="480" w:firstLineChars="200"/>
        <w:rPr>
          <w:rFonts w:ascii="宋体" w:hAnsi="宋体" w:cs="宋体"/>
          <w:sz w:val="24"/>
        </w:rPr>
      </w:pPr>
      <w:r>
        <w:rPr>
          <w:rFonts w:hint="eastAsia" w:ascii="宋体" w:hAnsi="宋体" w:cs="宋体"/>
          <w:sz w:val="24"/>
        </w:rPr>
        <w:t>17.2谈判保证金的退还</w:t>
      </w:r>
    </w:p>
    <w:p w14:paraId="1D312275">
      <w:pPr>
        <w:spacing w:line="360" w:lineRule="auto"/>
        <w:ind w:firstLine="480" w:firstLineChars="200"/>
        <w:rPr>
          <w:rFonts w:ascii="宋体" w:hAnsi="宋体" w:cs="宋体"/>
          <w:sz w:val="24"/>
        </w:rPr>
      </w:pPr>
      <w:r>
        <w:rPr>
          <w:rFonts w:hint="eastAsia" w:ascii="宋体" w:hAnsi="宋体" w:cs="宋体"/>
          <w:sz w:val="24"/>
        </w:rPr>
        <w:t>未</w:t>
      </w:r>
      <w:r>
        <w:rPr>
          <w:rFonts w:hint="eastAsia" w:ascii="宋体" w:hAnsi="宋体" w:cs="宋体"/>
          <w:spacing w:val="-6"/>
          <w:sz w:val="24"/>
        </w:rPr>
        <w:t>成交</w:t>
      </w:r>
      <w:r>
        <w:rPr>
          <w:rFonts w:hint="eastAsia" w:ascii="宋体" w:hAnsi="宋体" w:cs="宋体"/>
          <w:sz w:val="24"/>
        </w:rPr>
        <w:t xml:space="preserve">供应商的谈判保证金自成交通知书发出之日起4个工作日内退还；成交供应商的谈判保证金自签订合同之日起4个工作日内退还。 </w:t>
      </w:r>
    </w:p>
    <w:p w14:paraId="01039E60">
      <w:pPr>
        <w:spacing w:line="360" w:lineRule="auto"/>
        <w:ind w:firstLine="480" w:firstLineChars="200"/>
        <w:rPr>
          <w:rFonts w:ascii="宋体" w:hAnsi="宋体" w:cs="宋体"/>
          <w:sz w:val="24"/>
        </w:rPr>
      </w:pPr>
      <w:r>
        <w:rPr>
          <w:rFonts w:hint="eastAsia" w:ascii="宋体" w:hAnsi="宋体" w:cs="宋体"/>
          <w:sz w:val="24"/>
        </w:rPr>
        <w:t>17.3谈判保证金不计息。</w:t>
      </w:r>
    </w:p>
    <w:p w14:paraId="02DF8160">
      <w:pPr>
        <w:spacing w:line="360" w:lineRule="auto"/>
        <w:ind w:firstLine="480" w:firstLineChars="200"/>
        <w:rPr>
          <w:rFonts w:ascii="宋体" w:hAnsi="宋体" w:cs="宋体"/>
          <w:sz w:val="24"/>
        </w:rPr>
      </w:pPr>
      <w:r>
        <w:rPr>
          <w:rFonts w:hint="eastAsia" w:ascii="宋体" w:hAnsi="宋体" w:cs="宋体"/>
          <w:sz w:val="24"/>
        </w:rPr>
        <w:t xml:space="preserve">17.4供应商有下列情形之一的，谈判保证金将不予退还： </w:t>
      </w:r>
    </w:p>
    <w:p w14:paraId="5372F1B4">
      <w:pPr>
        <w:spacing w:line="360" w:lineRule="auto"/>
        <w:ind w:firstLine="480" w:firstLineChars="200"/>
        <w:rPr>
          <w:rFonts w:ascii="宋体" w:hAnsi="宋体" w:cs="宋体"/>
          <w:sz w:val="24"/>
        </w:rPr>
      </w:pPr>
      <w:r>
        <w:rPr>
          <w:rFonts w:hint="eastAsia" w:ascii="宋体" w:hAnsi="宋体" w:cs="宋体"/>
          <w:sz w:val="24"/>
        </w:rPr>
        <w:t>（1）供应商在提交首次响应文件截止时间后撤回响应文件的，但在提交最后报价之前退出谈判的情况除外；</w:t>
      </w:r>
    </w:p>
    <w:p w14:paraId="7BAF63B5">
      <w:pPr>
        <w:spacing w:line="360" w:lineRule="auto"/>
        <w:ind w:firstLine="480" w:firstLineChars="200"/>
        <w:rPr>
          <w:rFonts w:ascii="宋体" w:hAnsi="宋体" w:cs="宋体"/>
          <w:sz w:val="24"/>
        </w:rPr>
      </w:pPr>
      <w:r>
        <w:rPr>
          <w:rFonts w:hint="eastAsia" w:ascii="宋体" w:hAnsi="宋体" w:cs="宋体"/>
          <w:sz w:val="24"/>
        </w:rPr>
        <w:t>（2）未按规定提交履约保证金的；</w:t>
      </w:r>
    </w:p>
    <w:p w14:paraId="12911C21">
      <w:pPr>
        <w:spacing w:line="360" w:lineRule="auto"/>
        <w:ind w:firstLine="480" w:firstLineChars="200"/>
        <w:rPr>
          <w:rFonts w:ascii="宋体" w:hAnsi="宋体" w:cs="宋体"/>
          <w:sz w:val="24"/>
        </w:rPr>
      </w:pPr>
      <w:r>
        <w:rPr>
          <w:rFonts w:hint="eastAsia" w:ascii="宋体" w:hAnsi="宋体" w:cs="宋体"/>
          <w:sz w:val="24"/>
        </w:rPr>
        <w:t>（3）供应商在响应文件中提供虚假材料的；</w:t>
      </w:r>
    </w:p>
    <w:p w14:paraId="63F0DDC0">
      <w:pPr>
        <w:spacing w:line="360" w:lineRule="auto"/>
        <w:ind w:firstLine="480" w:firstLineChars="200"/>
        <w:rPr>
          <w:rFonts w:ascii="宋体" w:hAnsi="宋体" w:cs="宋体"/>
          <w:sz w:val="24"/>
        </w:rPr>
      </w:pPr>
      <w:r>
        <w:rPr>
          <w:rFonts w:hint="eastAsia" w:ascii="宋体" w:hAnsi="宋体" w:cs="宋体"/>
          <w:sz w:val="24"/>
        </w:rPr>
        <w:t>（4）除因不可抗力或者谈判文件认可的情形以外，成交供应商不与采购人签订合同的；</w:t>
      </w:r>
    </w:p>
    <w:p w14:paraId="2A77FEB2">
      <w:pPr>
        <w:spacing w:line="360" w:lineRule="auto"/>
        <w:ind w:firstLine="480" w:firstLineChars="200"/>
        <w:rPr>
          <w:rFonts w:ascii="宋体" w:hAnsi="宋体" w:cs="宋体"/>
          <w:sz w:val="24"/>
        </w:rPr>
      </w:pPr>
      <w:r>
        <w:rPr>
          <w:rFonts w:hint="eastAsia" w:ascii="宋体" w:hAnsi="宋体" w:cs="宋体"/>
          <w:sz w:val="24"/>
        </w:rPr>
        <w:t>（5）供应商与采购人、其他供应商或者采购代理机构恶意串通的；</w:t>
      </w:r>
    </w:p>
    <w:p w14:paraId="5872B460">
      <w:pPr>
        <w:spacing w:line="360" w:lineRule="auto"/>
        <w:ind w:firstLine="480" w:firstLineChars="200"/>
        <w:rPr>
          <w:rFonts w:ascii="宋体" w:hAnsi="宋体" w:cs="宋体"/>
          <w:sz w:val="24"/>
        </w:rPr>
      </w:pPr>
      <w:r>
        <w:rPr>
          <w:rFonts w:hint="eastAsia" w:ascii="宋体" w:hAnsi="宋体" w:cs="宋体"/>
          <w:sz w:val="24"/>
        </w:rPr>
        <w:t>（6）法律法规规定的其他情形。</w:t>
      </w:r>
    </w:p>
    <w:p w14:paraId="437EAC2E">
      <w:pPr>
        <w:spacing w:line="360" w:lineRule="auto"/>
        <w:ind w:firstLine="643" w:firstLineChars="200"/>
        <w:rPr>
          <w:rFonts w:ascii="宋体" w:hAnsi="宋体" w:cs="宋体"/>
          <w:b/>
          <w:bCs/>
          <w:sz w:val="32"/>
          <w:szCs w:val="32"/>
        </w:rPr>
      </w:pPr>
      <w:r>
        <w:rPr>
          <w:rFonts w:hint="eastAsia" w:ascii="宋体" w:hAnsi="宋体" w:cs="宋体"/>
          <w:b/>
          <w:bCs/>
          <w:sz w:val="32"/>
          <w:szCs w:val="32"/>
        </w:rPr>
        <w:t>18.响应文件编制的要求</w:t>
      </w:r>
    </w:p>
    <w:p w14:paraId="6DA02A5D">
      <w:pPr>
        <w:spacing w:line="360" w:lineRule="auto"/>
        <w:ind w:firstLine="480" w:firstLineChars="200"/>
        <w:rPr>
          <w:rFonts w:ascii="宋体" w:hAnsi="宋体" w:cs="宋体"/>
          <w:sz w:val="24"/>
        </w:rPr>
      </w:pPr>
      <w:r>
        <w:rPr>
          <w:rFonts w:hint="eastAsia" w:ascii="宋体" w:hAnsi="宋体" w:cs="宋体"/>
          <w:sz w:val="24"/>
        </w:rPr>
        <w:t>18.1供应商应按本谈判文件规定的格式和顺序编制、装订响应文件并标注页码，响应文件内容</w:t>
      </w:r>
      <w:r>
        <w:rPr>
          <w:rFonts w:hint="eastAsia" w:ascii="宋体" w:hAnsi="宋体" w:cs="宋体"/>
          <w:spacing w:val="-6"/>
          <w:sz w:val="24"/>
        </w:rPr>
        <w:t>不完整、编排混乱导致响应文件被误读、漏读或者查找不到相关内容的，</w:t>
      </w:r>
      <w:r>
        <w:rPr>
          <w:rFonts w:hint="eastAsia" w:ascii="宋体" w:hAnsi="宋体" w:cs="宋体"/>
          <w:sz w:val="24"/>
          <w:szCs w:val="32"/>
        </w:rPr>
        <w:t>由此引发的</w:t>
      </w:r>
      <w:r>
        <w:rPr>
          <w:rFonts w:hint="eastAsia" w:ascii="宋体" w:hAnsi="宋体" w:cs="宋体"/>
          <w:spacing w:val="-6"/>
          <w:sz w:val="24"/>
        </w:rPr>
        <w:t>后果由供应商承担。</w:t>
      </w:r>
    </w:p>
    <w:p w14:paraId="348620D4">
      <w:pPr>
        <w:spacing w:line="360" w:lineRule="auto"/>
        <w:ind w:firstLine="480" w:firstLineChars="200"/>
        <w:rPr>
          <w:rFonts w:ascii="宋体" w:hAnsi="宋体" w:cs="宋体"/>
          <w:sz w:val="24"/>
        </w:rPr>
      </w:pPr>
      <w:r>
        <w:rPr>
          <w:rFonts w:hint="eastAsia" w:ascii="宋体" w:hAnsi="宋体" w:cs="宋体"/>
          <w:sz w:val="24"/>
        </w:rPr>
        <w:t>18.2响应文件应按资格证明文件、报价商务技术文件分别编制电子文件，</w:t>
      </w:r>
      <w:r>
        <w:rPr>
          <w:rFonts w:hint="eastAsia" w:ascii="宋体" w:hAnsi="宋体" w:cs="宋体"/>
          <w:sz w:val="24"/>
          <w:lang w:bidi="ar"/>
        </w:rPr>
        <w:t>并按广西政府采购云平台的要求编制、加密、上传。</w:t>
      </w:r>
    </w:p>
    <w:p w14:paraId="18A6465A">
      <w:pPr>
        <w:spacing w:line="360" w:lineRule="auto"/>
        <w:ind w:firstLine="480" w:firstLineChars="200"/>
        <w:rPr>
          <w:rFonts w:ascii="宋体" w:hAnsi="宋体" w:cs="宋体"/>
          <w:sz w:val="24"/>
        </w:rPr>
      </w:pPr>
      <w:r>
        <w:rPr>
          <w:rFonts w:hint="eastAsia" w:ascii="宋体" w:hAnsi="宋体" w:cs="宋体"/>
          <w:sz w:val="24"/>
        </w:rPr>
        <w:t>18.</w:t>
      </w:r>
      <w:bookmarkStart w:id="21" w:name="_Hlk65832699"/>
      <w:r>
        <w:rPr>
          <w:rFonts w:hint="eastAsia" w:ascii="宋体" w:hAnsi="宋体" w:cs="宋体"/>
          <w:sz w:val="24"/>
        </w:rPr>
        <w:t>3响应文件须由供应商在规定位置盖公章并签字</w:t>
      </w:r>
      <w:bookmarkStart w:id="22" w:name="_Hlk65832569"/>
      <w:r>
        <w:rPr>
          <w:rFonts w:hint="eastAsia" w:ascii="宋体" w:hAnsi="宋体" w:cs="宋体"/>
          <w:sz w:val="24"/>
        </w:rPr>
        <w:t>（具体以供应商须知前附表或响应文件格式规定为准）</w:t>
      </w:r>
      <w:bookmarkEnd w:id="21"/>
      <w:bookmarkEnd w:id="22"/>
      <w:r>
        <w:rPr>
          <w:rFonts w:hint="eastAsia" w:ascii="宋体" w:hAnsi="宋体" w:cs="宋体"/>
          <w:sz w:val="24"/>
        </w:rPr>
        <w:t>，否则其响应文件按无效响应处理。</w:t>
      </w:r>
    </w:p>
    <w:p w14:paraId="3DE59C4C">
      <w:pPr>
        <w:spacing w:line="360" w:lineRule="auto"/>
        <w:ind w:firstLine="480" w:firstLineChars="200"/>
        <w:rPr>
          <w:rFonts w:ascii="宋体" w:hAnsi="宋体" w:cs="宋体"/>
          <w:sz w:val="24"/>
        </w:rPr>
      </w:pPr>
      <w:r>
        <w:rPr>
          <w:rFonts w:hint="eastAsia" w:ascii="宋体" w:hAnsi="宋体" w:cs="宋体"/>
          <w:sz w:val="24"/>
        </w:rPr>
        <w:t>18.4响应文件中标注的供应商名称应与营业执照（事业单位法人证书、执业许可证、自然人身份证）及公章一致，否则其响应文件按无效响应处理。</w:t>
      </w:r>
    </w:p>
    <w:p w14:paraId="2CA9F2E4">
      <w:pPr>
        <w:spacing w:line="360" w:lineRule="auto"/>
        <w:ind w:firstLine="480" w:firstLineChars="200"/>
        <w:rPr>
          <w:rFonts w:ascii="宋体" w:hAnsi="宋体" w:cs="宋体"/>
          <w:sz w:val="24"/>
        </w:rPr>
      </w:pPr>
      <w:r>
        <w:rPr>
          <w:rFonts w:hint="eastAsia" w:ascii="宋体" w:hAnsi="宋体" w:cs="宋体"/>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ED7E228">
      <w:pPr>
        <w:spacing w:line="360" w:lineRule="auto"/>
        <w:ind w:firstLine="643" w:firstLineChars="200"/>
        <w:rPr>
          <w:rFonts w:ascii="宋体" w:hAnsi="宋体" w:cs="宋体"/>
          <w:b/>
          <w:bCs/>
          <w:sz w:val="32"/>
          <w:szCs w:val="32"/>
        </w:rPr>
      </w:pPr>
      <w:r>
        <w:rPr>
          <w:rFonts w:hint="eastAsia" w:ascii="宋体" w:hAnsi="宋体" w:cs="宋体"/>
          <w:b/>
          <w:sz w:val="32"/>
          <w:szCs w:val="32"/>
        </w:rPr>
        <w:t>19.响应文件的加密、解密</w:t>
      </w:r>
    </w:p>
    <w:p w14:paraId="0B0BDD65">
      <w:pPr>
        <w:spacing w:line="360" w:lineRule="auto"/>
        <w:ind w:firstLine="480" w:firstLineChars="200"/>
        <w:rPr>
          <w:rFonts w:ascii="宋体" w:hAnsi="宋体" w:cs="宋体"/>
          <w:sz w:val="24"/>
        </w:rPr>
      </w:pPr>
      <w:r>
        <w:rPr>
          <w:rFonts w:hint="eastAsia" w:ascii="宋体" w:hAnsi="宋体" w:cs="宋体"/>
          <w:sz w:val="24"/>
        </w:rPr>
        <w:t>19.1电子响应文件编制完成后，供应商应按广西政府采购云平台的要求进行加密，并在规定时间内解密，否则，由此产生的后果由供应商自行负责。</w:t>
      </w:r>
    </w:p>
    <w:p w14:paraId="33D79BE0">
      <w:pPr>
        <w:pStyle w:val="32"/>
        <w:ind w:firstLine="480" w:firstLineChars="200"/>
      </w:pPr>
      <w:r>
        <w:rPr>
          <w:rFonts w:hint="eastAsia" w:ascii="宋体" w:hAnsi="宋体" w:cs="宋体"/>
          <w:sz w:val="24"/>
        </w:rPr>
        <w:t>19.</w:t>
      </w:r>
      <w:r>
        <w:rPr>
          <w:rFonts w:ascii="宋体" w:hAnsi="宋体" w:cs="宋体"/>
          <w:sz w:val="24"/>
        </w:rPr>
        <w:t>2</w:t>
      </w:r>
      <w:r>
        <w:rPr>
          <w:rFonts w:hint="eastAsia" w:ascii="宋体" w:hAnsi="宋体" w:cs="宋体"/>
          <w:sz w:val="24"/>
        </w:rPr>
        <w:t>本项目不接受电子备份响应文件。</w:t>
      </w:r>
    </w:p>
    <w:p w14:paraId="61391C65">
      <w:pPr>
        <w:spacing w:line="360" w:lineRule="auto"/>
        <w:ind w:firstLine="643" w:firstLineChars="200"/>
        <w:rPr>
          <w:rFonts w:ascii="宋体" w:hAnsi="宋体" w:cs="宋体"/>
          <w:b/>
          <w:bCs/>
          <w:sz w:val="32"/>
          <w:szCs w:val="32"/>
        </w:rPr>
      </w:pPr>
      <w:r>
        <w:rPr>
          <w:rFonts w:hint="eastAsia" w:ascii="宋体" w:hAnsi="宋体" w:cs="宋体"/>
          <w:b/>
          <w:bCs/>
          <w:sz w:val="32"/>
          <w:szCs w:val="32"/>
        </w:rPr>
        <w:t>20.响应文件的提交</w:t>
      </w:r>
    </w:p>
    <w:p w14:paraId="05A10430">
      <w:pPr>
        <w:widowControl/>
        <w:spacing w:line="360" w:lineRule="auto"/>
        <w:ind w:firstLine="480" w:firstLineChars="200"/>
        <w:rPr>
          <w:rFonts w:ascii="宋体" w:hAnsi="宋体" w:cs="宋体"/>
          <w:sz w:val="24"/>
        </w:rPr>
      </w:pPr>
      <w:r>
        <w:rPr>
          <w:rFonts w:hint="eastAsia" w:ascii="宋体" w:hAnsi="宋体" w:cs="宋体"/>
          <w:sz w:val="24"/>
        </w:rPr>
        <w:t>20.1供应商必须在“供应商须知前附表”规定的时间和地点提交响应文件。</w:t>
      </w:r>
    </w:p>
    <w:p w14:paraId="67032B13">
      <w:pPr>
        <w:widowControl/>
        <w:spacing w:line="360" w:lineRule="auto"/>
        <w:ind w:firstLine="480" w:firstLineChars="200"/>
        <w:rPr>
          <w:rFonts w:ascii="宋体" w:hAnsi="宋体" w:cs="宋体"/>
          <w:b/>
          <w:sz w:val="24"/>
          <w:lang w:bidi="ar"/>
        </w:rPr>
      </w:pPr>
      <w:r>
        <w:rPr>
          <w:rFonts w:hint="eastAsia" w:ascii="宋体" w:hAnsi="宋体" w:cs="宋体"/>
          <w:sz w:val="24"/>
        </w:rPr>
        <w:t>20.</w:t>
      </w:r>
      <w:r>
        <w:rPr>
          <w:rFonts w:ascii="宋体" w:hAnsi="宋体" w:cs="宋体"/>
          <w:sz w:val="24"/>
        </w:rPr>
        <w:t>2</w:t>
      </w:r>
      <w:r>
        <w:rPr>
          <w:rFonts w:hint="eastAsia" w:ascii="宋体" w:hAnsi="宋体" w:cs="宋体"/>
          <w:sz w:val="24"/>
          <w:lang w:bidi="ar"/>
        </w:rPr>
        <w:t>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7F9876AD">
      <w:pPr>
        <w:widowControl/>
        <w:ind w:firstLine="480" w:firstLineChars="200"/>
        <w:rPr>
          <w:rFonts w:ascii="宋体" w:hAnsi="宋体" w:cs="宋体"/>
          <w:sz w:val="24"/>
          <w:lang w:bidi="ar"/>
        </w:rPr>
      </w:pPr>
      <w:r>
        <w:rPr>
          <w:rFonts w:hint="eastAsia" w:ascii="宋体" w:hAnsi="宋体" w:cs="宋体"/>
          <w:sz w:val="24"/>
          <w:lang w:bidi="ar"/>
        </w:rPr>
        <w:t>20.3未在规定时间内上传或者未按广西政府采购云平台的要求编制、加密的电子响应文件，广西政府采购云平台将拒收。</w:t>
      </w:r>
    </w:p>
    <w:p w14:paraId="170DD7F1">
      <w:pPr>
        <w:widowControl/>
        <w:spacing w:line="360" w:lineRule="auto"/>
        <w:ind w:firstLine="480" w:firstLineChars="200"/>
        <w:rPr>
          <w:rFonts w:ascii="宋体" w:hAnsi="宋体" w:cs="宋体"/>
          <w:sz w:val="24"/>
        </w:rPr>
      </w:pPr>
      <w:r>
        <w:rPr>
          <w:rFonts w:hint="eastAsia" w:ascii="宋体" w:hAnsi="宋体" w:cs="宋体"/>
          <w:sz w:val="24"/>
        </w:rPr>
        <w:t>20.</w:t>
      </w:r>
      <w:r>
        <w:rPr>
          <w:rFonts w:ascii="宋体" w:hAnsi="宋体" w:cs="宋体"/>
          <w:sz w:val="24"/>
        </w:rPr>
        <w:t>4</w:t>
      </w:r>
      <w:r>
        <w:rPr>
          <w:rFonts w:hint="eastAsia" w:ascii="宋体" w:hAnsi="宋体" w:cs="宋体"/>
          <w:sz w:val="24"/>
        </w:rPr>
        <w:t>电子响应文件提交方式见“竞争性谈判公告”中“四、响应文件提交”。</w:t>
      </w:r>
    </w:p>
    <w:p w14:paraId="0921ED3B">
      <w:pPr>
        <w:spacing w:line="360" w:lineRule="auto"/>
        <w:ind w:firstLine="643" w:firstLineChars="200"/>
        <w:rPr>
          <w:rFonts w:ascii="宋体" w:hAnsi="宋体" w:cs="宋体"/>
          <w:b/>
          <w:bCs/>
          <w:sz w:val="32"/>
          <w:szCs w:val="32"/>
        </w:rPr>
      </w:pPr>
      <w:r>
        <w:rPr>
          <w:rFonts w:hint="eastAsia" w:ascii="宋体" w:hAnsi="宋体" w:cs="宋体"/>
          <w:b/>
          <w:bCs/>
          <w:sz w:val="32"/>
          <w:szCs w:val="32"/>
        </w:rPr>
        <w:t>21.首次响应文件的补充、修改与撤回</w:t>
      </w:r>
    </w:p>
    <w:p w14:paraId="75969825">
      <w:pPr>
        <w:spacing w:line="360" w:lineRule="auto"/>
        <w:ind w:firstLine="480" w:firstLineChars="200"/>
        <w:rPr>
          <w:rFonts w:ascii="宋体" w:hAnsi="宋体" w:cs="宋体"/>
          <w:sz w:val="24"/>
        </w:rPr>
      </w:pPr>
      <w:r>
        <w:rPr>
          <w:rFonts w:hint="eastAsia" w:ascii="宋体" w:hAnsi="宋体" w:cs="宋体"/>
          <w:bCs/>
          <w:sz w:val="24"/>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D57A79F">
      <w:pPr>
        <w:spacing w:line="360" w:lineRule="auto"/>
        <w:ind w:firstLine="643" w:firstLineChars="200"/>
        <w:rPr>
          <w:rFonts w:ascii="宋体" w:hAnsi="宋体" w:cs="宋体"/>
          <w:b/>
          <w:bCs/>
          <w:sz w:val="32"/>
          <w:szCs w:val="32"/>
        </w:rPr>
      </w:pPr>
      <w:r>
        <w:rPr>
          <w:rFonts w:hint="eastAsia" w:ascii="宋体" w:hAnsi="宋体" w:cs="宋体"/>
          <w:b/>
          <w:bCs/>
          <w:sz w:val="32"/>
          <w:szCs w:val="32"/>
        </w:rPr>
        <w:t>22.首次响应文件的退回</w:t>
      </w:r>
    </w:p>
    <w:p w14:paraId="16C6530F">
      <w:pPr>
        <w:spacing w:line="360" w:lineRule="auto"/>
        <w:ind w:firstLine="480" w:firstLineChars="200"/>
        <w:rPr>
          <w:rFonts w:ascii="宋体" w:hAnsi="宋体" w:cs="宋体"/>
          <w:sz w:val="24"/>
        </w:rPr>
      </w:pPr>
      <w:r>
        <w:rPr>
          <w:rFonts w:hint="eastAsia" w:ascii="宋体" w:hAnsi="宋体" w:cs="宋体"/>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16D2730">
      <w:pPr>
        <w:spacing w:line="360" w:lineRule="auto"/>
        <w:ind w:firstLine="643" w:firstLineChars="200"/>
        <w:rPr>
          <w:rFonts w:ascii="宋体" w:hAnsi="宋体" w:cs="宋体"/>
          <w:b/>
          <w:bCs/>
          <w:sz w:val="32"/>
          <w:szCs w:val="32"/>
        </w:rPr>
      </w:pPr>
      <w:r>
        <w:rPr>
          <w:rFonts w:hint="eastAsia" w:ascii="宋体" w:hAnsi="宋体" w:cs="宋体"/>
          <w:b/>
          <w:bCs/>
          <w:sz w:val="32"/>
          <w:szCs w:val="32"/>
        </w:rPr>
        <w:t>23.截止时间后的撤回</w:t>
      </w:r>
    </w:p>
    <w:p w14:paraId="638533E1">
      <w:pPr>
        <w:spacing w:line="360" w:lineRule="auto"/>
        <w:ind w:firstLine="480" w:firstLineChars="200"/>
        <w:rPr>
          <w:rFonts w:ascii="宋体" w:hAnsi="宋体" w:cs="宋体"/>
          <w:sz w:val="24"/>
        </w:rPr>
      </w:pPr>
      <w:r>
        <w:rPr>
          <w:rFonts w:hint="eastAsia" w:ascii="宋体" w:hAnsi="宋体" w:cs="宋体"/>
          <w:sz w:val="24"/>
        </w:rPr>
        <w:t>23.1供应商在首次响应文件提交截止时间后书面通知采购人、采购代理机构书面撤回响应文件的，将根据本须知正文17.4的规定不予退还其谈判保证金。</w:t>
      </w:r>
    </w:p>
    <w:p w14:paraId="0824179B">
      <w:pPr>
        <w:spacing w:line="360" w:lineRule="auto"/>
        <w:ind w:firstLine="480" w:firstLineChars="200"/>
        <w:rPr>
          <w:rFonts w:ascii="宋体" w:hAnsi="宋体" w:cs="宋体"/>
          <w:sz w:val="24"/>
        </w:rPr>
      </w:pPr>
    </w:p>
    <w:p w14:paraId="6BAA591E">
      <w:pPr>
        <w:spacing w:line="360" w:lineRule="auto"/>
        <w:jc w:val="center"/>
        <w:rPr>
          <w:rFonts w:ascii="宋体" w:hAnsi="宋体" w:cs="宋体"/>
          <w:b/>
          <w:sz w:val="40"/>
          <w:szCs w:val="40"/>
        </w:rPr>
      </w:pPr>
      <w:r>
        <w:rPr>
          <w:rFonts w:hint="eastAsia" w:ascii="宋体" w:hAnsi="宋体" w:cs="宋体"/>
          <w:b/>
          <w:sz w:val="40"/>
          <w:szCs w:val="40"/>
        </w:rPr>
        <w:t>四、评审及谈判</w:t>
      </w:r>
    </w:p>
    <w:p w14:paraId="0129BC81">
      <w:pPr>
        <w:spacing w:line="360" w:lineRule="auto"/>
        <w:ind w:firstLine="420"/>
        <w:rPr>
          <w:rFonts w:ascii="宋体" w:hAnsi="宋体" w:cs="宋体"/>
          <w:sz w:val="24"/>
        </w:rPr>
      </w:pPr>
    </w:p>
    <w:p w14:paraId="393143DB">
      <w:pPr>
        <w:spacing w:line="360" w:lineRule="auto"/>
        <w:ind w:firstLine="643" w:firstLineChars="200"/>
        <w:rPr>
          <w:rFonts w:ascii="宋体" w:hAnsi="宋体" w:cs="宋体"/>
          <w:b/>
          <w:bCs/>
          <w:sz w:val="32"/>
          <w:szCs w:val="32"/>
        </w:rPr>
      </w:pPr>
      <w:r>
        <w:rPr>
          <w:rFonts w:hint="eastAsia" w:ascii="宋体" w:hAnsi="宋体" w:cs="宋体"/>
          <w:b/>
          <w:bCs/>
          <w:sz w:val="32"/>
          <w:szCs w:val="32"/>
        </w:rPr>
        <w:t>24.谈判小组成立</w:t>
      </w:r>
    </w:p>
    <w:p w14:paraId="3204FBBB">
      <w:pPr>
        <w:spacing w:line="360" w:lineRule="auto"/>
        <w:ind w:firstLine="480" w:firstLineChars="200"/>
        <w:rPr>
          <w:rFonts w:ascii="宋体" w:hAnsi="宋体" w:cs="宋体"/>
          <w:sz w:val="24"/>
        </w:rPr>
      </w:pPr>
      <w:r>
        <w:rPr>
          <w:rFonts w:hint="eastAsia" w:ascii="宋体" w:hAnsi="宋体" w:cs="宋体"/>
          <w:sz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43A0BB4">
      <w:pPr>
        <w:spacing w:line="360" w:lineRule="auto"/>
        <w:ind w:firstLine="480" w:firstLineChars="200"/>
        <w:rPr>
          <w:rFonts w:ascii="宋体" w:hAnsi="宋体" w:cs="宋体"/>
          <w:sz w:val="24"/>
        </w:rPr>
      </w:pPr>
      <w:r>
        <w:rPr>
          <w:rFonts w:hint="eastAsia" w:ascii="宋体" w:hAnsi="宋体" w:cs="宋体"/>
          <w:sz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1DFB8E7">
      <w:pPr>
        <w:spacing w:line="360" w:lineRule="auto"/>
        <w:ind w:firstLine="643" w:firstLineChars="200"/>
        <w:rPr>
          <w:rFonts w:ascii="宋体" w:hAnsi="宋体" w:cs="宋体"/>
          <w:b/>
          <w:bCs/>
          <w:sz w:val="32"/>
          <w:szCs w:val="32"/>
        </w:rPr>
      </w:pPr>
      <w:r>
        <w:rPr>
          <w:rFonts w:hint="eastAsia" w:ascii="宋体" w:hAnsi="宋体" w:cs="宋体"/>
          <w:b/>
          <w:bCs/>
          <w:sz w:val="32"/>
          <w:szCs w:val="32"/>
        </w:rPr>
        <w:t>25.首次响应文件的开启</w:t>
      </w:r>
    </w:p>
    <w:p w14:paraId="3EC55ED1">
      <w:pPr>
        <w:spacing w:line="360" w:lineRule="auto"/>
        <w:ind w:firstLine="480" w:firstLineChars="200"/>
        <w:rPr>
          <w:rFonts w:ascii="宋体" w:hAnsi="宋体" w:cs="宋体"/>
          <w:sz w:val="24"/>
        </w:rPr>
      </w:pPr>
      <w:r>
        <w:rPr>
          <w:rFonts w:hint="eastAsia" w:ascii="宋体" w:hAnsi="宋体" w:cs="宋体"/>
          <w:sz w:val="24"/>
        </w:rPr>
        <w:t>25.1首次响应文件由谈判小组或者采购代理机构在“供应商须知前附表”规定的时间开启。</w:t>
      </w:r>
    </w:p>
    <w:p w14:paraId="34D35D28">
      <w:pPr>
        <w:spacing w:line="360" w:lineRule="auto"/>
        <w:ind w:firstLine="480" w:firstLineChars="200"/>
        <w:rPr>
          <w:rFonts w:ascii="宋体" w:hAnsi="宋体" w:cs="宋体"/>
          <w:sz w:val="24"/>
        </w:rPr>
      </w:pPr>
      <w:r>
        <w:rPr>
          <w:rFonts w:hint="eastAsia" w:ascii="宋体" w:hAnsi="宋体" w:cs="宋体"/>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响应文件未按时解密的，视为响应文件无效。</w:t>
      </w:r>
      <w:r>
        <w:rPr>
          <w:rFonts w:hint="eastAsia" w:ascii="宋体" w:hAnsi="宋体" w:cs="宋体"/>
          <w:sz w:val="24"/>
        </w:rPr>
        <w:t>（解密异常情况处理：详见本章26.2电子交易活动的中止。）</w:t>
      </w:r>
    </w:p>
    <w:p w14:paraId="2BA98A38">
      <w:pPr>
        <w:spacing w:line="360" w:lineRule="auto"/>
        <w:ind w:firstLine="480" w:firstLineChars="200"/>
        <w:rPr>
          <w:rFonts w:ascii="宋体" w:hAnsi="宋体" w:cs="宋体"/>
          <w:sz w:val="24"/>
        </w:rPr>
      </w:pPr>
      <w:r>
        <w:rPr>
          <w:rFonts w:hint="eastAsia" w:ascii="宋体" w:hAnsi="宋体" w:cs="宋体"/>
          <w:sz w:val="24"/>
        </w:rPr>
        <w:t>25.3成功解密响应文件的供应商不足3家的，不得谈判。</w:t>
      </w:r>
    </w:p>
    <w:p w14:paraId="22285326">
      <w:pPr>
        <w:spacing w:line="360" w:lineRule="auto"/>
        <w:ind w:firstLine="643" w:firstLineChars="200"/>
        <w:rPr>
          <w:rFonts w:ascii="宋体" w:hAnsi="宋体" w:cs="宋体"/>
          <w:b/>
          <w:bCs/>
          <w:sz w:val="32"/>
          <w:szCs w:val="32"/>
        </w:rPr>
      </w:pPr>
      <w:r>
        <w:rPr>
          <w:rFonts w:hint="eastAsia" w:ascii="宋体" w:hAnsi="宋体" w:cs="宋体"/>
          <w:b/>
          <w:bCs/>
          <w:sz w:val="32"/>
          <w:szCs w:val="32"/>
        </w:rPr>
        <w:t>26.评审程序和评定成交的标准</w:t>
      </w:r>
    </w:p>
    <w:p w14:paraId="000A9341">
      <w:pPr>
        <w:spacing w:line="360" w:lineRule="auto"/>
        <w:ind w:firstLine="480" w:firstLineChars="200"/>
        <w:rPr>
          <w:rFonts w:ascii="宋体" w:hAnsi="宋体" w:cs="宋体"/>
          <w:sz w:val="24"/>
        </w:rPr>
      </w:pPr>
      <w:r>
        <w:rPr>
          <w:rFonts w:hint="eastAsia" w:ascii="宋体" w:hAnsi="宋体" w:cs="宋体"/>
          <w:sz w:val="24"/>
        </w:rPr>
        <w:t>26.1谈判小组按照“第四章  评审程序和评定成交的标准”规定的评审程序对响应文件进行评审，并按照评定成交的标准推荐成交候选供应商。</w:t>
      </w:r>
    </w:p>
    <w:p w14:paraId="30BFCBCD">
      <w:pPr>
        <w:spacing w:line="360" w:lineRule="auto"/>
        <w:ind w:firstLine="480" w:firstLineChars="200"/>
        <w:rPr>
          <w:rFonts w:ascii="宋体" w:hAnsi="宋体" w:cs="宋体"/>
          <w:sz w:val="24"/>
        </w:rPr>
      </w:pPr>
      <w:r>
        <w:rPr>
          <w:rFonts w:hint="eastAsia" w:ascii="宋体" w:hAnsi="宋体" w:cs="宋体"/>
          <w:sz w:val="24"/>
        </w:rPr>
        <w:t>26.2电子交易活动的中止。采购过程中出现以下情形，导致电子交易平台无法正常运行，或者无法保证电子交易的公平、公正和安全时，采购机构可中止电子交易活动：</w:t>
      </w:r>
    </w:p>
    <w:p w14:paraId="48FA513D">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60B6980">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3EDB3342">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7A4A4A0F">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14:paraId="0F080E8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）其他无法保证电子交易的公平、公正和安全的情况。</w:t>
      </w:r>
    </w:p>
    <w:p w14:paraId="4322D651">
      <w:pPr>
        <w:spacing w:line="360" w:lineRule="auto"/>
        <w:ind w:firstLine="480" w:firstLineChars="200"/>
        <w:rPr>
          <w:rFonts w:ascii="宋体" w:hAnsi="宋体" w:cs="宋体"/>
          <w:sz w:val="24"/>
        </w:rPr>
      </w:pPr>
      <w:r>
        <w:rPr>
          <w:rFonts w:hint="eastAsia" w:ascii="宋体" w:hAnsi="宋体" w:cs="宋体"/>
          <w:sz w:val="24"/>
        </w:rPr>
        <w:t>26.3出现以上情形，不影响采购公平、公正性的，采购代理机构可以待上述情形消除后继续组织电子交易活动；影响或可能影响采购公平、公正性的，经采购代理机构确认后，应当重新采购。</w:t>
      </w:r>
    </w:p>
    <w:p w14:paraId="2A84C9E1">
      <w:pPr>
        <w:spacing w:line="360" w:lineRule="auto"/>
        <w:ind w:firstLine="643" w:firstLineChars="200"/>
        <w:rPr>
          <w:rFonts w:ascii="宋体" w:hAnsi="宋体" w:cs="宋体"/>
          <w:b/>
          <w:bCs/>
          <w:sz w:val="32"/>
          <w:szCs w:val="32"/>
        </w:rPr>
      </w:pPr>
      <w:r>
        <w:rPr>
          <w:rFonts w:hint="eastAsia" w:ascii="宋体" w:hAnsi="宋体" w:cs="宋体"/>
          <w:b/>
          <w:bCs/>
          <w:sz w:val="32"/>
          <w:szCs w:val="32"/>
        </w:rPr>
        <w:t>27.确定成交供应商及结果公告</w:t>
      </w:r>
    </w:p>
    <w:p w14:paraId="43417828">
      <w:pPr>
        <w:spacing w:line="360" w:lineRule="auto"/>
        <w:ind w:firstLine="480" w:firstLineChars="200"/>
        <w:rPr>
          <w:rFonts w:ascii="宋体" w:hAnsi="宋体" w:cs="宋体"/>
          <w:sz w:val="24"/>
        </w:rPr>
      </w:pPr>
      <w:r>
        <w:rPr>
          <w:rFonts w:hint="eastAsia" w:ascii="宋体" w:hAnsi="宋体" w:cs="宋体"/>
          <w:sz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41AB71F2">
      <w:pPr>
        <w:pStyle w:val="9"/>
        <w:spacing w:line="360" w:lineRule="auto"/>
        <w:ind w:firstLine="480" w:firstLineChars="200"/>
        <w:jc w:val="both"/>
        <w:rPr>
          <w:rFonts w:ascii="宋体" w:hAnsi="宋体" w:cs="宋体"/>
          <w:kern w:val="0"/>
          <w:sz w:val="24"/>
        </w:rPr>
      </w:pPr>
      <w:r>
        <w:rPr>
          <w:rFonts w:hint="eastAsia" w:ascii="宋体" w:hAnsi="宋体" w:cs="宋体"/>
          <w:kern w:val="0"/>
          <w:sz w:val="24"/>
        </w:rPr>
        <w:t>27.2采购代理机构应当在成交供应商确定后2个工作日内，在省级以上财政部门指定的媒体上公告成交结果，同时向成交供应商发出成交通知书。</w:t>
      </w:r>
      <w:r>
        <w:rPr>
          <w:rFonts w:hint="eastAsia" w:ascii="宋体" w:hAnsi="宋体" w:cs="宋体"/>
          <w:b/>
          <w:kern w:val="0"/>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kern w:val="0"/>
          <w:sz w:val="24"/>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sz w:val="24"/>
        </w:rPr>
        <w:t>成交供应商享受《政府采购促进中小企业发展管理办法》（财库〔2020〕46号）规定的中小企业扶持政策的，采购人、采购代理机构应当随成交结果公开成交供应商的《中小企业声明函》。</w:t>
      </w:r>
    </w:p>
    <w:p w14:paraId="693F1B77">
      <w:pPr>
        <w:pStyle w:val="9"/>
        <w:spacing w:line="360" w:lineRule="auto"/>
        <w:ind w:firstLine="480" w:firstLineChars="200"/>
        <w:jc w:val="both"/>
        <w:rPr>
          <w:rFonts w:ascii="宋体" w:hAnsi="宋体" w:cs="宋体"/>
          <w:sz w:val="24"/>
        </w:rPr>
      </w:pPr>
      <w:r>
        <w:rPr>
          <w:rFonts w:hint="eastAsia" w:ascii="宋体" w:hAnsi="宋体" w:cs="宋体"/>
          <w:sz w:val="24"/>
        </w:rPr>
        <w:t>27.3出现下列情形之一的，采购人或者采购代理机构应当终止竞争性谈判采购活动，发布项目终止公告并说明原因，重新开展采购活动：</w:t>
      </w:r>
    </w:p>
    <w:p w14:paraId="350D9A2B">
      <w:pPr>
        <w:pStyle w:val="9"/>
        <w:spacing w:line="360" w:lineRule="auto"/>
        <w:ind w:firstLine="480" w:firstLineChars="200"/>
        <w:jc w:val="both"/>
        <w:rPr>
          <w:rFonts w:ascii="宋体" w:hAnsi="宋体" w:cs="宋体"/>
          <w:sz w:val="24"/>
        </w:rPr>
      </w:pPr>
      <w:r>
        <w:rPr>
          <w:rFonts w:hint="eastAsia" w:ascii="宋体" w:hAnsi="宋体" w:cs="宋体"/>
          <w:sz w:val="24"/>
        </w:rPr>
        <w:t>（一）因情况变化，不再符合规定的竞争性谈判采购方式适用情形的；</w:t>
      </w:r>
    </w:p>
    <w:p w14:paraId="65E039B6">
      <w:pPr>
        <w:pStyle w:val="9"/>
        <w:spacing w:line="360" w:lineRule="auto"/>
        <w:ind w:firstLine="480" w:firstLineChars="200"/>
        <w:jc w:val="both"/>
        <w:rPr>
          <w:rFonts w:ascii="宋体" w:hAnsi="宋体" w:cs="宋体"/>
          <w:sz w:val="24"/>
        </w:rPr>
      </w:pPr>
      <w:r>
        <w:rPr>
          <w:rFonts w:hint="eastAsia" w:ascii="宋体" w:hAnsi="宋体" w:cs="宋体"/>
          <w:sz w:val="24"/>
        </w:rPr>
        <w:t>（二）出现影响采购公正的违法、违规行为的；</w:t>
      </w:r>
    </w:p>
    <w:p w14:paraId="6612F001">
      <w:pPr>
        <w:pStyle w:val="9"/>
        <w:spacing w:line="360" w:lineRule="auto"/>
        <w:ind w:firstLine="480" w:firstLineChars="200"/>
        <w:jc w:val="both"/>
        <w:rPr>
          <w:rFonts w:ascii="宋体" w:hAnsi="宋体" w:cs="宋体"/>
          <w:sz w:val="24"/>
        </w:rPr>
      </w:pPr>
      <w:r>
        <w:rPr>
          <w:rFonts w:hint="eastAsia" w:ascii="宋体" w:hAnsi="宋体" w:cs="宋体"/>
          <w:sz w:val="24"/>
        </w:rPr>
        <w:t>（三）在采购过程中符合竞争要求的供应商或者报价未超过采购预算的供应商不足3家的，但“第四章 评审程序和评定成交的标准”第3.7条规定的情形除外。</w:t>
      </w:r>
    </w:p>
    <w:p w14:paraId="7F8E3DFC">
      <w:pPr>
        <w:pStyle w:val="9"/>
        <w:spacing w:line="360" w:lineRule="auto"/>
        <w:ind w:firstLine="480" w:firstLineChars="200"/>
        <w:rPr>
          <w:rFonts w:ascii="宋体" w:hAnsi="宋体" w:cs="宋体"/>
          <w:sz w:val="24"/>
        </w:rPr>
      </w:pPr>
      <w:r>
        <w:rPr>
          <w:rFonts w:hint="eastAsia" w:ascii="宋体" w:hAnsi="宋体" w:cs="宋体"/>
          <w:sz w:val="24"/>
        </w:rPr>
        <w:t>27.4在采购活动中因重大变故，采购任务取消的，采购人或者采购代理机构应当终止采购活动，通知所有参加采购活动的供应商。</w:t>
      </w:r>
    </w:p>
    <w:p w14:paraId="0EECF4C5">
      <w:pPr>
        <w:pStyle w:val="9"/>
        <w:spacing w:line="360" w:lineRule="auto"/>
        <w:ind w:firstLine="480" w:firstLineChars="200"/>
        <w:rPr>
          <w:rFonts w:ascii="宋体" w:hAnsi="宋体" w:cs="宋体"/>
          <w:sz w:val="24"/>
        </w:rPr>
      </w:pPr>
      <w:r>
        <w:rPr>
          <w:rFonts w:hint="eastAsia" w:ascii="宋体" w:hAnsi="宋体" w:cs="宋体"/>
          <w:bCs/>
          <w:sz w:val="24"/>
        </w:rPr>
        <w:t>27.5</w:t>
      </w:r>
      <w:r>
        <w:rPr>
          <w:rFonts w:hint="eastAsia" w:ascii="宋体" w:hAnsi="宋体" w:cs="宋体"/>
          <w:sz w:val="24"/>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4BEDCC4">
      <w:pPr>
        <w:pStyle w:val="9"/>
        <w:spacing w:line="360" w:lineRule="auto"/>
        <w:ind w:firstLine="482" w:firstLineChars="200"/>
        <w:rPr>
          <w:rFonts w:ascii="宋体" w:hAnsi="宋体" w:cs="宋体"/>
          <w:b/>
          <w:sz w:val="24"/>
        </w:rPr>
      </w:pPr>
      <w:r>
        <w:rPr>
          <w:rFonts w:hint="eastAsia" w:ascii="宋体" w:hAnsi="宋体" w:cs="宋体"/>
          <w:b/>
          <w:sz w:val="24"/>
        </w:rPr>
        <w:t>除因不可抗力外，成交供应商不与采购人签订合同的，除不予退还其谈判保证金外，若给采购人造成损失，或（并）因此延误采购人教学科研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14:paraId="3376E5BC">
      <w:pPr>
        <w:spacing w:line="360" w:lineRule="auto"/>
        <w:ind w:firstLine="643" w:firstLineChars="200"/>
        <w:rPr>
          <w:rFonts w:ascii="宋体" w:hAnsi="宋体" w:cs="宋体"/>
          <w:b/>
          <w:bCs/>
          <w:sz w:val="32"/>
          <w:szCs w:val="32"/>
        </w:rPr>
      </w:pPr>
      <w:r>
        <w:rPr>
          <w:rFonts w:hint="eastAsia" w:ascii="宋体" w:hAnsi="宋体" w:cs="宋体"/>
          <w:b/>
          <w:bCs/>
          <w:sz w:val="32"/>
          <w:szCs w:val="32"/>
        </w:rPr>
        <w:t>28.履约保证金</w:t>
      </w:r>
    </w:p>
    <w:p w14:paraId="735831AA">
      <w:pPr>
        <w:pStyle w:val="9"/>
        <w:spacing w:line="360" w:lineRule="auto"/>
        <w:ind w:firstLine="480" w:firstLineChars="200"/>
        <w:rPr>
          <w:rFonts w:ascii="宋体" w:hAnsi="宋体" w:cs="宋体"/>
          <w:sz w:val="24"/>
          <w:szCs w:val="32"/>
        </w:rPr>
      </w:pPr>
      <w:r>
        <w:rPr>
          <w:rFonts w:hint="eastAsia" w:ascii="宋体" w:hAnsi="宋体" w:cs="宋体"/>
          <w:sz w:val="24"/>
        </w:rPr>
        <w:t>28.1履约保证金的金额、提交方式、退付的时间和条件详见 “供应商须知前附表”。</w:t>
      </w:r>
    </w:p>
    <w:p w14:paraId="197634D5">
      <w:pPr>
        <w:spacing w:line="360" w:lineRule="auto"/>
        <w:ind w:firstLine="484" w:firstLineChars="202"/>
        <w:rPr>
          <w:rFonts w:ascii="宋体" w:hAnsi="宋体" w:cs="宋体"/>
          <w:sz w:val="24"/>
        </w:rPr>
      </w:pPr>
      <w:r>
        <w:rPr>
          <w:rFonts w:hint="eastAsia" w:ascii="宋体" w:hAnsi="宋体" w:cs="宋体"/>
          <w:sz w:val="24"/>
        </w:rPr>
        <w:t>28.2在履约保证金退还日期前，若成交供应商的开户名称、开户银行、帐号有变动的，请以书面形式通知履约保证金收取单位，否则由此产生的后果由成交供应商自负。</w:t>
      </w:r>
    </w:p>
    <w:p w14:paraId="66D57C69">
      <w:pPr>
        <w:spacing w:line="360" w:lineRule="auto"/>
        <w:ind w:firstLine="643" w:firstLineChars="200"/>
        <w:rPr>
          <w:rFonts w:ascii="宋体" w:hAnsi="宋体" w:cs="宋体"/>
          <w:b/>
          <w:bCs/>
          <w:sz w:val="32"/>
          <w:szCs w:val="32"/>
        </w:rPr>
      </w:pPr>
      <w:r>
        <w:rPr>
          <w:rFonts w:hint="eastAsia" w:ascii="宋体" w:hAnsi="宋体" w:cs="宋体"/>
          <w:b/>
          <w:bCs/>
          <w:sz w:val="32"/>
          <w:szCs w:val="32"/>
        </w:rPr>
        <w:t>29.签订合同</w:t>
      </w:r>
    </w:p>
    <w:p w14:paraId="2712A85B">
      <w:pPr>
        <w:spacing w:line="360" w:lineRule="auto"/>
        <w:ind w:firstLine="484" w:firstLineChars="202"/>
        <w:rPr>
          <w:rFonts w:ascii="宋体" w:hAnsi="宋体" w:cs="宋体"/>
          <w:sz w:val="24"/>
        </w:rPr>
      </w:pPr>
      <w:r>
        <w:rPr>
          <w:rFonts w:hint="eastAsia" w:ascii="宋体" w:hAnsi="宋体" w:cs="宋体"/>
          <w:sz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14:paraId="11D1673B">
      <w:pPr>
        <w:spacing w:line="360" w:lineRule="auto"/>
        <w:ind w:firstLine="484" w:firstLineChars="202"/>
        <w:rPr>
          <w:rFonts w:ascii="宋体" w:hAnsi="宋体" w:cs="宋体"/>
          <w:sz w:val="24"/>
        </w:rPr>
      </w:pPr>
      <w:r>
        <w:rPr>
          <w:rFonts w:hint="eastAsia" w:ascii="宋体" w:hAnsi="宋体" w:cs="宋体"/>
          <w:sz w:val="24"/>
        </w:rPr>
        <w:t>29.2 签订合同时间：按成交通知书的规定与采购人签订政府采购合同（最长不能超过25日）。</w:t>
      </w:r>
    </w:p>
    <w:p w14:paraId="2971F071">
      <w:pPr>
        <w:spacing w:line="360" w:lineRule="auto"/>
        <w:ind w:firstLine="484" w:firstLineChars="202"/>
        <w:rPr>
          <w:rFonts w:ascii="宋体" w:hAnsi="宋体" w:cs="宋体"/>
          <w:sz w:val="24"/>
        </w:rPr>
      </w:pPr>
      <w:r>
        <w:rPr>
          <w:rFonts w:hint="eastAsia" w:ascii="宋体" w:hAnsi="宋体" w:cs="宋体"/>
          <w:sz w:val="24"/>
        </w:rPr>
        <w:t>29.3成交供应商拒绝与采购人签订合同的，按照本文件之《供应商须知正文》第27.5条的规定执行。</w:t>
      </w:r>
    </w:p>
    <w:p w14:paraId="1321E6C3">
      <w:pPr>
        <w:spacing w:line="360" w:lineRule="auto"/>
        <w:ind w:firstLine="643" w:firstLineChars="200"/>
        <w:rPr>
          <w:rFonts w:ascii="宋体" w:hAnsi="宋体" w:cs="宋体"/>
          <w:b/>
          <w:bCs/>
          <w:sz w:val="32"/>
          <w:szCs w:val="32"/>
        </w:rPr>
      </w:pPr>
      <w:r>
        <w:rPr>
          <w:rFonts w:hint="eastAsia" w:ascii="宋体" w:hAnsi="宋体" w:cs="宋体"/>
          <w:b/>
          <w:bCs/>
          <w:sz w:val="32"/>
          <w:szCs w:val="32"/>
        </w:rPr>
        <w:t>30.政府采购合同公告</w:t>
      </w:r>
    </w:p>
    <w:p w14:paraId="169E73CD">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7CD3259">
      <w:pPr>
        <w:spacing w:line="360" w:lineRule="auto"/>
        <w:ind w:firstLine="643" w:firstLineChars="200"/>
        <w:rPr>
          <w:rFonts w:ascii="宋体" w:hAnsi="宋体" w:cs="宋体"/>
          <w:b/>
          <w:bCs/>
          <w:sz w:val="32"/>
          <w:szCs w:val="32"/>
        </w:rPr>
      </w:pPr>
      <w:r>
        <w:rPr>
          <w:rFonts w:hint="eastAsia" w:ascii="宋体" w:hAnsi="宋体" w:cs="宋体"/>
          <w:b/>
          <w:bCs/>
          <w:sz w:val="32"/>
          <w:szCs w:val="32"/>
        </w:rPr>
        <w:t>31.询问、质疑和投诉</w:t>
      </w:r>
    </w:p>
    <w:p w14:paraId="761166FB">
      <w:pPr>
        <w:pStyle w:val="7"/>
        <w:spacing w:line="360" w:lineRule="auto"/>
        <w:rPr>
          <w:rFonts w:ascii="宋体" w:hAnsi="宋体" w:cs="宋体"/>
          <w:sz w:val="24"/>
          <w:szCs w:val="24"/>
        </w:rPr>
      </w:pPr>
      <w:r>
        <w:rPr>
          <w:rFonts w:hint="eastAsia" w:ascii="宋体" w:hAnsi="宋体" w:cs="宋体"/>
          <w:sz w:val="24"/>
          <w:szCs w:val="22"/>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sz w:val="24"/>
          <w:szCs w:val="24"/>
        </w:rPr>
        <w:t>但答复的内容不得涉及商业秘密。</w:t>
      </w:r>
    </w:p>
    <w:p w14:paraId="14A8A58B">
      <w:pPr>
        <w:spacing w:line="360" w:lineRule="auto"/>
        <w:ind w:firstLine="480" w:firstLineChars="200"/>
        <w:rPr>
          <w:rFonts w:ascii="宋体" w:hAnsi="宋体" w:cs="宋体"/>
          <w:sz w:val="24"/>
          <w:szCs w:val="32"/>
        </w:rPr>
      </w:pPr>
      <w:r>
        <w:rPr>
          <w:rFonts w:hint="eastAsia" w:ascii="宋体" w:hAnsi="宋体" w:cs="宋体"/>
          <w:sz w:val="24"/>
          <w:szCs w:val="32"/>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sz w:val="24"/>
          <w:szCs w:val="32"/>
          <w:shd w:val="clear" w:color="auto" w:fill="FFFFFF"/>
        </w:rPr>
        <w:t>接收质疑函的方式、联系部门、联系电话和通讯地址等信息</w:t>
      </w:r>
      <w:r>
        <w:rPr>
          <w:rFonts w:hint="eastAsia" w:ascii="宋体" w:hAnsi="宋体" w:cs="宋体"/>
          <w:sz w:val="24"/>
        </w:rPr>
        <w:t>详见“供应商须知前附表”</w:t>
      </w:r>
      <w:r>
        <w:rPr>
          <w:rFonts w:hint="eastAsia" w:ascii="宋体" w:hAnsi="宋体" w:cs="宋体"/>
          <w:sz w:val="24"/>
          <w:szCs w:val="32"/>
        </w:rPr>
        <w:t>。供应商应当在法定质疑期内一次性提出针对同一采购程序环节的质疑。具体质疑起算时间如下：</w:t>
      </w:r>
    </w:p>
    <w:p w14:paraId="24E390CD">
      <w:pPr>
        <w:spacing w:line="360" w:lineRule="auto"/>
        <w:ind w:firstLine="480" w:firstLineChars="200"/>
        <w:rPr>
          <w:rFonts w:ascii="宋体" w:hAnsi="宋体" w:cs="宋体"/>
          <w:sz w:val="24"/>
          <w:szCs w:val="32"/>
        </w:rPr>
      </w:pPr>
      <w:r>
        <w:rPr>
          <w:rFonts w:hint="eastAsia" w:ascii="宋体" w:hAnsi="宋体" w:cs="宋体"/>
          <w:sz w:val="24"/>
          <w:szCs w:val="32"/>
        </w:rPr>
        <w:t>（1）对可以质疑的谈判文件提出质疑的，为获取谈判文件之日；</w:t>
      </w:r>
    </w:p>
    <w:p w14:paraId="4936D101">
      <w:pPr>
        <w:spacing w:line="360" w:lineRule="auto"/>
        <w:ind w:firstLine="480" w:firstLineChars="200"/>
        <w:rPr>
          <w:rFonts w:ascii="宋体" w:hAnsi="宋体" w:cs="宋体"/>
          <w:sz w:val="24"/>
          <w:szCs w:val="32"/>
        </w:rPr>
      </w:pPr>
      <w:r>
        <w:rPr>
          <w:rFonts w:hint="eastAsia" w:ascii="宋体" w:hAnsi="宋体" w:cs="宋体"/>
          <w:sz w:val="24"/>
          <w:szCs w:val="32"/>
        </w:rPr>
        <w:t>（2）对采购过程提出质疑的，为各采购程序环节结束之日；</w:t>
      </w:r>
    </w:p>
    <w:p w14:paraId="56FCE69C">
      <w:pPr>
        <w:spacing w:line="360" w:lineRule="auto"/>
        <w:ind w:firstLine="480" w:firstLineChars="200"/>
        <w:rPr>
          <w:rFonts w:ascii="宋体" w:hAnsi="宋体" w:cs="宋体"/>
          <w:sz w:val="24"/>
          <w:szCs w:val="32"/>
        </w:rPr>
      </w:pPr>
      <w:r>
        <w:rPr>
          <w:rFonts w:hint="eastAsia" w:ascii="宋体" w:hAnsi="宋体" w:cs="宋体"/>
          <w:sz w:val="24"/>
          <w:szCs w:val="32"/>
        </w:rPr>
        <w:t>（3）对成交结果提出质疑的，为成交结果公告期限届满之日。</w:t>
      </w:r>
    </w:p>
    <w:p w14:paraId="3F27C0F2">
      <w:pPr>
        <w:spacing w:line="360" w:lineRule="auto"/>
        <w:ind w:firstLine="480" w:firstLineChars="200"/>
        <w:rPr>
          <w:rFonts w:ascii="宋体" w:hAnsi="宋体" w:cs="宋体"/>
          <w:sz w:val="24"/>
          <w:szCs w:val="32"/>
        </w:rPr>
      </w:pPr>
      <w:r>
        <w:rPr>
          <w:rFonts w:hint="eastAsia" w:ascii="宋体" w:hAnsi="宋体" w:cs="宋体"/>
          <w:sz w:val="24"/>
          <w:szCs w:val="32"/>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321C852">
      <w:pPr>
        <w:spacing w:line="360" w:lineRule="auto"/>
        <w:ind w:firstLine="480" w:firstLineChars="200"/>
        <w:rPr>
          <w:rFonts w:ascii="宋体" w:hAnsi="宋体" w:cs="宋体"/>
          <w:sz w:val="24"/>
          <w:szCs w:val="32"/>
        </w:rPr>
      </w:pPr>
      <w:r>
        <w:rPr>
          <w:rFonts w:hint="eastAsia" w:ascii="宋体" w:hAnsi="宋体" w:cs="宋体"/>
          <w:sz w:val="24"/>
          <w:szCs w:val="32"/>
        </w:rPr>
        <w:t>31.4供应商提出质疑应当提交质疑函和必要的证明材料，针对同一采购程序环节的质疑必须在法定质疑期内一次性提出。质疑函应当包括下列内容</w:t>
      </w:r>
      <w:r>
        <w:rPr>
          <w:rFonts w:hint="eastAsia" w:ascii="宋体" w:hAnsi="宋体" w:cs="宋体"/>
          <w:bCs/>
          <w:sz w:val="24"/>
          <w:szCs w:val="32"/>
        </w:rPr>
        <w:t>（质疑函格式后附）</w:t>
      </w:r>
      <w:r>
        <w:rPr>
          <w:rFonts w:hint="eastAsia" w:ascii="宋体" w:hAnsi="宋体" w:cs="宋体"/>
          <w:sz w:val="24"/>
          <w:szCs w:val="32"/>
        </w:rPr>
        <w:t>：</w:t>
      </w:r>
    </w:p>
    <w:p w14:paraId="720EEBC5">
      <w:pPr>
        <w:spacing w:line="360" w:lineRule="auto"/>
        <w:ind w:firstLine="480" w:firstLineChars="200"/>
        <w:rPr>
          <w:rFonts w:ascii="宋体" w:hAnsi="宋体" w:cs="宋体"/>
          <w:sz w:val="24"/>
          <w:szCs w:val="32"/>
        </w:rPr>
      </w:pPr>
      <w:r>
        <w:rPr>
          <w:rFonts w:hint="eastAsia" w:ascii="宋体" w:hAnsi="宋体" w:cs="宋体"/>
          <w:sz w:val="24"/>
          <w:szCs w:val="32"/>
        </w:rPr>
        <w:t>（1）供应商的姓名或者名称、地址、邮编、联系人及联系电话；</w:t>
      </w:r>
    </w:p>
    <w:p w14:paraId="4177D9AE">
      <w:pPr>
        <w:spacing w:line="360" w:lineRule="auto"/>
        <w:ind w:firstLine="480" w:firstLineChars="200"/>
        <w:rPr>
          <w:rFonts w:ascii="宋体" w:hAnsi="宋体" w:cs="宋体"/>
          <w:sz w:val="24"/>
          <w:szCs w:val="32"/>
        </w:rPr>
      </w:pPr>
      <w:r>
        <w:rPr>
          <w:rFonts w:hint="eastAsia" w:ascii="宋体" w:hAnsi="宋体" w:cs="宋体"/>
          <w:sz w:val="24"/>
          <w:szCs w:val="32"/>
        </w:rPr>
        <w:t>（2）质疑项目的名称、编号；</w:t>
      </w:r>
    </w:p>
    <w:p w14:paraId="2DE6BE74">
      <w:pPr>
        <w:spacing w:line="360" w:lineRule="auto"/>
        <w:ind w:firstLine="480" w:firstLineChars="200"/>
        <w:rPr>
          <w:rFonts w:ascii="宋体" w:hAnsi="宋体" w:cs="宋体"/>
          <w:sz w:val="24"/>
          <w:szCs w:val="32"/>
        </w:rPr>
      </w:pPr>
      <w:r>
        <w:rPr>
          <w:rFonts w:hint="eastAsia" w:ascii="宋体" w:hAnsi="宋体" w:cs="宋体"/>
          <w:sz w:val="24"/>
          <w:szCs w:val="32"/>
        </w:rPr>
        <w:t>（3）具体、明确的质疑事项和与质疑事项相关的请求；</w:t>
      </w:r>
    </w:p>
    <w:p w14:paraId="0825449B">
      <w:pPr>
        <w:spacing w:line="360" w:lineRule="auto"/>
        <w:ind w:firstLine="480" w:firstLineChars="200"/>
        <w:rPr>
          <w:rFonts w:ascii="宋体" w:hAnsi="宋体" w:cs="宋体"/>
          <w:sz w:val="24"/>
          <w:szCs w:val="32"/>
        </w:rPr>
      </w:pPr>
      <w:r>
        <w:rPr>
          <w:rFonts w:hint="eastAsia" w:ascii="宋体" w:hAnsi="宋体" w:cs="宋体"/>
          <w:sz w:val="24"/>
          <w:szCs w:val="32"/>
        </w:rPr>
        <w:t>（4）事实依据；</w:t>
      </w:r>
    </w:p>
    <w:p w14:paraId="18C5A755">
      <w:pPr>
        <w:spacing w:line="360" w:lineRule="auto"/>
        <w:ind w:firstLine="480" w:firstLineChars="200"/>
        <w:rPr>
          <w:rFonts w:ascii="宋体" w:hAnsi="宋体" w:cs="宋体"/>
          <w:sz w:val="24"/>
          <w:szCs w:val="32"/>
        </w:rPr>
      </w:pPr>
      <w:r>
        <w:rPr>
          <w:rFonts w:hint="eastAsia" w:ascii="宋体" w:hAnsi="宋体" w:cs="宋体"/>
          <w:sz w:val="24"/>
          <w:szCs w:val="32"/>
        </w:rPr>
        <w:t>（5）必要的法律依据；</w:t>
      </w:r>
    </w:p>
    <w:p w14:paraId="71B1241E">
      <w:pPr>
        <w:spacing w:line="360" w:lineRule="auto"/>
        <w:ind w:firstLine="480" w:firstLineChars="200"/>
        <w:rPr>
          <w:rFonts w:ascii="宋体" w:hAnsi="宋体" w:cs="宋体"/>
          <w:sz w:val="24"/>
          <w:szCs w:val="32"/>
        </w:rPr>
      </w:pPr>
      <w:r>
        <w:rPr>
          <w:rFonts w:hint="eastAsia" w:ascii="宋体" w:hAnsi="宋体" w:cs="宋体"/>
          <w:sz w:val="24"/>
          <w:szCs w:val="32"/>
        </w:rPr>
        <w:t>（6）提出质疑的日期。</w:t>
      </w:r>
    </w:p>
    <w:p w14:paraId="33C3949A">
      <w:pPr>
        <w:spacing w:line="360" w:lineRule="auto"/>
        <w:ind w:firstLine="480" w:firstLineChars="200"/>
        <w:rPr>
          <w:rFonts w:ascii="宋体" w:hAnsi="宋体" w:cs="宋体"/>
          <w:sz w:val="24"/>
          <w:szCs w:val="32"/>
        </w:rPr>
      </w:pPr>
      <w:r>
        <w:rPr>
          <w:rFonts w:hint="eastAsia" w:ascii="宋体" w:hAnsi="宋体" w:cs="宋体"/>
          <w:sz w:val="24"/>
          <w:szCs w:val="32"/>
        </w:rPr>
        <w:t>供应商为自然人的，应当由本人签字；供应商为法人或者其他组织的，应当由法定代表人、主要负责人，或者其委托代理人签字或者盖章，并加盖公章。</w:t>
      </w:r>
    </w:p>
    <w:p w14:paraId="71289B9A">
      <w:pPr>
        <w:spacing w:line="360" w:lineRule="auto"/>
        <w:ind w:firstLine="480" w:firstLineChars="200"/>
        <w:rPr>
          <w:rFonts w:ascii="宋体" w:hAnsi="宋体" w:cs="宋体"/>
          <w:sz w:val="24"/>
          <w:szCs w:val="32"/>
        </w:rPr>
      </w:pPr>
      <w:r>
        <w:rPr>
          <w:rFonts w:hint="eastAsia" w:ascii="宋体" w:hAnsi="宋体" w:cs="宋体"/>
          <w:sz w:val="24"/>
          <w:szCs w:val="32"/>
        </w:rPr>
        <w:t>31.5采购人、采购代理机构认为供应商质疑不成立，或者成立但未对成交结果构成影响的，继续开展采购活动；认为供应商质疑成立且影响或者可能影响成交结果的，按照下列情况处理：</w:t>
      </w:r>
    </w:p>
    <w:p w14:paraId="3DE663F9">
      <w:pPr>
        <w:spacing w:line="360" w:lineRule="auto"/>
        <w:ind w:firstLine="480" w:firstLineChars="200"/>
        <w:rPr>
          <w:rFonts w:ascii="宋体" w:hAnsi="宋体" w:cs="宋体"/>
          <w:sz w:val="24"/>
          <w:szCs w:val="32"/>
        </w:rPr>
      </w:pPr>
      <w:r>
        <w:rPr>
          <w:rFonts w:hint="eastAsia" w:ascii="宋体" w:hAnsi="宋体" w:cs="宋体"/>
          <w:sz w:val="24"/>
          <w:szCs w:val="32"/>
        </w:rPr>
        <w:t>（1）对采购文件提出的质疑，依法通过澄清或者修改可以继续开展采购活动的，澄清或者修改采购文件后继续开展采购活动；否则应当修改采购文件后重新开展采购活动。</w:t>
      </w:r>
    </w:p>
    <w:p w14:paraId="4A961934">
      <w:pPr>
        <w:spacing w:line="360" w:lineRule="auto"/>
        <w:ind w:firstLine="480" w:firstLineChars="200"/>
        <w:rPr>
          <w:rFonts w:ascii="宋体" w:hAnsi="宋体" w:cs="宋体"/>
          <w:sz w:val="24"/>
          <w:szCs w:val="32"/>
        </w:rPr>
      </w:pPr>
      <w:r>
        <w:rPr>
          <w:rFonts w:hint="eastAsia" w:ascii="宋体" w:hAnsi="宋体" w:cs="宋体"/>
          <w:sz w:val="24"/>
          <w:szCs w:val="32"/>
        </w:rPr>
        <w:t>（2）对采购过程或者成交结果提出的质疑，合格供应商符合法定数量时，可以从合格的成交候选人中另行确定成交供应商的，应当依法另行确定成交供应商；否则应当重新开展采购活动。</w:t>
      </w:r>
    </w:p>
    <w:p w14:paraId="7B51C03F">
      <w:pPr>
        <w:spacing w:line="360" w:lineRule="auto"/>
        <w:ind w:firstLine="480" w:firstLineChars="200"/>
        <w:rPr>
          <w:rFonts w:ascii="宋体" w:hAnsi="宋体" w:cs="宋体"/>
          <w:sz w:val="24"/>
          <w:szCs w:val="32"/>
        </w:rPr>
      </w:pPr>
      <w:r>
        <w:rPr>
          <w:rFonts w:hint="eastAsia" w:ascii="宋体" w:hAnsi="宋体" w:cs="宋体"/>
          <w:sz w:val="24"/>
          <w:szCs w:val="32"/>
        </w:rPr>
        <w:t>质疑答复导致成交结果改变的，采购人或者采购代理机构应当将有关情况书面报告本级财政部门。</w:t>
      </w:r>
    </w:p>
    <w:p w14:paraId="0A49215C">
      <w:pPr>
        <w:spacing w:line="360" w:lineRule="auto"/>
        <w:ind w:firstLine="480" w:firstLineChars="200"/>
        <w:rPr>
          <w:rFonts w:ascii="宋体" w:hAnsi="宋体" w:cs="宋体"/>
          <w:b/>
          <w:bCs/>
          <w:sz w:val="24"/>
        </w:rPr>
      </w:pPr>
      <w:r>
        <w:rPr>
          <w:rFonts w:hint="eastAsia" w:ascii="宋体" w:hAnsi="宋体" w:cs="宋体"/>
          <w:sz w:val="24"/>
          <w:szCs w:val="32"/>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2916C43">
      <w:pPr>
        <w:spacing w:line="360" w:lineRule="auto"/>
        <w:ind w:firstLine="643" w:firstLineChars="200"/>
        <w:rPr>
          <w:rFonts w:ascii="宋体" w:hAnsi="宋体" w:cs="宋体"/>
          <w:b/>
          <w:bCs/>
          <w:sz w:val="32"/>
          <w:szCs w:val="32"/>
        </w:rPr>
      </w:pPr>
      <w:r>
        <w:rPr>
          <w:rFonts w:hint="eastAsia" w:ascii="宋体" w:hAnsi="宋体" w:cs="宋体"/>
          <w:b/>
          <w:bCs/>
          <w:sz w:val="32"/>
          <w:szCs w:val="32"/>
        </w:rPr>
        <w:t>32.其他内容</w:t>
      </w:r>
    </w:p>
    <w:p w14:paraId="0FF315C4">
      <w:pPr>
        <w:tabs>
          <w:tab w:val="left" w:pos="2835"/>
        </w:tabs>
        <w:spacing w:line="360" w:lineRule="auto"/>
        <w:ind w:firstLine="480" w:firstLineChars="200"/>
        <w:rPr>
          <w:rFonts w:ascii="宋体" w:hAnsi="宋体" w:cs="宋体"/>
          <w:sz w:val="24"/>
        </w:rPr>
      </w:pPr>
      <w:r>
        <w:rPr>
          <w:rFonts w:hint="eastAsia" w:ascii="宋体" w:hAnsi="宋体" w:cs="宋体"/>
          <w:sz w:val="24"/>
        </w:rPr>
        <w:t>32.1代理服务费：代理服务收取标准及缴费账户详见“供应商须知前附表”，供应商为联合体的，可以由联合体中的一方或者多方共同交纳代理服务费。</w:t>
      </w:r>
    </w:p>
    <w:p w14:paraId="7B96C85B">
      <w:pPr>
        <w:tabs>
          <w:tab w:val="left" w:pos="2835"/>
        </w:tabs>
        <w:spacing w:line="360" w:lineRule="auto"/>
        <w:ind w:firstLine="480" w:firstLineChars="200"/>
        <w:rPr>
          <w:rFonts w:ascii="宋体" w:hAnsi="宋体" w:cs="宋体"/>
          <w:sz w:val="24"/>
        </w:rPr>
      </w:pPr>
      <w:r>
        <w:rPr>
          <w:rFonts w:hint="eastAsia" w:ascii="宋体" w:hAnsi="宋体" w:cs="宋体"/>
          <w:sz w:val="24"/>
        </w:rPr>
        <w:t>32.2代理服务费收费计算标准：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D1B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2914830">
            <w:pPr>
              <w:spacing w:line="360" w:lineRule="auto"/>
              <w:rPr>
                <w:rFonts w:ascii="宋体" w:hAnsi="宋体" w:cs="宋体"/>
                <w:sz w:val="24"/>
              </w:rPr>
            </w:pPr>
            <w:r>
              <w:rPr>
                <w:rFonts w:hint="eastAsia" w:ascii="宋体" w:hAnsi="宋体" w:cs="宋体"/>
                <w:sz w:val="24"/>
              </w:rPr>
              <w:t xml:space="preserve">               费率</w:t>
            </w:r>
          </w:p>
          <w:p w14:paraId="7A8B4076">
            <w:pPr>
              <w:spacing w:line="360" w:lineRule="auto"/>
              <w:rPr>
                <w:rFonts w:ascii="宋体" w:hAnsi="宋体" w:cs="宋体"/>
                <w:sz w:val="24"/>
              </w:rPr>
            </w:pPr>
            <w:r>
              <w:rPr>
                <w:rFonts w:hint="eastAsia" w:ascii="宋体" w:hAnsi="宋体" w:cs="宋体"/>
                <w:sz w:val="24"/>
              </w:rPr>
              <w:t>金额（人民币）</w:t>
            </w:r>
          </w:p>
        </w:tc>
        <w:tc>
          <w:tcPr>
            <w:tcW w:w="1659" w:type="dxa"/>
            <w:vAlign w:val="center"/>
          </w:tcPr>
          <w:p w14:paraId="4B34E5B4">
            <w:pPr>
              <w:spacing w:line="360" w:lineRule="auto"/>
              <w:ind w:firstLine="120" w:firstLineChars="50"/>
              <w:jc w:val="center"/>
              <w:rPr>
                <w:rFonts w:ascii="宋体" w:hAnsi="宋体" w:cs="宋体"/>
                <w:sz w:val="24"/>
              </w:rPr>
            </w:pPr>
            <w:r>
              <w:rPr>
                <w:rFonts w:hint="eastAsia" w:ascii="宋体" w:hAnsi="宋体" w:cs="宋体"/>
                <w:sz w:val="24"/>
              </w:rPr>
              <w:t>货物类</w:t>
            </w:r>
          </w:p>
        </w:tc>
        <w:tc>
          <w:tcPr>
            <w:tcW w:w="1532" w:type="dxa"/>
            <w:vAlign w:val="center"/>
          </w:tcPr>
          <w:p w14:paraId="475D0787">
            <w:pPr>
              <w:spacing w:line="360" w:lineRule="auto"/>
              <w:jc w:val="center"/>
              <w:rPr>
                <w:rFonts w:ascii="宋体" w:hAnsi="宋体" w:cs="宋体"/>
                <w:sz w:val="24"/>
              </w:rPr>
            </w:pPr>
            <w:r>
              <w:rPr>
                <w:rFonts w:hint="eastAsia" w:ascii="宋体" w:hAnsi="宋体" w:cs="宋体"/>
                <w:sz w:val="24"/>
              </w:rPr>
              <w:t>服务类</w:t>
            </w:r>
          </w:p>
        </w:tc>
        <w:tc>
          <w:tcPr>
            <w:tcW w:w="1546" w:type="dxa"/>
            <w:vAlign w:val="center"/>
          </w:tcPr>
          <w:p w14:paraId="56F6976A">
            <w:pPr>
              <w:spacing w:line="360" w:lineRule="auto"/>
              <w:jc w:val="center"/>
              <w:rPr>
                <w:rFonts w:ascii="宋体" w:hAnsi="宋体" w:cs="宋体"/>
                <w:sz w:val="24"/>
              </w:rPr>
            </w:pPr>
            <w:r>
              <w:rPr>
                <w:rFonts w:hint="eastAsia" w:ascii="宋体" w:hAnsi="宋体" w:cs="宋体"/>
                <w:sz w:val="24"/>
              </w:rPr>
              <w:t>工程类</w:t>
            </w:r>
          </w:p>
        </w:tc>
      </w:tr>
      <w:tr w14:paraId="6011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80B31AD">
            <w:pPr>
              <w:spacing w:line="460" w:lineRule="exact"/>
              <w:jc w:val="center"/>
              <w:rPr>
                <w:rFonts w:ascii="宋体" w:hAnsi="宋体" w:cs="宋体"/>
                <w:sz w:val="24"/>
              </w:rPr>
            </w:pPr>
            <w:r>
              <w:rPr>
                <w:rFonts w:hint="eastAsia" w:ascii="宋体" w:hAnsi="宋体" w:cs="宋体"/>
                <w:sz w:val="24"/>
              </w:rPr>
              <w:t>100万元以下</w:t>
            </w:r>
          </w:p>
        </w:tc>
        <w:tc>
          <w:tcPr>
            <w:tcW w:w="1659" w:type="dxa"/>
          </w:tcPr>
          <w:p w14:paraId="207D841B">
            <w:pPr>
              <w:spacing w:line="460" w:lineRule="exact"/>
              <w:jc w:val="center"/>
              <w:rPr>
                <w:rFonts w:ascii="宋体" w:hAnsi="宋体" w:cs="宋体"/>
                <w:kern w:val="0"/>
                <w:sz w:val="24"/>
              </w:rPr>
            </w:pPr>
            <w:r>
              <w:rPr>
                <w:rFonts w:hint="eastAsia" w:ascii="宋体" w:hAnsi="宋体" w:cs="宋体"/>
                <w:kern w:val="0"/>
                <w:sz w:val="24"/>
              </w:rPr>
              <w:t>1.5%</w:t>
            </w:r>
          </w:p>
        </w:tc>
        <w:tc>
          <w:tcPr>
            <w:tcW w:w="1532" w:type="dxa"/>
          </w:tcPr>
          <w:p w14:paraId="0A41B383">
            <w:pPr>
              <w:spacing w:line="460" w:lineRule="exact"/>
              <w:jc w:val="center"/>
              <w:rPr>
                <w:rFonts w:ascii="宋体" w:hAnsi="宋体" w:cs="宋体"/>
                <w:kern w:val="0"/>
                <w:sz w:val="24"/>
              </w:rPr>
            </w:pPr>
            <w:r>
              <w:rPr>
                <w:rFonts w:hint="eastAsia" w:ascii="宋体" w:hAnsi="宋体" w:cs="宋体"/>
                <w:kern w:val="0"/>
                <w:sz w:val="24"/>
              </w:rPr>
              <w:t>1.5%</w:t>
            </w:r>
          </w:p>
        </w:tc>
        <w:tc>
          <w:tcPr>
            <w:tcW w:w="1546" w:type="dxa"/>
          </w:tcPr>
          <w:p w14:paraId="159068CE">
            <w:pPr>
              <w:spacing w:line="460" w:lineRule="exact"/>
              <w:jc w:val="center"/>
              <w:rPr>
                <w:rFonts w:ascii="宋体" w:hAnsi="宋体" w:cs="宋体"/>
                <w:kern w:val="0"/>
                <w:sz w:val="24"/>
              </w:rPr>
            </w:pPr>
            <w:r>
              <w:rPr>
                <w:rFonts w:hint="eastAsia" w:ascii="宋体" w:hAnsi="宋体" w:cs="宋体"/>
                <w:kern w:val="0"/>
                <w:sz w:val="24"/>
              </w:rPr>
              <w:t>1.0%</w:t>
            </w:r>
          </w:p>
        </w:tc>
      </w:tr>
      <w:tr w14:paraId="2E56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896B4A3">
            <w:pPr>
              <w:spacing w:line="460" w:lineRule="exact"/>
              <w:jc w:val="center"/>
              <w:rPr>
                <w:rFonts w:ascii="宋体" w:hAnsi="宋体" w:cs="宋体"/>
                <w:sz w:val="24"/>
              </w:rPr>
            </w:pPr>
            <w:r>
              <w:rPr>
                <w:rFonts w:hint="eastAsia" w:ascii="宋体" w:hAnsi="宋体" w:cs="宋体"/>
                <w:sz w:val="24"/>
              </w:rPr>
              <w:t>100～500万元</w:t>
            </w:r>
          </w:p>
        </w:tc>
        <w:tc>
          <w:tcPr>
            <w:tcW w:w="1659" w:type="dxa"/>
          </w:tcPr>
          <w:p w14:paraId="689C9266">
            <w:pPr>
              <w:spacing w:line="460" w:lineRule="exact"/>
              <w:jc w:val="center"/>
              <w:rPr>
                <w:rFonts w:ascii="宋体" w:hAnsi="宋体" w:cs="宋体"/>
                <w:kern w:val="0"/>
                <w:sz w:val="24"/>
              </w:rPr>
            </w:pPr>
            <w:r>
              <w:rPr>
                <w:rFonts w:hint="eastAsia" w:ascii="宋体" w:hAnsi="宋体" w:cs="宋体"/>
                <w:kern w:val="0"/>
                <w:sz w:val="24"/>
              </w:rPr>
              <w:t>1.1%</w:t>
            </w:r>
          </w:p>
        </w:tc>
        <w:tc>
          <w:tcPr>
            <w:tcW w:w="1532" w:type="dxa"/>
          </w:tcPr>
          <w:p w14:paraId="59A9544E">
            <w:pPr>
              <w:spacing w:line="460" w:lineRule="exact"/>
              <w:jc w:val="center"/>
              <w:rPr>
                <w:rFonts w:ascii="宋体" w:hAnsi="宋体" w:cs="宋体"/>
                <w:kern w:val="0"/>
                <w:sz w:val="24"/>
              </w:rPr>
            </w:pPr>
            <w:r>
              <w:rPr>
                <w:rFonts w:hint="eastAsia" w:ascii="宋体" w:hAnsi="宋体" w:cs="宋体"/>
                <w:kern w:val="0"/>
                <w:sz w:val="24"/>
              </w:rPr>
              <w:t>0.8%</w:t>
            </w:r>
          </w:p>
        </w:tc>
        <w:tc>
          <w:tcPr>
            <w:tcW w:w="1546" w:type="dxa"/>
          </w:tcPr>
          <w:p w14:paraId="50141AD6">
            <w:pPr>
              <w:spacing w:line="460" w:lineRule="exact"/>
              <w:jc w:val="center"/>
              <w:rPr>
                <w:rFonts w:ascii="宋体" w:hAnsi="宋体" w:cs="宋体"/>
                <w:kern w:val="0"/>
                <w:sz w:val="24"/>
              </w:rPr>
            </w:pPr>
            <w:r>
              <w:rPr>
                <w:rFonts w:hint="eastAsia" w:ascii="宋体" w:hAnsi="宋体" w:cs="宋体"/>
                <w:kern w:val="0"/>
                <w:sz w:val="24"/>
              </w:rPr>
              <w:t>0.7%</w:t>
            </w:r>
          </w:p>
        </w:tc>
      </w:tr>
      <w:tr w14:paraId="4360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519CEBA">
            <w:pPr>
              <w:spacing w:line="460" w:lineRule="exact"/>
              <w:jc w:val="center"/>
              <w:rPr>
                <w:rFonts w:ascii="宋体" w:hAnsi="宋体" w:cs="宋体"/>
                <w:sz w:val="24"/>
              </w:rPr>
            </w:pPr>
            <w:r>
              <w:rPr>
                <w:rFonts w:hint="eastAsia" w:ascii="宋体" w:hAnsi="宋体" w:cs="宋体"/>
                <w:sz w:val="24"/>
              </w:rPr>
              <w:t>500～1000万元</w:t>
            </w:r>
          </w:p>
        </w:tc>
        <w:tc>
          <w:tcPr>
            <w:tcW w:w="1659" w:type="dxa"/>
          </w:tcPr>
          <w:p w14:paraId="0A1C9CC0">
            <w:pPr>
              <w:spacing w:line="460" w:lineRule="exact"/>
              <w:jc w:val="center"/>
              <w:rPr>
                <w:rFonts w:ascii="宋体" w:hAnsi="宋体" w:cs="宋体"/>
                <w:kern w:val="0"/>
                <w:sz w:val="24"/>
              </w:rPr>
            </w:pPr>
            <w:r>
              <w:rPr>
                <w:rFonts w:hint="eastAsia" w:ascii="宋体" w:hAnsi="宋体" w:cs="宋体"/>
                <w:kern w:val="0"/>
                <w:sz w:val="24"/>
              </w:rPr>
              <w:t>0.8%</w:t>
            </w:r>
          </w:p>
        </w:tc>
        <w:tc>
          <w:tcPr>
            <w:tcW w:w="1532" w:type="dxa"/>
          </w:tcPr>
          <w:p w14:paraId="06B629CD">
            <w:pPr>
              <w:spacing w:line="460" w:lineRule="exact"/>
              <w:jc w:val="center"/>
              <w:rPr>
                <w:rFonts w:ascii="宋体" w:hAnsi="宋体" w:cs="宋体"/>
                <w:kern w:val="0"/>
                <w:sz w:val="24"/>
              </w:rPr>
            </w:pPr>
            <w:r>
              <w:rPr>
                <w:rFonts w:hint="eastAsia" w:ascii="宋体" w:hAnsi="宋体" w:cs="宋体"/>
                <w:kern w:val="0"/>
                <w:sz w:val="24"/>
              </w:rPr>
              <w:t>0.45%</w:t>
            </w:r>
          </w:p>
        </w:tc>
        <w:tc>
          <w:tcPr>
            <w:tcW w:w="1546" w:type="dxa"/>
          </w:tcPr>
          <w:p w14:paraId="156E4BDB">
            <w:pPr>
              <w:spacing w:line="460" w:lineRule="exact"/>
              <w:jc w:val="center"/>
              <w:rPr>
                <w:rFonts w:ascii="宋体" w:hAnsi="宋体" w:cs="宋体"/>
                <w:kern w:val="0"/>
                <w:sz w:val="24"/>
              </w:rPr>
            </w:pPr>
            <w:r>
              <w:rPr>
                <w:rFonts w:hint="eastAsia" w:ascii="宋体" w:hAnsi="宋体" w:cs="宋体"/>
                <w:kern w:val="0"/>
                <w:sz w:val="24"/>
              </w:rPr>
              <w:t>0.55%</w:t>
            </w:r>
          </w:p>
        </w:tc>
      </w:tr>
      <w:tr w14:paraId="661A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4CE6219">
            <w:pPr>
              <w:spacing w:line="460" w:lineRule="exact"/>
              <w:jc w:val="center"/>
              <w:rPr>
                <w:rFonts w:ascii="宋体" w:hAnsi="宋体" w:cs="宋体"/>
                <w:sz w:val="24"/>
              </w:rPr>
            </w:pPr>
            <w:r>
              <w:rPr>
                <w:rFonts w:hint="eastAsia" w:ascii="宋体" w:hAnsi="宋体" w:cs="宋体"/>
                <w:sz w:val="24"/>
              </w:rPr>
              <w:t>1000～5000万元</w:t>
            </w:r>
          </w:p>
        </w:tc>
        <w:tc>
          <w:tcPr>
            <w:tcW w:w="1659" w:type="dxa"/>
          </w:tcPr>
          <w:p w14:paraId="2C965A8F">
            <w:pPr>
              <w:spacing w:line="460" w:lineRule="exact"/>
              <w:jc w:val="center"/>
              <w:rPr>
                <w:rFonts w:ascii="宋体" w:hAnsi="宋体" w:cs="宋体"/>
                <w:kern w:val="0"/>
                <w:sz w:val="24"/>
              </w:rPr>
            </w:pPr>
            <w:r>
              <w:rPr>
                <w:rFonts w:hint="eastAsia" w:ascii="宋体" w:hAnsi="宋体" w:cs="宋体"/>
                <w:kern w:val="0"/>
                <w:sz w:val="24"/>
              </w:rPr>
              <w:t>0.5%</w:t>
            </w:r>
          </w:p>
        </w:tc>
        <w:tc>
          <w:tcPr>
            <w:tcW w:w="1532" w:type="dxa"/>
          </w:tcPr>
          <w:p w14:paraId="1F1CF4FF">
            <w:pPr>
              <w:spacing w:line="460" w:lineRule="exact"/>
              <w:jc w:val="center"/>
              <w:rPr>
                <w:rFonts w:ascii="宋体" w:hAnsi="宋体" w:cs="宋体"/>
                <w:kern w:val="0"/>
                <w:sz w:val="24"/>
              </w:rPr>
            </w:pPr>
            <w:r>
              <w:rPr>
                <w:rFonts w:hint="eastAsia" w:ascii="宋体" w:hAnsi="宋体" w:cs="宋体"/>
                <w:kern w:val="0"/>
                <w:sz w:val="24"/>
              </w:rPr>
              <w:t>0.25%</w:t>
            </w:r>
          </w:p>
        </w:tc>
        <w:tc>
          <w:tcPr>
            <w:tcW w:w="1546" w:type="dxa"/>
          </w:tcPr>
          <w:p w14:paraId="34EF9455">
            <w:pPr>
              <w:spacing w:line="460" w:lineRule="exact"/>
              <w:jc w:val="center"/>
              <w:rPr>
                <w:rFonts w:ascii="宋体" w:hAnsi="宋体" w:cs="宋体"/>
                <w:kern w:val="0"/>
                <w:sz w:val="24"/>
              </w:rPr>
            </w:pPr>
            <w:r>
              <w:rPr>
                <w:rFonts w:hint="eastAsia" w:ascii="宋体" w:hAnsi="宋体" w:cs="宋体"/>
                <w:kern w:val="0"/>
                <w:sz w:val="24"/>
              </w:rPr>
              <w:t>0.35%</w:t>
            </w:r>
          </w:p>
        </w:tc>
      </w:tr>
      <w:tr w14:paraId="537A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4DDF92">
            <w:pPr>
              <w:spacing w:line="460" w:lineRule="exact"/>
              <w:jc w:val="center"/>
              <w:rPr>
                <w:rFonts w:ascii="宋体" w:hAnsi="宋体" w:cs="宋体"/>
                <w:sz w:val="24"/>
              </w:rPr>
            </w:pPr>
            <w:r>
              <w:rPr>
                <w:rFonts w:hint="eastAsia" w:ascii="宋体" w:hAnsi="宋体" w:cs="宋体"/>
                <w:sz w:val="24"/>
              </w:rPr>
              <w:t>5000万元～1亿元</w:t>
            </w:r>
          </w:p>
        </w:tc>
        <w:tc>
          <w:tcPr>
            <w:tcW w:w="1659" w:type="dxa"/>
          </w:tcPr>
          <w:p w14:paraId="1586AB00">
            <w:pPr>
              <w:spacing w:line="460" w:lineRule="exact"/>
              <w:jc w:val="center"/>
              <w:rPr>
                <w:rFonts w:ascii="宋体" w:hAnsi="宋体" w:cs="宋体"/>
                <w:kern w:val="0"/>
                <w:sz w:val="24"/>
              </w:rPr>
            </w:pPr>
            <w:r>
              <w:rPr>
                <w:rFonts w:hint="eastAsia" w:ascii="宋体" w:hAnsi="宋体" w:cs="宋体"/>
                <w:kern w:val="0"/>
                <w:sz w:val="24"/>
              </w:rPr>
              <w:t>0.25%</w:t>
            </w:r>
          </w:p>
        </w:tc>
        <w:tc>
          <w:tcPr>
            <w:tcW w:w="1532" w:type="dxa"/>
          </w:tcPr>
          <w:p w14:paraId="6A5AD2FF">
            <w:pPr>
              <w:spacing w:line="460" w:lineRule="exact"/>
              <w:jc w:val="center"/>
              <w:rPr>
                <w:rFonts w:ascii="宋体" w:hAnsi="宋体" w:cs="宋体"/>
                <w:kern w:val="0"/>
                <w:sz w:val="24"/>
              </w:rPr>
            </w:pPr>
            <w:r>
              <w:rPr>
                <w:rFonts w:hint="eastAsia" w:ascii="宋体" w:hAnsi="宋体" w:cs="宋体"/>
                <w:kern w:val="0"/>
                <w:sz w:val="24"/>
              </w:rPr>
              <w:t>0.1%</w:t>
            </w:r>
          </w:p>
        </w:tc>
        <w:tc>
          <w:tcPr>
            <w:tcW w:w="1546" w:type="dxa"/>
          </w:tcPr>
          <w:p w14:paraId="395D8316">
            <w:pPr>
              <w:spacing w:line="460" w:lineRule="exact"/>
              <w:jc w:val="center"/>
              <w:rPr>
                <w:rFonts w:ascii="宋体" w:hAnsi="宋体" w:cs="宋体"/>
                <w:kern w:val="0"/>
                <w:sz w:val="24"/>
              </w:rPr>
            </w:pPr>
            <w:r>
              <w:rPr>
                <w:rFonts w:hint="eastAsia" w:ascii="宋体" w:hAnsi="宋体" w:cs="宋体"/>
                <w:kern w:val="0"/>
                <w:sz w:val="24"/>
              </w:rPr>
              <w:t>0.2%</w:t>
            </w:r>
          </w:p>
        </w:tc>
      </w:tr>
      <w:tr w14:paraId="6EC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06D967">
            <w:pPr>
              <w:spacing w:line="460" w:lineRule="exact"/>
              <w:jc w:val="center"/>
              <w:rPr>
                <w:rFonts w:ascii="宋体" w:hAnsi="宋体" w:cs="宋体"/>
                <w:sz w:val="24"/>
              </w:rPr>
            </w:pPr>
            <w:r>
              <w:rPr>
                <w:rFonts w:hint="eastAsia" w:ascii="宋体" w:hAnsi="宋体" w:cs="宋体"/>
                <w:sz w:val="24"/>
              </w:rPr>
              <w:t>1～5亿元</w:t>
            </w:r>
          </w:p>
        </w:tc>
        <w:tc>
          <w:tcPr>
            <w:tcW w:w="1659" w:type="dxa"/>
          </w:tcPr>
          <w:p w14:paraId="29CF1DE2">
            <w:pPr>
              <w:spacing w:line="460" w:lineRule="exact"/>
              <w:jc w:val="center"/>
              <w:rPr>
                <w:rFonts w:ascii="宋体" w:hAnsi="宋体" w:cs="宋体"/>
                <w:kern w:val="0"/>
                <w:sz w:val="24"/>
              </w:rPr>
            </w:pPr>
            <w:r>
              <w:rPr>
                <w:rFonts w:hint="eastAsia" w:ascii="宋体" w:hAnsi="宋体" w:cs="宋体"/>
                <w:kern w:val="0"/>
                <w:sz w:val="24"/>
              </w:rPr>
              <w:t>0.05%</w:t>
            </w:r>
          </w:p>
        </w:tc>
        <w:tc>
          <w:tcPr>
            <w:tcW w:w="1532" w:type="dxa"/>
          </w:tcPr>
          <w:p w14:paraId="09BA3C4C">
            <w:pPr>
              <w:spacing w:line="460" w:lineRule="exact"/>
              <w:jc w:val="center"/>
              <w:rPr>
                <w:rFonts w:ascii="宋体" w:hAnsi="宋体" w:cs="宋体"/>
                <w:kern w:val="0"/>
                <w:sz w:val="24"/>
              </w:rPr>
            </w:pPr>
            <w:r>
              <w:rPr>
                <w:rFonts w:hint="eastAsia" w:ascii="宋体" w:hAnsi="宋体" w:cs="宋体"/>
                <w:kern w:val="0"/>
                <w:sz w:val="24"/>
              </w:rPr>
              <w:t>0.05%</w:t>
            </w:r>
          </w:p>
        </w:tc>
        <w:tc>
          <w:tcPr>
            <w:tcW w:w="1546" w:type="dxa"/>
          </w:tcPr>
          <w:p w14:paraId="48A7F73E">
            <w:pPr>
              <w:spacing w:line="460" w:lineRule="exact"/>
              <w:jc w:val="center"/>
              <w:rPr>
                <w:rFonts w:ascii="宋体" w:hAnsi="宋体" w:cs="宋体"/>
                <w:kern w:val="0"/>
                <w:sz w:val="24"/>
              </w:rPr>
            </w:pPr>
            <w:r>
              <w:rPr>
                <w:rFonts w:hint="eastAsia" w:ascii="宋体" w:hAnsi="宋体" w:cs="宋体"/>
                <w:kern w:val="0"/>
                <w:sz w:val="24"/>
              </w:rPr>
              <w:t>0.05%</w:t>
            </w:r>
          </w:p>
        </w:tc>
      </w:tr>
      <w:tr w14:paraId="0A8E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B45BBD">
            <w:pPr>
              <w:spacing w:line="460" w:lineRule="exact"/>
              <w:jc w:val="center"/>
              <w:rPr>
                <w:rFonts w:ascii="宋体" w:hAnsi="宋体" w:cs="宋体"/>
                <w:sz w:val="24"/>
              </w:rPr>
            </w:pPr>
            <w:r>
              <w:rPr>
                <w:rFonts w:hint="eastAsia" w:ascii="宋体" w:hAnsi="宋体" w:cs="宋体"/>
                <w:sz w:val="24"/>
              </w:rPr>
              <w:t>5～10亿元</w:t>
            </w:r>
          </w:p>
        </w:tc>
        <w:tc>
          <w:tcPr>
            <w:tcW w:w="1659" w:type="dxa"/>
          </w:tcPr>
          <w:p w14:paraId="153021BA">
            <w:pPr>
              <w:spacing w:line="460" w:lineRule="exact"/>
              <w:jc w:val="center"/>
              <w:rPr>
                <w:rFonts w:ascii="宋体" w:hAnsi="宋体" w:cs="宋体"/>
                <w:kern w:val="0"/>
                <w:sz w:val="24"/>
              </w:rPr>
            </w:pPr>
            <w:r>
              <w:rPr>
                <w:rFonts w:hint="eastAsia" w:ascii="宋体" w:hAnsi="宋体" w:cs="宋体"/>
                <w:kern w:val="0"/>
                <w:sz w:val="24"/>
              </w:rPr>
              <w:t>0.035%</w:t>
            </w:r>
          </w:p>
        </w:tc>
        <w:tc>
          <w:tcPr>
            <w:tcW w:w="1532" w:type="dxa"/>
          </w:tcPr>
          <w:p w14:paraId="728A9BA8">
            <w:pPr>
              <w:spacing w:line="460" w:lineRule="exact"/>
              <w:jc w:val="center"/>
              <w:rPr>
                <w:rFonts w:ascii="宋体" w:hAnsi="宋体" w:cs="宋体"/>
                <w:kern w:val="0"/>
                <w:sz w:val="24"/>
              </w:rPr>
            </w:pPr>
            <w:r>
              <w:rPr>
                <w:rFonts w:hint="eastAsia" w:ascii="宋体" w:hAnsi="宋体" w:cs="宋体"/>
                <w:kern w:val="0"/>
                <w:sz w:val="24"/>
              </w:rPr>
              <w:t>0.035%</w:t>
            </w:r>
          </w:p>
        </w:tc>
        <w:tc>
          <w:tcPr>
            <w:tcW w:w="1546" w:type="dxa"/>
          </w:tcPr>
          <w:p w14:paraId="4A8279FC">
            <w:pPr>
              <w:spacing w:line="460" w:lineRule="exact"/>
              <w:jc w:val="center"/>
              <w:rPr>
                <w:rFonts w:ascii="宋体" w:hAnsi="宋体" w:cs="宋体"/>
                <w:kern w:val="0"/>
                <w:sz w:val="24"/>
              </w:rPr>
            </w:pPr>
            <w:r>
              <w:rPr>
                <w:rFonts w:hint="eastAsia" w:ascii="宋体" w:hAnsi="宋体" w:cs="宋体"/>
                <w:kern w:val="0"/>
                <w:sz w:val="24"/>
              </w:rPr>
              <w:t>0.035%</w:t>
            </w:r>
          </w:p>
        </w:tc>
      </w:tr>
      <w:tr w14:paraId="2EAB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C86DB23">
            <w:pPr>
              <w:spacing w:line="460" w:lineRule="exact"/>
              <w:jc w:val="center"/>
              <w:rPr>
                <w:rFonts w:ascii="宋体" w:hAnsi="宋体" w:cs="宋体"/>
                <w:kern w:val="0"/>
                <w:sz w:val="24"/>
              </w:rPr>
            </w:pPr>
            <w:r>
              <w:rPr>
                <w:rFonts w:hint="eastAsia" w:ascii="宋体" w:hAnsi="宋体" w:cs="宋体"/>
                <w:kern w:val="0"/>
                <w:sz w:val="24"/>
              </w:rPr>
              <w:t>10～50亿元</w:t>
            </w:r>
          </w:p>
        </w:tc>
        <w:tc>
          <w:tcPr>
            <w:tcW w:w="1659" w:type="dxa"/>
          </w:tcPr>
          <w:p w14:paraId="7C918C94">
            <w:pPr>
              <w:spacing w:line="460" w:lineRule="exact"/>
              <w:jc w:val="center"/>
              <w:rPr>
                <w:rFonts w:ascii="宋体" w:hAnsi="宋体" w:cs="宋体"/>
                <w:kern w:val="0"/>
                <w:sz w:val="24"/>
              </w:rPr>
            </w:pPr>
            <w:r>
              <w:rPr>
                <w:rFonts w:hint="eastAsia" w:ascii="宋体" w:hAnsi="宋体" w:cs="宋体"/>
                <w:kern w:val="0"/>
                <w:sz w:val="24"/>
              </w:rPr>
              <w:t>0.008%</w:t>
            </w:r>
          </w:p>
        </w:tc>
        <w:tc>
          <w:tcPr>
            <w:tcW w:w="1532" w:type="dxa"/>
          </w:tcPr>
          <w:p w14:paraId="76CAF2D0">
            <w:pPr>
              <w:spacing w:line="460" w:lineRule="exact"/>
              <w:jc w:val="center"/>
              <w:rPr>
                <w:rFonts w:ascii="宋体" w:hAnsi="宋体" w:cs="宋体"/>
                <w:kern w:val="0"/>
                <w:sz w:val="24"/>
              </w:rPr>
            </w:pPr>
            <w:r>
              <w:rPr>
                <w:rFonts w:hint="eastAsia" w:ascii="宋体" w:hAnsi="宋体" w:cs="宋体"/>
                <w:kern w:val="0"/>
                <w:sz w:val="24"/>
              </w:rPr>
              <w:t>0.008%</w:t>
            </w:r>
          </w:p>
        </w:tc>
        <w:tc>
          <w:tcPr>
            <w:tcW w:w="1546" w:type="dxa"/>
          </w:tcPr>
          <w:p w14:paraId="62D208E0">
            <w:pPr>
              <w:spacing w:line="460" w:lineRule="exact"/>
              <w:jc w:val="center"/>
              <w:rPr>
                <w:rFonts w:ascii="宋体" w:hAnsi="宋体" w:cs="宋体"/>
                <w:kern w:val="0"/>
                <w:sz w:val="24"/>
              </w:rPr>
            </w:pPr>
            <w:r>
              <w:rPr>
                <w:rFonts w:hint="eastAsia" w:ascii="宋体" w:hAnsi="宋体" w:cs="宋体"/>
                <w:kern w:val="0"/>
                <w:sz w:val="24"/>
              </w:rPr>
              <w:t>0.008%</w:t>
            </w:r>
          </w:p>
        </w:tc>
      </w:tr>
      <w:tr w14:paraId="1B07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C91272">
            <w:pPr>
              <w:spacing w:line="460" w:lineRule="exact"/>
              <w:jc w:val="center"/>
              <w:rPr>
                <w:rFonts w:ascii="宋体" w:hAnsi="宋体" w:cs="宋体"/>
                <w:kern w:val="0"/>
                <w:sz w:val="24"/>
              </w:rPr>
            </w:pPr>
            <w:r>
              <w:rPr>
                <w:rFonts w:hint="eastAsia" w:ascii="宋体" w:hAnsi="宋体" w:cs="宋体"/>
                <w:kern w:val="0"/>
                <w:sz w:val="24"/>
              </w:rPr>
              <w:t>50～100亿元</w:t>
            </w:r>
          </w:p>
        </w:tc>
        <w:tc>
          <w:tcPr>
            <w:tcW w:w="1659" w:type="dxa"/>
          </w:tcPr>
          <w:p w14:paraId="3CD54F72">
            <w:pPr>
              <w:spacing w:line="460" w:lineRule="exact"/>
              <w:jc w:val="center"/>
              <w:rPr>
                <w:rFonts w:ascii="宋体" w:hAnsi="宋体" w:cs="宋体"/>
                <w:kern w:val="0"/>
                <w:sz w:val="24"/>
              </w:rPr>
            </w:pPr>
            <w:r>
              <w:rPr>
                <w:rFonts w:hint="eastAsia" w:ascii="宋体" w:hAnsi="宋体" w:cs="宋体"/>
                <w:kern w:val="0"/>
                <w:sz w:val="24"/>
              </w:rPr>
              <w:t xml:space="preserve"> 0.006%</w:t>
            </w:r>
          </w:p>
        </w:tc>
        <w:tc>
          <w:tcPr>
            <w:tcW w:w="1532" w:type="dxa"/>
          </w:tcPr>
          <w:p w14:paraId="5E558C73">
            <w:pPr>
              <w:spacing w:line="460" w:lineRule="exact"/>
              <w:jc w:val="center"/>
              <w:rPr>
                <w:rFonts w:ascii="宋体" w:hAnsi="宋体" w:cs="宋体"/>
                <w:kern w:val="0"/>
                <w:sz w:val="24"/>
              </w:rPr>
            </w:pPr>
            <w:r>
              <w:rPr>
                <w:rFonts w:hint="eastAsia" w:ascii="宋体" w:hAnsi="宋体" w:cs="宋体"/>
                <w:kern w:val="0"/>
                <w:sz w:val="24"/>
              </w:rPr>
              <w:t>0.006%</w:t>
            </w:r>
          </w:p>
        </w:tc>
        <w:tc>
          <w:tcPr>
            <w:tcW w:w="1546" w:type="dxa"/>
          </w:tcPr>
          <w:p w14:paraId="12F9FA63">
            <w:pPr>
              <w:spacing w:line="460" w:lineRule="exact"/>
              <w:jc w:val="center"/>
              <w:rPr>
                <w:rFonts w:ascii="宋体" w:hAnsi="宋体" w:cs="宋体"/>
                <w:kern w:val="0"/>
                <w:sz w:val="24"/>
              </w:rPr>
            </w:pPr>
            <w:r>
              <w:rPr>
                <w:rFonts w:hint="eastAsia" w:ascii="宋体" w:hAnsi="宋体" w:cs="宋体"/>
                <w:kern w:val="0"/>
                <w:sz w:val="24"/>
              </w:rPr>
              <w:t>0.006%</w:t>
            </w:r>
          </w:p>
        </w:tc>
      </w:tr>
      <w:tr w14:paraId="4A1D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854D24">
            <w:pPr>
              <w:spacing w:line="460" w:lineRule="exact"/>
              <w:jc w:val="center"/>
              <w:rPr>
                <w:rFonts w:ascii="宋体" w:hAnsi="宋体" w:cs="宋体"/>
                <w:kern w:val="0"/>
                <w:sz w:val="24"/>
              </w:rPr>
            </w:pPr>
            <w:r>
              <w:rPr>
                <w:rFonts w:hint="eastAsia" w:ascii="宋体" w:hAnsi="宋体" w:cs="宋体"/>
                <w:kern w:val="0"/>
                <w:sz w:val="24"/>
              </w:rPr>
              <w:t>100亿元以上</w:t>
            </w:r>
          </w:p>
        </w:tc>
        <w:tc>
          <w:tcPr>
            <w:tcW w:w="1659" w:type="dxa"/>
          </w:tcPr>
          <w:p w14:paraId="08ED0B6A">
            <w:pPr>
              <w:spacing w:line="460" w:lineRule="exact"/>
              <w:jc w:val="center"/>
              <w:rPr>
                <w:rFonts w:ascii="宋体" w:hAnsi="宋体" w:cs="宋体"/>
                <w:kern w:val="0"/>
                <w:sz w:val="24"/>
              </w:rPr>
            </w:pPr>
            <w:r>
              <w:rPr>
                <w:rFonts w:hint="eastAsia" w:ascii="宋体" w:hAnsi="宋体" w:cs="宋体"/>
                <w:kern w:val="0"/>
                <w:sz w:val="24"/>
              </w:rPr>
              <w:t xml:space="preserve"> 0.004%</w:t>
            </w:r>
          </w:p>
        </w:tc>
        <w:tc>
          <w:tcPr>
            <w:tcW w:w="1532" w:type="dxa"/>
          </w:tcPr>
          <w:p w14:paraId="08DB90DE">
            <w:pPr>
              <w:spacing w:line="460" w:lineRule="exact"/>
              <w:jc w:val="center"/>
              <w:rPr>
                <w:rFonts w:ascii="宋体" w:hAnsi="宋体" w:cs="宋体"/>
                <w:kern w:val="0"/>
                <w:sz w:val="24"/>
              </w:rPr>
            </w:pPr>
            <w:r>
              <w:rPr>
                <w:rFonts w:hint="eastAsia" w:ascii="宋体" w:hAnsi="宋体" w:cs="宋体"/>
                <w:kern w:val="0"/>
                <w:sz w:val="24"/>
              </w:rPr>
              <w:t>0.004%</w:t>
            </w:r>
          </w:p>
        </w:tc>
        <w:tc>
          <w:tcPr>
            <w:tcW w:w="1546" w:type="dxa"/>
          </w:tcPr>
          <w:p w14:paraId="6A514054">
            <w:pPr>
              <w:spacing w:line="460" w:lineRule="exact"/>
              <w:jc w:val="center"/>
              <w:rPr>
                <w:rFonts w:ascii="宋体" w:hAnsi="宋体" w:cs="宋体"/>
                <w:kern w:val="0"/>
                <w:sz w:val="24"/>
              </w:rPr>
            </w:pPr>
            <w:r>
              <w:rPr>
                <w:rFonts w:hint="eastAsia" w:ascii="宋体" w:hAnsi="宋体" w:cs="宋体"/>
                <w:kern w:val="0"/>
                <w:sz w:val="24"/>
              </w:rPr>
              <w:t>0.004%</w:t>
            </w:r>
          </w:p>
        </w:tc>
      </w:tr>
    </w:tbl>
    <w:p w14:paraId="752AC95E">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注：</w:t>
      </w:r>
      <w:r>
        <w:rPr>
          <w:rFonts w:ascii="楷体" w:hAnsi="楷体" w:eastAsia="楷体" w:cs="宋体"/>
          <w:sz w:val="24"/>
        </w:rPr>
        <w:t xml:space="preserve"> </w:t>
      </w:r>
    </w:p>
    <w:p w14:paraId="057C0F24">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1）按本表费率计算的收费为采购代理的收费基准价格；</w:t>
      </w:r>
    </w:p>
    <w:p w14:paraId="035D9274">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14:paraId="37C80C5C">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例如：某货物采购代理业务成交金额或者暂定价为</w:t>
      </w:r>
      <w:r>
        <w:rPr>
          <w:rFonts w:ascii="楷体" w:hAnsi="楷体" w:eastAsia="楷体" w:cs="宋体"/>
          <w:sz w:val="24"/>
        </w:rPr>
        <w:t>150万元，计算采购代理收费额如下：</w:t>
      </w:r>
    </w:p>
    <w:p w14:paraId="108F034F">
      <w:pPr>
        <w:spacing w:line="360" w:lineRule="auto"/>
        <w:ind w:firstLine="480" w:firstLineChars="200"/>
        <w:contextualSpacing/>
        <w:rPr>
          <w:rFonts w:ascii="楷体" w:hAnsi="楷体" w:eastAsia="楷体" w:cs="宋体"/>
          <w:sz w:val="24"/>
        </w:rPr>
      </w:pPr>
      <w:r>
        <w:rPr>
          <w:rFonts w:ascii="楷体" w:hAnsi="楷体" w:eastAsia="楷体" w:cs="宋体"/>
          <w:sz w:val="24"/>
        </w:rPr>
        <w:t xml:space="preserve">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 xml:space="preserve">l.5 %＝ 1.5 </w:t>
      </w:r>
      <w:r>
        <w:rPr>
          <w:rFonts w:hint="eastAsia" w:ascii="楷体" w:hAnsi="楷体" w:eastAsia="楷体" w:cs="宋体"/>
          <w:sz w:val="24"/>
        </w:rPr>
        <w:t>万元</w:t>
      </w:r>
    </w:p>
    <w:p w14:paraId="597EB807">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w:t>
      </w:r>
      <w:r>
        <w:rPr>
          <w:rFonts w:ascii="楷体" w:hAnsi="楷体" w:eastAsia="楷体" w:cs="宋体"/>
          <w:sz w:val="24"/>
        </w:rPr>
        <w:t xml:space="preserve"> 150 </w:t>
      </w:r>
      <w:r>
        <w:rPr>
          <w:rFonts w:hint="eastAsia" w:ascii="楷体" w:hAnsi="楷体" w:eastAsia="楷体" w:cs="宋体"/>
          <w:sz w:val="24"/>
        </w:rPr>
        <w:t>－</w:t>
      </w:r>
      <w:r>
        <w:rPr>
          <w:rFonts w:ascii="楷体" w:hAnsi="楷体" w:eastAsia="楷体" w:cs="宋体"/>
          <w:sz w:val="24"/>
        </w:rPr>
        <w:t xml:space="preserve"> 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 xml:space="preserve">1.1%＝ 0.55 </w:t>
      </w:r>
      <w:r>
        <w:rPr>
          <w:rFonts w:hint="eastAsia" w:ascii="楷体" w:hAnsi="楷体" w:eastAsia="楷体" w:cs="宋体"/>
          <w:sz w:val="24"/>
        </w:rPr>
        <w:t>万元</w:t>
      </w:r>
    </w:p>
    <w:p w14:paraId="6D66C593">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合计收费＝</w:t>
      </w:r>
      <w:r>
        <w:rPr>
          <w:rFonts w:ascii="楷体" w:hAnsi="楷体" w:eastAsia="楷体" w:cs="宋体"/>
          <w:sz w:val="24"/>
        </w:rPr>
        <w:t xml:space="preserve"> 1.5 </w:t>
      </w:r>
      <w:r>
        <w:rPr>
          <w:rFonts w:hint="eastAsia" w:ascii="楷体" w:hAnsi="楷体" w:eastAsia="楷体" w:cs="宋体"/>
          <w:sz w:val="24"/>
        </w:rPr>
        <w:t>＋</w:t>
      </w:r>
      <w:r>
        <w:rPr>
          <w:rFonts w:ascii="楷体" w:hAnsi="楷体" w:eastAsia="楷体" w:cs="宋体"/>
          <w:sz w:val="24"/>
        </w:rPr>
        <w:t xml:space="preserve"> 0.55＝ 2.05 </w:t>
      </w:r>
      <w:r>
        <w:rPr>
          <w:rFonts w:hint="eastAsia" w:ascii="楷体" w:hAnsi="楷体" w:eastAsia="楷体" w:cs="宋体"/>
          <w:sz w:val="24"/>
        </w:rPr>
        <w:t>（万元）</w:t>
      </w:r>
    </w:p>
    <w:p w14:paraId="1AB67ADC">
      <w:pPr>
        <w:spacing w:line="360" w:lineRule="auto"/>
        <w:ind w:firstLine="482" w:firstLineChars="200"/>
        <w:contextualSpacing/>
        <w:rPr>
          <w:rFonts w:ascii="宋体" w:hAnsi="宋体" w:cs="宋体"/>
          <w:b/>
          <w:bCs/>
          <w:sz w:val="24"/>
        </w:rPr>
      </w:pPr>
      <w:r>
        <w:rPr>
          <w:rFonts w:hint="eastAsia" w:ascii="宋体" w:hAnsi="宋体" w:cs="宋体"/>
          <w:b/>
          <w:bCs/>
          <w:sz w:val="24"/>
        </w:rPr>
        <w:t>33.需要补充的其他内容</w:t>
      </w:r>
    </w:p>
    <w:p w14:paraId="65941778">
      <w:pPr>
        <w:pStyle w:val="16"/>
        <w:spacing w:line="360" w:lineRule="auto"/>
        <w:ind w:firstLine="480" w:firstLineChars="200"/>
        <w:contextualSpacing/>
        <w:rPr>
          <w:rFonts w:hAnsi="宋体" w:cs="宋体"/>
          <w:sz w:val="24"/>
          <w:szCs w:val="24"/>
        </w:rPr>
      </w:pPr>
      <w:r>
        <w:rPr>
          <w:rFonts w:hint="eastAsia" w:hAnsi="宋体" w:cs="宋体"/>
          <w:sz w:val="24"/>
          <w:szCs w:val="24"/>
        </w:rPr>
        <w:t>33.1本谈判文件解释规则详见“供应商须知前附表”。</w:t>
      </w:r>
    </w:p>
    <w:p w14:paraId="7D5556B8">
      <w:pPr>
        <w:spacing w:line="360" w:lineRule="auto"/>
        <w:ind w:firstLine="480" w:firstLineChars="200"/>
        <w:contextualSpacing/>
        <w:rPr>
          <w:rFonts w:ascii="宋体" w:hAnsi="宋体" w:cs="宋体"/>
          <w:sz w:val="24"/>
        </w:rPr>
      </w:pPr>
      <w:r>
        <w:rPr>
          <w:rFonts w:hint="eastAsia" w:ascii="宋体" w:hAnsi="宋体" w:cs="宋体"/>
          <w:kern w:val="0"/>
          <w:sz w:val="24"/>
        </w:rPr>
        <w:t>33.2 其他事</w:t>
      </w:r>
      <w:r>
        <w:rPr>
          <w:rFonts w:hint="eastAsia" w:ascii="宋体" w:hAnsi="宋体" w:cs="宋体"/>
          <w:sz w:val="24"/>
        </w:rPr>
        <w:t>项详见“供应商须知前附表”。</w:t>
      </w:r>
    </w:p>
    <w:p w14:paraId="4DECC1E9">
      <w:pPr>
        <w:pStyle w:val="16"/>
        <w:spacing w:line="360" w:lineRule="auto"/>
        <w:ind w:firstLine="480" w:firstLineChars="200"/>
        <w:contextualSpacing/>
        <w:rPr>
          <w:rFonts w:hAnsi="宋体" w:cs="宋体"/>
          <w:sz w:val="24"/>
          <w:szCs w:val="24"/>
        </w:rPr>
      </w:pPr>
      <w:r>
        <w:rPr>
          <w:rFonts w:hint="eastAsia" w:hAnsi="宋体" w:cs="宋体"/>
          <w:sz w:val="24"/>
          <w:szCs w:val="24"/>
        </w:rPr>
        <w:t>33.3</w:t>
      </w:r>
      <w:bookmarkStart w:id="23" w:name="_Hlk65857140"/>
      <w:r>
        <w:rPr>
          <w:rFonts w:hint="eastAsia" w:hAnsi="宋体" w:cs="宋体"/>
          <w:sz w:val="24"/>
          <w:szCs w:val="24"/>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0ED7E53C">
      <w:pPr>
        <w:pStyle w:val="16"/>
        <w:spacing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0B81DD42">
      <w:pPr>
        <w:pStyle w:val="16"/>
        <w:spacing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1011D1C5">
      <w:pPr>
        <w:pStyle w:val="16"/>
        <w:spacing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16A92D2A">
      <w:pPr>
        <w:pStyle w:val="16"/>
        <w:spacing w:line="360" w:lineRule="auto"/>
        <w:ind w:firstLine="480" w:firstLineChars="200"/>
        <w:contextualSpacing/>
        <w:rPr>
          <w:rFonts w:hAnsi="宋体" w:cs="宋体"/>
          <w:sz w:val="24"/>
          <w:szCs w:val="24"/>
        </w:rPr>
      </w:pPr>
      <w:r>
        <w:rPr>
          <w:rFonts w:hint="eastAsia" w:hAnsi="宋体" w:cs="宋体"/>
          <w:sz w:val="24"/>
          <w:szCs w:val="24"/>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3365961">
      <w:pPr>
        <w:spacing w:line="360" w:lineRule="auto"/>
        <w:ind w:firstLine="480" w:firstLineChars="200"/>
        <w:contextualSpacing/>
        <w:rPr>
          <w:rFonts w:ascii="宋体" w:hAnsi="宋体" w:cs="宋体"/>
          <w:sz w:val="24"/>
        </w:rPr>
      </w:pPr>
      <w:r>
        <w:rPr>
          <w:rFonts w:hint="eastAsia" w:ascii="宋体" w:hAnsi="宋体" w:cs="宋体"/>
          <w:sz w:val="24"/>
        </w:rPr>
        <w:t>依据本谈判文件规定享受扶持政策获得政府采购合同的，小微企业不得将合同分包给大中型企业，中型企业不得将合同分包给大型企业。</w:t>
      </w:r>
      <w:bookmarkEnd w:id="23"/>
    </w:p>
    <w:p w14:paraId="070FD621">
      <w:pPr>
        <w:pStyle w:val="3"/>
        <w:spacing w:before="0" w:after="0" w:line="360" w:lineRule="auto"/>
        <w:jc w:val="center"/>
        <w:rPr>
          <w:rFonts w:ascii="宋体" w:hAnsi="宋体" w:cs="宋体"/>
          <w:sz w:val="32"/>
          <w:szCs w:val="32"/>
        </w:rPr>
      </w:pPr>
      <w:r>
        <w:rPr>
          <w:rFonts w:hint="eastAsia" w:ascii="宋体" w:hAnsi="宋体" w:cs="宋体"/>
          <w:bCs w:val="0"/>
          <w:sz w:val="24"/>
          <w:szCs w:val="24"/>
        </w:rPr>
        <w:br w:type="page"/>
      </w:r>
      <w:bookmarkStart w:id="24" w:name="_Toc74322010"/>
      <w:r>
        <w:rPr>
          <w:rFonts w:hint="eastAsia" w:ascii="宋体" w:hAnsi="宋体" w:cs="宋体"/>
        </w:rPr>
        <w:t>第三章 采购需求</w:t>
      </w:r>
      <w:bookmarkEnd w:id="24"/>
    </w:p>
    <w:p w14:paraId="05965515">
      <w:pPr>
        <w:spacing w:line="360" w:lineRule="auto"/>
        <w:jc w:val="left"/>
        <w:rPr>
          <w:rFonts w:ascii="宋体" w:hAnsi="宋体" w:cs="宋体"/>
          <w:bCs/>
          <w:sz w:val="24"/>
        </w:rPr>
      </w:pPr>
      <w:bookmarkStart w:id="25" w:name="_Toc74322011"/>
      <w:r>
        <w:rPr>
          <w:rFonts w:hint="eastAsia" w:ascii="宋体" w:hAnsi="宋体" w:cs="宋体"/>
          <w:bCs/>
          <w:sz w:val="24"/>
        </w:rPr>
        <w:t>说明：</w:t>
      </w:r>
    </w:p>
    <w:p w14:paraId="734AB6BB">
      <w:pPr>
        <w:spacing w:line="360" w:lineRule="auto"/>
        <w:ind w:left="-10" w:leftChars="-5" w:right="2" w:rightChars="1" w:firstLine="480" w:firstLineChars="200"/>
        <w:rPr>
          <w:bCs/>
          <w:sz w:val="24"/>
        </w:rPr>
      </w:pPr>
      <w:r>
        <w:rPr>
          <w:bCs/>
          <w:sz w:val="24"/>
        </w:rPr>
        <w:t>1</w:t>
      </w:r>
      <w:r>
        <w:rPr>
          <w:rFonts w:hint="eastAsia" w:ascii="宋体" w:hAnsi="宋体" w:cs="宋体"/>
          <w:sz w:val="24"/>
        </w:rPr>
        <w:t>.</w:t>
      </w:r>
      <w:r>
        <w:rPr>
          <w:bCs/>
          <w:sz w:val="24"/>
        </w:rPr>
        <w:t>采购需求中如出现品牌、型号或者生产厂家等均仅起参考作用，不属于指定品牌、型号或者生产厂家的情形，</w:t>
      </w:r>
      <w:r>
        <w:rPr>
          <w:rFonts w:hint="eastAsia"/>
          <w:bCs/>
          <w:sz w:val="24"/>
        </w:rPr>
        <w:t>供应商</w:t>
      </w:r>
      <w:r>
        <w:rPr>
          <w:bCs/>
          <w:sz w:val="24"/>
        </w:rPr>
        <w:t>可参照或者选用其他相当的品牌、型号或者生产供应商替代。但</w:t>
      </w:r>
      <w:r>
        <w:rPr>
          <w:rFonts w:hint="eastAsia"/>
          <w:bCs/>
          <w:sz w:val="24"/>
        </w:rPr>
        <w:t>供应商提供</w:t>
      </w:r>
      <w:r>
        <w:rPr>
          <w:bCs/>
          <w:sz w:val="24"/>
        </w:rPr>
        <w:t>的产品实质上应相当于或优于本</w:t>
      </w:r>
      <w:r>
        <w:rPr>
          <w:rFonts w:hint="eastAsia"/>
          <w:bCs/>
          <w:sz w:val="24"/>
        </w:rPr>
        <w:t>《采购</w:t>
      </w:r>
      <w:r>
        <w:rPr>
          <w:bCs/>
          <w:sz w:val="24"/>
        </w:rPr>
        <w:t>需求</w:t>
      </w:r>
      <w:r>
        <w:rPr>
          <w:rFonts w:hint="eastAsia"/>
          <w:bCs/>
          <w:sz w:val="24"/>
        </w:rPr>
        <w:t>》</w:t>
      </w:r>
      <w:r>
        <w:rPr>
          <w:bCs/>
          <w:sz w:val="24"/>
        </w:rPr>
        <w:t>中的技术要求。</w:t>
      </w:r>
    </w:p>
    <w:p w14:paraId="1451154E">
      <w:pPr>
        <w:spacing w:line="360" w:lineRule="auto"/>
        <w:ind w:left="-10" w:leftChars="-5" w:right="2" w:rightChars="1" w:firstLine="480" w:firstLineChars="200"/>
        <w:rPr>
          <w:bCs/>
          <w:sz w:val="24"/>
        </w:rPr>
      </w:pPr>
      <w:r>
        <w:rPr>
          <w:bCs/>
          <w:sz w:val="24"/>
        </w:rPr>
        <w:t>2</w:t>
      </w:r>
      <w:r>
        <w:rPr>
          <w:rFonts w:hint="eastAsia" w:ascii="宋体" w:hAnsi="宋体" w:cs="宋体"/>
          <w:sz w:val="24"/>
        </w:rPr>
        <w:t>.</w:t>
      </w:r>
      <w:r>
        <w:rPr>
          <w:bCs/>
          <w:sz w:val="24"/>
        </w:rPr>
        <w:t>凡在“技术要求”中表述为“标配”或“标准配置”的设备，</w:t>
      </w:r>
      <w:r>
        <w:rPr>
          <w:rFonts w:hint="eastAsia"/>
          <w:bCs/>
          <w:sz w:val="24"/>
        </w:rPr>
        <w:t>供应商</w:t>
      </w:r>
      <w:r>
        <w:rPr>
          <w:bCs/>
          <w:sz w:val="24"/>
        </w:rPr>
        <w:t>应在</w:t>
      </w:r>
      <w:r>
        <w:rPr>
          <w:rFonts w:hint="eastAsia" w:ascii="宋体" w:hAnsi="宋体" w:cs="宋体"/>
          <w:sz w:val="24"/>
          <w:lang w:bidi="ar"/>
        </w:rPr>
        <w:t>竞争性谈判</w:t>
      </w:r>
      <w:r>
        <w:rPr>
          <w:bCs/>
          <w:sz w:val="24"/>
        </w:rPr>
        <w:t>设备性能配置清单中将其标配参数详细列明。</w:t>
      </w:r>
    </w:p>
    <w:p w14:paraId="05AAFE12">
      <w:pPr>
        <w:spacing w:line="360" w:lineRule="auto"/>
        <w:ind w:left="-10" w:leftChars="-5" w:right="2" w:rightChars="1" w:firstLine="480" w:firstLineChars="200"/>
        <w:rPr>
          <w:bCs/>
          <w:sz w:val="24"/>
        </w:rPr>
      </w:pPr>
      <w:r>
        <w:rPr>
          <w:bCs/>
          <w:sz w:val="24"/>
        </w:rPr>
        <w:t>3</w:t>
      </w:r>
      <w:r>
        <w:rPr>
          <w:rFonts w:hint="eastAsia" w:ascii="宋体" w:hAnsi="宋体" w:cs="宋体"/>
          <w:sz w:val="24"/>
        </w:rPr>
        <w:t>.</w:t>
      </w:r>
      <w:r>
        <w:rPr>
          <w:bCs/>
          <w:sz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sz w:val="24"/>
        </w:rPr>
        <w:t>★</w:t>
      </w:r>
      <w:r>
        <w:rPr>
          <w:bCs/>
          <w:sz w:val="24"/>
        </w:rPr>
        <w:t>”的（详见本章后附的节能产品政府采购品目清单），</w:t>
      </w:r>
      <w:r>
        <w:rPr>
          <w:rFonts w:hint="eastAsia"/>
          <w:bCs/>
          <w:sz w:val="24"/>
        </w:rPr>
        <w:t>供应商参与</w:t>
      </w:r>
      <w:r>
        <w:rPr>
          <w:rFonts w:hint="eastAsia" w:ascii="宋体" w:hAnsi="宋体" w:cs="宋体"/>
          <w:sz w:val="24"/>
          <w:lang w:bidi="ar"/>
        </w:rPr>
        <w:t>竞争性谈判</w:t>
      </w:r>
      <w:r>
        <w:rPr>
          <w:rFonts w:hint="eastAsia"/>
          <w:bCs/>
          <w:sz w:val="24"/>
        </w:rPr>
        <w:t>提供的</w:t>
      </w:r>
      <w:r>
        <w:rPr>
          <w:bCs/>
          <w:sz w:val="24"/>
        </w:rPr>
        <w:t>货物必须使用政府强制采购的节能产品，</w:t>
      </w:r>
      <w:r>
        <w:rPr>
          <w:rFonts w:hint="eastAsia"/>
          <w:bCs/>
          <w:sz w:val="24"/>
        </w:rPr>
        <w:t>供应商必须在响应文件（商务及技术文件）中提供所投产品的节能产品认证证书复印件（加盖投标人电子签章），</w:t>
      </w:r>
      <w:r>
        <w:rPr>
          <w:bCs/>
          <w:sz w:val="24"/>
        </w:rPr>
        <w:t>否则</w:t>
      </w:r>
      <w:r>
        <w:rPr>
          <w:rFonts w:hint="eastAsia"/>
          <w:bCs/>
          <w:sz w:val="24"/>
        </w:rPr>
        <w:t>响应</w:t>
      </w:r>
      <w:r>
        <w:rPr>
          <w:bCs/>
          <w:sz w:val="24"/>
        </w:rPr>
        <w:t>文件作无效处理。</w:t>
      </w:r>
    </w:p>
    <w:p w14:paraId="0BE1BCE1">
      <w:pPr>
        <w:spacing w:line="360" w:lineRule="auto"/>
        <w:ind w:left="-10" w:leftChars="-5" w:right="2" w:rightChars="1" w:firstLine="480" w:firstLineChars="200"/>
        <w:rPr>
          <w:bCs/>
          <w:sz w:val="24"/>
        </w:rPr>
      </w:pPr>
      <w:r>
        <w:rPr>
          <w:bCs/>
          <w:sz w:val="24"/>
        </w:rPr>
        <w:t>4</w:t>
      </w:r>
      <w:r>
        <w:rPr>
          <w:rFonts w:hint="eastAsia" w:ascii="宋体" w:hAnsi="宋体" w:cs="宋体"/>
          <w:sz w:val="24"/>
        </w:rPr>
        <w:t>.</w:t>
      </w:r>
      <w:r>
        <w:rPr>
          <w:bCs/>
          <w:sz w:val="24"/>
        </w:rPr>
        <w:t>如</w:t>
      </w:r>
      <w:r>
        <w:rPr>
          <w:rFonts w:hint="eastAsia"/>
          <w:bCs/>
          <w:sz w:val="24"/>
        </w:rPr>
        <w:t>供应商参与</w:t>
      </w:r>
      <w:r>
        <w:rPr>
          <w:rFonts w:hint="eastAsia" w:ascii="宋体" w:hAnsi="宋体" w:cs="宋体"/>
          <w:sz w:val="24"/>
          <w:lang w:bidi="ar"/>
        </w:rPr>
        <w:t>竞争性谈判提供的</w:t>
      </w:r>
      <w:r>
        <w:rPr>
          <w:bCs/>
          <w:sz w:val="24"/>
        </w:rPr>
        <w:t>产品存在侵犯他人的知识产权或者专利成果行为的，由</w:t>
      </w:r>
      <w:r>
        <w:rPr>
          <w:rFonts w:hint="eastAsia"/>
          <w:bCs/>
          <w:sz w:val="24"/>
        </w:rPr>
        <w:t>供应商</w:t>
      </w:r>
      <w:r>
        <w:rPr>
          <w:bCs/>
          <w:sz w:val="24"/>
        </w:rPr>
        <w:t>自行承担相应法律责任。</w:t>
      </w:r>
    </w:p>
    <w:p w14:paraId="6E17AA06">
      <w:pPr>
        <w:spacing w:line="360" w:lineRule="auto"/>
        <w:ind w:left="-10" w:leftChars="-5" w:right="2" w:rightChars="1" w:firstLine="482" w:firstLineChars="200"/>
        <w:rPr>
          <w:b/>
          <w:sz w:val="24"/>
        </w:rPr>
      </w:pPr>
      <w:r>
        <w:rPr>
          <w:b/>
          <w:sz w:val="24"/>
        </w:rPr>
        <w:t>5</w:t>
      </w:r>
      <w:r>
        <w:rPr>
          <w:rFonts w:hint="eastAsia" w:ascii="宋体" w:hAnsi="宋体" w:cs="宋体"/>
          <w:b/>
          <w:sz w:val="24"/>
        </w:rPr>
        <w:t>.“</w:t>
      </w:r>
      <w:r>
        <w:rPr>
          <w:b/>
          <w:sz w:val="24"/>
        </w:rPr>
        <w:t>实质性要求</w:t>
      </w:r>
      <w:r>
        <w:rPr>
          <w:rFonts w:hint="eastAsia" w:ascii="宋体" w:hAnsi="宋体" w:cs="宋体"/>
          <w:b/>
          <w:sz w:val="24"/>
        </w:rPr>
        <w:t>”</w:t>
      </w:r>
      <w:r>
        <w:rPr>
          <w:b/>
          <w:sz w:val="24"/>
        </w:rPr>
        <w:t>是指</w:t>
      </w:r>
      <w:r>
        <w:rPr>
          <w:rFonts w:hint="eastAsia"/>
          <w:b/>
          <w:sz w:val="24"/>
        </w:rPr>
        <w:t>采购文件</w:t>
      </w:r>
      <w:r>
        <w:rPr>
          <w:b/>
          <w:sz w:val="24"/>
        </w:rPr>
        <w:t>中已经指明不满足则</w:t>
      </w:r>
      <w:r>
        <w:rPr>
          <w:rFonts w:hint="eastAsia" w:ascii="宋体" w:hAnsi="宋体" w:cs="宋体"/>
          <w:b/>
          <w:sz w:val="24"/>
          <w:lang w:bidi="ar"/>
        </w:rPr>
        <w:t>竞争性谈判</w:t>
      </w:r>
      <w:r>
        <w:rPr>
          <w:b/>
          <w:sz w:val="24"/>
        </w:rPr>
        <w:t>无效的条款，或者不</w:t>
      </w:r>
      <w:r>
        <w:rPr>
          <w:rFonts w:hint="eastAsia"/>
          <w:b/>
          <w:sz w:val="24"/>
        </w:rPr>
        <w:t>容许</w:t>
      </w:r>
      <w:r>
        <w:rPr>
          <w:b/>
          <w:sz w:val="24"/>
        </w:rPr>
        <w:t>负偏离的条款，或者采购需求中带</w:t>
      </w:r>
      <w:r>
        <w:rPr>
          <w:rFonts w:hint="eastAsia"/>
          <w:b/>
          <w:sz w:val="24"/>
        </w:rPr>
        <w:t>“▲”</w:t>
      </w:r>
      <w:r>
        <w:rPr>
          <w:b/>
          <w:sz w:val="24"/>
        </w:rPr>
        <w:t>的条款。</w:t>
      </w:r>
      <w:r>
        <w:rPr>
          <w:rFonts w:hint="eastAsia"/>
          <w:b/>
          <w:sz w:val="24"/>
        </w:rPr>
        <w:t>未标注“</w:t>
      </w:r>
      <w:r>
        <w:rPr>
          <w:rFonts w:hint="eastAsia" w:ascii="Segoe UI Symbol" w:hAnsi="Segoe UI Symbol" w:cs="Segoe UI Symbol"/>
          <w:b/>
          <w:sz w:val="24"/>
        </w:rPr>
        <w:t>▲</w:t>
      </w:r>
      <w:r>
        <w:rPr>
          <w:rFonts w:hint="eastAsia"/>
          <w:b/>
          <w:sz w:val="24"/>
        </w:rPr>
        <w:t>”号的非实质性条款要求可允许</w:t>
      </w:r>
      <w:r>
        <w:rPr>
          <w:b/>
          <w:sz w:val="24"/>
        </w:rPr>
        <w:t>1</w:t>
      </w:r>
      <w:r>
        <w:rPr>
          <w:rFonts w:hint="eastAsia"/>
          <w:b/>
          <w:sz w:val="24"/>
        </w:rPr>
        <w:t>项负偏离，</w:t>
      </w:r>
      <w:r>
        <w:rPr>
          <w:b/>
          <w:sz w:val="24"/>
        </w:rPr>
        <w:t>1</w:t>
      </w:r>
      <w:r>
        <w:rPr>
          <w:rFonts w:hint="eastAsia"/>
          <w:b/>
          <w:sz w:val="24"/>
        </w:rPr>
        <w:t>项以上（含</w:t>
      </w:r>
      <w:r>
        <w:rPr>
          <w:b/>
          <w:sz w:val="24"/>
        </w:rPr>
        <w:t>*</w:t>
      </w:r>
      <w:r>
        <w:rPr>
          <w:rFonts w:hint="eastAsia"/>
          <w:b/>
          <w:sz w:val="24"/>
        </w:rPr>
        <w:t>项）负偏离的</w:t>
      </w:r>
      <w:r>
        <w:rPr>
          <w:rFonts w:hint="eastAsia" w:ascii="宋体" w:hAnsi="宋体" w:cs="宋体"/>
          <w:b/>
          <w:sz w:val="24"/>
          <w:lang w:bidi="ar"/>
        </w:rPr>
        <w:t>竞争性谈判</w:t>
      </w:r>
      <w:r>
        <w:rPr>
          <w:rFonts w:hint="eastAsia"/>
          <w:b/>
          <w:sz w:val="24"/>
        </w:rPr>
        <w:t>无效。</w:t>
      </w:r>
    </w:p>
    <w:tbl>
      <w:tblPr>
        <w:tblStyle w:val="26"/>
        <w:tblpPr w:leftFromText="180" w:rightFromText="180" w:vertAnchor="text" w:horzAnchor="page" w:tblpX="1070" w:tblpY="987"/>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929"/>
        <w:gridCol w:w="982"/>
        <w:gridCol w:w="705"/>
        <w:gridCol w:w="4605"/>
        <w:gridCol w:w="1262"/>
        <w:gridCol w:w="1055"/>
      </w:tblGrid>
      <w:tr w14:paraId="4184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16" w:type="dxa"/>
            <w:vAlign w:val="center"/>
          </w:tcPr>
          <w:p w14:paraId="0B673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4"/>
              </w:rPr>
            </w:pPr>
            <w:r>
              <w:rPr>
                <w:rFonts w:hint="eastAsia" w:ascii="宋体" w:hAnsi="宋体" w:cs="宋体"/>
                <w:b/>
                <w:bCs/>
                <w:sz w:val="24"/>
              </w:rPr>
              <w:t>序号</w:t>
            </w:r>
          </w:p>
        </w:tc>
        <w:tc>
          <w:tcPr>
            <w:tcW w:w="929" w:type="dxa"/>
            <w:vAlign w:val="center"/>
          </w:tcPr>
          <w:p w14:paraId="3AFE9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4"/>
              </w:rPr>
            </w:pPr>
            <w:r>
              <w:rPr>
                <w:rFonts w:hint="eastAsia" w:ascii="宋体" w:hAnsi="宋体" w:cs="宋体"/>
                <w:b/>
                <w:bCs/>
                <w:sz w:val="24"/>
              </w:rPr>
              <w:t>标的名称</w:t>
            </w:r>
          </w:p>
        </w:tc>
        <w:tc>
          <w:tcPr>
            <w:tcW w:w="982" w:type="dxa"/>
            <w:vAlign w:val="center"/>
          </w:tcPr>
          <w:p w14:paraId="1DC36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4"/>
              </w:rPr>
            </w:pPr>
            <w:r>
              <w:rPr>
                <w:rFonts w:hint="eastAsia" w:ascii="宋体" w:hAnsi="宋体" w:cs="宋体"/>
                <w:b/>
                <w:bCs/>
                <w:sz w:val="24"/>
              </w:rPr>
              <w:t>数量</w:t>
            </w:r>
          </w:p>
        </w:tc>
        <w:tc>
          <w:tcPr>
            <w:tcW w:w="705" w:type="dxa"/>
            <w:vAlign w:val="center"/>
          </w:tcPr>
          <w:p w14:paraId="359928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4"/>
              </w:rPr>
            </w:pPr>
            <w:r>
              <w:rPr>
                <w:rFonts w:hint="eastAsia" w:ascii="宋体" w:hAnsi="宋体" w:cs="宋体"/>
                <w:b/>
                <w:bCs/>
                <w:sz w:val="24"/>
              </w:rPr>
              <w:t>单位</w:t>
            </w:r>
          </w:p>
        </w:tc>
        <w:tc>
          <w:tcPr>
            <w:tcW w:w="4605" w:type="dxa"/>
            <w:vAlign w:val="center"/>
          </w:tcPr>
          <w:p w14:paraId="67D08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4"/>
              </w:rPr>
            </w:pPr>
            <w:r>
              <w:rPr>
                <w:rFonts w:hint="eastAsia" w:ascii="宋体" w:hAnsi="宋体" w:cs="宋体"/>
                <w:b/>
                <w:bCs/>
                <w:kern w:val="0"/>
                <w:sz w:val="24"/>
              </w:rPr>
              <w:t>技术参数及性能（配置）要求</w:t>
            </w:r>
          </w:p>
        </w:tc>
        <w:tc>
          <w:tcPr>
            <w:tcW w:w="1262" w:type="dxa"/>
          </w:tcPr>
          <w:p w14:paraId="4D0CD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val="0"/>
                <w:bCs w:val="0"/>
                <w:sz w:val="21"/>
                <w:szCs w:val="21"/>
              </w:rPr>
            </w:pPr>
            <w:r>
              <w:rPr>
                <w:rFonts w:hint="eastAsia" w:ascii="宋体" w:hAnsi="宋体" w:cs="宋体"/>
                <w:b w:val="0"/>
                <w:bCs w:val="0"/>
                <w:kern w:val="0"/>
                <w:sz w:val="21"/>
                <w:szCs w:val="21"/>
              </w:rPr>
              <w:t>预算单价（万元/人民币）</w:t>
            </w:r>
          </w:p>
        </w:tc>
        <w:tc>
          <w:tcPr>
            <w:tcW w:w="1055" w:type="dxa"/>
          </w:tcPr>
          <w:p w14:paraId="4814B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val="0"/>
                <w:bCs w:val="0"/>
                <w:sz w:val="21"/>
                <w:szCs w:val="21"/>
              </w:rPr>
            </w:pPr>
            <w:r>
              <w:rPr>
                <w:rFonts w:hint="eastAsia" w:ascii="宋体" w:hAnsi="宋体" w:cs="宋体"/>
                <w:b w:val="0"/>
                <w:bCs w:val="0"/>
                <w:kern w:val="0"/>
                <w:sz w:val="21"/>
                <w:szCs w:val="21"/>
              </w:rPr>
              <w:t>单项预算合计（万元/人民币）</w:t>
            </w:r>
          </w:p>
        </w:tc>
      </w:tr>
      <w:tr w14:paraId="2387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6" w:type="dxa"/>
            <w:vAlign w:val="center"/>
          </w:tcPr>
          <w:p w14:paraId="2F48C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1</w:t>
            </w:r>
          </w:p>
        </w:tc>
        <w:tc>
          <w:tcPr>
            <w:tcW w:w="929" w:type="dxa"/>
            <w:vAlign w:val="center"/>
          </w:tcPr>
          <w:p w14:paraId="4E5A7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4"/>
                <w:lang w:bidi="ar"/>
              </w:rPr>
            </w:pPr>
            <w:r>
              <w:rPr>
                <w:rFonts w:hint="eastAsia" w:ascii="宋体" w:hAnsi="宋体" w:cs="宋体"/>
                <w:color w:val="000000"/>
                <w:kern w:val="0"/>
                <w:sz w:val="24"/>
                <w:lang w:bidi="ar"/>
              </w:rPr>
              <w:t>单相</w:t>
            </w:r>
          </w:p>
          <w:p w14:paraId="5FCB2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4"/>
                <w:lang w:bidi="ar"/>
              </w:rPr>
            </w:pPr>
            <w:r>
              <w:rPr>
                <w:rFonts w:hint="eastAsia" w:ascii="宋体" w:hAnsi="宋体" w:cs="宋体"/>
                <w:color w:val="000000"/>
                <w:kern w:val="0"/>
                <w:sz w:val="24"/>
                <w:lang w:bidi="ar"/>
              </w:rPr>
              <w:t>智能</w:t>
            </w:r>
          </w:p>
          <w:p w14:paraId="76DABA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rPr>
            </w:pPr>
            <w:r>
              <w:rPr>
                <w:rFonts w:hint="eastAsia" w:ascii="宋体" w:hAnsi="宋体" w:cs="宋体"/>
                <w:color w:val="000000"/>
                <w:kern w:val="0"/>
                <w:sz w:val="24"/>
                <w:lang w:bidi="ar"/>
              </w:rPr>
              <w:t>电表</w:t>
            </w:r>
          </w:p>
        </w:tc>
        <w:tc>
          <w:tcPr>
            <w:tcW w:w="982" w:type="dxa"/>
            <w:vAlign w:val="center"/>
          </w:tcPr>
          <w:p w14:paraId="723A4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4300</w:t>
            </w:r>
          </w:p>
        </w:tc>
        <w:tc>
          <w:tcPr>
            <w:tcW w:w="705" w:type="dxa"/>
            <w:vAlign w:val="center"/>
          </w:tcPr>
          <w:p w14:paraId="0FCF4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台</w:t>
            </w:r>
          </w:p>
        </w:tc>
        <w:tc>
          <w:tcPr>
            <w:tcW w:w="4605" w:type="dxa"/>
            <w:vAlign w:val="center"/>
          </w:tcPr>
          <w:p w14:paraId="505BBBE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DDZY型壁挂表</w:t>
            </w:r>
          </w:p>
          <w:p w14:paraId="0F704A5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 性能要求：符合国家标准《GB/T 17215.321-2021》。</w:t>
            </w:r>
          </w:p>
          <w:p w14:paraId="6030D31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▲2. 型式要求：符合《Q/GDW 1355-2013 单相智能电能表型式规范》或《Q/CSG 1209001-2022单相智能电能表技术规范》，安装方式为壁挂式，电表尺寸≤160mm（高）×112mm（宽）×71mm（厚）。</w:t>
            </w:r>
          </w:p>
          <w:p w14:paraId="5616BA6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3. 通信：包含不少于1路RS485通讯接口、1路蓝牙mesh通讯接口和1个可插拔扩展通信模块接口。可插拔扩展通信模块接口配置470MHz微功率无线自组网子节点模块。在网络中断的情况下能够通过手机蓝牙直连电表进行保电。通讯规约符合发改委颁布的DL/T 645-2007《多功能电能表通信协议》。</w:t>
            </w:r>
          </w:p>
          <w:p w14:paraId="23AC8A8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▲4.可插拔扩展通信模块：适配单相智能电表电表可插拔扩展通信模块接口使用，频率范围470~510 MHz，符合工业和信息化部无线电管理局颁布的《微功率（短距离）无线电设备的技术规定》。</w:t>
            </w:r>
            <w:r>
              <w:rPr>
                <w:rFonts w:ascii="宋体" w:hAnsi="宋体" w:cs="宋体"/>
                <w:bCs/>
                <w:sz w:val="24"/>
              </w:rPr>
              <w:t>（</w:t>
            </w:r>
            <w:r>
              <w:rPr>
                <w:rFonts w:hint="eastAsia" w:ascii="宋体" w:hAnsi="宋体" w:cs="宋体"/>
                <w:bCs/>
                <w:sz w:val="24"/>
              </w:rPr>
              <w:t>需在响应文件中提供货物满足采购文件要求的承诺函原件或具备 CNAS/CMA 资质的第三方检测机构出具的检测报告扫描件。</w:t>
            </w:r>
            <w:r>
              <w:rPr>
                <w:rFonts w:ascii="宋体" w:hAnsi="宋体" w:cs="宋体"/>
                <w:bCs/>
                <w:sz w:val="24"/>
              </w:rPr>
              <w:t>）</w:t>
            </w:r>
          </w:p>
          <w:p w14:paraId="5301029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ascii="宋体" w:hAnsi="宋体" w:cs="宋体"/>
                <w:bCs/>
                <w:sz w:val="24"/>
              </w:rPr>
              <w:t>5</w:t>
            </w:r>
            <w:r>
              <w:rPr>
                <w:rFonts w:hint="eastAsia" w:ascii="宋体" w:hAnsi="宋体" w:cs="宋体"/>
                <w:bCs/>
                <w:sz w:val="24"/>
              </w:rPr>
              <w:t>. 电气参数：电压为220V，电流为0.2-0.5（60）A，计量精度为有功B级。</w:t>
            </w:r>
          </w:p>
          <w:p w14:paraId="2A2A883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ascii="宋体" w:hAnsi="宋体" w:cs="宋体"/>
                <w:bCs/>
                <w:sz w:val="24"/>
              </w:rPr>
              <w:t>6</w:t>
            </w:r>
            <w:r>
              <w:rPr>
                <w:rFonts w:hint="eastAsia" w:ascii="宋体" w:hAnsi="宋体" w:cs="宋体"/>
                <w:bCs/>
                <w:sz w:val="24"/>
              </w:rPr>
              <w:t>. 计量功能要求：支持用电量计量和测量电路上有功功率、功率因数、电压、电流、频率等参数的功能，计量测量数据支持远程采集。具有时段设置功能，可以根据设置时段分时计量，支持功尖、峰、平、谷四种费率电能量。</w:t>
            </w:r>
          </w:p>
          <w:p w14:paraId="4CB7652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w:t>
            </w:r>
            <w:r>
              <w:rPr>
                <w:rFonts w:ascii="宋体" w:hAnsi="宋体" w:cs="宋体"/>
                <w:bCs/>
                <w:sz w:val="24"/>
              </w:rPr>
              <w:t>7</w:t>
            </w:r>
            <w:r>
              <w:rPr>
                <w:rFonts w:hint="eastAsia" w:ascii="宋体" w:hAnsi="宋体" w:cs="宋体"/>
                <w:bCs/>
                <w:sz w:val="24"/>
              </w:rPr>
              <w:t>. 费控功能要求：支持本地费控功能，电表可以根据剩余金额自动控制电表跳闸或合闸。电表在脱网情况下费控功能可正常使用。费控数据支持远程采集。（响应文件中提供CNAS或CMA资质的第三方检测机构出具的检测报告并加盖竞标人公章。）</w:t>
            </w:r>
          </w:p>
          <w:p w14:paraId="532A2AA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▲8. 恶性负载限制功能:具有识别恶性负载设备功能，智能电表对恶性负载识别后，能够跳闸。（响应文件中提供CNAS或CMA资质的第三方检测机构出具的检测报告并加盖竞标人公章。）</w:t>
            </w:r>
          </w:p>
          <w:p w14:paraId="448C472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ascii="宋体" w:hAnsi="宋体" w:cs="宋体"/>
                <w:bCs/>
                <w:sz w:val="24"/>
              </w:rPr>
              <w:t>9</w:t>
            </w:r>
            <w:r>
              <w:rPr>
                <w:rFonts w:hint="eastAsia" w:ascii="宋体" w:hAnsi="宋体" w:cs="宋体"/>
                <w:bCs/>
                <w:sz w:val="24"/>
              </w:rPr>
              <w:t>.温度检测功能：电表具有温度检测功能，当表内温度超多设置值时，电表可自动跳闸。</w:t>
            </w:r>
          </w:p>
          <w:p w14:paraId="596EE46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10.数据冻结功能：可对装置的电能数据进行冻结并记录冻结数据和冻结时间。冻结功能相关参数可以设置。日冻结：存储每天零点时刻的电能量，可存储不少于50天的日冻结数据。整点冻结，存储整点时刻的电能量，可存储不少于200次整点冻结数据。事件记录，支持失压、断相、掉电等事件记录功能，事件记录停电不丢失，并记录发生日期和时间等。（响应文件中提供CNAS或CMA资质的第三方检测机构出具的检测报告并加盖竞标人公章。）</w:t>
            </w:r>
          </w:p>
          <w:p w14:paraId="7C36003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w:t>
            </w:r>
            <w:r>
              <w:rPr>
                <w:rFonts w:ascii="宋体" w:hAnsi="宋体" w:cs="宋体"/>
                <w:bCs/>
                <w:sz w:val="24"/>
              </w:rPr>
              <w:t>1</w:t>
            </w:r>
            <w:r>
              <w:rPr>
                <w:rFonts w:hint="eastAsia" w:ascii="宋体" w:hAnsi="宋体" w:cs="宋体"/>
                <w:bCs/>
                <w:sz w:val="24"/>
              </w:rPr>
              <w:t>.显示功能：采用LCD中文显示，支持自动循环显示和按键显示和停电状态下的按键显示，显示内容至少总用电量及剩余金额，充值金额、补助金额、当前功率、电压、电流、功率因素；表计时间、日期、表号等信息。</w:t>
            </w:r>
          </w:p>
          <w:p w14:paraId="0A3CE4E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w:t>
            </w:r>
            <w:r>
              <w:rPr>
                <w:rFonts w:ascii="宋体" w:hAnsi="宋体" w:cs="宋体"/>
                <w:bCs/>
                <w:sz w:val="24"/>
              </w:rPr>
              <w:t>2</w:t>
            </w:r>
            <w:r>
              <w:rPr>
                <w:rFonts w:hint="eastAsia" w:ascii="宋体" w:hAnsi="宋体" w:cs="宋体"/>
                <w:bCs/>
                <w:sz w:val="24"/>
              </w:rPr>
              <w:t>. 断网自主工作：电表在脱网环境下，能实现补助电自动发放、定时开关，恶性负载控制，大功率控制、欠费断电功能。</w:t>
            </w:r>
          </w:p>
          <w:p w14:paraId="46057FF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w:t>
            </w:r>
            <w:r>
              <w:rPr>
                <w:rFonts w:ascii="宋体" w:hAnsi="宋体" w:cs="宋体"/>
                <w:bCs/>
                <w:sz w:val="24"/>
              </w:rPr>
              <w:t>3</w:t>
            </w:r>
            <w:r>
              <w:rPr>
                <w:rFonts w:hint="eastAsia" w:ascii="宋体" w:hAnsi="宋体" w:cs="宋体"/>
                <w:bCs/>
                <w:sz w:val="24"/>
              </w:rPr>
              <w:t>. 安全保障：要求电表支持秘钥认证功能，秘钥支持远程下发。充值、跳闸、合闸等敏感操作要求加密认证，使用中要求各户电表使用不同秘钥。</w:t>
            </w:r>
          </w:p>
          <w:p w14:paraId="706B0DC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w:t>
            </w:r>
            <w:r>
              <w:rPr>
                <w:rFonts w:ascii="宋体" w:hAnsi="宋体" w:cs="宋体"/>
                <w:bCs/>
                <w:sz w:val="24"/>
              </w:rPr>
              <w:t>4</w:t>
            </w:r>
            <w:r>
              <w:rPr>
                <w:rFonts w:hint="eastAsia" w:ascii="宋体" w:hAnsi="宋体" w:cs="宋体"/>
                <w:bCs/>
                <w:sz w:val="24"/>
              </w:rPr>
              <w:t>.电表取得省级及以上质量监督部门颁发的计量器具型式批准证书和型式评价报告（响应文件中提供证书和报告扫描件）。</w:t>
            </w:r>
          </w:p>
          <w:p w14:paraId="1EDF1DE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cs="宋体"/>
                <w:bCs/>
                <w:sz w:val="24"/>
              </w:rPr>
              <w:t>▲15.智能电表需接入广西大学现有的能源物联网设备管理平台和水电预付费管理系统，完全实现能源物联网设备管理平台和水电预付费管理系统的所有功能。（具体功能详见附件1：学校在用能源物联网设备管理平台和水电预付费管理系统型号和功能说明）。接入费用由成交供应商承担，包括不限于能源物联网设备管理平台和水电预付费管理系统的电表接入。采购人不承担任何费用。供应商须在响应文件中对本条提供专门的承诺函（格式自拟）并加盖公章。</w:t>
            </w:r>
          </w:p>
          <w:p w14:paraId="53A1D378">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bCs/>
                <w:sz w:val="24"/>
                <w:szCs w:val="24"/>
              </w:rPr>
              <w:t>1</w:t>
            </w:r>
            <w:r>
              <w:rPr>
                <w:rFonts w:ascii="宋体" w:hAnsi="宋体" w:cs="宋体"/>
                <w:bCs/>
                <w:sz w:val="24"/>
                <w:szCs w:val="24"/>
              </w:rPr>
              <w:t>6</w:t>
            </w:r>
            <w:r>
              <w:rPr>
                <w:rFonts w:hint="eastAsia" w:ascii="宋体" w:hAnsi="宋体" w:cs="宋体"/>
                <w:bCs/>
                <w:sz w:val="24"/>
                <w:szCs w:val="24"/>
              </w:rPr>
              <w:t>.含设备安装、接入平台和系统所需对接调试、以及辅材等一切费用须含在该产品的报价中。</w:t>
            </w:r>
          </w:p>
        </w:tc>
        <w:tc>
          <w:tcPr>
            <w:tcW w:w="1262" w:type="dxa"/>
            <w:vAlign w:val="center"/>
          </w:tcPr>
          <w:p w14:paraId="05688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0.0363</w:t>
            </w:r>
          </w:p>
        </w:tc>
        <w:tc>
          <w:tcPr>
            <w:tcW w:w="1055" w:type="dxa"/>
            <w:vAlign w:val="center"/>
          </w:tcPr>
          <w:p w14:paraId="4146F9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156.09</w:t>
            </w:r>
          </w:p>
        </w:tc>
      </w:tr>
      <w:tr w14:paraId="040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6" w:type="dxa"/>
            <w:vAlign w:val="center"/>
          </w:tcPr>
          <w:p w14:paraId="01E88D0F">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2</w:t>
            </w:r>
          </w:p>
        </w:tc>
        <w:tc>
          <w:tcPr>
            <w:tcW w:w="929" w:type="dxa"/>
            <w:vAlign w:val="center"/>
          </w:tcPr>
          <w:p w14:paraId="4461833C">
            <w:pPr>
              <w:keepNext w:val="0"/>
              <w:keepLines w:val="0"/>
              <w:pageBreakBefore w:val="0"/>
              <w:kinsoku/>
              <w:wordWrap/>
              <w:overflowPunct/>
              <w:topLinePunct w:val="0"/>
              <w:autoSpaceDE/>
              <w:autoSpaceDN/>
              <w:bidi w:val="0"/>
              <w:adjustRightInd/>
              <w:snapToGrid/>
              <w:spacing w:line="360" w:lineRule="auto"/>
              <w:jc w:val="center"/>
              <w:rPr>
                <w:rFonts w:ascii="宋体" w:hAnsi="宋体" w:cs="宋体"/>
                <w:kern w:val="0"/>
                <w:sz w:val="24"/>
              </w:rPr>
            </w:pPr>
            <w:r>
              <w:rPr>
                <w:rFonts w:hint="eastAsia" w:ascii="宋体" w:hAnsi="宋体" w:cs="宋体"/>
                <w:kern w:val="0"/>
                <w:sz w:val="24"/>
              </w:rPr>
              <w:t>三相导轨费控电表</w:t>
            </w:r>
          </w:p>
        </w:tc>
        <w:tc>
          <w:tcPr>
            <w:tcW w:w="982" w:type="dxa"/>
            <w:vAlign w:val="center"/>
          </w:tcPr>
          <w:p w14:paraId="75069C67">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112</w:t>
            </w:r>
          </w:p>
        </w:tc>
        <w:tc>
          <w:tcPr>
            <w:tcW w:w="705" w:type="dxa"/>
            <w:vAlign w:val="center"/>
          </w:tcPr>
          <w:p w14:paraId="63BDEA83">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台</w:t>
            </w:r>
          </w:p>
        </w:tc>
        <w:tc>
          <w:tcPr>
            <w:tcW w:w="4605" w:type="dxa"/>
            <w:vAlign w:val="center"/>
          </w:tcPr>
          <w:p w14:paraId="4B4430F7">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DTSU型导轨表</w:t>
            </w:r>
          </w:p>
          <w:p w14:paraId="2F7C257E">
            <w:pPr>
              <w:pStyle w:val="9"/>
              <w:keepNext w:val="0"/>
              <w:keepLines w:val="0"/>
              <w:pageBreakBefore w:val="0"/>
              <w:kinsoku/>
              <w:wordWrap/>
              <w:overflowPunct/>
              <w:topLinePunct w:val="0"/>
              <w:autoSpaceDE/>
              <w:autoSpaceDN/>
              <w:bidi w:val="0"/>
              <w:adjustRightInd/>
              <w:snapToGrid/>
              <w:spacing w:line="360" w:lineRule="auto"/>
              <w:jc w:val="both"/>
              <w:rPr>
                <w:rFonts w:ascii="宋体" w:hAnsi="宋体" w:cs="宋体"/>
                <w:bCs/>
                <w:sz w:val="24"/>
              </w:rPr>
            </w:pPr>
            <w:r>
              <w:rPr>
                <w:rFonts w:hint="eastAsia" w:ascii="宋体" w:hAnsi="宋体" w:cs="宋体"/>
                <w:bCs/>
                <w:sz w:val="24"/>
              </w:rPr>
              <w:t>▲1. 性能要求：符合国家标准《GB/T 17215.321-2021》标准。</w:t>
            </w:r>
          </w:p>
          <w:p w14:paraId="5ABA3E14">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2.安装方式为导轨式，电表尺寸为≤长126mm×宽89mm×高74mm（厚）。</w:t>
            </w:r>
          </w:p>
          <w:p w14:paraId="3DF7FF29">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3. 通信：包含不少于1路RS485通讯接口和1路</w:t>
            </w:r>
            <w:r>
              <w:rPr>
                <w:rFonts w:ascii="宋体" w:hAnsi="宋体" w:cs="宋体"/>
                <w:bCs/>
                <w:sz w:val="24"/>
              </w:rPr>
              <w:t>470-510MHz</w:t>
            </w:r>
            <w:r>
              <w:rPr>
                <w:rFonts w:hint="eastAsia" w:ascii="宋体" w:hAnsi="宋体" w:cs="宋体"/>
                <w:bCs/>
                <w:sz w:val="24"/>
              </w:rPr>
              <w:t xml:space="preserve"> 微功率无线通讯接口，支持DL/T 645-2007《多功能电能表通信协议》。</w:t>
            </w:r>
          </w:p>
          <w:p w14:paraId="2CE17802">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4. 电气参数：电压为3×220/380V，电流为0.2-0.5（80）A ，频率为50Hz，计量精度为有功B级；</w:t>
            </w:r>
          </w:p>
          <w:p w14:paraId="001E4761">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5. 计量功能要求：支持用电量计量和测量电路上有功功率、功率因数、电压、电流、频率等参数的功能，计量测量数据支持远程采集。</w:t>
            </w:r>
          </w:p>
          <w:p w14:paraId="5F5E598F">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▲6. 费控功能要求：支持本地费控，余额不足时，电表自动报警或跳闸（可设置），电表在脱网情况下费控功能可正常使用，费控数据支持远程采集。（响应文件中提供CNAS或CMA资质的第三方检测机构出具的检测报告并加盖竞标人公章。）</w:t>
            </w:r>
          </w:p>
          <w:p w14:paraId="273FED26">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7. 数据冻结功能要求：支持存储10天以上用电计量整点冻结数据和60天以上的日冻结数据。冻结数据支持远程采集。</w:t>
            </w:r>
          </w:p>
          <w:p w14:paraId="75C9ABDE">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8. 功耗：电流线路视在功率≤0.1VA，电压线路有功功率≤0.6W。</w:t>
            </w:r>
          </w:p>
          <w:p w14:paraId="5A8F5B21">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9. 安全保障：要求电表支持秘钥认证功能，秘钥支持远程下发。充值、跳闸、合闸等敏感操作要求加密认证。使用中要求各户电表使用不同秘钥。</w:t>
            </w:r>
          </w:p>
          <w:p w14:paraId="1E4DB97F">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▲10. 电表取得法定计量检定机构颁发的计量器具型式批准证书和型式评价报告（响应文件中提供证书和报告扫描件）。</w:t>
            </w:r>
          </w:p>
          <w:p w14:paraId="587E1B31">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11.智能电表需接入广西大学现有的能源物联网设备管理平台和水电预付费管理系统，完全实现能源物联网设备管理平台和水电预付费管理系统所有功能。（具体功能详见附件1：学校在用能源物联网设备管理平台和水电预付费管理系统型号和功能说明）。接入若产生费用由成交供应商承担，包括不限于能源物联网设备管理平台和水电预付费管理系统的电表接入。采购人不承担任何费用。供应商须在响应文件中对本条提供专门的承诺函（格式自拟）并加盖公章。</w:t>
            </w:r>
          </w:p>
          <w:p w14:paraId="6A244744">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bCs/>
                <w:sz w:val="24"/>
              </w:rPr>
              <w:t>12.含设备安装、接入平台和系统所需对接调试、以及辅材等一切费用须含在该产品的报价中。</w:t>
            </w:r>
          </w:p>
        </w:tc>
        <w:tc>
          <w:tcPr>
            <w:tcW w:w="1262" w:type="dxa"/>
            <w:vAlign w:val="center"/>
          </w:tcPr>
          <w:p w14:paraId="12FA08B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bCs/>
                <w:sz w:val="24"/>
              </w:rPr>
            </w:pPr>
            <w:r>
              <w:rPr>
                <w:rFonts w:ascii="宋体" w:hAnsi="宋体" w:cs="宋体"/>
                <w:bCs/>
                <w:sz w:val="24"/>
              </w:rPr>
              <w:t>0.0</w:t>
            </w:r>
            <w:r>
              <w:rPr>
                <w:rFonts w:hint="eastAsia" w:ascii="宋体" w:hAnsi="宋体" w:cs="宋体"/>
                <w:bCs/>
                <w:sz w:val="24"/>
              </w:rPr>
              <w:t>98</w:t>
            </w:r>
          </w:p>
        </w:tc>
        <w:tc>
          <w:tcPr>
            <w:tcW w:w="1055" w:type="dxa"/>
            <w:vAlign w:val="center"/>
          </w:tcPr>
          <w:p w14:paraId="7042AE3C">
            <w:pPr>
              <w:keepNext w:val="0"/>
              <w:keepLines w:val="0"/>
              <w:pageBreakBefore w:val="0"/>
              <w:kinsoku/>
              <w:wordWrap/>
              <w:overflowPunct/>
              <w:topLinePunct w:val="0"/>
              <w:autoSpaceDE/>
              <w:autoSpaceDN/>
              <w:bidi w:val="0"/>
              <w:adjustRightInd/>
              <w:snapToGrid/>
              <w:spacing w:line="360" w:lineRule="auto"/>
              <w:jc w:val="center"/>
              <w:rPr>
                <w:rFonts w:ascii="宋体" w:hAnsi="宋体" w:cs="宋体"/>
                <w:bCs/>
                <w:sz w:val="24"/>
              </w:rPr>
            </w:pPr>
            <w:r>
              <w:rPr>
                <w:rFonts w:hint="eastAsia" w:ascii="宋体" w:hAnsi="宋体" w:cs="宋体"/>
                <w:bCs/>
                <w:sz w:val="24"/>
              </w:rPr>
              <w:t>10.976</w:t>
            </w:r>
          </w:p>
        </w:tc>
      </w:tr>
      <w:tr w14:paraId="4E32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6" w:type="dxa"/>
            <w:vAlign w:val="center"/>
          </w:tcPr>
          <w:p w14:paraId="39E732BA">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3</w:t>
            </w:r>
          </w:p>
        </w:tc>
        <w:tc>
          <w:tcPr>
            <w:tcW w:w="929" w:type="dxa"/>
            <w:vAlign w:val="center"/>
          </w:tcPr>
          <w:p w14:paraId="36961A40">
            <w:pPr>
              <w:keepNext w:val="0"/>
              <w:keepLines w:val="0"/>
              <w:pageBreakBefore w:val="0"/>
              <w:kinsoku/>
              <w:wordWrap/>
              <w:overflowPunct/>
              <w:topLinePunct w:val="0"/>
              <w:autoSpaceDE/>
              <w:autoSpaceDN/>
              <w:bidi w:val="0"/>
              <w:adjustRightInd/>
              <w:snapToGrid/>
              <w:spacing w:line="360" w:lineRule="auto"/>
              <w:jc w:val="center"/>
              <w:rPr>
                <w:rFonts w:ascii="宋体" w:hAnsi="宋体" w:cs="宋体"/>
                <w:kern w:val="0"/>
                <w:sz w:val="24"/>
              </w:rPr>
            </w:pPr>
            <w:r>
              <w:rPr>
                <w:rFonts w:hint="eastAsia" w:ascii="宋体" w:hAnsi="宋体" w:cs="宋体"/>
                <w:kern w:val="0"/>
                <w:sz w:val="24"/>
              </w:rPr>
              <w:t>集中器</w:t>
            </w:r>
          </w:p>
        </w:tc>
        <w:tc>
          <w:tcPr>
            <w:tcW w:w="982" w:type="dxa"/>
            <w:vAlign w:val="center"/>
          </w:tcPr>
          <w:p w14:paraId="6C24376A">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250</w:t>
            </w:r>
          </w:p>
        </w:tc>
        <w:tc>
          <w:tcPr>
            <w:tcW w:w="705" w:type="dxa"/>
            <w:vAlign w:val="center"/>
          </w:tcPr>
          <w:p w14:paraId="3CE63893">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台</w:t>
            </w:r>
          </w:p>
        </w:tc>
        <w:tc>
          <w:tcPr>
            <w:tcW w:w="4605" w:type="dxa"/>
            <w:shd w:val="clear" w:color="auto" w:fill="auto"/>
          </w:tcPr>
          <w:p w14:paraId="6A893B9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hint="eastAsia" w:ascii="宋体" w:hAnsi="宋体" w:cs="宋体"/>
                <w:color w:val="000000"/>
                <w:sz w:val="24"/>
              </w:rPr>
              <w:t>.</w:t>
            </w:r>
            <w:r>
              <w:rPr>
                <w:rFonts w:hint="eastAsia" w:ascii="宋体" w:hAnsi="宋体" w:cs="宋体"/>
                <w:color w:val="000000"/>
                <w:kern w:val="0"/>
                <w:sz w:val="24"/>
                <w:lang w:bidi="ar"/>
              </w:rPr>
              <w:t>上行接口：包含≥1个以太网接口，≥1个4G接口；本地接口：包含≥1个RS485接口，≥1个1路蓝牙 mesh接口， ≥1个和1个可插拔扩展通信模块接口。通信信道物理层相互独立，任意一条通信信道的损坏不影响其它信道正常工作。</w:t>
            </w:r>
          </w:p>
          <w:p w14:paraId="4273BC6E">
            <w:pPr>
              <w:pStyle w:val="2"/>
              <w:keepNext w:val="0"/>
              <w:keepLines w:val="0"/>
              <w:pageBreakBefore w:val="0"/>
              <w:kinsoku/>
              <w:wordWrap/>
              <w:overflowPunct/>
              <w:topLinePunct w:val="0"/>
              <w:autoSpaceDE/>
              <w:autoSpaceDN/>
              <w:bidi w:val="0"/>
              <w:adjustRightInd/>
              <w:snapToGrid/>
              <w:spacing w:line="360" w:lineRule="auto"/>
              <w:rPr>
                <w:lang w:bidi="ar"/>
              </w:rPr>
            </w:pPr>
            <w:r>
              <w:rPr>
                <w:rFonts w:hint="eastAsia" w:ascii="宋体" w:hAnsi="宋体" w:cs="宋体"/>
                <w:color w:val="000000"/>
                <w:sz w:val="24"/>
                <w:lang w:bidi="ar"/>
              </w:rPr>
              <w:t>▲2</w:t>
            </w:r>
            <w:r>
              <w:rPr>
                <w:rFonts w:ascii="宋体" w:hAnsi="宋体" w:cs="宋体"/>
                <w:color w:val="000000"/>
                <w:sz w:val="24"/>
                <w:lang w:bidi="ar"/>
              </w:rPr>
              <w:t>.</w:t>
            </w:r>
            <w:r>
              <w:rPr>
                <w:rFonts w:hint="eastAsia" w:ascii="宋体" w:hAnsi="宋体" w:cs="宋体"/>
                <w:color w:val="000000"/>
                <w:sz w:val="24"/>
              </w:rPr>
              <w:t>可插拔扩展通信模块：适配集中器可插拔扩展通信模块接口使用，频率范围470~510 MHz，符合工业和信息化部无线电管理局颁布的《微功率（短距离）无线电设备的技术规定》。（响应文件中提供货物满足采购文件要求的承诺函原件或具备 CNAS/CMA 资质的第三方检测机构出具的检测报告扫描件</w:t>
            </w:r>
            <w:r>
              <w:rPr>
                <w:rFonts w:hint="eastAsia" w:ascii="宋体" w:hAnsi="宋体" w:cs="宋体"/>
                <w:color w:val="000000"/>
                <w:sz w:val="24"/>
                <w:lang w:eastAsia="zh-CN"/>
              </w:rPr>
              <w:t>）</w:t>
            </w:r>
            <w:r>
              <w:rPr>
                <w:rFonts w:hint="eastAsia" w:ascii="宋体" w:hAnsi="宋体" w:cs="宋体"/>
                <w:color w:val="000000"/>
                <w:sz w:val="24"/>
              </w:rPr>
              <w:t>;</w:t>
            </w:r>
          </w:p>
          <w:p w14:paraId="57502B1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w:t>
            </w:r>
            <w:r>
              <w:rPr>
                <w:rFonts w:ascii="宋体" w:hAnsi="宋体" w:cs="宋体"/>
                <w:color w:val="000000"/>
                <w:kern w:val="0"/>
                <w:sz w:val="24"/>
                <w:lang w:bidi="ar"/>
              </w:rPr>
              <w:t>3</w:t>
            </w:r>
            <w:r>
              <w:rPr>
                <w:rFonts w:hint="eastAsia" w:ascii="宋体" w:hAnsi="宋体" w:cs="宋体"/>
                <w:color w:val="000000"/>
                <w:sz w:val="24"/>
              </w:rPr>
              <w:t>.</w:t>
            </w:r>
            <w:r>
              <w:rPr>
                <w:rFonts w:hint="eastAsia" w:ascii="宋体" w:hAnsi="宋体" w:cs="宋体"/>
                <w:color w:val="000000"/>
                <w:kern w:val="0"/>
                <w:sz w:val="24"/>
                <w:lang w:bidi="ar"/>
              </w:rPr>
              <w:t xml:space="preserve">集中器通信协议：支持发改委颁布的DL/T 698.41-2010规约或国家电网Q/GDW 1376-2013集中器通信规约。   </w:t>
            </w:r>
          </w:p>
          <w:p w14:paraId="7DF1E07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kern w:val="0"/>
                <w:sz w:val="24"/>
                <w:lang w:bidi="ar"/>
              </w:rPr>
            </w:pPr>
            <w:r>
              <w:rPr>
                <w:rFonts w:ascii="宋体" w:hAnsi="宋体" w:cs="宋体"/>
                <w:color w:val="000000"/>
                <w:kern w:val="0"/>
                <w:sz w:val="24"/>
                <w:lang w:bidi="ar"/>
              </w:rPr>
              <w:t>4</w:t>
            </w:r>
            <w:r>
              <w:rPr>
                <w:rFonts w:hint="eastAsia" w:ascii="宋体" w:hAnsi="宋体" w:cs="宋体"/>
                <w:color w:val="000000"/>
                <w:sz w:val="24"/>
              </w:rPr>
              <w:t>.</w:t>
            </w:r>
            <w:r>
              <w:rPr>
                <w:rFonts w:hint="eastAsia" w:ascii="宋体" w:hAnsi="宋体" w:cs="宋体"/>
                <w:color w:val="000000"/>
                <w:kern w:val="0"/>
                <w:sz w:val="24"/>
                <w:lang w:bidi="ar"/>
              </w:rPr>
              <w:t>表具通信协</w:t>
            </w:r>
            <w:r>
              <w:rPr>
                <w:rFonts w:hint="eastAsia" w:ascii="宋体" w:hAnsi="宋体" w:cs="宋体"/>
                <w:kern w:val="0"/>
                <w:sz w:val="24"/>
                <w:lang w:bidi="ar"/>
              </w:rPr>
              <w:t xml:space="preserve">议：支持接入表具通讯规约包含DL/T645《多功能电能表通信协议》和CJ/T188-2004《户用计量仪表数据传输技术条件》。               </w:t>
            </w:r>
          </w:p>
          <w:p w14:paraId="215E596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kern w:val="0"/>
                <w:sz w:val="24"/>
                <w:lang w:bidi="ar"/>
              </w:rPr>
            </w:pPr>
            <w:r>
              <w:rPr>
                <w:rFonts w:ascii="宋体" w:hAnsi="宋体" w:cs="宋体"/>
                <w:kern w:val="0"/>
                <w:sz w:val="24"/>
                <w:lang w:bidi="ar"/>
              </w:rPr>
              <w:t>5</w:t>
            </w:r>
            <w:r>
              <w:rPr>
                <w:rFonts w:hint="eastAsia" w:ascii="宋体" w:hAnsi="宋体" w:cs="宋体"/>
                <w:color w:val="000000"/>
                <w:sz w:val="24"/>
              </w:rPr>
              <w:t>.</w:t>
            </w:r>
            <w:r>
              <w:rPr>
                <w:rFonts w:hint="eastAsia" w:ascii="宋体" w:hAnsi="宋体" w:cs="宋体"/>
                <w:kern w:val="0"/>
                <w:sz w:val="24"/>
                <w:lang w:bidi="ar"/>
              </w:rPr>
              <w:t xml:space="preserve">升级维护：支持本地USB升级和远程在线升级，支持手机APP通过蓝牙连接后设置相关的参数。                               </w:t>
            </w:r>
          </w:p>
          <w:p w14:paraId="167CF8B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kern w:val="0"/>
                <w:sz w:val="24"/>
                <w:lang w:bidi="ar"/>
              </w:rPr>
            </w:pPr>
            <w:r>
              <w:rPr>
                <w:rFonts w:ascii="宋体" w:hAnsi="宋体" w:cs="宋体"/>
                <w:kern w:val="0"/>
                <w:sz w:val="24"/>
                <w:lang w:bidi="ar"/>
              </w:rPr>
              <w:t>6</w:t>
            </w:r>
            <w:r>
              <w:rPr>
                <w:rFonts w:hint="eastAsia" w:ascii="宋体" w:hAnsi="宋体" w:cs="宋体"/>
                <w:color w:val="000000"/>
                <w:sz w:val="24"/>
              </w:rPr>
              <w:t>.</w:t>
            </w:r>
            <w:r>
              <w:rPr>
                <w:rFonts w:hint="eastAsia" w:ascii="宋体" w:hAnsi="宋体" w:cs="宋体"/>
                <w:kern w:val="0"/>
                <w:sz w:val="24"/>
                <w:lang w:bidi="ar"/>
              </w:rPr>
              <w:t xml:space="preserve">工作电源：220V                                                                                   </w:t>
            </w:r>
          </w:p>
          <w:p w14:paraId="53CF235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kern w:val="0"/>
                <w:sz w:val="24"/>
                <w:lang w:bidi="ar"/>
              </w:rPr>
            </w:pPr>
            <w:r>
              <w:rPr>
                <w:rFonts w:ascii="宋体" w:hAnsi="宋体" w:cs="宋体"/>
                <w:kern w:val="0"/>
                <w:sz w:val="24"/>
                <w:lang w:bidi="ar"/>
              </w:rPr>
              <w:t>7</w:t>
            </w:r>
            <w:r>
              <w:rPr>
                <w:rFonts w:hint="eastAsia" w:ascii="宋体" w:hAnsi="宋体" w:cs="宋体"/>
                <w:color w:val="000000"/>
                <w:sz w:val="24"/>
              </w:rPr>
              <w:t>.</w:t>
            </w:r>
            <w:r>
              <w:rPr>
                <w:rFonts w:hint="eastAsia" w:ascii="宋体" w:hAnsi="宋体" w:cs="宋体"/>
                <w:kern w:val="0"/>
                <w:sz w:val="24"/>
                <w:lang w:bidi="ar"/>
              </w:rPr>
              <w:t>支持的组网方式：可插拔扩展通信模块和RS485接口同时接入电表等智能设备可正常工作。根据实际安装情况，集中式安装的电表可采用有线RS485通讯，分散安装的电表可采用470Mhz无线自组网通讯。</w:t>
            </w:r>
          </w:p>
          <w:p w14:paraId="3B0EEA9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kern w:val="0"/>
                <w:sz w:val="24"/>
                <w:lang w:bidi="ar"/>
              </w:rPr>
            </w:pPr>
            <w:r>
              <w:rPr>
                <w:rFonts w:ascii="宋体" w:hAnsi="宋体" w:cs="宋体"/>
                <w:kern w:val="0"/>
                <w:sz w:val="24"/>
                <w:lang w:bidi="ar"/>
              </w:rPr>
              <w:t>8</w:t>
            </w:r>
            <w:r>
              <w:rPr>
                <w:rFonts w:hint="eastAsia" w:ascii="宋体" w:hAnsi="宋体" w:cs="宋体"/>
                <w:color w:val="000000"/>
                <w:sz w:val="24"/>
              </w:rPr>
              <w:t>.</w:t>
            </w:r>
            <w:r>
              <w:rPr>
                <w:rFonts w:hint="eastAsia" w:ascii="宋体" w:hAnsi="宋体" w:cs="宋体"/>
                <w:kern w:val="0"/>
                <w:sz w:val="24"/>
                <w:lang w:bidi="ar"/>
              </w:rPr>
              <w:t>可同时采集标准协议的不同类型、不同厂家、不同型号的能源物联网计量器具数据。支持对采集的数据内容进行存储备份。可以存储60天以上的历史采集数据；数据可断电存储10年以上。</w:t>
            </w:r>
          </w:p>
          <w:p w14:paraId="6D42922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kern w:val="0"/>
                <w:sz w:val="24"/>
                <w:lang w:bidi="ar"/>
              </w:rPr>
            </w:pPr>
            <w:r>
              <w:rPr>
                <w:rFonts w:ascii="宋体" w:hAnsi="宋体" w:cs="宋体"/>
                <w:kern w:val="0"/>
                <w:sz w:val="24"/>
                <w:lang w:bidi="ar"/>
              </w:rPr>
              <w:t>9</w:t>
            </w:r>
            <w:r>
              <w:rPr>
                <w:rFonts w:hint="eastAsia" w:ascii="宋体" w:hAnsi="宋体" w:cs="宋体"/>
                <w:color w:val="000000"/>
                <w:sz w:val="24"/>
              </w:rPr>
              <w:t>.</w:t>
            </w:r>
            <w:r>
              <w:rPr>
                <w:rFonts w:hint="eastAsia" w:ascii="宋体" w:hAnsi="宋体" w:cs="宋体"/>
                <w:kern w:val="0"/>
                <w:sz w:val="24"/>
                <w:lang w:bidi="ar"/>
              </w:rPr>
              <w:t>断电提醒功能：当现场断电的情况下能够维持供电 10s 以上，保证停电事件上报给系统。</w:t>
            </w:r>
          </w:p>
          <w:p w14:paraId="24B78376">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color w:val="000000"/>
                <w:kern w:val="0"/>
                <w:sz w:val="24"/>
                <w:lang w:bidi="ar"/>
              </w:rPr>
              <w:t>▲</w:t>
            </w:r>
            <w:r>
              <w:rPr>
                <w:rFonts w:ascii="宋体" w:hAnsi="宋体" w:cs="宋体"/>
                <w:color w:val="000000"/>
                <w:kern w:val="0"/>
                <w:sz w:val="24"/>
                <w:lang w:bidi="ar"/>
              </w:rPr>
              <w:t>10</w:t>
            </w:r>
            <w:r>
              <w:rPr>
                <w:rFonts w:hint="eastAsia" w:ascii="宋体" w:hAnsi="宋体" w:cs="宋体"/>
                <w:color w:val="000000"/>
                <w:sz w:val="24"/>
              </w:rPr>
              <w:t>.</w:t>
            </w:r>
            <w:r>
              <w:rPr>
                <w:rFonts w:hint="eastAsia" w:ascii="宋体" w:hAnsi="宋体" w:cs="宋体"/>
                <w:color w:val="000000"/>
                <w:kern w:val="0"/>
                <w:sz w:val="24"/>
                <w:lang w:bidi="ar"/>
              </w:rPr>
              <w:t>可用性保障：（1）断点续传功能：支持断点续传功能，即如因传输网络故障等原因未能将数据定时远传，则待网络恢复正常后，集中器自动进行数据传送。（2）看门狗功能：当集中器出现死机或者停电后，通电可自动重启。（3）脱网工作功能：集中器具有断网独立工作能力，在服务器失联的情况下，仍然能够独立工作。在紧急情况下，集中器可以直接对电表进行供电或者断电等应急控制。</w:t>
            </w:r>
            <w:r>
              <w:rPr>
                <w:rFonts w:hint="eastAsia" w:ascii="宋体" w:hAnsi="宋体" w:cs="宋体"/>
                <w:bCs/>
                <w:sz w:val="24"/>
              </w:rPr>
              <w:t>（响应文件中提供CNAS或CMA资质的第三方检测机构出具的检测报告并加盖竞标人公章</w:t>
            </w:r>
            <w:r>
              <w:rPr>
                <w:rFonts w:hint="eastAsia" w:ascii="宋体" w:hAnsi="宋体" w:cs="宋体"/>
                <w:bCs/>
                <w:sz w:val="24"/>
                <w:lang w:eastAsia="zh-CN"/>
              </w:rPr>
              <w:t>）</w:t>
            </w:r>
            <w:r>
              <w:rPr>
                <w:rFonts w:hint="eastAsia" w:ascii="宋体" w:hAnsi="宋体" w:cs="宋体"/>
                <w:bCs/>
                <w:sz w:val="24"/>
              </w:rPr>
              <w:t>。</w:t>
            </w:r>
          </w:p>
          <w:p w14:paraId="59B03CF5">
            <w:pPr>
              <w:pStyle w:val="9"/>
              <w:keepNext w:val="0"/>
              <w:keepLines w:val="0"/>
              <w:pageBreakBefore w:val="0"/>
              <w:kinsoku/>
              <w:wordWrap/>
              <w:overflowPunct/>
              <w:topLinePunct w:val="0"/>
              <w:autoSpaceDE/>
              <w:autoSpaceDN/>
              <w:bidi w:val="0"/>
              <w:adjustRightInd/>
              <w:snapToGrid/>
              <w:spacing w:line="360" w:lineRule="auto"/>
              <w:rPr>
                <w:rFonts w:ascii="宋体" w:hAnsi="宋体" w:cs="宋体"/>
                <w:bCs/>
                <w:sz w:val="24"/>
              </w:rPr>
            </w:pPr>
            <w:r>
              <w:rPr>
                <w:rFonts w:hint="eastAsia" w:ascii="宋体" w:hAnsi="宋体" w:cs="宋体"/>
                <w:color w:val="000000"/>
                <w:kern w:val="0"/>
                <w:sz w:val="24"/>
                <w:lang w:bidi="ar"/>
              </w:rPr>
              <w:t>▲</w:t>
            </w:r>
            <w:r>
              <w:rPr>
                <w:rFonts w:ascii="宋体" w:hAnsi="宋体" w:cs="宋体"/>
                <w:color w:val="000000"/>
                <w:kern w:val="0"/>
                <w:sz w:val="24"/>
                <w:lang w:bidi="ar"/>
              </w:rPr>
              <w:t>11</w:t>
            </w:r>
            <w:r>
              <w:rPr>
                <w:rFonts w:hint="eastAsia" w:ascii="宋体" w:hAnsi="宋体" w:cs="宋体"/>
                <w:color w:val="000000"/>
                <w:sz w:val="24"/>
              </w:rPr>
              <w:t>.</w:t>
            </w:r>
            <w:r>
              <w:rPr>
                <w:rFonts w:hint="eastAsia" w:ascii="宋体" w:hAnsi="宋体" w:cs="宋体"/>
                <w:color w:val="000000"/>
                <w:kern w:val="0"/>
                <w:sz w:val="24"/>
                <w:lang w:bidi="ar"/>
              </w:rPr>
              <w:t>具备DL/T689.35交流模拟量采集功能：测量电压、电流、功率、功率因数，支持测量数据上报系统进行监测数据校对。</w:t>
            </w:r>
            <w:r>
              <w:rPr>
                <w:rFonts w:hint="eastAsia" w:ascii="宋体" w:hAnsi="宋体" w:cs="宋体"/>
                <w:bCs/>
                <w:sz w:val="24"/>
              </w:rPr>
              <w:t>（响应文件中提供CNAS或CMA资质的第三方检测机构出具的检测报告并加盖竞标人公章。）</w:t>
            </w:r>
          </w:p>
          <w:p w14:paraId="6BBE69D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2</w:t>
            </w:r>
            <w:r>
              <w:rPr>
                <w:rFonts w:hint="eastAsia" w:ascii="宋体" w:hAnsi="宋体" w:cs="宋体"/>
                <w:color w:val="000000"/>
                <w:sz w:val="24"/>
              </w:rPr>
              <w:t>.</w:t>
            </w:r>
            <w:r>
              <w:rPr>
                <w:rFonts w:hint="eastAsia" w:ascii="宋体" w:hAnsi="宋体" w:cs="宋体"/>
                <w:color w:val="000000"/>
                <w:kern w:val="0"/>
                <w:sz w:val="24"/>
                <w:lang w:bidi="ar"/>
              </w:rPr>
              <w:t>带载计量设备数量：不少于96只。</w:t>
            </w:r>
          </w:p>
          <w:p w14:paraId="7B5756B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3</w:t>
            </w:r>
            <w:r>
              <w:rPr>
                <w:rFonts w:hint="eastAsia" w:ascii="宋体" w:hAnsi="宋体" w:cs="宋体"/>
                <w:color w:val="000000"/>
                <w:sz w:val="24"/>
              </w:rPr>
              <w:t>.</w:t>
            </w:r>
            <w:r>
              <w:rPr>
                <w:rFonts w:hint="eastAsia" w:ascii="宋体" w:hAnsi="宋体" w:cs="宋体"/>
                <w:color w:val="000000"/>
                <w:kern w:val="0"/>
                <w:sz w:val="24"/>
                <w:lang w:bidi="ar"/>
              </w:rPr>
              <w:t>包含4G通讯费用不低于15年，供应商提供不少于1人2年的驻场服务，每周在校服务时间不少于5天*8小时，并根据学校要求，持续提供水电平台的优化服务。</w:t>
            </w:r>
            <w:r>
              <w:rPr>
                <w:rFonts w:hint="eastAsia" w:ascii="宋体" w:hAnsi="宋体" w:cs="宋体"/>
                <w:color w:val="000000" w:themeColor="text1"/>
                <w:kern w:val="0"/>
                <w:sz w:val="24"/>
                <w:lang w:bidi="ar"/>
                <w14:textFill>
                  <w14:solidFill>
                    <w14:schemeClr w14:val="tx1"/>
                  </w14:solidFill>
                </w14:textFill>
              </w:rPr>
              <w:t>供应商须在响应文件中对本条提供专门的承诺函（格式自拟）并加盖公章。</w:t>
            </w:r>
          </w:p>
          <w:p w14:paraId="1C329C8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kern w:val="0"/>
                <w:sz w:val="24"/>
                <w:lang w:bidi="ar"/>
              </w:rPr>
              <w:t>▲1</w:t>
            </w:r>
            <w:r>
              <w:rPr>
                <w:rFonts w:ascii="宋体" w:hAnsi="宋体" w:cs="宋体"/>
                <w:color w:val="000000"/>
                <w:kern w:val="0"/>
                <w:sz w:val="24"/>
                <w:lang w:bidi="ar"/>
              </w:rPr>
              <w:t>4</w:t>
            </w:r>
            <w:r>
              <w:rPr>
                <w:rFonts w:hint="eastAsia" w:ascii="宋体" w:hAnsi="宋体" w:cs="宋体"/>
                <w:color w:val="000000"/>
                <w:sz w:val="24"/>
              </w:rPr>
              <w:t>.</w:t>
            </w:r>
            <w:r>
              <w:rPr>
                <w:rFonts w:hint="eastAsia" w:ascii="宋体" w:hAnsi="宋体" w:cs="宋体"/>
                <w:color w:val="000000"/>
                <w:kern w:val="0"/>
                <w:sz w:val="24"/>
                <w:lang w:bidi="ar"/>
              </w:rPr>
              <w:t>调试要求：集中器能够带载学校已安装</w:t>
            </w:r>
            <w:r>
              <w:rPr>
                <w:rFonts w:hint="eastAsia" w:ascii="宋体" w:hAnsi="宋体" w:cs="宋体"/>
                <w:color w:val="000000" w:themeColor="text1"/>
                <w:kern w:val="0"/>
                <w:sz w:val="24"/>
                <w:lang w:bidi="ar"/>
                <w14:textFill>
                  <w14:solidFill>
                    <w14:schemeClr w14:val="tx1"/>
                  </w14:solidFill>
                </w14:textFill>
              </w:rPr>
              <w:t>6200块智能电表</w:t>
            </w:r>
            <w:r>
              <w:rPr>
                <w:rFonts w:hint="eastAsia" w:ascii="宋体" w:hAnsi="宋体" w:cs="宋体"/>
                <w:color w:val="000000"/>
                <w:kern w:val="0"/>
                <w:sz w:val="24"/>
                <w:lang w:bidi="ar"/>
              </w:rPr>
              <w:t>和本项目新安装</w:t>
            </w:r>
            <w:r>
              <w:rPr>
                <w:rFonts w:hint="eastAsia" w:ascii="宋体" w:hAnsi="宋体" w:cs="宋体"/>
                <w:color w:val="000000" w:themeColor="text1"/>
                <w:kern w:val="0"/>
                <w:sz w:val="24"/>
                <w:lang w:bidi="ar"/>
                <w14:textFill>
                  <w14:solidFill>
                    <w14:schemeClr w14:val="tx1"/>
                  </w14:solidFill>
                </w14:textFill>
              </w:rPr>
              <w:t>4300块智能电表</w:t>
            </w:r>
            <w:r>
              <w:rPr>
                <w:rFonts w:hint="eastAsia" w:ascii="宋体" w:hAnsi="宋体" w:cs="宋体"/>
                <w:color w:val="000000"/>
                <w:kern w:val="0"/>
                <w:sz w:val="24"/>
                <w:lang w:bidi="ar"/>
              </w:rPr>
              <w:t>，</w:t>
            </w:r>
            <w:r>
              <w:rPr>
                <w:rFonts w:hint="eastAsia" w:ascii="宋体" w:hAnsi="宋体" w:cs="宋体"/>
                <w:color w:val="000000" w:themeColor="text1"/>
                <w:sz w:val="24"/>
                <w14:textFill>
                  <w14:solidFill>
                    <w14:schemeClr w14:val="tx1"/>
                  </w14:solidFill>
                </w14:textFill>
              </w:rPr>
              <w:t>接入</w:t>
            </w:r>
            <w:r>
              <w:rPr>
                <w:rFonts w:hint="eastAsia" w:ascii="宋体" w:hAnsi="宋体" w:cs="宋体"/>
                <w:color w:val="000000" w:themeColor="text1"/>
                <w:kern w:val="0"/>
                <w:sz w:val="24"/>
                <w:lang w:bidi="ar"/>
                <w14:textFill>
                  <w14:solidFill>
                    <w14:schemeClr w14:val="tx1"/>
                  </w14:solidFill>
                </w14:textFill>
              </w:rPr>
              <w:t>广西大学现有的能源物联网设备管理平台和水电预付费管理系统，完全实现能源物联网设备管理平台和水电预付费管理系统功能。（具体功能详见附件</w:t>
            </w: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学校在用能源物联网设备管理平台和水电预付费管理系统型号和功能说明）。接入若产生费用由竞标人承担，包括不限于能源物联网设备管理平台和水电预付费管理系统的电表接入，采购人不承担任何费用。供应商须在响应文件中对本条提供专门的承诺函（格式自拟）并加盖公章。</w:t>
            </w:r>
          </w:p>
          <w:p w14:paraId="131E3F1E">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5</w:t>
            </w:r>
            <w:r>
              <w:rPr>
                <w:rFonts w:hint="eastAsia" w:ascii="宋体" w:hAnsi="宋体" w:cs="宋体"/>
                <w:color w:val="000000"/>
                <w:sz w:val="24"/>
              </w:rPr>
              <w:t>.</w:t>
            </w:r>
            <w:r>
              <w:rPr>
                <w:rFonts w:hint="eastAsia" w:ascii="宋体" w:hAnsi="宋体" w:cs="宋体"/>
                <w:color w:val="000000" w:themeColor="text1"/>
                <w:kern w:val="0"/>
                <w:sz w:val="24"/>
                <w:lang w:bidi="ar"/>
                <w14:textFill>
                  <w14:solidFill>
                    <w14:schemeClr w14:val="tx1"/>
                  </w14:solidFill>
                </w14:textFill>
              </w:rPr>
              <w:t>包含集中</w:t>
            </w:r>
            <w:bookmarkStart w:id="36" w:name="_GoBack"/>
            <w:bookmarkEnd w:id="36"/>
            <w:r>
              <w:rPr>
                <w:rFonts w:hint="eastAsia" w:ascii="宋体" w:hAnsi="宋体" w:cs="宋体"/>
                <w:color w:val="000000" w:themeColor="text1"/>
                <w:kern w:val="0"/>
                <w:sz w:val="24"/>
                <w:lang w:bidi="ar"/>
                <w14:textFill>
                  <w14:solidFill>
                    <w14:schemeClr w14:val="tx1"/>
                  </w14:solidFill>
                </w14:textFill>
              </w:rPr>
              <w:t>器安装、新装4300块智能电表和现有学生宿舍约6200块智能电表的通讯连接和接入平台和系统所需对接调试、以及辅材等一切费用须含在该产品的报价中。</w:t>
            </w:r>
          </w:p>
        </w:tc>
        <w:tc>
          <w:tcPr>
            <w:tcW w:w="1262" w:type="dxa"/>
            <w:vAlign w:val="center"/>
          </w:tcPr>
          <w:p w14:paraId="6762E16D">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0.351</w:t>
            </w:r>
          </w:p>
        </w:tc>
        <w:tc>
          <w:tcPr>
            <w:tcW w:w="1055" w:type="dxa"/>
            <w:vAlign w:val="center"/>
          </w:tcPr>
          <w:p w14:paraId="1C981495">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87.75</w:t>
            </w:r>
          </w:p>
        </w:tc>
      </w:tr>
      <w:tr w14:paraId="0B2C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6" w:type="dxa"/>
            <w:vAlign w:val="center"/>
          </w:tcPr>
          <w:p w14:paraId="3EFE6F3E">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4</w:t>
            </w:r>
          </w:p>
        </w:tc>
        <w:tc>
          <w:tcPr>
            <w:tcW w:w="929" w:type="dxa"/>
            <w:vAlign w:val="center"/>
          </w:tcPr>
          <w:p w14:paraId="4C843761">
            <w:pPr>
              <w:keepNext w:val="0"/>
              <w:keepLines w:val="0"/>
              <w:pageBreakBefore w:val="0"/>
              <w:kinsoku/>
              <w:wordWrap/>
              <w:overflowPunct/>
              <w:topLinePunct w:val="0"/>
              <w:autoSpaceDE/>
              <w:autoSpaceDN/>
              <w:bidi w:val="0"/>
              <w:adjustRightInd/>
              <w:snapToGrid/>
              <w:spacing w:line="360" w:lineRule="auto"/>
              <w:jc w:val="center"/>
              <w:rPr>
                <w:rFonts w:ascii="宋体" w:hAnsi="宋体" w:cs="宋体"/>
                <w:kern w:val="0"/>
                <w:sz w:val="24"/>
              </w:rPr>
            </w:pPr>
            <w:r>
              <w:rPr>
                <w:rFonts w:hint="eastAsia" w:ascii="宋体" w:hAnsi="宋体" w:cs="宋体"/>
                <w:color w:val="000000"/>
                <w:kern w:val="0"/>
                <w:sz w:val="24"/>
                <w:lang w:bidi="ar"/>
              </w:rPr>
              <w:t>通讯连接线</w:t>
            </w:r>
          </w:p>
        </w:tc>
        <w:tc>
          <w:tcPr>
            <w:tcW w:w="982" w:type="dxa"/>
            <w:vAlign w:val="center"/>
          </w:tcPr>
          <w:p w14:paraId="2A3D5100">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7500</w:t>
            </w:r>
          </w:p>
        </w:tc>
        <w:tc>
          <w:tcPr>
            <w:tcW w:w="705" w:type="dxa"/>
            <w:vAlign w:val="center"/>
          </w:tcPr>
          <w:p w14:paraId="5B5DA5B5">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米</w:t>
            </w:r>
          </w:p>
        </w:tc>
        <w:tc>
          <w:tcPr>
            <w:tcW w:w="4605" w:type="dxa"/>
          </w:tcPr>
          <w:p w14:paraId="461114CF">
            <w:pPr>
              <w:pStyle w:val="32"/>
              <w:keepNext w:val="0"/>
              <w:keepLines w:val="0"/>
              <w:pageBreakBefore w:val="0"/>
              <w:kinsoku/>
              <w:wordWrap/>
              <w:overflowPunct/>
              <w:topLinePunct w:val="0"/>
              <w:autoSpaceDE/>
              <w:autoSpaceDN/>
              <w:bidi w:val="0"/>
              <w:adjustRightInd/>
              <w:snapToGrid/>
              <w:spacing w:line="360" w:lineRule="auto"/>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1.铜芯导体聚氯乙烯绝缘屏蔽聚氯乙烯护套软电缆，型号为：Rvvp2*0.75 ，额定电压：Uo/U为300/300V。</w:t>
            </w:r>
          </w:p>
          <w:p w14:paraId="22349565">
            <w:pPr>
              <w:pStyle w:val="32"/>
              <w:keepNext w:val="0"/>
              <w:keepLines w:val="0"/>
              <w:pageBreakBefore w:val="0"/>
              <w:kinsoku/>
              <w:wordWrap/>
              <w:overflowPunct/>
              <w:topLinePunct w:val="0"/>
              <w:autoSpaceDE/>
              <w:autoSpaceDN/>
              <w:bidi w:val="0"/>
              <w:adjustRightInd/>
              <w:snapToGrid/>
              <w:spacing w:line="360" w:lineRule="auto"/>
              <w:rPr>
                <w:rFonts w:ascii="宋体" w:hAnsi="宋体" w:cs="宋体"/>
                <w:b/>
                <w:sz w:val="24"/>
                <w:szCs w:val="24"/>
              </w:rPr>
            </w:pPr>
            <w:r>
              <w:rPr>
                <w:rFonts w:hint="eastAsia" w:ascii="宋体" w:hAnsi="宋体" w:cs="宋体"/>
                <w:color w:val="000000" w:themeColor="text1"/>
                <w:kern w:val="0"/>
                <w:sz w:val="24"/>
                <w:szCs w:val="24"/>
                <w:lang w:bidi="ar"/>
                <w14:textFill>
                  <w14:solidFill>
                    <w14:schemeClr w14:val="tx1"/>
                  </w14:solidFill>
                </w14:textFill>
              </w:rPr>
              <w:t>2.含安装调试等一切费用。</w:t>
            </w:r>
          </w:p>
        </w:tc>
        <w:tc>
          <w:tcPr>
            <w:tcW w:w="1262" w:type="dxa"/>
            <w:vAlign w:val="center"/>
          </w:tcPr>
          <w:p w14:paraId="29F10DCE">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0.0007</w:t>
            </w:r>
          </w:p>
        </w:tc>
        <w:tc>
          <w:tcPr>
            <w:tcW w:w="1055" w:type="dxa"/>
            <w:vAlign w:val="center"/>
          </w:tcPr>
          <w:p w14:paraId="4A335A6C">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5.25</w:t>
            </w:r>
          </w:p>
        </w:tc>
      </w:tr>
      <w:tr w14:paraId="6A0C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6" w:type="dxa"/>
            <w:vAlign w:val="center"/>
          </w:tcPr>
          <w:p w14:paraId="2A6C6C46">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5</w:t>
            </w:r>
          </w:p>
        </w:tc>
        <w:tc>
          <w:tcPr>
            <w:tcW w:w="929" w:type="dxa"/>
          </w:tcPr>
          <w:p w14:paraId="5BC036E0">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kern w:val="0"/>
                <w:sz w:val="24"/>
                <w:lang w:bidi="ar"/>
              </w:rPr>
            </w:pPr>
            <w:r>
              <w:rPr>
                <w:rFonts w:hint="eastAsia" w:ascii="宋体" w:hAnsi="宋体" w:cs="宋体"/>
                <w:color w:val="000000"/>
                <w:kern w:val="0"/>
                <w:sz w:val="24"/>
                <w:lang w:bidi="ar"/>
              </w:rPr>
              <w:t>PVC</w:t>
            </w:r>
          </w:p>
          <w:p w14:paraId="6A73408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kern w:val="0"/>
                <w:sz w:val="24"/>
                <w:lang w:bidi="ar"/>
              </w:rPr>
            </w:pPr>
            <w:r>
              <w:rPr>
                <w:rFonts w:hint="eastAsia" w:ascii="宋体" w:hAnsi="宋体" w:cs="宋体"/>
                <w:color w:val="000000"/>
                <w:kern w:val="0"/>
                <w:sz w:val="24"/>
                <w:lang w:bidi="ar"/>
              </w:rPr>
              <w:t>阻燃</w:t>
            </w:r>
          </w:p>
          <w:p w14:paraId="1EA4266D">
            <w:pPr>
              <w:keepNext w:val="0"/>
              <w:keepLines w:val="0"/>
              <w:pageBreakBefore w:val="0"/>
              <w:kinsoku/>
              <w:wordWrap/>
              <w:overflowPunct/>
              <w:topLinePunct w:val="0"/>
              <w:autoSpaceDE/>
              <w:autoSpaceDN/>
              <w:bidi w:val="0"/>
              <w:adjustRightInd/>
              <w:snapToGrid/>
              <w:spacing w:line="360" w:lineRule="auto"/>
              <w:jc w:val="center"/>
              <w:rPr>
                <w:sz w:val="24"/>
              </w:rPr>
            </w:pPr>
            <w:r>
              <w:rPr>
                <w:rFonts w:hint="eastAsia" w:ascii="宋体" w:hAnsi="宋体" w:cs="宋体"/>
                <w:color w:val="000000"/>
                <w:kern w:val="0"/>
                <w:sz w:val="24"/>
                <w:lang w:bidi="ar"/>
              </w:rPr>
              <w:t>线管</w:t>
            </w:r>
          </w:p>
        </w:tc>
        <w:tc>
          <w:tcPr>
            <w:tcW w:w="982" w:type="dxa"/>
            <w:vAlign w:val="center"/>
          </w:tcPr>
          <w:p w14:paraId="46CDF918">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1000</w:t>
            </w:r>
          </w:p>
        </w:tc>
        <w:tc>
          <w:tcPr>
            <w:tcW w:w="705" w:type="dxa"/>
            <w:vAlign w:val="center"/>
          </w:tcPr>
          <w:p w14:paraId="79EB8ECE">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米</w:t>
            </w:r>
          </w:p>
        </w:tc>
        <w:tc>
          <w:tcPr>
            <w:tcW w:w="4605" w:type="dxa"/>
          </w:tcPr>
          <w:p w14:paraId="19985389">
            <w:pPr>
              <w:pStyle w:val="32"/>
              <w:keepNext w:val="0"/>
              <w:keepLines w:val="0"/>
              <w:pageBreakBefore w:val="0"/>
              <w:kinsoku/>
              <w:wordWrap/>
              <w:overflowPunct/>
              <w:topLinePunct w:val="0"/>
              <w:autoSpaceDE/>
              <w:autoSpaceDN/>
              <w:bidi w:val="0"/>
              <w:adjustRightInd/>
              <w:snapToGrid/>
              <w:spacing w:line="360" w:lineRule="auto"/>
              <w:rPr>
                <w:rFonts w:ascii="宋体" w:hAnsi="宋体" w:cs="宋体"/>
                <w:color w:val="000000"/>
                <w:kern w:val="0"/>
                <w:sz w:val="24"/>
                <w:szCs w:val="24"/>
                <w:lang w:bidi="ar"/>
              </w:rPr>
            </w:pPr>
            <w:r>
              <w:rPr>
                <w:rFonts w:hint="eastAsia" w:ascii="宋体" w:hAnsi="宋体" w:cs="宋体"/>
                <w:color w:val="000000"/>
                <w:sz w:val="24"/>
                <w:szCs w:val="24"/>
                <w:lang w:bidi="ar"/>
              </w:rPr>
              <w:t>型号为：</w:t>
            </w:r>
            <w:r>
              <w:rPr>
                <w:rFonts w:hint="eastAsia" w:ascii="宋体" w:hAnsi="宋体" w:cs="宋体"/>
                <w:color w:val="000000"/>
                <w:kern w:val="0"/>
                <w:sz w:val="24"/>
                <w:szCs w:val="24"/>
                <w:lang w:bidi="ar"/>
              </w:rPr>
              <w:t>DN25。</w:t>
            </w:r>
          </w:p>
          <w:p w14:paraId="3BC143AC">
            <w:pPr>
              <w:keepNext w:val="0"/>
              <w:keepLines w:val="0"/>
              <w:pageBreakBefore w:val="0"/>
              <w:kinsoku/>
              <w:wordWrap/>
              <w:overflowPunct/>
              <w:topLinePunct w:val="0"/>
              <w:autoSpaceDE/>
              <w:autoSpaceDN/>
              <w:bidi w:val="0"/>
              <w:adjustRightInd/>
              <w:snapToGrid/>
              <w:spacing w:line="360" w:lineRule="auto"/>
              <w:rPr>
                <w:rFonts w:ascii="宋体" w:hAnsi="宋体" w:cs="宋体"/>
                <w:b/>
                <w:sz w:val="24"/>
              </w:rPr>
            </w:pPr>
            <w:r>
              <w:rPr>
                <w:rFonts w:hint="eastAsia" w:ascii="宋体" w:hAnsi="宋体" w:cs="宋体"/>
                <w:color w:val="000000"/>
                <w:sz w:val="24"/>
                <w:shd w:val="clear" w:color="auto" w:fill="FFFFFF"/>
              </w:rPr>
              <w:t>1.含安装调试等一切费用。</w:t>
            </w:r>
          </w:p>
        </w:tc>
        <w:tc>
          <w:tcPr>
            <w:tcW w:w="1262" w:type="dxa"/>
            <w:vAlign w:val="center"/>
          </w:tcPr>
          <w:p w14:paraId="3732E76F">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0.00065</w:t>
            </w:r>
            <w:r>
              <w:rPr>
                <w:rFonts w:ascii="宋体" w:hAnsi="宋体" w:cs="宋体"/>
                <w:sz w:val="24"/>
              </w:rPr>
              <w:t>1</w:t>
            </w:r>
          </w:p>
        </w:tc>
        <w:tc>
          <w:tcPr>
            <w:tcW w:w="1055" w:type="dxa"/>
            <w:vAlign w:val="center"/>
          </w:tcPr>
          <w:p w14:paraId="676446F7">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0.65</w:t>
            </w:r>
            <w:r>
              <w:rPr>
                <w:rFonts w:ascii="宋体" w:hAnsi="宋体" w:cs="宋体"/>
                <w:sz w:val="24"/>
              </w:rPr>
              <w:t>1</w:t>
            </w:r>
          </w:p>
        </w:tc>
      </w:tr>
      <w:tr w14:paraId="24DC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954" w:type="dxa"/>
            <w:gridSpan w:val="7"/>
            <w:vAlign w:val="center"/>
          </w:tcPr>
          <w:p w14:paraId="2DE08D53">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w:t>
            </w:r>
            <w:r>
              <w:rPr>
                <w:rFonts w:hint="eastAsia" w:ascii="宋体" w:hAnsi="宋体" w:cs="宋体"/>
                <w:b/>
                <w:sz w:val="24"/>
              </w:rPr>
              <w:t>商务要求表：</w:t>
            </w:r>
          </w:p>
        </w:tc>
      </w:tr>
      <w:tr w14:paraId="3349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18026FA5">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kern w:val="1"/>
                <w:sz w:val="24"/>
              </w:rPr>
            </w:pPr>
            <w:r>
              <w:rPr>
                <w:rFonts w:hint="eastAsia" w:ascii="宋体" w:hAnsi="宋体" w:cs="宋体"/>
                <w:b/>
                <w:bCs/>
                <w:sz w:val="24"/>
              </w:rPr>
              <w:t>合同签订时间</w:t>
            </w:r>
          </w:p>
        </w:tc>
        <w:tc>
          <w:tcPr>
            <w:tcW w:w="7627" w:type="dxa"/>
            <w:gridSpan w:val="4"/>
            <w:vAlign w:val="center"/>
          </w:tcPr>
          <w:p w14:paraId="09CC482C">
            <w:pPr>
              <w:keepNext w:val="0"/>
              <w:keepLines w:val="0"/>
              <w:pageBreakBefore w:val="0"/>
              <w:widowControl/>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自成交通知书发出之日起25日内。</w:t>
            </w:r>
          </w:p>
        </w:tc>
      </w:tr>
      <w:tr w14:paraId="72E6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6F568249">
            <w:pPr>
              <w:keepNext w:val="0"/>
              <w:keepLines w:val="0"/>
              <w:pageBreakBefore w:val="0"/>
              <w:kinsoku/>
              <w:wordWrap/>
              <w:overflowPunct/>
              <w:topLinePunct w:val="0"/>
              <w:autoSpaceDE/>
              <w:autoSpaceDN/>
              <w:bidi w:val="0"/>
              <w:adjustRightInd/>
              <w:snapToGrid/>
              <w:spacing w:line="360" w:lineRule="auto"/>
              <w:jc w:val="center"/>
              <w:rPr>
                <w:rFonts w:ascii="宋体" w:hAnsi="宋体" w:cs="宋体"/>
                <w:kern w:val="1"/>
                <w:sz w:val="24"/>
              </w:rPr>
            </w:pPr>
            <w:r>
              <w:rPr>
                <w:rFonts w:hint="eastAsia" w:ascii="宋体" w:hAnsi="宋体" w:cs="宋体"/>
                <w:b/>
                <w:sz w:val="24"/>
              </w:rPr>
              <w:t>交货时间及地点</w:t>
            </w:r>
          </w:p>
        </w:tc>
        <w:tc>
          <w:tcPr>
            <w:tcW w:w="7627" w:type="dxa"/>
            <w:gridSpan w:val="4"/>
            <w:vAlign w:val="center"/>
          </w:tcPr>
          <w:p w14:paraId="6AC68CC1">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交货时间：自签订合同之日起</w:t>
            </w:r>
            <w:r>
              <w:rPr>
                <w:rFonts w:ascii="宋体" w:hAnsi="宋体" w:cs="宋体"/>
                <w:sz w:val="24"/>
              </w:rPr>
              <w:t>100</w:t>
            </w:r>
            <w:r>
              <w:rPr>
                <w:rFonts w:hint="eastAsia" w:ascii="宋体" w:hAnsi="宋体" w:cs="宋体"/>
                <w:sz w:val="24"/>
              </w:rPr>
              <w:t>日历天内到货安装调试完成并通过预验收。</w:t>
            </w:r>
          </w:p>
          <w:p w14:paraId="4D230050">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交货地点：广西大学用户指定地点。</w:t>
            </w:r>
          </w:p>
        </w:tc>
      </w:tr>
      <w:tr w14:paraId="2CA7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76311695">
            <w:pPr>
              <w:keepNext w:val="0"/>
              <w:keepLines w:val="0"/>
              <w:pageBreakBefore w:val="0"/>
              <w:kinsoku/>
              <w:wordWrap/>
              <w:overflowPunct/>
              <w:topLinePunct w:val="0"/>
              <w:autoSpaceDE/>
              <w:autoSpaceDN/>
              <w:bidi w:val="0"/>
              <w:adjustRightInd/>
              <w:snapToGrid/>
              <w:spacing w:line="360" w:lineRule="auto"/>
              <w:jc w:val="center"/>
              <w:rPr>
                <w:rFonts w:ascii="宋体" w:hAnsi="宋体" w:cs="宋体"/>
                <w:b/>
                <w:bCs/>
                <w:kern w:val="0"/>
                <w:sz w:val="24"/>
              </w:rPr>
            </w:pPr>
            <w:r>
              <w:rPr>
                <w:rFonts w:hint="eastAsia" w:ascii="宋体" w:hAnsi="宋体" w:cs="宋体"/>
                <w:b/>
                <w:bCs/>
                <w:kern w:val="0"/>
                <w:sz w:val="24"/>
              </w:rPr>
              <w:t>货物验收</w:t>
            </w:r>
          </w:p>
        </w:tc>
        <w:tc>
          <w:tcPr>
            <w:tcW w:w="7627" w:type="dxa"/>
            <w:gridSpan w:val="4"/>
            <w:vAlign w:val="center"/>
          </w:tcPr>
          <w:p w14:paraId="580F3F77">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5B213474">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2.货物经过双方检验认可后，签署验收报告。由成交供应商提供产品保修文件。</w:t>
            </w:r>
          </w:p>
          <w:p w14:paraId="14DA4BC3">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3.当满足以下条件时，采购人才向成交供应商签发货物验收报告：</w:t>
            </w:r>
          </w:p>
          <w:p w14:paraId="6F670F0C">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（1）成交供应商已按照合同规定提供了全部产品及完整的技术资料。</w:t>
            </w:r>
          </w:p>
          <w:p w14:paraId="63B83C48">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（2）货物各项参数完全符合《技术参数及性能（配置）要求》的要求，性能满足要求。</w:t>
            </w:r>
          </w:p>
          <w:p w14:paraId="42C10028">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）成交供应商需负责安装、调试（测试），并完成采购人的使用操作培训。</w:t>
            </w:r>
          </w:p>
          <w:p w14:paraId="14D72792">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4.验收过程中所产生的一切费用均由成交供应商承担，报价时应考虑相关费用。</w:t>
            </w:r>
          </w:p>
          <w:p w14:paraId="290D362C">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5.成交产品不能涉及任何法律纠纷。</w:t>
            </w:r>
          </w:p>
        </w:tc>
      </w:tr>
      <w:tr w14:paraId="0693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330312F5">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质量保证要求</w:t>
            </w:r>
          </w:p>
        </w:tc>
        <w:tc>
          <w:tcPr>
            <w:tcW w:w="7627" w:type="dxa"/>
            <w:gridSpan w:val="4"/>
          </w:tcPr>
          <w:p w14:paraId="71D7F5CF">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kern w:val="0"/>
                <w:sz w:val="24"/>
              </w:rPr>
            </w:pPr>
            <w:r>
              <w:rPr>
                <w:rFonts w:hint="eastAsia" w:ascii="宋体" w:hAnsi="宋体" w:cs="宋体"/>
                <w:sz w:val="24"/>
              </w:rPr>
              <w:t>1.按国家有关产品“三包”规定执行“三包”政策，质量保证期不少于</w:t>
            </w:r>
            <w:r>
              <w:rPr>
                <w:rFonts w:ascii="宋体" w:hAnsi="宋体" w:cs="宋体"/>
                <w:sz w:val="24"/>
              </w:rPr>
              <w:t>1年（</w:t>
            </w:r>
            <w:r>
              <w:rPr>
                <w:rFonts w:hint="eastAsia" w:ascii="宋体" w:hAnsi="宋体" w:cs="宋体"/>
                <w:sz w:val="24"/>
              </w:rPr>
              <w:t>分项货物或配置有明确要求的按分项要求；</w:t>
            </w:r>
            <w:r>
              <w:rPr>
                <w:rFonts w:ascii="宋体" w:hAnsi="宋体" w:cs="宋体"/>
                <w:sz w:val="24"/>
              </w:rPr>
              <w:t>生产厂家承诺的</w:t>
            </w:r>
            <w:r>
              <w:rPr>
                <w:rFonts w:hint="eastAsia" w:ascii="宋体" w:hAnsi="宋体" w:cs="宋体"/>
                <w:sz w:val="24"/>
              </w:rPr>
              <w:t>质量保证期</w:t>
            </w:r>
            <w:r>
              <w:rPr>
                <w:rFonts w:ascii="宋体" w:hAnsi="宋体" w:cs="宋体"/>
                <w:sz w:val="24"/>
              </w:rPr>
              <w:t>更长的按生产厂家的承诺），交货验收合格之日起计。</w:t>
            </w:r>
          </w:p>
          <w:p w14:paraId="6DF30A71">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kern w:val="0"/>
                <w:sz w:val="24"/>
              </w:rPr>
              <w:t>2</w:t>
            </w:r>
            <w:r>
              <w:rPr>
                <w:rFonts w:hint="eastAsia" w:ascii="宋体" w:hAnsi="宋体" w:cs="宋体"/>
                <w:sz w:val="24"/>
              </w:rPr>
              <w:t>.</w:t>
            </w:r>
            <w:r>
              <w:rPr>
                <w:rFonts w:hint="eastAsia" w:ascii="宋体" w:hAnsi="宋体" w:cs="宋体"/>
                <w:kern w:val="0"/>
                <w:sz w:val="24"/>
              </w:rPr>
              <w:t>在质量保证期内出现的</w:t>
            </w:r>
            <w:r>
              <w:rPr>
                <w:rFonts w:hint="eastAsia" w:ascii="宋体" w:hAnsi="宋体" w:cs="宋体"/>
                <w:sz w:val="24"/>
              </w:rPr>
              <w:t>任何故障及损失，成交供应商负责维修、更换配件，并负责软件更新升级、系统维护和远程服务。</w:t>
            </w:r>
          </w:p>
          <w:p w14:paraId="414A26D8">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质量保证期满后，终身维护，且以市场最优惠价格提供维修和备件更换、软件更新升级，且承诺为用户提供终身技术咨询服务。</w:t>
            </w:r>
          </w:p>
        </w:tc>
      </w:tr>
      <w:tr w14:paraId="6C2E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59016AE5">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售后服务要求</w:t>
            </w:r>
          </w:p>
        </w:tc>
        <w:tc>
          <w:tcPr>
            <w:tcW w:w="7627" w:type="dxa"/>
            <w:gridSpan w:val="4"/>
          </w:tcPr>
          <w:p w14:paraId="061B77F4">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1.负责送货上门、提供产品原厂工程师现场安装、安装调试服务、技术培训和</w:t>
            </w:r>
            <w:r>
              <w:rPr>
                <w:rFonts w:ascii="宋体" w:hAnsi="宋体" w:cs="宋体"/>
                <w:sz w:val="24"/>
              </w:rPr>
              <w:t>12个月远程服务</w:t>
            </w:r>
            <w:r>
              <w:rPr>
                <w:rFonts w:hint="eastAsia" w:ascii="宋体" w:hAnsi="宋体" w:cs="宋体"/>
                <w:sz w:val="24"/>
              </w:rPr>
              <w:t>。</w:t>
            </w:r>
          </w:p>
          <w:p w14:paraId="27F0C379">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ascii="宋体" w:hAnsi="宋体" w:cs="宋体"/>
                <w:sz w:val="24"/>
              </w:rPr>
              <w:t>2.维修响应：售后服务要求7天×8小时工作制，</w:t>
            </w:r>
            <w:r>
              <w:rPr>
                <w:rFonts w:hint="eastAsia" w:ascii="宋体" w:hAnsi="宋体" w:cs="宋体"/>
                <w:sz w:val="24"/>
              </w:rPr>
              <w:t>成交供应商</w:t>
            </w:r>
            <w:r>
              <w:rPr>
                <w:rFonts w:ascii="宋体" w:hAnsi="宋体" w:cs="宋体"/>
                <w:sz w:val="24"/>
              </w:rPr>
              <w:t>在接到用户维修电话后1小时内响应，3小时</w:t>
            </w:r>
            <w:r>
              <w:rPr>
                <w:rFonts w:hint="eastAsia" w:ascii="宋体" w:hAnsi="宋体" w:cs="宋体"/>
                <w:sz w:val="24"/>
              </w:rPr>
              <w:t>内到达现场处理，一般情况下</w:t>
            </w:r>
            <w:r>
              <w:rPr>
                <w:rFonts w:ascii="宋体" w:hAnsi="宋体" w:cs="宋体"/>
                <w:sz w:val="24"/>
              </w:rPr>
              <w:t>24小时内恢复正常使用</w:t>
            </w:r>
            <w:r>
              <w:rPr>
                <w:rFonts w:hint="eastAsia" w:ascii="宋体" w:hAnsi="宋体" w:cs="宋体"/>
                <w:sz w:val="24"/>
              </w:rPr>
              <w:t>。</w:t>
            </w:r>
            <w:r>
              <w:rPr>
                <w:rFonts w:ascii="宋体" w:hAnsi="宋体" w:cs="宋体"/>
                <w:sz w:val="24"/>
              </w:rPr>
              <w:t>若不能修复须有合理应对方案。</w:t>
            </w:r>
          </w:p>
          <w:p w14:paraId="7104ED4D">
            <w:pPr>
              <w:pStyle w:val="32"/>
              <w:keepNext w:val="0"/>
              <w:keepLines w:val="0"/>
              <w:pageBreakBefore w:val="0"/>
              <w:kinsoku/>
              <w:wordWrap/>
              <w:overflowPunct/>
              <w:topLinePunct w:val="0"/>
              <w:autoSpaceDE/>
              <w:autoSpaceDN/>
              <w:bidi w:val="0"/>
              <w:adjustRightInd/>
              <w:snapToGrid/>
              <w:spacing w:line="360" w:lineRule="auto"/>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bCs/>
                <w:kern w:val="0"/>
                <w:sz w:val="24"/>
                <w:szCs w:val="24"/>
              </w:rPr>
              <w:t>质量保证期</w:t>
            </w:r>
            <w:r>
              <w:rPr>
                <w:rFonts w:hint="eastAsia" w:ascii="宋体" w:hAnsi="宋体" w:cs="宋体"/>
                <w:sz w:val="24"/>
                <w:szCs w:val="24"/>
              </w:rPr>
              <w:t>内因设备性能故障检修三次仍不能正常使用的，更换新设备。在超出</w:t>
            </w:r>
            <w:r>
              <w:rPr>
                <w:rFonts w:hint="eastAsia" w:ascii="宋体" w:hAnsi="宋体" w:cs="宋体"/>
                <w:bCs/>
                <w:kern w:val="0"/>
                <w:sz w:val="24"/>
                <w:szCs w:val="24"/>
              </w:rPr>
              <w:t>质量保证期</w:t>
            </w:r>
            <w:r>
              <w:rPr>
                <w:rFonts w:hint="eastAsia" w:ascii="宋体" w:hAnsi="宋体" w:cs="宋体"/>
                <w:sz w:val="24"/>
                <w:szCs w:val="24"/>
              </w:rPr>
              <w:t>后，如产品发生故障，可派技术员上门服务；如需更换配件，配件均按市场最优惠价格供应。</w:t>
            </w:r>
          </w:p>
          <w:p w14:paraId="1DD1FF62">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ascii="宋体" w:hAnsi="宋体" w:cs="宋体"/>
                <w:sz w:val="24"/>
              </w:rPr>
              <w:t>4</w:t>
            </w:r>
            <w:r>
              <w:rPr>
                <w:rFonts w:hint="eastAsia" w:ascii="宋体" w:hAnsi="宋体" w:cs="宋体"/>
                <w:sz w:val="24"/>
              </w:rPr>
              <w:t>.终身提供技术协助服务。</w:t>
            </w:r>
          </w:p>
        </w:tc>
      </w:tr>
      <w:tr w14:paraId="2826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588E3E85">
            <w:pPr>
              <w:keepNext w:val="0"/>
              <w:keepLines w:val="0"/>
              <w:pageBreakBefore w:val="0"/>
              <w:kinsoku/>
              <w:wordWrap/>
              <w:overflowPunct/>
              <w:topLinePunct w:val="0"/>
              <w:autoSpaceDE/>
              <w:autoSpaceDN/>
              <w:bidi w:val="0"/>
              <w:adjustRightInd/>
              <w:snapToGrid/>
              <w:spacing w:line="360" w:lineRule="auto"/>
              <w:jc w:val="center"/>
              <w:rPr>
                <w:rFonts w:ascii="宋体" w:hAnsi="宋体" w:cs="宋体"/>
                <w:kern w:val="0"/>
                <w:sz w:val="24"/>
              </w:rPr>
            </w:pPr>
            <w:r>
              <w:rPr>
                <w:rFonts w:hint="eastAsia" w:ascii="宋体" w:hAnsi="宋体" w:cs="宋体"/>
                <w:sz w:val="24"/>
              </w:rPr>
              <w:t>履约保证金收取及退付</w:t>
            </w:r>
          </w:p>
        </w:tc>
        <w:tc>
          <w:tcPr>
            <w:tcW w:w="7627" w:type="dxa"/>
            <w:gridSpan w:val="4"/>
          </w:tcPr>
          <w:p w14:paraId="234B2B59">
            <w:pPr>
              <w:pStyle w:val="32"/>
              <w:keepNext w:val="0"/>
              <w:keepLines w:val="0"/>
              <w:pageBreakBefore w:val="0"/>
              <w:kinsoku/>
              <w:wordWrap/>
              <w:overflowPunct/>
              <w:topLinePunct w:val="0"/>
              <w:autoSpaceDE/>
              <w:autoSpaceDN/>
              <w:bidi w:val="0"/>
              <w:adjustRightInd/>
              <w:snapToGrid/>
              <w:spacing w:line="360" w:lineRule="auto"/>
              <w:rPr>
                <w:rFonts w:ascii="宋体" w:hAnsi="宋体" w:cs="宋体"/>
                <w:b/>
                <w:sz w:val="24"/>
                <w:szCs w:val="24"/>
              </w:rPr>
            </w:pPr>
            <w:r>
              <w:rPr>
                <w:rFonts w:hint="eastAsia" w:ascii="宋体" w:hAnsi="宋体" w:cs="宋体"/>
                <w:sz w:val="24"/>
                <w:szCs w:val="24"/>
              </w:rPr>
              <w:t>1.履约保证金金额：履约保证金为合同金额的5%（成交供应商为中小微企业的，履约保证金为合同金额的2%。以响应文件中提交的中小企业声明函为依据）；</w:t>
            </w:r>
            <w:r>
              <w:rPr>
                <w:rFonts w:hint="eastAsia" w:ascii="宋体" w:hAnsi="宋体" w:cs="宋体"/>
                <w:bCs/>
                <w:sz w:val="24"/>
                <w:szCs w:val="24"/>
              </w:rPr>
              <w:t>签订合同时交至指定账户</w:t>
            </w:r>
            <w:r>
              <w:rPr>
                <w:rFonts w:hint="eastAsia" w:ascii="宋体" w:hAnsi="宋体" w:cs="宋体"/>
                <w:b/>
                <w:sz w:val="24"/>
                <w:szCs w:val="24"/>
              </w:rPr>
              <w:t>。</w:t>
            </w:r>
          </w:p>
          <w:p w14:paraId="3788AB91">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2.履约保证金缴纳方式：银行转账、电汇和银行出具的保函等非现金方式。由成交供应商在签订合同时按规定的金额直接缴入以下采购人账户。</w:t>
            </w:r>
          </w:p>
          <w:p w14:paraId="1F8813A3">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统一社会信用代码：124500004985009929</w:t>
            </w:r>
          </w:p>
          <w:p w14:paraId="2804FFAE">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 xml:space="preserve">户名：广西大学   </w:t>
            </w:r>
          </w:p>
          <w:p w14:paraId="4E5101E3">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开户行：中国银行广西南宁市西大支行（行号：104611010324）</w:t>
            </w:r>
          </w:p>
          <w:p w14:paraId="0E542C10">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 xml:space="preserve">账号：618 457 484 938 </w:t>
            </w:r>
          </w:p>
          <w:p w14:paraId="3435A2EB">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地址：广西壮族自治区南宁市大学东路100号  电话：0771-3232888</w:t>
            </w:r>
          </w:p>
          <w:p w14:paraId="36898A01">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b/>
                <w:sz w:val="24"/>
              </w:rPr>
            </w:pPr>
            <w:r>
              <w:rPr>
                <w:rFonts w:hint="eastAsia" w:ascii="宋体" w:hAnsi="宋体" w:cs="宋体"/>
                <w:b/>
                <w:sz w:val="24"/>
              </w:rPr>
              <w:t>缴纳履约保证金注明：“项目名称</w:t>
            </w:r>
            <w:r>
              <w:rPr>
                <w:rFonts w:ascii="宋体" w:hAnsi="宋体" w:cs="宋体"/>
                <w:b/>
                <w:sz w:val="24"/>
              </w:rPr>
              <w:t>+项目编号”履约保证金。</w:t>
            </w:r>
          </w:p>
          <w:p w14:paraId="1672A603">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3.履约保证金退付方式、时间及条件：成交供应商若不能完全履行合同，履约保证金不予退还；成交供应商若完全履行合同，货物验收合格后，成交供应商凭履约保证金财务凭证到采购人财务部门办理无息退还手续。</w:t>
            </w:r>
          </w:p>
          <w:p w14:paraId="7A2AB11F">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4.备注：</w:t>
            </w:r>
          </w:p>
          <w:p w14:paraId="0EA00098">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760032E6">
            <w:pPr>
              <w:pStyle w:val="32"/>
              <w:keepNext w:val="0"/>
              <w:keepLines w:val="0"/>
              <w:pageBreakBefore w:val="0"/>
              <w:kinsoku/>
              <w:wordWrap/>
              <w:overflowPunct/>
              <w:topLinePunct w:val="0"/>
              <w:autoSpaceDE/>
              <w:autoSpaceDN/>
              <w:bidi w:val="0"/>
              <w:adjustRightInd/>
              <w:snapToGrid/>
              <w:spacing w:line="360" w:lineRule="auto"/>
              <w:rPr>
                <w:rFonts w:ascii="宋体" w:hAnsi="宋体" w:cs="宋体"/>
                <w:sz w:val="24"/>
                <w:szCs w:val="24"/>
              </w:rPr>
            </w:pPr>
            <w:r>
              <w:rPr>
                <w:rFonts w:hint="eastAsia" w:ascii="宋体" w:hAnsi="宋体" w:cs="宋体"/>
                <w:sz w:val="24"/>
                <w:szCs w:val="24"/>
              </w:rPr>
              <w:t>（2）采用保函的，必须为无条件的保函，否则视为无效履约保证金。</w:t>
            </w:r>
          </w:p>
        </w:tc>
      </w:tr>
      <w:tr w14:paraId="0F15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2EDB874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rPr>
            </w:pPr>
            <w:r>
              <w:rPr>
                <w:rFonts w:hint="eastAsia" w:ascii="宋体" w:hAnsi="宋体" w:cs="宋体"/>
                <w:sz w:val="24"/>
              </w:rPr>
              <w:t>付款方式</w:t>
            </w:r>
          </w:p>
        </w:tc>
        <w:tc>
          <w:tcPr>
            <w:tcW w:w="7627" w:type="dxa"/>
            <w:gridSpan w:val="4"/>
            <w:vAlign w:val="center"/>
          </w:tcPr>
          <w:p w14:paraId="793D1E8A">
            <w:pPr>
              <w:keepNext w:val="0"/>
              <w:keepLines w:val="0"/>
              <w:pageBreakBefore w:val="0"/>
              <w:tabs>
                <w:tab w:val="left" w:pos="420"/>
              </w:tabs>
              <w:kinsoku/>
              <w:wordWrap/>
              <w:overflowPunct/>
              <w:topLinePunct w:val="0"/>
              <w:autoSpaceDE/>
              <w:autoSpaceDN/>
              <w:bidi w:val="0"/>
              <w:adjustRightInd/>
              <w:snapToGrid/>
              <w:spacing w:line="360" w:lineRule="auto"/>
              <w:rPr>
                <w:rFonts w:ascii="宋体" w:hAnsi="宋体" w:cs="宋体"/>
                <w:sz w:val="24"/>
                <w:szCs w:val="24"/>
              </w:rPr>
            </w:pPr>
            <w:r>
              <w:rPr>
                <w:rFonts w:hint="eastAsia" w:ascii="宋体" w:hAnsi="宋体" w:cs="宋体"/>
                <w:sz w:val="24"/>
              </w:rPr>
              <w:t>本项目无预付款；全部货物到场</w:t>
            </w:r>
            <w:r>
              <w:rPr>
                <w:rFonts w:ascii="宋体" w:hAnsi="宋体" w:cs="宋体"/>
                <w:sz w:val="24"/>
              </w:rPr>
              <w:t>后</w:t>
            </w:r>
            <w:r>
              <w:rPr>
                <w:rFonts w:hint="eastAsia" w:ascii="宋体" w:hAnsi="宋体" w:cs="宋体"/>
                <w:sz w:val="24"/>
              </w:rPr>
              <w:t>，大于6</w:t>
            </w:r>
            <w:r>
              <w:rPr>
                <w:rFonts w:ascii="宋体" w:hAnsi="宋体" w:cs="宋体"/>
                <w:sz w:val="24"/>
              </w:rPr>
              <w:t>000</w:t>
            </w:r>
            <w:r>
              <w:rPr>
                <w:rFonts w:hint="eastAsia" w:ascii="宋体" w:hAnsi="宋体" w:cs="宋体"/>
                <w:sz w:val="24"/>
              </w:rPr>
              <w:t>台</w:t>
            </w:r>
            <w:r>
              <w:rPr>
                <w:rFonts w:ascii="宋体" w:hAnsi="宋体" w:cs="宋体"/>
                <w:sz w:val="24"/>
              </w:rPr>
              <w:t>设备调试正常</w:t>
            </w:r>
            <w:r>
              <w:rPr>
                <w:rFonts w:hint="eastAsia" w:ascii="宋体" w:hAnsi="宋体" w:cs="宋体"/>
                <w:sz w:val="24"/>
                <w:lang w:val="en-US" w:eastAsia="zh-CN"/>
              </w:rPr>
              <w:t>并验收合格后</w:t>
            </w:r>
            <w:r>
              <w:rPr>
                <w:rFonts w:ascii="宋体" w:hAnsi="宋体" w:cs="宋体"/>
                <w:sz w:val="24"/>
              </w:rPr>
              <w:t>，</w:t>
            </w:r>
            <w:r>
              <w:rPr>
                <w:rFonts w:hint="eastAsia" w:ascii="宋体" w:hAnsi="宋体" w:cs="宋体"/>
                <w:sz w:val="24"/>
              </w:rPr>
              <w:t>可</w:t>
            </w:r>
            <w:r>
              <w:rPr>
                <w:rFonts w:ascii="宋体" w:hAnsi="宋体" w:cs="宋体"/>
                <w:sz w:val="24"/>
              </w:rPr>
              <w:t>支付</w:t>
            </w:r>
            <w:r>
              <w:rPr>
                <w:rFonts w:hint="eastAsia" w:ascii="宋体" w:hAnsi="宋体" w:cs="宋体"/>
                <w:sz w:val="24"/>
              </w:rPr>
              <w:t>货物</w:t>
            </w:r>
            <w:r>
              <w:rPr>
                <w:rFonts w:ascii="宋体" w:hAnsi="宋体" w:cs="宋体"/>
                <w:sz w:val="24"/>
              </w:rPr>
              <w:t>总价的</w:t>
            </w:r>
            <w:r>
              <w:rPr>
                <w:rFonts w:hint="eastAsia" w:ascii="宋体" w:hAnsi="宋体" w:cs="宋体"/>
                <w:sz w:val="24"/>
              </w:rPr>
              <w:t>60%款项；</w:t>
            </w:r>
            <w:r>
              <w:rPr>
                <w:rFonts w:ascii="宋体" w:hAnsi="宋体" w:cs="宋体"/>
                <w:sz w:val="24"/>
              </w:rPr>
              <w:t>全部</w:t>
            </w:r>
            <w:r>
              <w:rPr>
                <w:rFonts w:hint="eastAsia" w:ascii="宋体" w:hAnsi="宋体" w:cs="宋体"/>
                <w:sz w:val="24"/>
              </w:rPr>
              <w:t>安装调试完毕并经验收合格后，采购人向成交供应商支付剩余款项；付款前，成交供应商开具等额增值税专用发票给采购人。</w:t>
            </w:r>
          </w:p>
        </w:tc>
      </w:tr>
      <w:tr w14:paraId="2374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27" w:type="dxa"/>
            <w:gridSpan w:val="3"/>
            <w:vAlign w:val="center"/>
          </w:tcPr>
          <w:p w14:paraId="70D08932">
            <w:pPr>
              <w:keepNext w:val="0"/>
              <w:keepLines w:val="0"/>
              <w:pageBreakBefore w:val="0"/>
              <w:kinsoku/>
              <w:wordWrap/>
              <w:overflowPunct/>
              <w:topLinePunct w:val="0"/>
              <w:autoSpaceDE/>
              <w:autoSpaceDN/>
              <w:bidi w:val="0"/>
              <w:adjustRightInd/>
              <w:snapToGrid/>
              <w:spacing w:line="360" w:lineRule="auto"/>
              <w:jc w:val="center"/>
              <w:rPr>
                <w:rFonts w:ascii="宋体" w:hAnsi="宋体" w:cs="宋体"/>
                <w:b/>
                <w:kern w:val="1"/>
                <w:sz w:val="24"/>
              </w:rPr>
            </w:pPr>
            <w:r>
              <w:rPr>
                <w:rFonts w:hint="eastAsia" w:ascii="宋体" w:hAnsi="宋体" w:cs="宋体"/>
                <w:b/>
                <w:sz w:val="24"/>
              </w:rPr>
              <w:t>其他要求</w:t>
            </w:r>
          </w:p>
        </w:tc>
        <w:tc>
          <w:tcPr>
            <w:tcW w:w="7627" w:type="dxa"/>
            <w:gridSpan w:val="4"/>
            <w:vAlign w:val="center"/>
          </w:tcPr>
          <w:p w14:paraId="73A64574">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14:paraId="4B411C1A">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2.本项目实行总价包干制，报价包括包含设备、随配附件、备品备件、辅助材料、工具、运抵指定交货地点、材料运输及人工搬运费、垃圾清理及排放、保险、现场安装、培训、调试及验收的各种费用、设备接入学校能源物联网设备管理平台和水电预付费管理系统过程中的一切费用、质量保证期内服务、售后服务、人工费、税费及其他所有成本费用的总和，成交供应商必须自行考虑项目需要的其他设备和材料，合同履行过程中，采购人不再支付合同以外的其他费用。税费因政策等原因发生变化的，由成交供应商承担。</w:t>
            </w:r>
          </w:p>
          <w:p w14:paraId="3D4A45EE">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3.成交供应商承担货物交付验收前的运输、安装等作业工人人身、设备安全责任。验收前，如果设备丢失、因供应商自身原因及第三方原因导致损坏，成交供应商应自行负责并承担不能交付货物的责任。</w:t>
            </w:r>
          </w:p>
          <w:p w14:paraId="12806E7E">
            <w:pPr>
              <w:keepNext w:val="0"/>
              <w:keepLines w:val="0"/>
              <w:pageBreakBefore w:val="0"/>
              <w:kinsoku/>
              <w:wordWrap/>
              <w:overflowPunct/>
              <w:topLinePunct w:val="0"/>
              <w:autoSpaceDE/>
              <w:autoSpaceDN/>
              <w:bidi w:val="0"/>
              <w:adjustRightInd/>
              <w:snapToGrid/>
              <w:spacing w:line="360" w:lineRule="auto"/>
              <w:rPr>
                <w:rFonts w:ascii="宋体" w:hAnsi="宋体" w:cs="宋体"/>
                <w:sz w:val="24"/>
              </w:rPr>
            </w:pPr>
            <w:r>
              <w:rPr>
                <w:rFonts w:hint="eastAsia" w:ascii="宋体" w:hAnsi="宋体" w:cs="宋体"/>
                <w:sz w:val="24"/>
              </w:rPr>
              <w:t>4.本项目不接受进口产品（即通过中国海关报关验放进入中国境内且产自关境外的产品）参与</w:t>
            </w:r>
            <w:r>
              <w:rPr>
                <w:rFonts w:hint="eastAsia" w:ascii="宋体" w:hAnsi="宋体" w:cs="宋体"/>
                <w:sz w:val="24"/>
                <w:lang w:bidi="ar"/>
              </w:rPr>
              <w:t>竞争性谈判</w:t>
            </w:r>
            <w:r>
              <w:rPr>
                <w:rFonts w:hint="eastAsia" w:ascii="宋体" w:hAnsi="宋体" w:cs="宋体"/>
                <w:sz w:val="24"/>
              </w:rPr>
              <w:t>，如有此类产品参与</w:t>
            </w:r>
            <w:r>
              <w:rPr>
                <w:rFonts w:hint="eastAsia" w:ascii="宋体" w:hAnsi="宋体" w:cs="宋体"/>
                <w:sz w:val="24"/>
                <w:lang w:bidi="ar"/>
              </w:rPr>
              <w:t>竞争性谈判</w:t>
            </w:r>
            <w:r>
              <w:rPr>
                <w:rFonts w:hint="eastAsia" w:ascii="宋体" w:hAnsi="宋体" w:cs="宋体"/>
                <w:sz w:val="24"/>
              </w:rPr>
              <w:t>的按无效响应处理。</w:t>
            </w:r>
          </w:p>
          <w:p w14:paraId="6D3AC351">
            <w:pPr>
              <w:pStyle w:val="2"/>
              <w:keepNext w:val="0"/>
              <w:keepLines w:val="0"/>
              <w:pageBreakBefore w:val="0"/>
              <w:numPr>
                <w:ilvl w:val="255"/>
                <w:numId w:val="0"/>
              </w:numPr>
              <w:kinsoku/>
              <w:wordWrap/>
              <w:overflowPunct/>
              <w:topLinePunct w:val="0"/>
              <w:autoSpaceDE/>
              <w:autoSpaceDN/>
              <w:bidi w:val="0"/>
              <w:adjustRightInd/>
              <w:snapToGrid/>
              <w:spacing w:line="360" w:lineRule="auto"/>
              <w:jc w:val="both"/>
              <w:rPr>
                <w:sz w:val="24"/>
                <w:szCs w:val="24"/>
              </w:rPr>
            </w:pPr>
            <w:r>
              <w:rPr>
                <w:rFonts w:hint="eastAsia"/>
                <w:sz w:val="24"/>
                <w:szCs w:val="24"/>
                <w:lang w:val="en-US" w:eastAsia="zh-CN"/>
              </w:rPr>
              <w:t>5</w:t>
            </w:r>
            <w:r>
              <w:rPr>
                <w:rFonts w:hint="eastAsia"/>
                <w:sz w:val="24"/>
                <w:szCs w:val="24"/>
              </w:rPr>
              <w:t>、需要和学校现有的能源物联网设备管理平台和水电预付费管理系统进行调试。</w:t>
            </w:r>
          </w:p>
          <w:p w14:paraId="768766BF">
            <w:pPr>
              <w:pStyle w:val="2"/>
              <w:keepNext w:val="0"/>
              <w:keepLines w:val="0"/>
              <w:pageBreakBefore w:val="0"/>
              <w:numPr>
                <w:ilvl w:val="255"/>
                <w:numId w:val="0"/>
              </w:numPr>
              <w:kinsoku/>
              <w:wordWrap/>
              <w:overflowPunct/>
              <w:topLinePunct w:val="0"/>
              <w:autoSpaceDE/>
              <w:autoSpaceDN/>
              <w:bidi w:val="0"/>
              <w:adjustRightInd/>
              <w:snapToGrid/>
              <w:spacing w:line="360" w:lineRule="auto"/>
              <w:jc w:val="both"/>
              <w:rPr>
                <w:sz w:val="24"/>
                <w:szCs w:val="24"/>
              </w:rPr>
            </w:pPr>
            <w:r>
              <w:rPr>
                <w:rFonts w:hint="eastAsia"/>
                <w:sz w:val="24"/>
                <w:szCs w:val="24"/>
                <w:lang w:val="en-US" w:eastAsia="zh-CN"/>
              </w:rPr>
              <w:t>6</w:t>
            </w:r>
            <w:r>
              <w:rPr>
                <w:rFonts w:hint="eastAsia"/>
                <w:sz w:val="24"/>
                <w:szCs w:val="24"/>
              </w:rPr>
              <w:t>、为保证采购需求表中标有▲的参数达到采购文件要求及与响应文件相符，成交供应商须在接到成交通知书之日起3个工作日内携带证书、报告及承诺函原件到学校现场核验。成交供应商未提供现场核验或核验发现有材料虚假或缺失、与招标要求不符、与投标文件不符的，取消其成交资格，将按照《中华人民共和国政府采购法》及其实施条例等有关规定严肃处理。</w:t>
            </w:r>
          </w:p>
          <w:p w14:paraId="13BF4397">
            <w:pPr>
              <w:pStyle w:val="2"/>
              <w:keepNext w:val="0"/>
              <w:keepLines w:val="0"/>
              <w:pageBreakBefore w:val="0"/>
              <w:numPr>
                <w:ilvl w:val="255"/>
                <w:numId w:val="0"/>
              </w:numPr>
              <w:kinsoku/>
              <w:wordWrap/>
              <w:overflowPunct/>
              <w:topLinePunct w:val="0"/>
              <w:autoSpaceDE/>
              <w:autoSpaceDN/>
              <w:bidi w:val="0"/>
              <w:adjustRightInd/>
              <w:snapToGrid/>
              <w:spacing w:line="360" w:lineRule="auto"/>
              <w:jc w:val="both"/>
              <w:rPr>
                <w:sz w:val="24"/>
                <w:szCs w:val="24"/>
              </w:rPr>
            </w:pPr>
            <w:r>
              <w:rPr>
                <w:rFonts w:hint="eastAsia"/>
                <w:sz w:val="24"/>
                <w:szCs w:val="24"/>
                <w:lang w:val="en-US" w:eastAsia="zh-CN"/>
              </w:rPr>
              <w:t>7</w:t>
            </w:r>
            <w:r>
              <w:rPr>
                <w:rFonts w:hint="eastAsia"/>
                <w:sz w:val="24"/>
                <w:szCs w:val="24"/>
              </w:rPr>
              <w:t>、为保证竞标货物能够顺利接入学校现有的能源物联网设备管理平台和水电预付费管理系统（详见附件1：学校在用能源物联网设备管理平台和水电预付费管理系统型号和功能说明），保障项目按期实施，成交供应商须在签订合同之日起10个工作日内提供货物样品各1台（套）并完成平台和系统（详见附件1：学校在用能源物联网设备管理平台和水电预付费管理系统型号和功能说明）接入</w:t>
            </w:r>
            <w:r>
              <w:rPr>
                <w:sz w:val="24"/>
                <w:szCs w:val="24"/>
              </w:rPr>
              <w:t>调试</w:t>
            </w:r>
            <w:r>
              <w:rPr>
                <w:rFonts w:hint="eastAsia"/>
                <w:sz w:val="24"/>
                <w:szCs w:val="24"/>
              </w:rPr>
              <w:t>。如成交供应商未提供货物样品或样品无法接入学校平台和系统，取消其成交资格，将按照《中华人民共和国政府采购法》及其实施条例等有关规定严肃处理。</w:t>
            </w:r>
          </w:p>
        </w:tc>
      </w:tr>
    </w:tbl>
    <w:p w14:paraId="6DC71723">
      <w:pPr>
        <w:rPr>
          <w:rFonts w:ascii="宋体" w:hAnsi="宋体" w:cs="宋体"/>
        </w:rPr>
      </w:pPr>
      <w:r>
        <w:rPr>
          <w:rFonts w:hint="eastAsia" w:ascii="宋体" w:hAnsi="宋体" w:cs="宋体"/>
        </w:rPr>
        <w:br w:type="page"/>
      </w:r>
      <w:r>
        <w:rPr>
          <w:rFonts w:hint="eastAsia" w:ascii="宋体" w:hAnsi="宋体" w:cs="宋体"/>
          <w:sz w:val="32"/>
          <w:szCs w:val="32"/>
        </w:rPr>
        <w:t>附件1：</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D21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A8F4675">
            <w:pPr>
              <w:jc w:val="center"/>
              <w:rPr>
                <w:rFonts w:ascii="宋体" w:hAnsi="宋体" w:cs="宋体"/>
              </w:rPr>
            </w:pPr>
            <w:r>
              <w:rPr>
                <w:rFonts w:ascii="宋体" w:hAnsi="宋体" w:cs="宋体"/>
                <w:sz w:val="32"/>
                <w:szCs w:val="32"/>
              </w:rPr>
              <w:t>学校现有系统型号功能</w:t>
            </w:r>
          </w:p>
        </w:tc>
      </w:tr>
      <w:tr w14:paraId="526D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56105C99">
            <w:pPr>
              <w:spacing w:line="400" w:lineRule="exact"/>
              <w:rPr>
                <w:rFonts w:ascii="宋体" w:hAnsi="宋体" w:cs="宋体"/>
                <w:sz w:val="24"/>
              </w:rPr>
            </w:pPr>
            <w:r>
              <w:rPr>
                <w:rFonts w:hint="eastAsia" w:ascii="宋体" w:hAnsi="宋体" w:cs="宋体"/>
                <w:sz w:val="24"/>
              </w:rPr>
              <w:t>（一）能源物联网设备管理平台（型号：NS301 - V1.0）</w:t>
            </w:r>
          </w:p>
          <w:p w14:paraId="3C15C450">
            <w:pPr>
              <w:spacing w:line="400" w:lineRule="exact"/>
              <w:rPr>
                <w:rFonts w:ascii="宋体" w:hAnsi="宋体" w:cs="宋体"/>
                <w:sz w:val="24"/>
              </w:rPr>
            </w:pPr>
            <w:r>
              <w:rPr>
                <w:rFonts w:hint="eastAsia" w:ascii="宋体" w:hAnsi="宋体" w:cs="宋体"/>
                <w:sz w:val="24"/>
              </w:rPr>
              <w:t>（1）设备档案管理功能：包括但不限于管理机及集中采集类设备的编号、型号、通信地址、最大负载量、当前负载量、安装位置等信息；计量控制类设备的设备类型、型号、编号、通信地址等信息。</w:t>
            </w:r>
          </w:p>
          <w:p w14:paraId="1950B99A">
            <w:pPr>
              <w:spacing w:line="400" w:lineRule="exact"/>
              <w:rPr>
                <w:rFonts w:ascii="宋体" w:hAnsi="宋体" w:cs="宋体"/>
                <w:sz w:val="24"/>
              </w:rPr>
            </w:pPr>
            <w:r>
              <w:rPr>
                <w:rFonts w:hint="eastAsia" w:ascii="宋体" w:hAnsi="宋体" w:cs="宋体"/>
                <w:sz w:val="24"/>
              </w:rPr>
              <w:t>（2）接口管理：向上层各应用系统应提供统一的API接口，如能耗监管平台，统一支付平台、智慧校园平台等等，通过该接口功能，可向上一级业务系统提供接入平台的所有表计关键指标数据，并支持上级业务系统对设备进行精准的控制等操作。</w:t>
            </w:r>
          </w:p>
          <w:p w14:paraId="33967A42">
            <w:pPr>
              <w:spacing w:line="400" w:lineRule="exact"/>
              <w:rPr>
                <w:rFonts w:ascii="宋体" w:hAnsi="宋体" w:cs="宋体"/>
                <w:sz w:val="24"/>
              </w:rPr>
            </w:pPr>
            <w:r>
              <w:rPr>
                <w:rFonts w:hint="eastAsia" w:ascii="宋体" w:hAnsi="宋体" w:cs="宋体"/>
                <w:sz w:val="24"/>
              </w:rPr>
              <w:t>（3）数据存储：应对所有设备数据进行存储，包含设备信息、能源数据、设备关系等等出，采用多维云数据库管理方式，数据云端存储，多重加密，确保数据安全。</w:t>
            </w:r>
          </w:p>
          <w:p w14:paraId="68320CB1">
            <w:pPr>
              <w:spacing w:line="400" w:lineRule="exact"/>
              <w:rPr>
                <w:rFonts w:ascii="宋体" w:hAnsi="宋体" w:cs="宋体"/>
                <w:sz w:val="24"/>
              </w:rPr>
            </w:pPr>
            <w:r>
              <w:rPr>
                <w:rFonts w:hint="eastAsia" w:ascii="宋体" w:hAnsi="宋体" w:cs="宋体"/>
                <w:sz w:val="24"/>
              </w:rPr>
              <w:t>（4）数据计算与处理：宜对采集的能源数据进行计算与处理，如电量结算、水电账单生成、用电异常统计等。</w:t>
            </w:r>
          </w:p>
          <w:p w14:paraId="202C5837">
            <w:pPr>
              <w:spacing w:line="400" w:lineRule="exact"/>
              <w:rPr>
                <w:rFonts w:ascii="宋体" w:hAnsi="宋体" w:cs="宋体"/>
                <w:sz w:val="24"/>
              </w:rPr>
            </w:pPr>
            <w:r>
              <w:rPr>
                <w:rFonts w:hint="eastAsia" w:ascii="宋体" w:hAnsi="宋体" w:cs="宋体"/>
                <w:sz w:val="24"/>
              </w:rPr>
              <w:t>（5）消息中间件：对各类信息进行推送反馈，如能源数据微信推送、欠费状态告警、设备更换或故障提示等。</w:t>
            </w:r>
          </w:p>
          <w:p w14:paraId="426AECD5">
            <w:pPr>
              <w:spacing w:line="400" w:lineRule="exact"/>
              <w:rPr>
                <w:rFonts w:ascii="宋体" w:hAnsi="宋体" w:cs="宋体"/>
                <w:sz w:val="24"/>
              </w:rPr>
            </w:pPr>
            <w:r>
              <w:rPr>
                <w:rFonts w:hint="eastAsia" w:ascii="宋体" w:hAnsi="宋体" w:cs="宋体"/>
                <w:sz w:val="24"/>
              </w:rPr>
              <w:t>（6）设备接入层：可接入符合平台通信协议的不同的智能电表、智能水表、安全用电监测仪、空调控制器、等能源监控智能设备，数据集中器、智能网关等物联网数据集中采集设备。</w:t>
            </w:r>
          </w:p>
          <w:p w14:paraId="4FF7641A">
            <w:pPr>
              <w:spacing w:line="400" w:lineRule="exact"/>
              <w:rPr>
                <w:rFonts w:ascii="宋体" w:hAnsi="宋体" w:cs="宋体"/>
                <w:sz w:val="24"/>
              </w:rPr>
            </w:pPr>
            <w:r>
              <w:rPr>
                <w:rFonts w:hint="eastAsia" w:ascii="宋体" w:hAnsi="宋体" w:cs="宋体"/>
                <w:sz w:val="24"/>
              </w:rPr>
              <w:t>（7）分布式协调：设备动态宜相互备份，当一台前置工控设备故障时，备份角色工控设备自动承接故障工控机任务。实现所有前置工控机API接口和数据的汇聚分发，向上层各应用系统提供唯一的API接口。</w:t>
            </w:r>
          </w:p>
          <w:p w14:paraId="44D86CA8">
            <w:pPr>
              <w:spacing w:line="400" w:lineRule="exact"/>
              <w:rPr>
                <w:rFonts w:ascii="宋体" w:hAnsi="宋体" w:cs="宋体"/>
                <w:sz w:val="24"/>
              </w:rPr>
            </w:pPr>
            <w:r>
              <w:rPr>
                <w:rFonts w:hint="eastAsia" w:ascii="宋体" w:hAnsi="宋体" w:cs="宋体"/>
                <w:sz w:val="24"/>
              </w:rPr>
              <w:t>（8）实时监测：可以实时看到当前RTU的状态，设备的状态，DI，AI，ACC等实时数据；支持对每一台集中采集设备和计量控制设备的网络连接状态进行监控</w:t>
            </w:r>
          </w:p>
          <w:p w14:paraId="6C13BE3F">
            <w:pPr>
              <w:spacing w:line="400" w:lineRule="exact"/>
              <w:rPr>
                <w:rFonts w:ascii="宋体" w:hAnsi="宋体" w:cs="宋体"/>
                <w:sz w:val="24"/>
              </w:rPr>
            </w:pPr>
            <w:r>
              <w:rPr>
                <w:rFonts w:hint="eastAsia" w:ascii="宋体" w:hAnsi="宋体" w:cs="宋体"/>
                <w:sz w:val="24"/>
              </w:rPr>
              <w:t>（9）告警提醒：显示所有的告警事件，包括但不限于RTU，设备中断恢复，开关变位，遥测越限等告警信息；报警服务支持按数据处理模型和报警策略生成不同类型的报警信息</w:t>
            </w:r>
          </w:p>
          <w:p w14:paraId="419080B9">
            <w:pPr>
              <w:spacing w:line="400" w:lineRule="exact"/>
              <w:rPr>
                <w:rFonts w:ascii="宋体" w:hAnsi="宋体" w:cs="宋体"/>
                <w:sz w:val="24"/>
              </w:rPr>
            </w:pPr>
            <w:r>
              <w:rPr>
                <w:rFonts w:hint="eastAsia" w:ascii="宋体" w:hAnsi="宋体" w:cs="宋体"/>
                <w:sz w:val="24"/>
              </w:rPr>
              <w:t>（10）设备管理与升级：包括设备基础信息的维护、配表及档案管理，采集设备和计量控制设备构成的物联网通讯方式，可支持多种形式，如：直接RS485有线连接，MBUS有线连接，470Mhz无线通讯，Zigbee自组网通讯、NB-IOT通信等等方式；系统支持对所有设备的Web端查询使用状态，安装等详细信息，并支持对设备全寿命周期的维护与升级优化操作。</w:t>
            </w:r>
          </w:p>
          <w:p w14:paraId="03D7187B">
            <w:pPr>
              <w:spacing w:line="400" w:lineRule="exact"/>
              <w:rPr>
                <w:rFonts w:ascii="宋体" w:hAnsi="宋体" w:cs="宋体"/>
                <w:sz w:val="24"/>
              </w:rPr>
            </w:pPr>
            <w:r>
              <w:rPr>
                <w:rFonts w:hint="eastAsia" w:ascii="宋体" w:hAnsi="宋体" w:cs="宋体"/>
                <w:sz w:val="24"/>
              </w:rPr>
              <w:t>（二）水电预付费管理系统（型号：NS6020）</w:t>
            </w:r>
          </w:p>
          <w:p w14:paraId="61C0A742">
            <w:pPr>
              <w:spacing w:line="400" w:lineRule="exact"/>
              <w:rPr>
                <w:rFonts w:ascii="宋体" w:hAnsi="宋体" w:cs="宋体"/>
                <w:sz w:val="24"/>
              </w:rPr>
            </w:pPr>
            <w:r>
              <w:rPr>
                <w:rFonts w:hint="eastAsia" w:ascii="宋体" w:hAnsi="宋体" w:cs="宋体"/>
                <w:sz w:val="24"/>
              </w:rPr>
              <w:t>（1）自动抄表：系统能准确抄读各表计的实时读数、指定时间区间的能耗量、历史上传读数记录等，并提供用户当前剩余金额、欠费金额、欠费时间等数据。</w:t>
            </w:r>
          </w:p>
          <w:p w14:paraId="3F591363">
            <w:pPr>
              <w:spacing w:line="400" w:lineRule="exact"/>
              <w:rPr>
                <w:rFonts w:ascii="宋体" w:hAnsi="宋体" w:cs="宋体"/>
                <w:sz w:val="24"/>
              </w:rPr>
            </w:pPr>
            <w:r>
              <w:rPr>
                <w:rFonts w:hint="eastAsia" w:ascii="宋体" w:hAnsi="宋体" w:cs="宋体"/>
                <w:sz w:val="24"/>
              </w:rPr>
              <w:t>（2）网络付费充值：支持预付费功能，实现用户线上预缴费、移动支付等自助缴费，充值金额可下发到电表，实现欠费自动跳闸，充值自动合闸。</w:t>
            </w:r>
          </w:p>
          <w:p w14:paraId="41177857">
            <w:pPr>
              <w:spacing w:line="400" w:lineRule="exact"/>
              <w:rPr>
                <w:rFonts w:ascii="宋体" w:hAnsi="宋体" w:cs="宋体"/>
                <w:sz w:val="24"/>
              </w:rPr>
            </w:pPr>
            <w:r>
              <w:rPr>
                <w:rFonts w:hint="eastAsia" w:ascii="宋体" w:hAnsi="宋体" w:cs="宋体"/>
                <w:sz w:val="24"/>
              </w:rPr>
              <w:t>（3）缴费提醒：用户剩余金额不足时，系统可通过手机消息推送、微信信息提示等提醒用户及时充值。</w:t>
            </w:r>
          </w:p>
          <w:p w14:paraId="0544802A">
            <w:pPr>
              <w:spacing w:line="400" w:lineRule="exact"/>
              <w:rPr>
                <w:rFonts w:ascii="宋体" w:hAnsi="宋体" w:cs="宋体"/>
                <w:sz w:val="24"/>
              </w:rPr>
            </w:pPr>
            <w:r>
              <w:rPr>
                <w:rFonts w:hint="eastAsia" w:ascii="宋体" w:hAnsi="宋体" w:cs="宋体"/>
                <w:sz w:val="24"/>
              </w:rPr>
              <w:t>（4）补助电费：系统可设置用户自动补助电额度，可设置按人或者按房间补助，对于没有使用完的补助额，可选择清零或者累加到下个周期。参数下发到电表，电表主动执行补助方案。</w:t>
            </w:r>
          </w:p>
          <w:p w14:paraId="778E15A8">
            <w:pPr>
              <w:spacing w:line="400" w:lineRule="exact"/>
              <w:rPr>
                <w:rFonts w:ascii="宋体" w:hAnsi="宋体" w:cs="宋体"/>
                <w:sz w:val="24"/>
              </w:rPr>
            </w:pPr>
            <w:r>
              <w:rPr>
                <w:rFonts w:hint="eastAsia" w:ascii="宋体" w:hAnsi="宋体" w:cs="宋体"/>
                <w:sz w:val="24"/>
              </w:rPr>
              <w:t>（5）实时控制：管理者可通过系统实时控制电表开关，实现对用户即时断电、通电，可实时监控计量表开关状态。</w:t>
            </w:r>
          </w:p>
          <w:p w14:paraId="5DF23773">
            <w:pPr>
              <w:spacing w:line="400" w:lineRule="exact"/>
              <w:rPr>
                <w:rFonts w:ascii="宋体" w:hAnsi="宋体" w:cs="宋体"/>
                <w:sz w:val="24"/>
              </w:rPr>
            </w:pPr>
            <w:r>
              <w:rPr>
                <w:rFonts w:hint="eastAsia" w:ascii="宋体" w:hAnsi="宋体" w:cs="宋体"/>
                <w:sz w:val="24"/>
              </w:rPr>
              <w:t>（6）恶性负载识别：系统可设置对电表设置全阻类、半波类、开关电源类恶性负载设备的识别参数，电表可根据设置参数自动识别并断电，同时记录断电的时间和断电原因。</w:t>
            </w:r>
          </w:p>
          <w:p w14:paraId="74BEE914">
            <w:pPr>
              <w:spacing w:line="400" w:lineRule="exact"/>
              <w:rPr>
                <w:rFonts w:ascii="宋体" w:hAnsi="宋体" w:cs="宋体"/>
                <w:sz w:val="24"/>
              </w:rPr>
            </w:pPr>
            <w:r>
              <w:rPr>
                <w:rFonts w:hint="eastAsia" w:ascii="宋体" w:hAnsi="宋体" w:cs="宋体"/>
                <w:sz w:val="24"/>
              </w:rPr>
              <w:t>（7）加密功能：系统具备高强度的128位加密算法，保证数据安全。具有完整的操作日志，详细记录每位操作员进入、退出系统的时间，以及进入系统后进行的每一步操作。</w:t>
            </w:r>
          </w:p>
          <w:p w14:paraId="0594AADD">
            <w:pPr>
              <w:spacing w:line="400" w:lineRule="exact"/>
              <w:rPr>
                <w:rFonts w:ascii="宋体" w:hAnsi="宋体" w:cs="宋体"/>
              </w:rPr>
            </w:pPr>
            <w:r>
              <w:rPr>
                <w:rFonts w:hint="eastAsia" w:ascii="宋体" w:hAnsi="宋体" w:cs="宋体"/>
                <w:sz w:val="24"/>
              </w:rPr>
              <w:t>（8）报表功能：系统具有用电记录的日报、月报、年报等报表，缴费充值记录以及账目分析汇总。</w:t>
            </w:r>
          </w:p>
        </w:tc>
      </w:tr>
    </w:tbl>
    <w:p w14:paraId="13DBCB46">
      <w:pPr>
        <w:rPr>
          <w:rFonts w:ascii="宋体" w:hAnsi="宋体" w:cs="宋体"/>
        </w:rPr>
      </w:pPr>
      <w:r>
        <w:rPr>
          <w:rFonts w:hint="eastAsia" w:ascii="宋体" w:hAnsi="宋体" w:cs="宋体"/>
        </w:rPr>
        <w:br w:type="page"/>
      </w:r>
    </w:p>
    <w:p w14:paraId="5F94833D">
      <w:pPr>
        <w:spacing w:line="428" w:lineRule="exact"/>
        <w:ind w:left="119"/>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hint="eastAsia"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5F7BAE79">
      <w:pPr>
        <w:spacing w:before="7"/>
        <w:rPr>
          <w:rFonts w:ascii="Arial Unicode MS" w:hAnsi="Arial Unicode MS" w:eastAsia="Arial Unicode MS" w:cs="Arial Unicode MS"/>
          <w:sz w:val="17"/>
          <w:szCs w:val="17"/>
        </w:rPr>
      </w:pPr>
    </w:p>
    <w:p w14:paraId="5E80CFD9">
      <w:pPr>
        <w:spacing w:line="528" w:lineRule="exact"/>
        <w:ind w:left="1871"/>
        <w:rPr>
          <w:rFonts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43"/>
        <w:gridCol w:w="1546"/>
        <w:gridCol w:w="1536"/>
        <w:gridCol w:w="3452"/>
      </w:tblGrid>
      <w:tr w14:paraId="69D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EB29293">
            <w:pPr>
              <w:jc w:val="center"/>
              <w:rPr>
                <w:rFonts w:ascii="宋体" w:hAnsi="宋体"/>
                <w:sz w:val="24"/>
              </w:rPr>
            </w:pPr>
            <w:r>
              <w:rPr>
                <w:rFonts w:hint="eastAsia" w:ascii="宋体" w:hAnsi="宋体" w:cs="宋体"/>
                <w:b/>
                <w:bCs/>
                <w:w w:val="99"/>
                <w:sz w:val="24"/>
              </w:rPr>
              <w:t>品目序号</w:t>
            </w:r>
          </w:p>
        </w:tc>
        <w:tc>
          <w:tcPr>
            <w:tcW w:w="4448" w:type="dxa"/>
            <w:gridSpan w:val="3"/>
            <w:tcBorders>
              <w:top w:val="single" w:color="000000" w:sz="4" w:space="0"/>
              <w:left w:val="single" w:color="000000" w:sz="4" w:space="0"/>
              <w:bottom w:val="single" w:color="000000" w:sz="4" w:space="0"/>
              <w:right w:val="single" w:color="000000" w:sz="4" w:space="0"/>
            </w:tcBorders>
            <w:vAlign w:val="center"/>
          </w:tcPr>
          <w:p w14:paraId="73ADC39A">
            <w:pPr>
              <w:jc w:val="center"/>
              <w:rPr>
                <w:rFonts w:ascii="宋体" w:hAnsi="宋体"/>
                <w:sz w:val="24"/>
              </w:rPr>
            </w:pPr>
            <w:r>
              <w:rPr>
                <w:rFonts w:hint="eastAsia" w:ascii="宋体" w:hAnsi="宋体" w:cs="宋体"/>
                <w:b/>
                <w:bCs/>
                <w:w w:val="99"/>
                <w:sz w:val="24"/>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6C35DF9B">
            <w:pPr>
              <w:jc w:val="center"/>
              <w:rPr>
                <w:rFonts w:ascii="宋体" w:hAnsi="宋体"/>
                <w:sz w:val="24"/>
              </w:rPr>
            </w:pPr>
            <w:r>
              <w:rPr>
                <w:rFonts w:hint="eastAsia" w:ascii="宋体" w:hAnsi="宋体" w:cs="宋体"/>
                <w:b/>
                <w:bCs/>
                <w:w w:val="99"/>
                <w:sz w:val="24"/>
              </w:rPr>
              <w:t>依据的标准</w:t>
            </w:r>
          </w:p>
        </w:tc>
      </w:tr>
      <w:tr w14:paraId="22FA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3C6687E">
            <w:pPr>
              <w:jc w:val="center"/>
              <w:rPr>
                <w:rFonts w:ascii="宋体" w:hAnsi="宋体"/>
                <w:sz w:val="24"/>
              </w:rPr>
            </w:pPr>
            <w:r>
              <w:rPr>
                <w:rFonts w:hint="eastAsia" w:ascii="宋体" w:hAnsi="宋体"/>
                <w:sz w:val="24"/>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DA38DE1">
            <w:pPr>
              <w:jc w:val="center"/>
              <w:rPr>
                <w:rFonts w:ascii="宋体" w:hAnsi="宋体"/>
                <w:sz w:val="24"/>
              </w:rPr>
            </w:pPr>
            <w:r>
              <w:rPr>
                <w:rFonts w:hint="eastAsia" w:ascii="宋体" w:hAnsi="宋体" w:cs="仿宋_GB2312"/>
                <w:sz w:val="24"/>
              </w:rPr>
              <w:t>A02010100</w:t>
            </w:r>
            <w:r>
              <w:rPr>
                <w:rFonts w:hint="eastAsia" w:ascii="宋体" w:hAnsi="宋体" w:cs="宋体"/>
                <w:w w:val="99"/>
                <w:sz w:val="24"/>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686BDFE">
            <w:pPr>
              <w:pStyle w:val="56"/>
              <w:spacing w:before="93"/>
              <w:ind w:left="7"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A02010105</w:t>
            </w:r>
            <w:r>
              <w:rPr>
                <w:rFonts w:hint="eastAsia" w:ascii="宋体" w:hAnsi="宋体" w:cs="宋体"/>
                <w:w w:val="99"/>
                <w:kern w:val="2"/>
                <w:sz w:val="24"/>
                <w:szCs w:val="24"/>
              </w:rPr>
              <w:t>台式计算机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1A33772B">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436F6172">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1BED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D3E78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6647BD">
            <w:pPr>
              <w:widowControl/>
              <w:jc w:val="left"/>
              <w:rPr>
                <w:rFonts w:ascii="宋体" w:hAnsi="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CDAF6E6">
            <w:pPr>
              <w:pStyle w:val="56"/>
              <w:spacing w:before="44"/>
              <w:ind w:left="7"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A02010108</w:t>
            </w:r>
            <w:r>
              <w:rPr>
                <w:rFonts w:hint="eastAsia" w:ascii="宋体" w:hAnsi="宋体" w:cs="宋体"/>
                <w:w w:val="99"/>
                <w:kern w:val="2"/>
                <w:sz w:val="24"/>
                <w:szCs w:val="24"/>
              </w:rPr>
              <w:t>便携式计算机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573EBC35">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1CC71140">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2B9E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A62340">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A2FF42">
            <w:pPr>
              <w:widowControl/>
              <w:jc w:val="left"/>
              <w:rPr>
                <w:rFonts w:ascii="宋体" w:hAnsi="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3273282">
            <w:pPr>
              <w:pStyle w:val="56"/>
              <w:spacing w:before="64"/>
              <w:ind w:left="7" w:right="5"/>
              <w:jc w:val="center"/>
              <w:rPr>
                <w:rFonts w:ascii="宋体" w:hAnsi="宋体" w:cs="宋体"/>
                <w:kern w:val="2"/>
                <w:sz w:val="24"/>
                <w:szCs w:val="24"/>
                <w:lang w:eastAsia="zh-CN"/>
              </w:rPr>
            </w:pPr>
            <w:r>
              <w:rPr>
                <w:rFonts w:hint="eastAsia" w:ascii="宋体" w:hAnsi="宋体" w:cs="宋体"/>
                <w:w w:val="99"/>
                <w:kern w:val="2"/>
                <w:sz w:val="24"/>
                <w:szCs w:val="24"/>
                <w:lang w:eastAsia="zh-CN"/>
              </w:rPr>
              <w:t>★</w:t>
            </w:r>
            <w:r>
              <w:rPr>
                <w:rFonts w:hint="eastAsia" w:ascii="宋体" w:hAnsi="宋体" w:cs="仿宋_GB2312"/>
                <w:kern w:val="2"/>
                <w:sz w:val="24"/>
                <w:szCs w:val="24"/>
                <w:lang w:eastAsia="zh-CN"/>
              </w:rPr>
              <w:t>A02010109平板式计算机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71C99385">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5D2D3D8A">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3308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5C96629">
            <w:pPr>
              <w:jc w:val="center"/>
              <w:rPr>
                <w:rFonts w:ascii="宋体" w:hAnsi="宋体"/>
                <w:sz w:val="24"/>
              </w:rPr>
            </w:pPr>
            <w:r>
              <w:rPr>
                <w:rFonts w:hint="eastAsia" w:ascii="宋体" w:hAnsi="宋体"/>
                <w:sz w:val="24"/>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A60F835">
            <w:pPr>
              <w:pStyle w:val="56"/>
              <w:ind w:left="7"/>
              <w:jc w:val="center"/>
              <w:rPr>
                <w:rFonts w:ascii="宋体" w:hAnsi="宋体" w:cs="宋体"/>
                <w:kern w:val="2"/>
                <w:sz w:val="24"/>
                <w:szCs w:val="24"/>
              </w:rPr>
            </w:pPr>
            <w:r>
              <w:rPr>
                <w:rFonts w:hint="eastAsia" w:ascii="宋体" w:hAnsi="宋体" w:cs="仿宋_GB2312"/>
                <w:kern w:val="2"/>
                <w:sz w:val="24"/>
                <w:szCs w:val="24"/>
              </w:rPr>
              <w:t>A02020000</w:t>
            </w:r>
            <w:r>
              <w:rPr>
                <w:rFonts w:hint="eastAsia" w:ascii="宋体" w:hAnsi="宋体" w:cs="宋体"/>
                <w:w w:val="99"/>
                <w:kern w:val="2"/>
                <w:sz w:val="24"/>
                <w:szCs w:val="24"/>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51EBD68">
            <w:pPr>
              <w:jc w:val="center"/>
              <w:rPr>
                <w:rFonts w:ascii="宋体" w:hAnsi="宋体"/>
                <w:sz w:val="24"/>
              </w:rPr>
            </w:pPr>
            <w:r>
              <w:rPr>
                <w:rFonts w:hint="eastAsia" w:ascii="宋体" w:hAnsi="宋体" w:cs="宋体"/>
                <w:spacing w:val="1"/>
                <w:w w:val="99"/>
                <w:sz w:val="24"/>
              </w:rPr>
              <w:t>A02021000</w:t>
            </w:r>
            <w:r>
              <w:rPr>
                <w:rFonts w:hint="eastAsia" w:ascii="宋体" w:hAnsi="宋体" w:cs="Arial"/>
                <w:sz w:val="24"/>
                <w:shd w:val="clear" w:color="auto" w:fill="FFFFFF"/>
              </w:rPr>
              <w:t>打印机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57550271">
            <w:pPr>
              <w:jc w:val="center"/>
              <w:rPr>
                <w:rFonts w:ascii="宋体" w:hAnsi="宋体"/>
                <w:sz w:val="24"/>
              </w:rPr>
            </w:pPr>
            <w:r>
              <w:rPr>
                <w:rFonts w:hint="eastAsia" w:ascii="宋体" w:hAnsi="宋体"/>
                <w:sz w:val="24"/>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734B83B6">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1498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E332C2">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1F3C27">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5391CB">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090CC243">
            <w:pPr>
              <w:jc w:val="center"/>
              <w:rPr>
                <w:rFonts w:ascii="宋体" w:hAnsi="宋体"/>
                <w:sz w:val="24"/>
              </w:rPr>
            </w:pPr>
            <w:r>
              <w:rPr>
                <w:rFonts w:hint="eastAsia" w:ascii="宋体" w:hAnsi="宋体"/>
                <w:sz w:val="24"/>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49852994">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29F4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4F15BF">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021428">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CC1F38">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07D67546">
            <w:pPr>
              <w:jc w:val="center"/>
              <w:rPr>
                <w:rFonts w:ascii="宋体" w:hAnsi="宋体"/>
                <w:sz w:val="24"/>
              </w:rPr>
            </w:pPr>
            <w:r>
              <w:rPr>
                <w:rFonts w:hint="eastAsia" w:ascii="宋体" w:hAnsi="宋体"/>
                <w:sz w:val="24"/>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495DAE4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519B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A1A94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E7EB6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3E8364">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58437D47">
            <w:pPr>
              <w:jc w:val="center"/>
              <w:rPr>
                <w:rFonts w:ascii="宋体" w:hAnsi="宋体"/>
                <w:sz w:val="24"/>
              </w:rPr>
            </w:pPr>
            <w:r>
              <w:rPr>
                <w:rFonts w:hint="eastAsia" w:ascii="宋体" w:hAnsi="宋体"/>
                <w:sz w:val="24"/>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3029E0A4">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9A6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DD24D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DA3C8B">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517970">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7DAC8876">
            <w:pPr>
              <w:jc w:val="center"/>
              <w:rPr>
                <w:rFonts w:ascii="宋体" w:hAnsi="宋体"/>
                <w:sz w:val="24"/>
              </w:rPr>
            </w:pPr>
            <w:r>
              <w:rPr>
                <w:rFonts w:hint="eastAsia" w:ascii="宋体" w:hAnsi="宋体"/>
                <w:sz w:val="24"/>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5EFC21B5">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7883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4A905A">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90A5A3">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2F28FE">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5D447CC0">
            <w:pPr>
              <w:jc w:val="center"/>
              <w:rPr>
                <w:rFonts w:ascii="宋体" w:hAnsi="宋体"/>
                <w:sz w:val="24"/>
              </w:rPr>
            </w:pPr>
            <w:r>
              <w:rPr>
                <w:rFonts w:hint="eastAsia" w:ascii="宋体" w:hAnsi="宋体"/>
                <w:sz w:val="24"/>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2772C1D8">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163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E59AF5">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7699E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FBC250">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6B5A26CA">
            <w:pPr>
              <w:jc w:val="center"/>
              <w:rPr>
                <w:rFonts w:ascii="宋体" w:hAnsi="宋体"/>
                <w:sz w:val="24"/>
              </w:rPr>
            </w:pPr>
            <w:r>
              <w:rPr>
                <w:rFonts w:hint="eastAsia" w:ascii="宋体" w:hAnsi="宋体"/>
                <w:sz w:val="24"/>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7C8F0844">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BD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02363B">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E75EC8">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2C0755">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75221833">
            <w:pPr>
              <w:jc w:val="center"/>
              <w:rPr>
                <w:rFonts w:ascii="宋体" w:hAnsi="宋体"/>
                <w:sz w:val="24"/>
              </w:rPr>
            </w:pPr>
            <w:r>
              <w:rPr>
                <w:rFonts w:hint="eastAsia" w:ascii="宋体" w:hAnsi="宋体"/>
                <w:sz w:val="24"/>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380751F1">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4AEB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FEBA5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3E6FF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596B70">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737B56F7">
            <w:pPr>
              <w:jc w:val="center"/>
              <w:rPr>
                <w:rFonts w:ascii="宋体" w:hAnsi="宋体"/>
                <w:sz w:val="24"/>
              </w:rPr>
            </w:pPr>
            <w:r>
              <w:rPr>
                <w:rFonts w:hint="eastAsia" w:ascii="宋体" w:hAnsi="宋体"/>
                <w:sz w:val="24"/>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5DC4332C">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CFB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C107CE">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5591A">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E483089">
            <w:pPr>
              <w:jc w:val="center"/>
              <w:rPr>
                <w:rFonts w:ascii="宋体" w:hAnsi="宋体"/>
                <w:sz w:val="24"/>
              </w:rPr>
            </w:pPr>
            <w:r>
              <w:rPr>
                <w:rFonts w:hint="eastAsia" w:ascii="宋体" w:hAnsi="宋体"/>
                <w:sz w:val="24"/>
              </w:rPr>
              <w:t>A02021100输入输出设备</w:t>
            </w:r>
          </w:p>
        </w:tc>
        <w:tc>
          <w:tcPr>
            <w:tcW w:w="1530" w:type="dxa"/>
            <w:tcBorders>
              <w:top w:val="single" w:color="000000" w:sz="4" w:space="0"/>
              <w:left w:val="single" w:color="000000" w:sz="4" w:space="0"/>
              <w:bottom w:val="single" w:color="000000" w:sz="4" w:space="0"/>
              <w:right w:val="single" w:color="000000" w:sz="4" w:space="0"/>
            </w:tcBorders>
            <w:vAlign w:val="center"/>
          </w:tcPr>
          <w:p w14:paraId="227AB570">
            <w:pPr>
              <w:jc w:val="center"/>
              <w:rPr>
                <w:rFonts w:ascii="宋体" w:hAnsi="宋体"/>
                <w:sz w:val="24"/>
              </w:rPr>
            </w:pPr>
            <w:r>
              <w:rPr>
                <w:rFonts w:hint="eastAsia" w:ascii="宋体" w:hAnsi="宋体" w:cs="宋体"/>
                <w:w w:val="99"/>
                <w:sz w:val="24"/>
              </w:rPr>
              <w:t>★</w:t>
            </w:r>
            <w:r>
              <w:rPr>
                <w:rFonts w:hint="eastAsia" w:ascii="宋体" w:hAnsi="宋体"/>
                <w:sz w:val="24"/>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588F4FF8">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《计算机显示器能效限定值及能效等级》（GB21520）</w:t>
            </w:r>
          </w:p>
        </w:tc>
      </w:tr>
      <w:tr w14:paraId="38EE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D3676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32E05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D44D9B">
            <w:pPr>
              <w:widowControl/>
              <w:jc w:val="left"/>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3B20667">
            <w:pPr>
              <w:jc w:val="center"/>
              <w:rPr>
                <w:rFonts w:ascii="宋体" w:hAnsi="宋体"/>
                <w:sz w:val="24"/>
              </w:rPr>
            </w:pPr>
            <w:r>
              <w:rPr>
                <w:rFonts w:hint="eastAsia" w:ascii="宋体" w:hAnsi="宋体"/>
                <w:sz w:val="24"/>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1FAC881E">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参照《复印机、打印机和传真机能效限定值及能效等级》（GB21521）中打印速度为15页/分的针式打印机相关要求</w:t>
            </w:r>
          </w:p>
        </w:tc>
      </w:tr>
      <w:tr w14:paraId="57AD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86AFB18">
            <w:pPr>
              <w:jc w:val="center"/>
              <w:rPr>
                <w:rFonts w:ascii="宋体" w:hAnsi="宋体"/>
                <w:sz w:val="24"/>
              </w:rPr>
            </w:pPr>
            <w:r>
              <w:rPr>
                <w:rFonts w:hint="eastAsia" w:ascii="宋体" w:hAnsi="宋体"/>
                <w:w w:val="99"/>
                <w:sz w:val="24"/>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B2F9D82">
            <w:pPr>
              <w:jc w:val="center"/>
              <w:rPr>
                <w:rFonts w:ascii="宋体" w:hAnsi="宋体"/>
                <w:sz w:val="24"/>
              </w:rPr>
            </w:pPr>
            <w:r>
              <w:rPr>
                <w:rFonts w:hint="eastAsia" w:ascii="宋体" w:hAnsi="宋体"/>
                <w:sz w:val="24"/>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CBA839A">
            <w:pPr>
              <w:jc w:val="center"/>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A57A30E">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1F173085">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《投影机能效限定值及能效等级》（GB32028）</w:t>
            </w:r>
          </w:p>
        </w:tc>
      </w:tr>
      <w:tr w14:paraId="45AA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9FFD756">
            <w:pPr>
              <w:jc w:val="center"/>
              <w:rPr>
                <w:rFonts w:ascii="宋体" w:hAnsi="宋体"/>
                <w:sz w:val="24"/>
              </w:rPr>
            </w:pPr>
            <w:r>
              <w:rPr>
                <w:rFonts w:hint="eastAsia" w:ascii="宋体" w:hAnsi="宋体"/>
                <w:sz w:val="24"/>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56F4C712">
            <w:pPr>
              <w:pStyle w:val="56"/>
              <w:spacing w:before="66"/>
              <w:ind w:left="7"/>
              <w:jc w:val="center"/>
              <w:rPr>
                <w:rFonts w:ascii="宋体" w:hAnsi="宋体" w:cs="宋体"/>
                <w:kern w:val="2"/>
                <w:sz w:val="24"/>
                <w:szCs w:val="24"/>
              </w:rPr>
            </w:pPr>
            <w:r>
              <w:rPr>
                <w:rFonts w:hint="eastAsia" w:ascii="宋体" w:hAnsi="宋体" w:cs="仿宋_GB2312"/>
                <w:kern w:val="2"/>
                <w:sz w:val="24"/>
                <w:szCs w:val="24"/>
              </w:rPr>
              <w:t>A02020400</w:t>
            </w:r>
            <w:r>
              <w:rPr>
                <w:rFonts w:hint="eastAsia" w:ascii="宋体" w:hAnsi="宋体" w:cs="宋体"/>
                <w:w w:val="99"/>
                <w:kern w:val="2"/>
                <w:sz w:val="24"/>
                <w:szCs w:val="24"/>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785ECA9">
            <w:pPr>
              <w:jc w:val="center"/>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37D4D12F">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7A69BDFB">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6B62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D5018AF">
            <w:pPr>
              <w:pStyle w:val="56"/>
              <w:spacing w:before="160"/>
              <w:ind w:right="1"/>
              <w:jc w:val="center"/>
              <w:rPr>
                <w:rFonts w:ascii="宋体" w:hAnsi="宋体" w:cs="宋体"/>
                <w:kern w:val="2"/>
                <w:sz w:val="24"/>
                <w:szCs w:val="24"/>
              </w:rPr>
            </w:pPr>
            <w:r>
              <w:rPr>
                <w:rFonts w:hint="eastAsia" w:ascii="宋体" w:hAnsi="宋体"/>
                <w:w w:val="99"/>
                <w:kern w:val="2"/>
                <w:sz w:val="24"/>
                <w:szCs w:val="24"/>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74CFCF3B">
            <w:pPr>
              <w:pStyle w:val="56"/>
              <w:spacing w:before="160"/>
              <w:ind w:left="7"/>
              <w:jc w:val="center"/>
              <w:rPr>
                <w:rFonts w:ascii="宋体" w:hAnsi="宋体" w:cs="宋体"/>
                <w:kern w:val="2"/>
                <w:sz w:val="24"/>
                <w:szCs w:val="24"/>
              </w:rPr>
            </w:pPr>
            <w:r>
              <w:rPr>
                <w:rFonts w:hint="eastAsia" w:ascii="宋体" w:hAnsi="宋体" w:cs="仿宋_GB2312"/>
                <w:kern w:val="2"/>
                <w:sz w:val="24"/>
                <w:szCs w:val="24"/>
              </w:rPr>
              <w:t>A02051900</w:t>
            </w:r>
            <w:r>
              <w:rPr>
                <w:rFonts w:hint="eastAsia" w:ascii="宋体" w:hAnsi="宋体" w:cs="宋体"/>
                <w:w w:val="99"/>
                <w:kern w:val="2"/>
                <w:sz w:val="24"/>
                <w:szCs w:val="24"/>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34E0C95">
            <w:pPr>
              <w:pStyle w:val="56"/>
              <w:spacing w:before="160"/>
              <w:ind w:left="7"/>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05</w:t>
            </w:r>
            <w:r>
              <w:rPr>
                <w:rFonts w:hint="eastAsia" w:ascii="宋体" w:hAnsi="宋体" w:cs="宋体"/>
                <w:spacing w:val="1"/>
                <w:w w:val="99"/>
                <w:kern w:val="2"/>
                <w:sz w:val="24"/>
                <w:szCs w:val="24"/>
              </w:rPr>
              <w:t>1</w:t>
            </w:r>
            <w:r>
              <w:rPr>
                <w:rFonts w:hint="eastAsia" w:ascii="宋体" w:hAnsi="宋体" w:cs="宋体"/>
                <w:w w:val="99"/>
                <w:kern w:val="2"/>
                <w:sz w:val="24"/>
                <w:szCs w:val="24"/>
              </w:rPr>
              <w:t>901离心泵</w:t>
            </w:r>
          </w:p>
        </w:tc>
        <w:tc>
          <w:tcPr>
            <w:tcW w:w="1530" w:type="dxa"/>
            <w:tcBorders>
              <w:top w:val="single" w:color="000000" w:sz="4" w:space="0"/>
              <w:left w:val="single" w:color="000000" w:sz="4" w:space="0"/>
              <w:bottom w:val="single" w:color="000000" w:sz="4" w:space="0"/>
              <w:right w:val="single" w:color="000000" w:sz="4" w:space="0"/>
            </w:tcBorders>
            <w:vAlign w:val="center"/>
          </w:tcPr>
          <w:p w14:paraId="44459D99">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3DBBDEE2">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《清水离心泵能效限定值及节能评价值》（GB19762）</w:t>
            </w:r>
          </w:p>
        </w:tc>
      </w:tr>
      <w:tr w14:paraId="05BF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6D4C292">
            <w:pPr>
              <w:jc w:val="center"/>
              <w:rPr>
                <w:rFonts w:ascii="宋体" w:hAnsi="宋体"/>
                <w:sz w:val="24"/>
              </w:rPr>
            </w:pPr>
            <w:r>
              <w:rPr>
                <w:rFonts w:hint="eastAsia" w:ascii="宋体" w:hAnsi="宋体"/>
                <w:sz w:val="24"/>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B3924FF">
            <w:pPr>
              <w:pStyle w:val="56"/>
              <w:jc w:val="center"/>
              <w:rPr>
                <w:rFonts w:ascii="宋体" w:hAnsi="宋体" w:cs="宋体"/>
                <w:kern w:val="2"/>
                <w:sz w:val="24"/>
                <w:szCs w:val="24"/>
              </w:rPr>
            </w:pPr>
            <w:r>
              <w:rPr>
                <w:rFonts w:hint="eastAsia" w:ascii="宋体" w:hAnsi="宋体" w:cs="仿宋_GB2312"/>
                <w:kern w:val="2"/>
                <w:sz w:val="24"/>
                <w:szCs w:val="24"/>
              </w:rPr>
              <w:t>A02052300</w:t>
            </w:r>
            <w:r>
              <w:rPr>
                <w:rFonts w:hint="eastAsia" w:ascii="宋体" w:hAnsi="宋体" w:cs="宋体"/>
                <w:w w:val="99"/>
                <w:kern w:val="2"/>
                <w:sz w:val="24"/>
                <w:szCs w:val="24"/>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A4D08D3">
            <w:pPr>
              <w:pStyle w:val="56"/>
              <w:spacing w:line="276" w:lineRule="auto"/>
              <w:ind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52</w:t>
            </w:r>
            <w:r>
              <w:rPr>
                <w:rFonts w:hint="eastAsia" w:ascii="宋体" w:hAnsi="宋体" w:cs="宋体"/>
                <w:spacing w:val="1"/>
                <w:w w:val="99"/>
                <w:kern w:val="2"/>
                <w:sz w:val="24"/>
                <w:szCs w:val="24"/>
              </w:rPr>
              <w:t>3</w:t>
            </w:r>
            <w:r>
              <w:rPr>
                <w:rFonts w:hint="eastAsia" w:ascii="宋体" w:hAnsi="宋体" w:cs="宋体"/>
                <w:w w:val="99"/>
                <w:kern w:val="2"/>
                <w:sz w:val="24"/>
                <w:szCs w:val="24"/>
              </w:rPr>
              <w:t>01制冷压缩机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78587DB6">
            <w:pPr>
              <w:pStyle w:val="56"/>
              <w:jc w:val="center"/>
              <w:rPr>
                <w:rFonts w:ascii="宋体" w:hAnsi="宋体" w:cs="宋体"/>
                <w:kern w:val="2"/>
                <w:sz w:val="24"/>
                <w:szCs w:val="24"/>
              </w:rPr>
            </w:pPr>
            <w:r>
              <w:rPr>
                <w:rFonts w:hint="eastAsia" w:ascii="宋体" w:hAnsi="宋体" w:cs="宋体"/>
                <w:w w:val="99"/>
                <w:kern w:val="2"/>
                <w:sz w:val="24"/>
                <w:szCs w:val="24"/>
              </w:rPr>
              <w:t>冷水机组</w:t>
            </w:r>
          </w:p>
        </w:tc>
        <w:tc>
          <w:tcPr>
            <w:tcW w:w="3452" w:type="dxa"/>
            <w:tcBorders>
              <w:top w:val="single" w:color="000000" w:sz="4" w:space="0"/>
              <w:left w:val="single" w:color="000000" w:sz="4" w:space="0"/>
              <w:bottom w:val="single" w:color="000000" w:sz="4" w:space="0"/>
              <w:right w:val="single" w:color="000000" w:sz="4" w:space="0"/>
            </w:tcBorders>
          </w:tcPr>
          <w:p w14:paraId="75DBA115">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《冷水机组能效限定值及能效等级》（GB19577），《低环境温度空气源热泵（冷水）机组能效限定值及能效等级》（GB37480）</w:t>
            </w:r>
          </w:p>
        </w:tc>
      </w:tr>
      <w:tr w14:paraId="7BD5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AF06FB">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AB7B7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AB50A2">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1840FB45">
            <w:pPr>
              <w:jc w:val="center"/>
              <w:rPr>
                <w:rFonts w:ascii="宋体" w:hAnsi="宋体"/>
                <w:sz w:val="24"/>
              </w:rPr>
            </w:pPr>
            <w:r>
              <w:rPr>
                <w:rFonts w:hint="eastAsia" w:ascii="宋体" w:hAnsi="宋体"/>
                <w:sz w:val="24"/>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0FF4442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《溴化锂吸收式冷水机组能效限</w:t>
            </w:r>
          </w:p>
          <w:p w14:paraId="28E888CE">
            <w:pPr>
              <w:spacing w:before="131" w:line="276" w:lineRule="auto"/>
              <w:ind w:right="4"/>
              <w:rPr>
                <w:rFonts w:ascii="宋体" w:hAnsi="宋体" w:cs="宋体"/>
                <w:spacing w:val="10"/>
                <w:sz w:val="24"/>
              </w:rPr>
            </w:pPr>
            <w:r>
              <w:rPr>
                <w:rFonts w:hint="eastAsia" w:ascii="宋体" w:hAnsi="宋体" w:cs="宋体"/>
                <w:spacing w:val="10"/>
                <w:sz w:val="24"/>
              </w:rPr>
              <w:t>定值及能效等级》（GB29540）</w:t>
            </w:r>
          </w:p>
        </w:tc>
      </w:tr>
      <w:tr w14:paraId="6E4C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CC701C">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F5ACBA">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CF02B26">
            <w:pPr>
              <w:pStyle w:val="56"/>
              <w:spacing w:line="276" w:lineRule="auto"/>
              <w:ind w:right="5"/>
              <w:jc w:val="center"/>
              <w:rPr>
                <w:rFonts w:ascii="宋体" w:hAnsi="宋体" w:cs="宋体"/>
                <w:kern w:val="2"/>
                <w:sz w:val="24"/>
                <w:szCs w:val="24"/>
              </w:rPr>
            </w:pPr>
            <w:r>
              <w:rPr>
                <w:rFonts w:hint="eastAsia" w:ascii="宋体" w:hAnsi="宋体" w:cs="宋体"/>
                <w:w w:val="99"/>
                <w:kern w:val="2"/>
                <w:sz w:val="24"/>
                <w:szCs w:val="24"/>
              </w:rPr>
              <w:t>★A02052305空调机组</w:t>
            </w:r>
          </w:p>
        </w:tc>
        <w:tc>
          <w:tcPr>
            <w:tcW w:w="1530" w:type="dxa"/>
            <w:tcBorders>
              <w:top w:val="single" w:color="000000" w:sz="4" w:space="0"/>
              <w:left w:val="single" w:color="000000" w:sz="4" w:space="0"/>
              <w:bottom w:val="single" w:color="000000" w:sz="4" w:space="0"/>
              <w:right w:val="single" w:color="000000" w:sz="4" w:space="0"/>
            </w:tcBorders>
            <w:vAlign w:val="center"/>
          </w:tcPr>
          <w:p w14:paraId="74B40088">
            <w:pPr>
              <w:pStyle w:val="56"/>
              <w:spacing w:before="4" w:line="276" w:lineRule="auto"/>
              <w:ind w:left="7" w:right="7"/>
              <w:jc w:val="center"/>
              <w:rPr>
                <w:rFonts w:ascii="宋体" w:hAnsi="宋体" w:cs="宋体"/>
                <w:w w:val="99"/>
                <w:kern w:val="2"/>
                <w:sz w:val="24"/>
                <w:szCs w:val="24"/>
                <w:lang w:eastAsia="zh-CN"/>
              </w:rPr>
            </w:pPr>
            <w:r>
              <w:rPr>
                <w:rFonts w:hint="eastAsia" w:ascii="宋体" w:hAnsi="宋体" w:cs="宋体"/>
                <w:w w:val="99"/>
                <w:kern w:val="2"/>
                <w:sz w:val="24"/>
                <w:szCs w:val="24"/>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3885564C">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14:paraId="138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79E6DF">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9AB52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257A15">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0C93F7C">
            <w:pPr>
              <w:jc w:val="center"/>
              <w:rPr>
                <w:rFonts w:ascii="宋体" w:hAnsi="宋体"/>
                <w:sz w:val="24"/>
              </w:rPr>
            </w:pPr>
            <w:r>
              <w:rPr>
                <w:rFonts w:hint="eastAsia" w:ascii="宋体" w:hAnsi="宋体" w:cs="宋体"/>
                <w:w w:val="99"/>
                <w:sz w:val="24"/>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0395594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《单元式空气调节机能效限定值及能效等级》（GB19576）《风管送风式空调机组能效限定值及能效等级》（GB37479）</w:t>
            </w:r>
          </w:p>
        </w:tc>
      </w:tr>
      <w:tr w14:paraId="137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1E624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AD311B">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741C78E">
            <w:pPr>
              <w:pStyle w:val="56"/>
              <w:spacing w:before="83"/>
              <w:ind w:left="7"/>
              <w:jc w:val="center"/>
              <w:rPr>
                <w:rFonts w:ascii="宋体" w:hAnsi="宋体" w:cs="宋体"/>
                <w:w w:val="99"/>
                <w:kern w:val="2"/>
                <w:sz w:val="24"/>
                <w:szCs w:val="24"/>
                <w:lang w:eastAsia="zh-CN"/>
              </w:rPr>
            </w:pPr>
            <w:r>
              <w:rPr>
                <w:rFonts w:hint="eastAsia" w:ascii="宋体" w:hAnsi="宋体" w:cs="宋体"/>
                <w:w w:val="99"/>
                <w:kern w:val="2"/>
                <w:sz w:val="24"/>
                <w:szCs w:val="24"/>
                <w:lang w:eastAsia="zh-CN"/>
              </w:rPr>
              <w:t>★A02052309专用制冷、空调设备</w:t>
            </w:r>
          </w:p>
        </w:tc>
        <w:tc>
          <w:tcPr>
            <w:tcW w:w="1530" w:type="dxa"/>
            <w:tcBorders>
              <w:top w:val="single" w:color="000000" w:sz="4" w:space="0"/>
              <w:left w:val="single" w:color="000000" w:sz="4" w:space="0"/>
              <w:bottom w:val="single" w:color="000000" w:sz="4" w:space="0"/>
              <w:right w:val="single" w:color="000000" w:sz="4" w:space="0"/>
            </w:tcBorders>
            <w:vAlign w:val="center"/>
          </w:tcPr>
          <w:p w14:paraId="2191580C">
            <w:pPr>
              <w:pStyle w:val="56"/>
              <w:jc w:val="center"/>
              <w:rPr>
                <w:rFonts w:ascii="宋体" w:hAnsi="宋体" w:cs="宋体"/>
                <w:kern w:val="2"/>
                <w:sz w:val="24"/>
                <w:szCs w:val="24"/>
              </w:rPr>
            </w:pPr>
            <w:r>
              <w:rPr>
                <w:rFonts w:hint="eastAsia" w:ascii="宋体" w:hAnsi="宋体" w:cs="宋体"/>
                <w:w w:val="99"/>
                <w:kern w:val="2"/>
                <w:sz w:val="24"/>
                <w:szCs w:val="24"/>
              </w:rPr>
              <w:t>机房空调</w:t>
            </w:r>
          </w:p>
        </w:tc>
        <w:tc>
          <w:tcPr>
            <w:tcW w:w="3452" w:type="dxa"/>
            <w:tcBorders>
              <w:top w:val="single" w:color="000000" w:sz="4" w:space="0"/>
              <w:left w:val="single" w:color="000000" w:sz="4" w:space="0"/>
              <w:bottom w:val="single" w:color="000000" w:sz="4" w:space="0"/>
              <w:right w:val="single" w:color="000000" w:sz="4" w:space="0"/>
            </w:tcBorders>
          </w:tcPr>
          <w:p w14:paraId="5FEB8672">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w:t>
            </w:r>
          </w:p>
          <w:p w14:paraId="6991A531">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及能效等级》（GB19576）</w:t>
            </w:r>
          </w:p>
        </w:tc>
      </w:tr>
      <w:tr w14:paraId="44F0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E8DA5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0C4B5D">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5B40508">
            <w:pPr>
              <w:pStyle w:val="56"/>
              <w:spacing w:line="254" w:lineRule="exact"/>
              <w:ind w:left="7"/>
              <w:jc w:val="center"/>
              <w:rPr>
                <w:rFonts w:ascii="宋体" w:hAnsi="宋体" w:cs="宋体"/>
                <w:w w:val="99"/>
                <w:kern w:val="2"/>
                <w:sz w:val="24"/>
                <w:szCs w:val="24"/>
              </w:rPr>
            </w:pPr>
            <w:r>
              <w:rPr>
                <w:rFonts w:hint="eastAsia" w:ascii="宋体" w:hAnsi="宋体" w:cs="宋体"/>
                <w:w w:val="99"/>
                <w:kern w:val="2"/>
                <w:sz w:val="24"/>
                <w:szCs w:val="24"/>
              </w:rPr>
              <w:t>A02052399其他制冷</w:t>
            </w:r>
          </w:p>
          <w:p w14:paraId="6631BA01">
            <w:pPr>
              <w:pStyle w:val="56"/>
              <w:spacing w:line="254" w:lineRule="exact"/>
              <w:ind w:left="7"/>
              <w:jc w:val="center"/>
              <w:rPr>
                <w:rFonts w:ascii="宋体" w:hAnsi="宋体" w:cs="宋体"/>
                <w:kern w:val="2"/>
                <w:sz w:val="24"/>
                <w:szCs w:val="24"/>
              </w:rPr>
            </w:pPr>
            <w:r>
              <w:rPr>
                <w:rFonts w:hint="eastAsia" w:ascii="宋体" w:hAnsi="宋体" w:cs="宋体"/>
                <w:w w:val="99"/>
                <w:kern w:val="2"/>
                <w:sz w:val="24"/>
                <w:szCs w:val="24"/>
              </w:rPr>
              <w:t>空调设备</w:t>
            </w:r>
          </w:p>
        </w:tc>
        <w:tc>
          <w:tcPr>
            <w:tcW w:w="1530" w:type="dxa"/>
            <w:tcBorders>
              <w:top w:val="single" w:color="000000" w:sz="4" w:space="0"/>
              <w:left w:val="single" w:color="000000" w:sz="4" w:space="0"/>
              <w:bottom w:val="single" w:color="000000" w:sz="4" w:space="0"/>
              <w:right w:val="single" w:color="000000" w:sz="4" w:space="0"/>
            </w:tcBorders>
            <w:vAlign w:val="center"/>
          </w:tcPr>
          <w:p w14:paraId="1CB997C0">
            <w:pPr>
              <w:widowControl/>
              <w:jc w:val="center"/>
              <w:rPr>
                <w:rFonts w:ascii="宋体" w:hAnsi="宋体" w:cs="宋体"/>
                <w:sz w:val="24"/>
                <w:lang w:eastAsia="en-US"/>
              </w:rPr>
            </w:pPr>
            <w:r>
              <w:rPr>
                <w:rFonts w:hint="eastAsia" w:ascii="宋体" w:hAnsi="宋体" w:cs="宋体"/>
                <w:w w:val="99"/>
                <w:sz w:val="24"/>
              </w:rPr>
              <w:t>冷却塔</w:t>
            </w:r>
          </w:p>
        </w:tc>
        <w:tc>
          <w:tcPr>
            <w:tcW w:w="3452" w:type="dxa"/>
            <w:tcBorders>
              <w:top w:val="single" w:color="000000" w:sz="4" w:space="0"/>
              <w:left w:val="single" w:color="000000" w:sz="4" w:space="0"/>
              <w:bottom w:val="single" w:color="000000" w:sz="4" w:space="0"/>
              <w:right w:val="single" w:color="000000" w:sz="4" w:space="0"/>
            </w:tcBorders>
          </w:tcPr>
          <w:p w14:paraId="16FF5CF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《机械通风冷却塔第1部分：中小型开式冷却塔》（GB/T7190.1）</w:t>
            </w:r>
          </w:p>
          <w:p w14:paraId="5D9F579C">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《机械通风冷却塔第2部分：大型开式冷却塔》（GB/T7190.2）</w:t>
            </w:r>
          </w:p>
        </w:tc>
      </w:tr>
      <w:tr w14:paraId="444E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8A5D874">
            <w:pPr>
              <w:pStyle w:val="56"/>
              <w:ind w:right="1"/>
              <w:jc w:val="center"/>
              <w:rPr>
                <w:rFonts w:ascii="宋体" w:hAnsi="宋体" w:cs="宋体"/>
                <w:kern w:val="2"/>
                <w:sz w:val="24"/>
                <w:szCs w:val="24"/>
              </w:rPr>
            </w:pPr>
            <w:r>
              <w:rPr>
                <w:rFonts w:hint="eastAsia" w:ascii="宋体" w:hAnsi="宋体"/>
                <w:w w:val="99"/>
                <w:kern w:val="2"/>
                <w:sz w:val="24"/>
                <w:szCs w:val="24"/>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3D6DD639">
            <w:pPr>
              <w:pStyle w:val="56"/>
              <w:jc w:val="center"/>
              <w:rPr>
                <w:rFonts w:ascii="宋体" w:hAnsi="宋体" w:cs="宋体"/>
                <w:kern w:val="2"/>
                <w:sz w:val="24"/>
                <w:szCs w:val="24"/>
              </w:rPr>
            </w:pPr>
            <w:r>
              <w:rPr>
                <w:rFonts w:hint="eastAsia" w:ascii="宋体" w:hAnsi="宋体" w:cs="仿宋_GB2312"/>
                <w:kern w:val="2"/>
                <w:sz w:val="24"/>
                <w:szCs w:val="24"/>
              </w:rPr>
              <w:t>A02060100</w:t>
            </w:r>
            <w:r>
              <w:rPr>
                <w:rFonts w:hint="eastAsia" w:ascii="宋体" w:hAnsi="宋体" w:cs="宋体"/>
                <w:w w:val="99"/>
                <w:kern w:val="2"/>
                <w:sz w:val="24"/>
                <w:szCs w:val="24"/>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9C01AC1">
            <w:pPr>
              <w:jc w:val="center"/>
              <w:rPr>
                <w:rFonts w:ascii="宋体" w:hAnsi="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19CF33FC">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3D0A042B">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《中小型三相异步电动机能效限定值及能效等级》（GB18613）</w:t>
            </w:r>
          </w:p>
        </w:tc>
      </w:tr>
      <w:tr w14:paraId="752B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A3F589F">
            <w:pPr>
              <w:pStyle w:val="56"/>
              <w:ind w:right="1"/>
              <w:jc w:val="center"/>
              <w:rPr>
                <w:rFonts w:ascii="宋体" w:hAnsi="宋体" w:cs="宋体"/>
                <w:kern w:val="2"/>
                <w:sz w:val="24"/>
                <w:szCs w:val="24"/>
              </w:rPr>
            </w:pPr>
            <w:r>
              <w:rPr>
                <w:rFonts w:hint="eastAsia" w:ascii="宋体" w:hAnsi="宋体"/>
                <w:w w:val="99"/>
                <w:kern w:val="2"/>
                <w:sz w:val="24"/>
                <w:szCs w:val="24"/>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0B379259">
            <w:pPr>
              <w:pStyle w:val="56"/>
              <w:spacing w:before="30"/>
              <w:ind w:left="7"/>
              <w:jc w:val="center"/>
              <w:rPr>
                <w:rFonts w:ascii="宋体" w:hAnsi="宋体" w:cs="宋体"/>
                <w:kern w:val="2"/>
                <w:sz w:val="24"/>
                <w:szCs w:val="24"/>
              </w:rPr>
            </w:pPr>
            <w:r>
              <w:rPr>
                <w:rFonts w:hint="eastAsia" w:ascii="宋体" w:hAnsi="宋体" w:cs="仿宋_GB2312"/>
                <w:kern w:val="2"/>
                <w:sz w:val="24"/>
                <w:szCs w:val="24"/>
              </w:rPr>
              <w:t>A02060200</w:t>
            </w:r>
            <w:r>
              <w:rPr>
                <w:rFonts w:hint="eastAsia" w:ascii="宋体" w:hAnsi="宋体" w:cs="宋体"/>
                <w:w w:val="99"/>
                <w:kern w:val="2"/>
                <w:sz w:val="24"/>
                <w:szCs w:val="24"/>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6DF617DA">
            <w:pPr>
              <w:pStyle w:val="56"/>
              <w:jc w:val="center"/>
              <w:rPr>
                <w:rFonts w:ascii="宋体" w:hAnsi="宋体" w:cs="宋体"/>
                <w:kern w:val="2"/>
                <w:sz w:val="24"/>
                <w:szCs w:val="24"/>
              </w:rPr>
            </w:pPr>
            <w:r>
              <w:rPr>
                <w:rFonts w:hint="eastAsia" w:ascii="宋体" w:hAnsi="宋体" w:cs="宋体"/>
                <w:w w:val="99"/>
                <w:kern w:val="2"/>
                <w:sz w:val="24"/>
                <w:szCs w:val="24"/>
              </w:rPr>
              <w:t>配电变压器</w:t>
            </w:r>
          </w:p>
        </w:tc>
        <w:tc>
          <w:tcPr>
            <w:tcW w:w="1530" w:type="dxa"/>
            <w:tcBorders>
              <w:top w:val="single" w:color="000000" w:sz="4" w:space="0"/>
              <w:left w:val="single" w:color="000000" w:sz="4" w:space="0"/>
              <w:bottom w:val="single" w:color="000000" w:sz="4" w:space="0"/>
              <w:right w:val="single" w:color="000000" w:sz="4" w:space="0"/>
            </w:tcBorders>
            <w:vAlign w:val="center"/>
          </w:tcPr>
          <w:p w14:paraId="14FDF6E4">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6DF5437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《三相配电变压器能效限定值及能效等级》（GB 20052）</w:t>
            </w:r>
          </w:p>
        </w:tc>
      </w:tr>
      <w:tr w14:paraId="6EF8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78031C6">
            <w:pPr>
              <w:pStyle w:val="56"/>
              <w:ind w:right="1"/>
              <w:jc w:val="center"/>
              <w:rPr>
                <w:rFonts w:ascii="宋体" w:hAnsi="宋体" w:cs="宋体"/>
                <w:kern w:val="2"/>
                <w:sz w:val="24"/>
                <w:szCs w:val="24"/>
              </w:rPr>
            </w:pPr>
            <w:r>
              <w:rPr>
                <w:rFonts w:hint="eastAsia" w:ascii="宋体" w:hAnsi="宋体"/>
                <w:w w:val="99"/>
                <w:kern w:val="2"/>
                <w:sz w:val="24"/>
                <w:szCs w:val="24"/>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2C022C68">
            <w:pPr>
              <w:pStyle w:val="56"/>
              <w:spacing w:before="126"/>
              <w:ind w:left="7"/>
              <w:jc w:val="center"/>
              <w:rPr>
                <w:rFonts w:ascii="宋体" w:hAnsi="宋体" w:cs="宋体"/>
                <w:kern w:val="2"/>
                <w:sz w:val="24"/>
                <w:szCs w:val="24"/>
              </w:rPr>
            </w:pPr>
            <w:r>
              <w:rPr>
                <w:rFonts w:hint="eastAsia" w:ascii="宋体" w:hAnsi="宋体" w:cs="宋体"/>
                <w:w w:val="99"/>
                <w:kern w:val="2"/>
                <w:sz w:val="24"/>
                <w:szCs w:val="24"/>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A6E6373">
            <w:pPr>
              <w:pStyle w:val="56"/>
              <w:jc w:val="center"/>
              <w:rPr>
                <w:rFonts w:ascii="宋体" w:hAnsi="宋体" w:cs="宋体"/>
                <w:kern w:val="2"/>
                <w:sz w:val="24"/>
                <w:szCs w:val="24"/>
              </w:rPr>
            </w:pPr>
            <w:r>
              <w:rPr>
                <w:rFonts w:hint="eastAsia" w:ascii="宋体" w:hAnsi="宋体" w:cs="宋体"/>
                <w:w w:val="99"/>
                <w:kern w:val="2"/>
                <w:sz w:val="24"/>
                <w:szCs w:val="24"/>
              </w:rPr>
              <w:t>管型荧光灯镇流器</w:t>
            </w:r>
          </w:p>
        </w:tc>
        <w:tc>
          <w:tcPr>
            <w:tcW w:w="1530" w:type="dxa"/>
            <w:tcBorders>
              <w:top w:val="single" w:color="000000" w:sz="4" w:space="0"/>
              <w:left w:val="single" w:color="000000" w:sz="4" w:space="0"/>
              <w:bottom w:val="single" w:color="000000" w:sz="4" w:space="0"/>
              <w:right w:val="single" w:color="000000" w:sz="4" w:space="0"/>
            </w:tcBorders>
            <w:vAlign w:val="center"/>
          </w:tcPr>
          <w:p w14:paraId="27EA3288">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5EA159A1">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《管形荧光灯镇流器能效限定值及能效等级》（GB17896）</w:t>
            </w:r>
          </w:p>
        </w:tc>
      </w:tr>
      <w:tr w14:paraId="3CB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AAB7149">
            <w:pPr>
              <w:pStyle w:val="56"/>
              <w:jc w:val="center"/>
              <w:rPr>
                <w:rFonts w:ascii="宋体" w:hAnsi="宋体" w:cs="宋体"/>
                <w:kern w:val="2"/>
                <w:sz w:val="24"/>
                <w:szCs w:val="24"/>
              </w:rPr>
            </w:pPr>
            <w:r>
              <w:rPr>
                <w:rFonts w:hint="eastAsia" w:ascii="宋体" w:hAnsi="宋体"/>
                <w:w w:val="99"/>
                <w:kern w:val="2"/>
                <w:sz w:val="24"/>
                <w:szCs w:val="24"/>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E25DE8E">
            <w:pPr>
              <w:pStyle w:val="56"/>
              <w:jc w:val="center"/>
              <w:rPr>
                <w:rFonts w:ascii="宋体" w:hAnsi="宋体" w:cs="宋体"/>
                <w:kern w:val="2"/>
                <w:sz w:val="24"/>
                <w:szCs w:val="24"/>
              </w:rPr>
            </w:pPr>
            <w:r>
              <w:rPr>
                <w:rFonts w:hint="eastAsia" w:ascii="宋体" w:hAnsi="宋体" w:cs="宋体"/>
                <w:w w:val="99"/>
                <w:kern w:val="2"/>
                <w:sz w:val="24"/>
                <w:szCs w:val="24"/>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7DD7A9AD">
            <w:pPr>
              <w:pStyle w:val="56"/>
              <w:jc w:val="center"/>
              <w:rPr>
                <w:rFonts w:ascii="宋体" w:hAnsi="宋体" w:cs="宋体"/>
                <w:kern w:val="2"/>
                <w:sz w:val="24"/>
                <w:szCs w:val="24"/>
              </w:rPr>
            </w:pPr>
            <w:r>
              <w:rPr>
                <w:rFonts w:hint="eastAsia" w:ascii="宋体" w:hAnsi="宋体" w:cs="宋体"/>
                <w:w w:val="99"/>
                <w:kern w:val="2"/>
                <w:sz w:val="24"/>
                <w:szCs w:val="24"/>
              </w:rPr>
              <w:t>A02061801电冰箱</w:t>
            </w:r>
          </w:p>
        </w:tc>
        <w:tc>
          <w:tcPr>
            <w:tcW w:w="1530" w:type="dxa"/>
            <w:tcBorders>
              <w:top w:val="single" w:color="000000" w:sz="4" w:space="0"/>
              <w:left w:val="single" w:color="000000" w:sz="4" w:space="0"/>
              <w:bottom w:val="single" w:color="000000" w:sz="4" w:space="0"/>
              <w:right w:val="single" w:color="000000" w:sz="4" w:space="0"/>
            </w:tcBorders>
            <w:vAlign w:val="center"/>
          </w:tcPr>
          <w:p w14:paraId="5595459C">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5A9C63F0">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《家用电冰箱耗电量限定值及能效等级》（GB12021.2）</w:t>
            </w:r>
          </w:p>
        </w:tc>
      </w:tr>
      <w:tr w14:paraId="5686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B3661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602F43">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701EBF0">
            <w:pPr>
              <w:pStyle w:val="56"/>
              <w:spacing w:before="171"/>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A02061804</w:t>
            </w:r>
            <w:r>
              <w:rPr>
                <w:rFonts w:hint="eastAsia" w:ascii="宋体" w:hAnsi="宋体" w:cs="宋体"/>
                <w:w w:val="99"/>
                <w:kern w:val="2"/>
                <w:sz w:val="24"/>
                <w:szCs w:val="24"/>
              </w:rPr>
              <w:t>空调机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4FC544C8">
            <w:pPr>
              <w:pStyle w:val="56"/>
              <w:jc w:val="center"/>
              <w:rPr>
                <w:rFonts w:ascii="宋体" w:hAnsi="宋体" w:cs="宋体"/>
                <w:kern w:val="2"/>
                <w:sz w:val="24"/>
                <w:szCs w:val="24"/>
              </w:rPr>
            </w:pPr>
            <w:r>
              <w:rPr>
                <w:rFonts w:hint="eastAsia" w:ascii="宋体" w:hAnsi="宋体" w:cs="宋体"/>
                <w:w w:val="99"/>
                <w:kern w:val="2"/>
                <w:sz w:val="24"/>
                <w:szCs w:val="24"/>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5DEC8A64">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《房间空气调节器能效限定值及能效等级》（GB21455-2019）</w:t>
            </w:r>
          </w:p>
        </w:tc>
      </w:tr>
      <w:tr w14:paraId="4FCD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E46BE7">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0C5E9F">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96F492">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623153C9">
            <w:pPr>
              <w:pStyle w:val="56"/>
              <w:spacing w:before="4" w:line="276" w:lineRule="auto"/>
              <w:ind w:left="7" w:right="7"/>
              <w:jc w:val="center"/>
              <w:rPr>
                <w:rFonts w:ascii="宋体" w:hAnsi="宋体" w:cs="宋体"/>
                <w:kern w:val="2"/>
                <w:sz w:val="24"/>
                <w:szCs w:val="24"/>
                <w:lang w:eastAsia="zh-CN"/>
              </w:rPr>
            </w:pPr>
            <w:r>
              <w:rPr>
                <w:rFonts w:hint="eastAsia" w:ascii="宋体" w:hAnsi="宋体" w:cs="宋体"/>
                <w:w w:val="99"/>
                <w:kern w:val="2"/>
                <w:sz w:val="24"/>
                <w:szCs w:val="24"/>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1968428E">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14:paraId="7CA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987FF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72C8C7">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8D5927">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EA2055C">
            <w:pPr>
              <w:pStyle w:val="56"/>
              <w:jc w:val="center"/>
              <w:rPr>
                <w:rFonts w:ascii="宋体" w:hAnsi="宋体" w:cs="宋体"/>
                <w:kern w:val="2"/>
                <w:sz w:val="24"/>
                <w:szCs w:val="24"/>
                <w:lang w:eastAsia="zh-CN"/>
              </w:rPr>
            </w:pPr>
            <w:r>
              <w:rPr>
                <w:rFonts w:hint="eastAsia" w:ascii="宋体" w:hAnsi="宋体" w:cs="宋体"/>
                <w:w w:val="99"/>
                <w:kern w:val="2"/>
                <w:sz w:val="24"/>
                <w:szCs w:val="24"/>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38B46C3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《单元式空气调节机能效限定值及能源效率等级》（GB19576）《风管送风式空调机组能效限定值及能效等级》（GB37479）</w:t>
            </w:r>
          </w:p>
        </w:tc>
      </w:tr>
      <w:tr w14:paraId="3E4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E80A2F">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DB535E">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319E9A8">
            <w:pPr>
              <w:pStyle w:val="56"/>
              <w:spacing w:before="162"/>
              <w:ind w:left="7"/>
              <w:jc w:val="center"/>
              <w:rPr>
                <w:rFonts w:ascii="宋体" w:hAnsi="宋体" w:cs="宋体"/>
                <w:kern w:val="2"/>
                <w:sz w:val="24"/>
                <w:szCs w:val="24"/>
              </w:rPr>
            </w:pPr>
            <w:r>
              <w:rPr>
                <w:rFonts w:hint="eastAsia" w:ascii="宋体" w:hAnsi="宋体" w:cs="仿宋_GB2312"/>
                <w:kern w:val="2"/>
                <w:sz w:val="24"/>
                <w:szCs w:val="24"/>
              </w:rPr>
              <w:t>A02061810</w:t>
            </w:r>
            <w:r>
              <w:rPr>
                <w:rFonts w:hint="eastAsia" w:ascii="宋体" w:hAnsi="宋体" w:cs="宋体"/>
                <w:w w:val="99"/>
                <w:kern w:val="2"/>
                <w:sz w:val="24"/>
                <w:szCs w:val="24"/>
              </w:rPr>
              <w:t>洗衣机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0425A7D5">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33A439AC">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《电动洗衣机能效水效限定值及等级》（GB12021.4）</w:t>
            </w:r>
          </w:p>
        </w:tc>
      </w:tr>
      <w:tr w14:paraId="2524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54E072">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331915">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C55FFC9">
            <w:pPr>
              <w:pStyle w:val="56"/>
              <w:spacing w:before="161"/>
              <w:jc w:val="center"/>
              <w:rPr>
                <w:rFonts w:ascii="宋体" w:hAnsi="宋体" w:cs="宋体"/>
                <w:kern w:val="2"/>
                <w:sz w:val="24"/>
                <w:szCs w:val="24"/>
              </w:rPr>
            </w:pPr>
            <w:r>
              <w:rPr>
                <w:rFonts w:hint="eastAsia" w:ascii="宋体" w:hAnsi="宋体" w:cs="仿宋_GB2312"/>
                <w:kern w:val="2"/>
                <w:sz w:val="24"/>
                <w:szCs w:val="24"/>
              </w:rPr>
              <w:t>A02061819</w:t>
            </w:r>
            <w:r>
              <w:rPr>
                <w:rFonts w:hint="eastAsia" w:ascii="宋体" w:hAnsi="宋体" w:cs="宋体"/>
                <w:w w:val="99"/>
                <w:kern w:val="2"/>
                <w:sz w:val="24"/>
                <w:szCs w:val="24"/>
              </w:rPr>
              <w:t>热水器</w:t>
            </w:r>
          </w:p>
        </w:tc>
        <w:tc>
          <w:tcPr>
            <w:tcW w:w="1530" w:type="dxa"/>
            <w:tcBorders>
              <w:top w:val="single" w:color="000000" w:sz="4" w:space="0"/>
              <w:left w:val="single" w:color="000000" w:sz="4" w:space="0"/>
              <w:bottom w:val="single" w:color="000000" w:sz="4" w:space="0"/>
              <w:right w:val="single" w:color="000000" w:sz="4" w:space="0"/>
            </w:tcBorders>
            <w:vAlign w:val="center"/>
          </w:tcPr>
          <w:p w14:paraId="0A42CBF5">
            <w:pPr>
              <w:pStyle w:val="56"/>
              <w:jc w:val="center"/>
              <w:rPr>
                <w:rFonts w:ascii="宋体" w:hAnsi="宋体" w:cs="宋体"/>
                <w:kern w:val="2"/>
                <w:sz w:val="24"/>
                <w:szCs w:val="24"/>
              </w:rPr>
            </w:pPr>
            <w:r>
              <w:rPr>
                <w:rFonts w:hint="eastAsia" w:ascii="宋体" w:hAnsi="宋体" w:cs="宋体"/>
                <w:w w:val="99"/>
                <w:kern w:val="2"/>
                <w:sz w:val="24"/>
                <w:szCs w:val="24"/>
              </w:rPr>
              <w:t>★电热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14:paraId="3F9729A1">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《储水式电热水器能效限定值及能效等级》（GB21519）</w:t>
            </w:r>
          </w:p>
        </w:tc>
      </w:tr>
      <w:tr w14:paraId="3DC2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75C13B">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82C369">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8F57DA">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3C2A35B0">
            <w:pPr>
              <w:pStyle w:val="56"/>
              <w:jc w:val="center"/>
              <w:rPr>
                <w:rFonts w:ascii="宋体" w:hAnsi="宋体" w:cs="宋体"/>
                <w:kern w:val="2"/>
                <w:sz w:val="24"/>
                <w:szCs w:val="24"/>
              </w:rPr>
            </w:pPr>
            <w:r>
              <w:rPr>
                <w:rFonts w:hint="eastAsia" w:ascii="宋体" w:hAnsi="宋体" w:cs="宋体"/>
                <w:w w:val="99"/>
                <w:kern w:val="2"/>
                <w:sz w:val="24"/>
                <w:szCs w:val="24"/>
              </w:rPr>
              <w:t>燃气热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14:paraId="3A5A8591">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《家用燃气快速热水器和燃气采暖热水炉能效限定值及能效等级》（GB20665）</w:t>
            </w:r>
          </w:p>
        </w:tc>
      </w:tr>
      <w:tr w14:paraId="0A9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986E5F">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CF36B0">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71C14C">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091165C4">
            <w:pPr>
              <w:pStyle w:val="56"/>
              <w:jc w:val="center"/>
              <w:rPr>
                <w:rFonts w:ascii="宋体" w:hAnsi="宋体" w:cs="宋体"/>
                <w:kern w:val="2"/>
                <w:sz w:val="24"/>
                <w:szCs w:val="24"/>
              </w:rPr>
            </w:pPr>
            <w:r>
              <w:rPr>
                <w:rFonts w:hint="eastAsia" w:ascii="宋体" w:hAnsi="宋体" w:cs="宋体"/>
                <w:w w:val="99"/>
                <w:kern w:val="2"/>
                <w:sz w:val="24"/>
                <w:szCs w:val="24"/>
              </w:rPr>
              <w:t>热泵热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14:paraId="7B79CBEB">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《热泵热水机（器）能效限定值及能效等级》（GB29541）</w:t>
            </w:r>
          </w:p>
        </w:tc>
      </w:tr>
      <w:tr w14:paraId="0AA4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FA267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2744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549C7D">
            <w:pPr>
              <w:widowControl/>
              <w:jc w:val="left"/>
              <w:rPr>
                <w:rFonts w:ascii="宋体" w:hAnsi="宋体" w:cs="宋体"/>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6304648A">
            <w:pPr>
              <w:pStyle w:val="56"/>
              <w:jc w:val="center"/>
              <w:rPr>
                <w:rFonts w:ascii="宋体" w:hAnsi="宋体" w:cs="宋体"/>
                <w:kern w:val="2"/>
                <w:sz w:val="24"/>
                <w:szCs w:val="24"/>
              </w:rPr>
            </w:pPr>
            <w:r>
              <w:rPr>
                <w:rFonts w:hint="eastAsia" w:ascii="宋体" w:hAnsi="宋体" w:cs="宋体"/>
                <w:w w:val="99"/>
                <w:kern w:val="2"/>
                <w:sz w:val="24"/>
                <w:szCs w:val="24"/>
              </w:rPr>
              <w:t>太阳能</w:t>
            </w:r>
            <w:r>
              <w:rPr>
                <w:rFonts w:hint="eastAsia" w:ascii="宋体" w:hAnsi="宋体" w:cs="宋体"/>
                <w:spacing w:val="2"/>
                <w:w w:val="99"/>
                <w:kern w:val="2"/>
                <w:sz w:val="24"/>
                <w:szCs w:val="24"/>
              </w:rPr>
              <w:t>热</w:t>
            </w:r>
            <w:r>
              <w:rPr>
                <w:rFonts w:hint="eastAsia" w:ascii="宋体" w:hAnsi="宋体" w:cs="宋体"/>
                <w:w w:val="99"/>
                <w:kern w:val="2"/>
                <w:sz w:val="24"/>
                <w:szCs w:val="24"/>
              </w:rPr>
              <w:t>水系统</w:t>
            </w:r>
          </w:p>
        </w:tc>
        <w:tc>
          <w:tcPr>
            <w:tcW w:w="3452" w:type="dxa"/>
            <w:tcBorders>
              <w:top w:val="single" w:color="000000" w:sz="4" w:space="0"/>
              <w:left w:val="single" w:color="000000" w:sz="4" w:space="0"/>
              <w:bottom w:val="single" w:color="000000" w:sz="4" w:space="0"/>
              <w:right w:val="single" w:color="000000" w:sz="4" w:space="0"/>
            </w:tcBorders>
          </w:tcPr>
          <w:p w14:paraId="3A91E903">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《家用太阳能热水系统能效限定值及能效等级》（GB26969）</w:t>
            </w:r>
          </w:p>
        </w:tc>
      </w:tr>
      <w:tr w14:paraId="138E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164115A">
            <w:pPr>
              <w:pStyle w:val="56"/>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6FA92BF">
            <w:pPr>
              <w:pStyle w:val="56"/>
              <w:spacing w:before="157"/>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06</w:t>
            </w:r>
            <w:r>
              <w:rPr>
                <w:rFonts w:hint="eastAsia" w:ascii="宋体" w:hAnsi="宋体" w:cs="宋体"/>
                <w:spacing w:val="1"/>
                <w:w w:val="99"/>
                <w:kern w:val="2"/>
                <w:sz w:val="24"/>
                <w:szCs w:val="24"/>
              </w:rPr>
              <w:t>1</w:t>
            </w:r>
            <w:r>
              <w:rPr>
                <w:rFonts w:hint="eastAsia" w:ascii="宋体" w:hAnsi="宋体" w:cs="宋体"/>
                <w:w w:val="99"/>
                <w:kern w:val="2"/>
                <w:sz w:val="24"/>
                <w:szCs w:val="24"/>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5DC7656">
            <w:pPr>
              <w:pStyle w:val="56"/>
              <w:spacing w:before="133" w:line="276" w:lineRule="auto"/>
              <w:ind w:left="7" w:right="7"/>
              <w:jc w:val="center"/>
              <w:rPr>
                <w:rFonts w:ascii="宋体" w:hAnsi="宋体" w:cs="宋体"/>
                <w:kern w:val="2"/>
                <w:sz w:val="24"/>
                <w:szCs w:val="24"/>
                <w:lang w:eastAsia="zh-CN"/>
              </w:rPr>
            </w:pPr>
            <w:r>
              <w:rPr>
                <w:rFonts w:hint="eastAsia" w:ascii="宋体" w:hAnsi="宋体" w:cs="宋体"/>
                <w:w w:val="99"/>
                <w:kern w:val="2"/>
                <w:sz w:val="24"/>
                <w:szCs w:val="24"/>
                <w:lang w:eastAsia="zh-CN"/>
              </w:rPr>
              <w:t>★普通照明用双端荧光灯</w:t>
            </w:r>
          </w:p>
        </w:tc>
        <w:tc>
          <w:tcPr>
            <w:tcW w:w="1530" w:type="dxa"/>
            <w:tcBorders>
              <w:top w:val="single" w:color="000000" w:sz="4" w:space="0"/>
              <w:left w:val="single" w:color="000000" w:sz="4" w:space="0"/>
              <w:bottom w:val="single" w:color="000000" w:sz="4" w:space="0"/>
              <w:right w:val="single" w:color="000000" w:sz="4" w:space="0"/>
            </w:tcBorders>
            <w:vAlign w:val="center"/>
          </w:tcPr>
          <w:p w14:paraId="25B4AFFD">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1FD0425F">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《普通照明用双端荧光灯能效限定值及能效等级》（GB19043）</w:t>
            </w:r>
          </w:p>
        </w:tc>
      </w:tr>
      <w:tr w14:paraId="2024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E3E75C">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2FB633">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96D8D15">
            <w:pPr>
              <w:pStyle w:val="56"/>
              <w:spacing w:before="92" w:line="276" w:lineRule="auto"/>
              <w:ind w:left="7" w:right="2"/>
              <w:jc w:val="center"/>
              <w:rPr>
                <w:rFonts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w:t>
            </w:r>
            <w:r>
              <w:rPr>
                <w:rFonts w:hint="eastAsia" w:ascii="宋体" w:hAnsi="宋体" w:cs="宋体"/>
                <w:spacing w:val="12"/>
                <w:w w:val="99"/>
                <w:kern w:val="2"/>
                <w:sz w:val="24"/>
                <w:szCs w:val="24"/>
              </w:rPr>
              <w:t>道</w:t>
            </w:r>
            <w:r>
              <w:rPr>
                <w:rFonts w:hint="eastAsia" w:ascii="宋体" w:hAnsi="宋体" w:cs="宋体"/>
                <w:spacing w:val="9"/>
                <w:w w:val="99"/>
                <w:kern w:val="2"/>
                <w:sz w:val="24"/>
                <w:szCs w:val="24"/>
              </w:rPr>
              <w:t>路</w:t>
            </w:r>
            <w:r>
              <w:rPr>
                <w:rFonts w:hint="eastAsia" w:ascii="宋体" w:hAnsi="宋体" w:cs="宋体"/>
                <w:spacing w:val="13"/>
                <w:w w:val="99"/>
                <w:kern w:val="2"/>
                <w:sz w:val="24"/>
                <w:szCs w:val="24"/>
              </w:rPr>
              <w:t>/</w:t>
            </w:r>
            <w:r>
              <w:rPr>
                <w:rFonts w:hint="eastAsia" w:ascii="宋体" w:hAnsi="宋体" w:cs="宋体"/>
                <w:spacing w:val="12"/>
                <w:w w:val="99"/>
                <w:kern w:val="2"/>
                <w:sz w:val="24"/>
                <w:szCs w:val="24"/>
              </w:rPr>
              <w:t>隧道照</w:t>
            </w:r>
            <w:r>
              <w:rPr>
                <w:rFonts w:hint="eastAsia" w:ascii="宋体" w:hAnsi="宋体" w:cs="宋体"/>
                <w:w w:val="99"/>
                <w:kern w:val="2"/>
                <w:sz w:val="24"/>
                <w:szCs w:val="24"/>
              </w:rPr>
              <w:t>明产品</w:t>
            </w:r>
          </w:p>
        </w:tc>
        <w:tc>
          <w:tcPr>
            <w:tcW w:w="1530" w:type="dxa"/>
            <w:tcBorders>
              <w:top w:val="single" w:color="000000" w:sz="4" w:space="0"/>
              <w:left w:val="single" w:color="000000" w:sz="4" w:space="0"/>
              <w:bottom w:val="single" w:color="000000" w:sz="4" w:space="0"/>
              <w:right w:val="single" w:color="000000" w:sz="4" w:space="0"/>
            </w:tcBorders>
            <w:vAlign w:val="center"/>
          </w:tcPr>
          <w:p w14:paraId="1ACA2E35">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595B56FB">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《道路和隧道照明用LED灯具能效限定值及能效等级》（GB37478）</w:t>
            </w:r>
          </w:p>
        </w:tc>
      </w:tr>
      <w:tr w14:paraId="06DE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4F2A2A">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116F1D">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6E08DEA">
            <w:pPr>
              <w:pStyle w:val="56"/>
              <w:jc w:val="center"/>
              <w:rPr>
                <w:rFonts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D筒灯</w:t>
            </w:r>
          </w:p>
        </w:tc>
        <w:tc>
          <w:tcPr>
            <w:tcW w:w="1530" w:type="dxa"/>
            <w:tcBorders>
              <w:top w:val="single" w:color="000000" w:sz="4" w:space="0"/>
              <w:left w:val="single" w:color="000000" w:sz="4" w:space="0"/>
              <w:bottom w:val="single" w:color="000000" w:sz="4" w:space="0"/>
              <w:right w:val="single" w:color="000000" w:sz="4" w:space="0"/>
            </w:tcBorders>
            <w:vAlign w:val="center"/>
          </w:tcPr>
          <w:p w14:paraId="2FB136CE">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3C904CC9">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14:paraId="33F1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EABA24">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F3BA37">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E3BA03B">
            <w:pPr>
              <w:pStyle w:val="56"/>
              <w:spacing w:line="276" w:lineRule="auto"/>
              <w:ind w:right="7"/>
              <w:jc w:val="center"/>
              <w:rPr>
                <w:rFonts w:ascii="宋体" w:hAnsi="宋体" w:cs="宋体"/>
                <w:kern w:val="2"/>
                <w:sz w:val="24"/>
                <w:szCs w:val="24"/>
                <w:lang w:eastAsia="zh-CN"/>
              </w:rPr>
            </w:pPr>
            <w:r>
              <w:rPr>
                <w:rFonts w:hint="eastAsia" w:ascii="宋体" w:hAnsi="宋体" w:cs="宋体"/>
                <w:w w:val="99"/>
                <w:kern w:val="2"/>
                <w:sz w:val="24"/>
                <w:szCs w:val="24"/>
                <w:lang w:eastAsia="zh-CN"/>
              </w:rPr>
              <w:t>普</w:t>
            </w:r>
            <w:r>
              <w:rPr>
                <w:rFonts w:hint="eastAsia" w:ascii="宋体" w:hAnsi="宋体" w:cs="宋体"/>
                <w:spacing w:val="24"/>
                <w:w w:val="99"/>
                <w:kern w:val="2"/>
                <w:sz w:val="24"/>
                <w:szCs w:val="24"/>
                <w:lang w:eastAsia="zh-CN"/>
              </w:rPr>
              <w:t>通</w:t>
            </w:r>
            <w:r>
              <w:rPr>
                <w:rFonts w:hint="eastAsia" w:ascii="宋体" w:hAnsi="宋体" w:cs="宋体"/>
                <w:w w:val="99"/>
                <w:kern w:val="2"/>
                <w:sz w:val="24"/>
                <w:szCs w:val="24"/>
                <w:lang w:eastAsia="zh-CN"/>
              </w:rPr>
              <w:t>照明用非</w:t>
            </w:r>
            <w:r>
              <w:rPr>
                <w:rFonts w:hint="eastAsia" w:ascii="宋体" w:hAnsi="宋体" w:cs="宋体"/>
                <w:spacing w:val="24"/>
                <w:w w:val="99"/>
                <w:kern w:val="2"/>
                <w:sz w:val="24"/>
                <w:szCs w:val="24"/>
                <w:lang w:eastAsia="zh-CN"/>
              </w:rPr>
              <w:t>定</w:t>
            </w:r>
            <w:r>
              <w:rPr>
                <w:rFonts w:hint="eastAsia" w:ascii="宋体" w:hAnsi="宋体" w:cs="宋体"/>
                <w:w w:val="99"/>
                <w:kern w:val="2"/>
                <w:sz w:val="24"/>
                <w:szCs w:val="24"/>
                <w:lang w:eastAsia="zh-CN"/>
              </w:rPr>
              <w:t>向自镇流</w:t>
            </w:r>
            <w:r>
              <w:rPr>
                <w:rFonts w:hint="eastAsia" w:ascii="宋体" w:hAnsi="宋体" w:cs="宋体"/>
                <w:spacing w:val="1"/>
                <w:w w:val="99"/>
                <w:kern w:val="2"/>
                <w:sz w:val="24"/>
                <w:szCs w:val="24"/>
                <w:lang w:eastAsia="zh-CN"/>
              </w:rPr>
              <w:t>LE</w:t>
            </w:r>
            <w:r>
              <w:rPr>
                <w:rFonts w:hint="eastAsia" w:ascii="宋体" w:hAnsi="宋体" w:cs="宋体"/>
                <w:w w:val="99"/>
                <w:kern w:val="2"/>
                <w:sz w:val="24"/>
                <w:szCs w:val="24"/>
                <w:lang w:eastAsia="zh-CN"/>
              </w:rPr>
              <w:t>D灯</w:t>
            </w:r>
          </w:p>
        </w:tc>
        <w:tc>
          <w:tcPr>
            <w:tcW w:w="1530" w:type="dxa"/>
            <w:tcBorders>
              <w:top w:val="single" w:color="000000" w:sz="4" w:space="0"/>
              <w:left w:val="single" w:color="000000" w:sz="4" w:space="0"/>
              <w:bottom w:val="single" w:color="000000" w:sz="4" w:space="0"/>
              <w:right w:val="single" w:color="000000" w:sz="4" w:space="0"/>
            </w:tcBorders>
            <w:vAlign w:val="center"/>
          </w:tcPr>
          <w:p w14:paraId="707EBF83">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4985FAC0">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14:paraId="56C9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334A1C8">
            <w:pPr>
              <w:pStyle w:val="56"/>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252F5A49">
            <w:pPr>
              <w:pStyle w:val="56"/>
              <w:spacing w:before="81"/>
              <w:ind w:left="7"/>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4A77A30">
            <w:pPr>
              <w:pStyle w:val="56"/>
              <w:spacing w:before="81" w:line="276" w:lineRule="auto"/>
              <w:ind w:left="7" w:right="5"/>
              <w:jc w:val="center"/>
              <w:rPr>
                <w:rFonts w:ascii="宋体" w:hAnsi="宋体" w:cs="宋体"/>
                <w:kern w:val="2"/>
                <w:sz w:val="24"/>
                <w:szCs w:val="24"/>
                <w:lang w:eastAsia="zh-CN"/>
              </w:rPr>
            </w:pPr>
            <w:r>
              <w:rPr>
                <w:rFonts w:hint="eastAsia" w:ascii="宋体" w:hAnsi="宋体" w:cs="宋体"/>
                <w:spacing w:val="1"/>
                <w:w w:val="99"/>
                <w:kern w:val="2"/>
                <w:sz w:val="24"/>
                <w:szCs w:val="24"/>
                <w:lang w:eastAsia="zh-CN"/>
              </w:rPr>
              <w:t>A02</w:t>
            </w:r>
            <w:r>
              <w:rPr>
                <w:rFonts w:hint="eastAsia" w:ascii="宋体" w:hAnsi="宋体" w:cs="宋体"/>
                <w:w w:val="99"/>
                <w:kern w:val="2"/>
                <w:sz w:val="24"/>
                <w:szCs w:val="24"/>
                <w:lang w:eastAsia="zh-CN"/>
              </w:rPr>
              <w:t>09</w:t>
            </w:r>
            <w:r>
              <w:rPr>
                <w:rFonts w:hint="eastAsia" w:ascii="宋体" w:hAnsi="宋体" w:cs="宋体"/>
                <w:spacing w:val="1"/>
                <w:w w:val="99"/>
                <w:kern w:val="2"/>
                <w:sz w:val="24"/>
                <w:szCs w:val="24"/>
                <w:lang w:eastAsia="zh-CN"/>
              </w:rPr>
              <w:t>1</w:t>
            </w:r>
            <w:r>
              <w:rPr>
                <w:rFonts w:hint="eastAsia" w:ascii="宋体" w:hAnsi="宋体" w:cs="宋体"/>
                <w:w w:val="99"/>
                <w:kern w:val="2"/>
                <w:sz w:val="24"/>
                <w:szCs w:val="24"/>
                <w:lang w:eastAsia="zh-CN"/>
              </w:rPr>
              <w:t>001普通电视设备（</w:t>
            </w:r>
            <w:r>
              <w:rPr>
                <w:rFonts w:hint="eastAsia" w:ascii="宋体" w:hAnsi="宋体" w:cs="宋体"/>
                <w:spacing w:val="2"/>
                <w:w w:val="99"/>
                <w:kern w:val="2"/>
                <w:sz w:val="24"/>
                <w:szCs w:val="24"/>
                <w:lang w:eastAsia="zh-CN"/>
              </w:rPr>
              <w:t>电</w:t>
            </w:r>
            <w:r>
              <w:rPr>
                <w:rFonts w:hint="eastAsia" w:ascii="宋体" w:hAnsi="宋体" w:cs="宋体"/>
                <w:w w:val="99"/>
                <w:kern w:val="2"/>
                <w:sz w:val="24"/>
                <w:szCs w:val="24"/>
                <w:lang w:eastAsia="zh-CN"/>
              </w:rPr>
              <w:t>视机）</w:t>
            </w:r>
          </w:p>
        </w:tc>
        <w:tc>
          <w:tcPr>
            <w:tcW w:w="1530" w:type="dxa"/>
            <w:tcBorders>
              <w:top w:val="single" w:color="000000" w:sz="4" w:space="0"/>
              <w:left w:val="single" w:color="000000" w:sz="4" w:space="0"/>
              <w:bottom w:val="single" w:color="000000" w:sz="4" w:space="0"/>
              <w:right w:val="single" w:color="000000" w:sz="4" w:space="0"/>
            </w:tcBorders>
            <w:vAlign w:val="center"/>
          </w:tcPr>
          <w:p w14:paraId="48074AD8">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5ACF1E47">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《平板电视能效限定值及能效等级》（GB24850）</w:t>
            </w:r>
          </w:p>
        </w:tc>
      </w:tr>
      <w:tr w14:paraId="0ECA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961741C">
            <w:pPr>
              <w:pStyle w:val="56"/>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AB011E3">
            <w:pPr>
              <w:pStyle w:val="56"/>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FAB28C0">
            <w:pPr>
              <w:pStyle w:val="56"/>
              <w:spacing w:line="276" w:lineRule="auto"/>
              <w:ind w:right="5"/>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09</w:t>
            </w:r>
            <w:r>
              <w:rPr>
                <w:rFonts w:hint="eastAsia" w:ascii="宋体" w:hAnsi="宋体" w:cs="宋体"/>
                <w:spacing w:val="1"/>
                <w:w w:val="99"/>
                <w:kern w:val="2"/>
                <w:sz w:val="24"/>
                <w:szCs w:val="24"/>
              </w:rPr>
              <w:t>1</w:t>
            </w:r>
            <w:r>
              <w:rPr>
                <w:rFonts w:hint="eastAsia" w:ascii="宋体" w:hAnsi="宋体" w:cs="宋体"/>
                <w:w w:val="99"/>
                <w:kern w:val="2"/>
                <w:sz w:val="24"/>
                <w:szCs w:val="24"/>
              </w:rPr>
              <w:t>107视频监控设备</w:t>
            </w:r>
          </w:p>
        </w:tc>
        <w:tc>
          <w:tcPr>
            <w:tcW w:w="1530" w:type="dxa"/>
            <w:tcBorders>
              <w:top w:val="single" w:color="000000" w:sz="4" w:space="0"/>
              <w:left w:val="single" w:color="000000" w:sz="4" w:space="0"/>
              <w:bottom w:val="single" w:color="000000" w:sz="4" w:space="0"/>
              <w:right w:val="single" w:color="000000" w:sz="4" w:space="0"/>
            </w:tcBorders>
            <w:vAlign w:val="center"/>
          </w:tcPr>
          <w:p w14:paraId="74472E2E">
            <w:pPr>
              <w:pStyle w:val="56"/>
              <w:jc w:val="center"/>
              <w:rPr>
                <w:rFonts w:ascii="宋体" w:hAnsi="宋体" w:cs="宋体"/>
                <w:kern w:val="2"/>
                <w:sz w:val="24"/>
                <w:szCs w:val="24"/>
              </w:rPr>
            </w:pPr>
            <w:r>
              <w:rPr>
                <w:rFonts w:hint="eastAsia" w:ascii="宋体" w:hAnsi="宋体" w:cs="宋体"/>
                <w:w w:val="99"/>
                <w:kern w:val="2"/>
                <w:sz w:val="24"/>
                <w:szCs w:val="24"/>
              </w:rPr>
              <w:t>监视器</w:t>
            </w:r>
          </w:p>
        </w:tc>
        <w:tc>
          <w:tcPr>
            <w:tcW w:w="3452" w:type="dxa"/>
            <w:tcBorders>
              <w:top w:val="single" w:color="000000" w:sz="4" w:space="0"/>
              <w:left w:val="single" w:color="000000" w:sz="4" w:space="0"/>
              <w:bottom w:val="single" w:color="000000" w:sz="4" w:space="0"/>
              <w:right w:val="single" w:color="000000" w:sz="4" w:space="0"/>
            </w:tcBorders>
          </w:tcPr>
          <w:p w14:paraId="69C39225">
            <w:pPr>
              <w:pStyle w:val="56"/>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14:paraId="7ACC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A354B23">
            <w:pPr>
              <w:pStyle w:val="56"/>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39903E3B">
            <w:pPr>
              <w:pStyle w:val="56"/>
              <w:spacing w:before="76"/>
              <w:ind w:left="7"/>
              <w:jc w:val="center"/>
              <w:rPr>
                <w:rFonts w:ascii="宋体" w:hAnsi="宋体" w:cs="宋体"/>
                <w:kern w:val="2"/>
                <w:sz w:val="24"/>
                <w:szCs w:val="24"/>
              </w:rPr>
            </w:pPr>
            <w:r>
              <w:rPr>
                <w:rFonts w:hint="eastAsia" w:ascii="宋体" w:hAnsi="宋体" w:cs="仿宋_GB2312"/>
                <w:kern w:val="2"/>
                <w:sz w:val="24"/>
                <w:szCs w:val="24"/>
              </w:rPr>
              <w:t>A02241000</w:t>
            </w:r>
            <w:r>
              <w:rPr>
                <w:rFonts w:hint="eastAsia" w:ascii="宋体" w:hAnsi="宋体" w:cs="宋体"/>
                <w:w w:val="99"/>
                <w:kern w:val="2"/>
                <w:sz w:val="24"/>
                <w:szCs w:val="24"/>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6DB01FF8">
            <w:pPr>
              <w:pStyle w:val="56"/>
              <w:jc w:val="center"/>
              <w:rPr>
                <w:rFonts w:ascii="宋体" w:hAnsi="宋体" w:cs="宋体"/>
                <w:kern w:val="2"/>
                <w:sz w:val="24"/>
                <w:szCs w:val="24"/>
              </w:rPr>
            </w:pPr>
            <w:r>
              <w:rPr>
                <w:rFonts w:hint="eastAsia" w:ascii="宋体" w:hAnsi="宋体" w:cs="宋体"/>
                <w:w w:val="99"/>
                <w:kern w:val="2"/>
                <w:sz w:val="24"/>
                <w:szCs w:val="24"/>
              </w:rPr>
              <w:t>商用燃</w:t>
            </w:r>
            <w:r>
              <w:rPr>
                <w:rFonts w:hint="eastAsia" w:ascii="宋体" w:hAnsi="宋体" w:cs="宋体"/>
                <w:spacing w:val="2"/>
                <w:w w:val="99"/>
                <w:kern w:val="2"/>
                <w:sz w:val="24"/>
                <w:szCs w:val="24"/>
              </w:rPr>
              <w:t>气</w:t>
            </w:r>
            <w:r>
              <w:rPr>
                <w:rFonts w:hint="eastAsia" w:ascii="宋体" w:hAnsi="宋体" w:cs="宋体"/>
                <w:w w:val="99"/>
                <w:kern w:val="2"/>
                <w:sz w:val="24"/>
                <w:szCs w:val="24"/>
              </w:rPr>
              <w:t>灶具</w:t>
            </w:r>
          </w:p>
        </w:tc>
        <w:tc>
          <w:tcPr>
            <w:tcW w:w="1530" w:type="dxa"/>
            <w:tcBorders>
              <w:top w:val="single" w:color="000000" w:sz="4" w:space="0"/>
              <w:left w:val="single" w:color="000000" w:sz="4" w:space="0"/>
              <w:bottom w:val="single" w:color="000000" w:sz="4" w:space="0"/>
              <w:right w:val="single" w:color="000000" w:sz="4" w:space="0"/>
            </w:tcBorders>
            <w:vAlign w:val="center"/>
          </w:tcPr>
          <w:p w14:paraId="18C75253">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31ADFCEA">
            <w:pPr>
              <w:pStyle w:val="56"/>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《商用燃气灶具能效限定值及能效等级》（GB30531）</w:t>
            </w:r>
          </w:p>
        </w:tc>
      </w:tr>
      <w:tr w14:paraId="3B53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00F5EFC">
            <w:pPr>
              <w:jc w:val="center"/>
              <w:rPr>
                <w:rFonts w:ascii="宋体" w:hAnsi="宋体"/>
                <w:sz w:val="24"/>
              </w:rPr>
            </w:pPr>
            <w:r>
              <w:rPr>
                <w:rFonts w:hint="eastAsia" w:ascii="宋体" w:hAnsi="宋体"/>
                <w:sz w:val="24"/>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8BB912F">
            <w:pPr>
              <w:pStyle w:val="56"/>
              <w:jc w:val="center"/>
              <w:rPr>
                <w:rFonts w:ascii="宋体" w:hAnsi="宋体" w:cs="宋体"/>
                <w:w w:val="99"/>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A05020105</w:t>
            </w:r>
            <w:r>
              <w:rPr>
                <w:rFonts w:hint="eastAsia" w:ascii="宋体" w:hAnsi="宋体" w:cs="宋体"/>
                <w:w w:val="99"/>
                <w:kern w:val="2"/>
                <w:sz w:val="24"/>
                <w:szCs w:val="24"/>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EBD954A">
            <w:pPr>
              <w:pStyle w:val="56"/>
              <w:jc w:val="center"/>
              <w:rPr>
                <w:rFonts w:ascii="宋体" w:hAnsi="宋体" w:cs="宋体"/>
                <w:kern w:val="2"/>
                <w:sz w:val="24"/>
                <w:szCs w:val="24"/>
              </w:rPr>
            </w:pPr>
            <w:r>
              <w:rPr>
                <w:rFonts w:hint="eastAsia" w:ascii="宋体" w:hAnsi="宋体" w:cs="宋体"/>
                <w:w w:val="99"/>
                <w:kern w:val="2"/>
                <w:sz w:val="24"/>
                <w:szCs w:val="24"/>
              </w:rPr>
              <w:t>坐便器</w:t>
            </w:r>
          </w:p>
        </w:tc>
        <w:tc>
          <w:tcPr>
            <w:tcW w:w="1530" w:type="dxa"/>
            <w:tcBorders>
              <w:top w:val="single" w:color="000000" w:sz="4" w:space="0"/>
              <w:left w:val="single" w:color="000000" w:sz="4" w:space="0"/>
              <w:bottom w:val="single" w:color="000000" w:sz="4" w:space="0"/>
              <w:right w:val="single" w:color="000000" w:sz="4" w:space="0"/>
            </w:tcBorders>
            <w:vAlign w:val="center"/>
          </w:tcPr>
          <w:p w14:paraId="1A14E9DD">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2F5C7CAE">
            <w:pPr>
              <w:pStyle w:val="56"/>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《坐便器水效限定值及水效等级》</w:t>
            </w:r>
          </w:p>
          <w:p w14:paraId="0A27FE4C">
            <w:pPr>
              <w:pStyle w:val="56"/>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（GB25502）</w:t>
            </w:r>
          </w:p>
        </w:tc>
      </w:tr>
      <w:tr w14:paraId="26DB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09A56E">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1C2F0D">
            <w:pPr>
              <w:widowControl/>
              <w:jc w:val="left"/>
              <w:rPr>
                <w:rFonts w:ascii="宋体" w:hAnsi="宋体" w:cs="宋体"/>
                <w:w w:val="99"/>
                <w:sz w:val="24"/>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045C124">
            <w:pPr>
              <w:pStyle w:val="56"/>
              <w:jc w:val="center"/>
              <w:rPr>
                <w:rFonts w:ascii="宋体" w:hAnsi="宋体" w:cs="宋体"/>
                <w:kern w:val="2"/>
                <w:sz w:val="24"/>
                <w:szCs w:val="24"/>
              </w:rPr>
            </w:pPr>
            <w:r>
              <w:rPr>
                <w:rFonts w:hint="eastAsia" w:ascii="宋体" w:hAnsi="宋体" w:cs="宋体"/>
                <w:w w:val="99"/>
                <w:kern w:val="2"/>
                <w:sz w:val="24"/>
                <w:szCs w:val="24"/>
              </w:rPr>
              <w:t>蹲便器</w:t>
            </w:r>
          </w:p>
        </w:tc>
        <w:tc>
          <w:tcPr>
            <w:tcW w:w="1530" w:type="dxa"/>
            <w:tcBorders>
              <w:top w:val="single" w:color="000000" w:sz="4" w:space="0"/>
              <w:left w:val="single" w:color="000000" w:sz="4" w:space="0"/>
              <w:bottom w:val="single" w:color="000000" w:sz="4" w:space="0"/>
              <w:right w:val="single" w:color="000000" w:sz="4" w:space="0"/>
            </w:tcBorders>
            <w:vAlign w:val="center"/>
          </w:tcPr>
          <w:p w14:paraId="7F0F5D7D">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0B827555">
            <w:pPr>
              <w:pStyle w:val="56"/>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《蹲便器用水效率限定值及用水效率等级》（GB30717）</w:t>
            </w:r>
          </w:p>
        </w:tc>
      </w:tr>
      <w:tr w14:paraId="30A8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40135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31FB30">
            <w:pPr>
              <w:widowControl/>
              <w:jc w:val="left"/>
              <w:rPr>
                <w:rFonts w:ascii="宋体" w:hAnsi="宋体" w:cs="宋体"/>
                <w:w w:val="99"/>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E7E6ECD">
            <w:pPr>
              <w:pStyle w:val="56"/>
              <w:jc w:val="center"/>
              <w:rPr>
                <w:rFonts w:ascii="宋体" w:hAnsi="宋体" w:cs="宋体"/>
                <w:kern w:val="2"/>
                <w:sz w:val="24"/>
                <w:szCs w:val="24"/>
              </w:rPr>
            </w:pPr>
            <w:r>
              <w:rPr>
                <w:rFonts w:hint="eastAsia" w:ascii="宋体" w:hAnsi="宋体" w:cs="宋体"/>
                <w:w w:val="99"/>
                <w:kern w:val="2"/>
                <w:sz w:val="24"/>
                <w:szCs w:val="24"/>
              </w:rPr>
              <w:t>小便器</w:t>
            </w:r>
          </w:p>
        </w:tc>
        <w:tc>
          <w:tcPr>
            <w:tcW w:w="1530" w:type="dxa"/>
            <w:tcBorders>
              <w:top w:val="single" w:color="000000" w:sz="4" w:space="0"/>
              <w:left w:val="single" w:color="000000" w:sz="4" w:space="0"/>
              <w:bottom w:val="single" w:color="000000" w:sz="4" w:space="0"/>
              <w:right w:val="single" w:color="000000" w:sz="4" w:space="0"/>
            </w:tcBorders>
            <w:vAlign w:val="center"/>
          </w:tcPr>
          <w:p w14:paraId="336D8CCF">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0CBFAEFA">
            <w:pPr>
              <w:pStyle w:val="56"/>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《小便器用水效率限定值及用水效率等级》（GB28377）</w:t>
            </w:r>
          </w:p>
        </w:tc>
      </w:tr>
      <w:tr w14:paraId="5713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9A23154">
            <w:pPr>
              <w:pStyle w:val="56"/>
              <w:jc w:val="center"/>
              <w:rPr>
                <w:rFonts w:ascii="宋体" w:hAnsi="宋体" w:cs="宋体"/>
                <w:kern w:val="2"/>
                <w:sz w:val="24"/>
                <w:szCs w:val="24"/>
              </w:rPr>
            </w:pPr>
            <w:r>
              <w:rPr>
                <w:rFonts w:hint="eastAsia" w:ascii="宋体" w:hAnsi="宋体"/>
                <w:kern w:val="2"/>
                <w:sz w:val="24"/>
                <w:szCs w:val="24"/>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6E4B4226">
            <w:pPr>
              <w:pStyle w:val="56"/>
              <w:spacing w:before="153"/>
              <w:ind w:left="7"/>
              <w:jc w:val="center"/>
              <w:rPr>
                <w:rFonts w:ascii="宋体" w:hAnsi="宋体" w:cs="宋体"/>
                <w:kern w:val="2"/>
                <w:sz w:val="24"/>
                <w:szCs w:val="24"/>
              </w:rPr>
            </w:pPr>
            <w:r>
              <w:rPr>
                <w:rFonts w:hint="eastAsia" w:ascii="宋体" w:hAnsi="宋体" w:cs="宋体"/>
                <w:kern w:val="2"/>
                <w:sz w:val="24"/>
                <w:szCs w:val="24"/>
              </w:rPr>
              <w:t>★</w:t>
            </w:r>
            <w:r>
              <w:rPr>
                <w:rFonts w:hint="eastAsia" w:ascii="宋体" w:hAnsi="宋体" w:cs="仿宋_GB2312"/>
                <w:kern w:val="2"/>
                <w:sz w:val="24"/>
                <w:szCs w:val="24"/>
              </w:rPr>
              <w:t>A05020106</w:t>
            </w:r>
            <w:r>
              <w:rPr>
                <w:rFonts w:hint="eastAsia" w:ascii="宋体" w:hAnsi="宋体" w:cs="宋体"/>
                <w:kern w:val="2"/>
                <w:sz w:val="24"/>
                <w:szCs w:val="24"/>
              </w:rPr>
              <w:t>水</w:t>
            </w:r>
            <w:r>
              <w:rPr>
                <w:rFonts w:hint="eastAsia" w:ascii="宋体" w:hAnsi="宋体" w:cs="宋体"/>
                <w:w w:val="99"/>
                <w:kern w:val="2"/>
                <w:sz w:val="24"/>
                <w:szCs w:val="24"/>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58359574">
            <w:pPr>
              <w:jc w:val="center"/>
              <w:rPr>
                <w:rFonts w:ascii="宋体" w:hAnsi="宋体"/>
                <w:sz w:val="24"/>
                <w:lang w:eastAsia="en-US"/>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1AB3617A">
            <w:pPr>
              <w:jc w:val="center"/>
              <w:rPr>
                <w:rFonts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6EAF5318">
            <w:pPr>
              <w:pStyle w:val="56"/>
              <w:spacing w:before="153"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《水嘴用水效率限定值及用水效</w:t>
            </w:r>
            <w:r>
              <w:rPr>
                <w:rFonts w:hint="eastAsia" w:ascii="宋体" w:hAnsi="宋体" w:cs="宋体"/>
                <w:kern w:val="2"/>
                <w:sz w:val="24"/>
                <w:szCs w:val="24"/>
                <w:lang w:eastAsia="zh-CN"/>
              </w:rPr>
              <w:t>率等级》（GB 25501）</w:t>
            </w:r>
          </w:p>
        </w:tc>
      </w:tr>
      <w:tr w14:paraId="45BB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915F0BF">
            <w:pPr>
              <w:pStyle w:val="56"/>
              <w:jc w:val="center"/>
              <w:rPr>
                <w:rFonts w:ascii="宋体" w:hAnsi="宋体" w:cs="宋体"/>
                <w:kern w:val="2"/>
                <w:sz w:val="24"/>
                <w:szCs w:val="24"/>
              </w:rPr>
            </w:pPr>
            <w:r>
              <w:rPr>
                <w:rFonts w:hint="eastAsia" w:ascii="宋体" w:hAnsi="宋体"/>
                <w:kern w:val="2"/>
                <w:sz w:val="24"/>
                <w:szCs w:val="24"/>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49C18EA0">
            <w:pPr>
              <w:pStyle w:val="56"/>
              <w:spacing w:before="112"/>
              <w:ind w:left="7"/>
              <w:jc w:val="center"/>
              <w:rPr>
                <w:rFonts w:ascii="宋体" w:hAnsi="宋体" w:cs="宋体"/>
                <w:kern w:val="2"/>
                <w:sz w:val="24"/>
                <w:szCs w:val="24"/>
              </w:rPr>
            </w:pPr>
            <w:r>
              <w:rPr>
                <w:rFonts w:hint="eastAsia" w:ascii="宋体" w:hAnsi="宋体" w:cs="仿宋_GB2312"/>
                <w:kern w:val="2"/>
                <w:sz w:val="24"/>
                <w:szCs w:val="24"/>
              </w:rPr>
              <w:t>A05020107</w:t>
            </w:r>
            <w:r>
              <w:rPr>
                <w:rFonts w:hint="eastAsia" w:ascii="宋体" w:hAnsi="宋体" w:cs="宋体"/>
                <w:kern w:val="2"/>
                <w:sz w:val="24"/>
                <w:szCs w:val="24"/>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218975A8">
            <w:pPr>
              <w:jc w:val="center"/>
              <w:rPr>
                <w:rFonts w:ascii="宋体" w:hAnsi="宋体"/>
                <w:sz w:val="24"/>
                <w:lang w:eastAsia="en-US"/>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3173663B">
            <w:pPr>
              <w:jc w:val="center"/>
              <w:rPr>
                <w:rFonts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3325A1C1">
            <w:pPr>
              <w:pStyle w:val="56"/>
              <w:spacing w:before="112"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《便器冲洗阀用水效率限定值及</w:t>
            </w:r>
            <w:r>
              <w:rPr>
                <w:rFonts w:hint="eastAsia" w:ascii="宋体" w:hAnsi="宋体" w:cs="宋体"/>
                <w:kern w:val="2"/>
                <w:sz w:val="24"/>
                <w:szCs w:val="24"/>
                <w:lang w:eastAsia="zh-CN"/>
              </w:rPr>
              <w:t>用水效率等级》（GB28379）</w:t>
            </w:r>
          </w:p>
        </w:tc>
      </w:tr>
      <w:tr w14:paraId="04EF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7896FEA">
            <w:pPr>
              <w:pStyle w:val="56"/>
              <w:jc w:val="center"/>
              <w:rPr>
                <w:rFonts w:ascii="宋体" w:hAnsi="宋体" w:cs="宋体"/>
                <w:kern w:val="2"/>
                <w:sz w:val="24"/>
                <w:szCs w:val="24"/>
              </w:rPr>
            </w:pPr>
            <w:r>
              <w:rPr>
                <w:rFonts w:hint="eastAsia" w:ascii="宋体" w:hAnsi="宋体"/>
                <w:kern w:val="2"/>
                <w:sz w:val="24"/>
                <w:szCs w:val="24"/>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2E973814">
            <w:pPr>
              <w:pStyle w:val="56"/>
              <w:spacing w:before="131"/>
              <w:ind w:left="7"/>
              <w:jc w:val="center"/>
              <w:rPr>
                <w:rFonts w:ascii="宋体" w:hAnsi="宋体" w:cs="宋体"/>
                <w:kern w:val="2"/>
                <w:sz w:val="24"/>
                <w:szCs w:val="24"/>
              </w:rPr>
            </w:pPr>
            <w:r>
              <w:rPr>
                <w:rFonts w:hint="eastAsia" w:ascii="宋体" w:hAnsi="宋体" w:cs="仿宋_GB2312"/>
                <w:kern w:val="2"/>
                <w:sz w:val="24"/>
                <w:szCs w:val="24"/>
              </w:rPr>
              <w:t>A05020110</w:t>
            </w:r>
            <w:r>
              <w:rPr>
                <w:rFonts w:hint="eastAsia" w:ascii="宋体" w:hAnsi="宋体" w:cs="宋体"/>
                <w:kern w:val="2"/>
                <w:sz w:val="24"/>
                <w:szCs w:val="24"/>
              </w:rPr>
              <w:t>淋浴</w:t>
            </w:r>
            <w:r>
              <w:rPr>
                <w:rFonts w:hint="eastAsia" w:ascii="宋体" w:hAnsi="宋体" w:cs="宋体"/>
                <w:w w:val="99"/>
                <w:kern w:val="2"/>
                <w:sz w:val="24"/>
                <w:szCs w:val="24"/>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7A4F2975">
            <w:pPr>
              <w:jc w:val="center"/>
              <w:rPr>
                <w:rFonts w:ascii="宋体" w:hAnsi="宋体"/>
                <w:sz w:val="24"/>
                <w:lang w:eastAsia="en-US"/>
              </w:rPr>
            </w:pPr>
          </w:p>
        </w:tc>
        <w:tc>
          <w:tcPr>
            <w:tcW w:w="1530" w:type="dxa"/>
            <w:tcBorders>
              <w:top w:val="single" w:color="000000" w:sz="4" w:space="0"/>
              <w:left w:val="single" w:color="000000" w:sz="4" w:space="0"/>
              <w:bottom w:val="single" w:color="000000" w:sz="4" w:space="0"/>
              <w:right w:val="single" w:color="000000" w:sz="4" w:space="0"/>
            </w:tcBorders>
            <w:vAlign w:val="center"/>
          </w:tcPr>
          <w:p w14:paraId="49F677AC">
            <w:pPr>
              <w:jc w:val="center"/>
              <w:rPr>
                <w:rFonts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0F59D93B">
            <w:pPr>
              <w:pStyle w:val="56"/>
              <w:spacing w:before="131"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《淋浴器用水效率限定值及用水</w:t>
            </w:r>
            <w:r>
              <w:rPr>
                <w:rFonts w:hint="eastAsia" w:ascii="宋体" w:hAnsi="宋体" w:cs="宋体"/>
                <w:kern w:val="2"/>
                <w:sz w:val="24"/>
                <w:szCs w:val="24"/>
                <w:lang w:eastAsia="zh-CN"/>
              </w:rPr>
              <w:t>效率等级》（GB28378）</w:t>
            </w:r>
          </w:p>
        </w:tc>
      </w:tr>
    </w:tbl>
    <w:p w14:paraId="14451953">
      <w:pPr>
        <w:spacing w:line="360" w:lineRule="auto"/>
        <w:ind w:firstLine="470" w:firstLineChars="200"/>
        <w:rPr>
          <w:rFonts w:ascii="楷体" w:hAnsi="楷体" w:eastAsia="楷体" w:cs="宋体"/>
          <w:spacing w:val="-3"/>
          <w:kern w:val="0"/>
          <w:sz w:val="24"/>
        </w:rPr>
      </w:pPr>
      <w:r>
        <w:rPr>
          <w:rFonts w:hint="eastAsia" w:ascii="楷体" w:hAnsi="楷体" w:eastAsia="楷体" w:cs="宋体"/>
          <w:b/>
          <w:spacing w:val="-3"/>
          <w:kern w:val="0"/>
          <w:sz w:val="24"/>
        </w:rPr>
        <w:t>注：</w:t>
      </w:r>
      <w:r>
        <w:rPr>
          <w:rFonts w:hint="eastAsia" w:ascii="楷体" w:hAnsi="楷体" w:eastAsia="楷体" w:cs="宋体"/>
          <w:spacing w:val="-3"/>
          <w:kern w:val="0"/>
          <w:sz w:val="24"/>
        </w:rPr>
        <w:t>1.节能产品认证应依据相关国家标准的最新版本，依据国家标准中二级能效（水效）指标。</w:t>
      </w:r>
    </w:p>
    <w:p w14:paraId="39E930E9">
      <w:pPr>
        <w:spacing w:line="360" w:lineRule="auto"/>
        <w:ind w:firstLine="468" w:firstLineChars="200"/>
        <w:rPr>
          <w:rFonts w:ascii="楷体" w:hAnsi="楷体" w:eastAsia="楷体" w:cs="宋体"/>
          <w:spacing w:val="-3"/>
          <w:kern w:val="0"/>
          <w:sz w:val="24"/>
        </w:rPr>
      </w:pPr>
      <w:r>
        <w:rPr>
          <w:rFonts w:hint="eastAsia" w:ascii="楷体" w:hAnsi="楷体" w:eastAsia="楷体" w:cs="宋体"/>
          <w:spacing w:val="-3"/>
          <w:kern w:val="0"/>
          <w:sz w:val="24"/>
        </w:rPr>
        <w:t>2.以“★”标注的为政府强制采购产品。</w:t>
      </w:r>
    </w:p>
    <w:p w14:paraId="25AAF49E">
      <w:pPr>
        <w:pStyle w:val="16"/>
        <w:ind w:firstLine="468" w:firstLineChars="200"/>
        <w:jc w:val="left"/>
        <w:rPr>
          <w:rFonts w:ascii="楷体" w:hAnsi="楷体" w:eastAsia="楷体" w:cs="宋体"/>
          <w:spacing w:val="-3"/>
          <w:sz w:val="24"/>
          <w:szCs w:val="24"/>
        </w:rPr>
      </w:pPr>
      <w:r>
        <w:rPr>
          <w:rFonts w:hint="eastAsia" w:ascii="楷体" w:hAnsi="楷体" w:eastAsia="楷体" w:cs="宋体"/>
          <w:spacing w:val="-3"/>
          <w:sz w:val="24"/>
          <w:szCs w:val="24"/>
        </w:rPr>
        <w:t>3.本表格原为《关于印发节能产品政府采购品目清单的通知》（财库〔2019〕19号）规定的表格附件，其中名称及编码已根据《财政部关于印发〈政府采购品目分类目录〉的通知》（财库〔2022〕31号）修改。</w:t>
      </w:r>
    </w:p>
    <w:p w14:paraId="0D415591">
      <w:pPr>
        <w:pStyle w:val="16"/>
        <w:ind w:firstLine="468" w:firstLineChars="200"/>
        <w:jc w:val="left"/>
        <w:rPr>
          <w:rFonts w:ascii="楷体" w:hAnsi="楷体" w:eastAsia="楷体" w:cs="宋体"/>
          <w:spacing w:val="-3"/>
          <w:sz w:val="24"/>
          <w:szCs w:val="24"/>
        </w:rPr>
      </w:pPr>
    </w:p>
    <w:p w14:paraId="26767676">
      <w:pPr>
        <w:pStyle w:val="16"/>
        <w:ind w:firstLine="468" w:firstLineChars="200"/>
        <w:jc w:val="left"/>
        <w:rPr>
          <w:rFonts w:ascii="楷体" w:hAnsi="楷体" w:eastAsia="楷体" w:cs="宋体"/>
          <w:spacing w:val="-3"/>
          <w:sz w:val="24"/>
          <w:szCs w:val="24"/>
        </w:rPr>
      </w:pPr>
    </w:p>
    <w:p w14:paraId="32598BE5">
      <w:pPr>
        <w:pStyle w:val="16"/>
        <w:ind w:firstLine="468" w:firstLineChars="200"/>
        <w:jc w:val="left"/>
        <w:rPr>
          <w:rFonts w:ascii="楷体" w:hAnsi="楷体" w:eastAsia="楷体" w:cs="宋体"/>
          <w:spacing w:val="-3"/>
          <w:sz w:val="24"/>
          <w:szCs w:val="24"/>
        </w:rPr>
      </w:pPr>
    </w:p>
    <w:p w14:paraId="51139AE4">
      <w:pPr>
        <w:pStyle w:val="16"/>
        <w:ind w:firstLine="480" w:firstLineChars="200"/>
        <w:jc w:val="left"/>
        <w:rPr>
          <w:rFonts w:hAnsi="宋体" w:cs="宋体"/>
          <w:sz w:val="24"/>
          <w:szCs w:val="24"/>
        </w:rPr>
      </w:pPr>
    </w:p>
    <w:p w14:paraId="70F48404">
      <w:pPr>
        <w:pStyle w:val="16"/>
        <w:ind w:firstLine="480" w:firstLineChars="200"/>
        <w:jc w:val="left"/>
        <w:rPr>
          <w:rFonts w:hAnsi="宋体" w:cs="宋体"/>
          <w:sz w:val="24"/>
          <w:szCs w:val="24"/>
        </w:rPr>
      </w:pPr>
    </w:p>
    <w:p w14:paraId="4A219CF9">
      <w:pPr>
        <w:pStyle w:val="16"/>
        <w:ind w:firstLine="480" w:firstLineChars="200"/>
        <w:jc w:val="left"/>
        <w:rPr>
          <w:rFonts w:hAnsi="宋体" w:cs="宋体"/>
          <w:sz w:val="24"/>
          <w:szCs w:val="24"/>
        </w:rPr>
      </w:pPr>
    </w:p>
    <w:p w14:paraId="311A166B">
      <w:pPr>
        <w:pStyle w:val="16"/>
        <w:ind w:firstLine="480" w:firstLineChars="200"/>
        <w:jc w:val="left"/>
        <w:rPr>
          <w:rFonts w:hAnsi="宋体" w:cs="宋体"/>
          <w:sz w:val="24"/>
          <w:szCs w:val="24"/>
        </w:rPr>
      </w:pPr>
    </w:p>
    <w:p w14:paraId="567A528E">
      <w:pPr>
        <w:pStyle w:val="16"/>
        <w:ind w:firstLine="480" w:firstLineChars="200"/>
        <w:jc w:val="left"/>
        <w:rPr>
          <w:rFonts w:hAnsi="宋体" w:cs="宋体"/>
          <w:sz w:val="24"/>
          <w:szCs w:val="24"/>
        </w:rPr>
      </w:pPr>
    </w:p>
    <w:p w14:paraId="52F9C816">
      <w:pPr>
        <w:pStyle w:val="16"/>
        <w:ind w:firstLine="480" w:firstLineChars="200"/>
        <w:jc w:val="left"/>
        <w:rPr>
          <w:rFonts w:hAnsi="宋体" w:cs="宋体"/>
          <w:sz w:val="24"/>
          <w:szCs w:val="24"/>
        </w:rPr>
      </w:pPr>
    </w:p>
    <w:p w14:paraId="5666BE99">
      <w:pPr>
        <w:rPr>
          <w:rFonts w:hAnsi="宋体" w:cs="宋体"/>
          <w:sz w:val="24"/>
        </w:rPr>
      </w:pPr>
      <w:r>
        <w:rPr>
          <w:rFonts w:hint="eastAsia" w:hAnsi="宋体" w:cs="宋体"/>
          <w:sz w:val="24"/>
        </w:rPr>
        <w:br w:type="page"/>
      </w:r>
    </w:p>
    <w:p w14:paraId="117759C0">
      <w:pPr>
        <w:pStyle w:val="16"/>
        <w:ind w:firstLine="643" w:firstLineChars="200"/>
        <w:jc w:val="left"/>
        <w:rPr>
          <w:rFonts w:hAnsi="宋体" w:cs="宋体"/>
          <w:b/>
          <w:bCs/>
          <w:sz w:val="32"/>
          <w:szCs w:val="32"/>
        </w:rPr>
      </w:pPr>
      <w:r>
        <w:rPr>
          <w:rFonts w:hint="eastAsia" w:hAnsi="宋体" w:cs="宋体"/>
          <w:b/>
          <w:bCs/>
          <w:sz w:val="32"/>
          <w:szCs w:val="32"/>
        </w:rPr>
        <w:t>附件3：</w:t>
      </w:r>
    </w:p>
    <w:p w14:paraId="2ABAC3AA">
      <w:pPr>
        <w:spacing w:line="528" w:lineRule="exact"/>
        <w:ind w:left="220"/>
        <w:jc w:val="center"/>
        <w:rPr>
          <w:rFonts w:ascii="宋体" w:hAnsi="宋体" w:cs="宋体"/>
          <w:b/>
          <w:bCs/>
          <w:sz w:val="36"/>
          <w:szCs w:val="36"/>
        </w:rPr>
      </w:pPr>
      <w:r>
        <w:rPr>
          <w:rFonts w:hint="eastAsia" w:ascii="宋体" w:hAnsi="宋体" w:cs="宋体"/>
          <w:b/>
          <w:bCs/>
          <w:sz w:val="36"/>
          <w:szCs w:val="36"/>
        </w:rPr>
        <w:t>中小微企业划型标准</w:t>
      </w:r>
    </w:p>
    <w:tbl>
      <w:tblPr>
        <w:tblStyle w:val="26"/>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2A272F6D">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59F121FB">
            <w:pPr>
              <w:widowControl/>
              <w:jc w:val="center"/>
              <w:rPr>
                <w:rFonts w:ascii="宋体" w:hAnsi="宋体" w:cs="宋体"/>
                <w:b/>
                <w:kern w:val="0"/>
                <w:sz w:val="20"/>
                <w:szCs w:val="20"/>
              </w:rPr>
            </w:pPr>
            <w:r>
              <w:rPr>
                <w:rFonts w:hint="eastAsia" w:ascii="宋体" w:hAnsi="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14:paraId="12B17021">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14:paraId="3C276294">
            <w:pPr>
              <w:widowControl/>
              <w:jc w:val="center"/>
              <w:rPr>
                <w:rFonts w:ascii="宋体" w:hAnsi="宋体" w:cs="宋体"/>
                <w:b/>
                <w:kern w:val="0"/>
                <w:sz w:val="20"/>
                <w:szCs w:val="20"/>
              </w:rPr>
            </w:pPr>
            <w:r>
              <w:rPr>
                <w:rFonts w:hint="eastAsia" w:ascii="宋体" w:hAnsi="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14:paraId="4DFD9145">
            <w:pPr>
              <w:widowControl/>
              <w:jc w:val="center"/>
              <w:rPr>
                <w:rFonts w:ascii="宋体" w:hAnsi="宋体" w:cs="宋体"/>
                <w:b/>
                <w:kern w:val="0"/>
                <w:sz w:val="20"/>
                <w:szCs w:val="20"/>
              </w:rPr>
            </w:pPr>
            <w:r>
              <w:rPr>
                <w:rFonts w:hint="eastAsia" w:ascii="宋体" w:hAnsi="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14:paraId="13BAE52D">
            <w:pPr>
              <w:widowControl/>
              <w:jc w:val="center"/>
              <w:rPr>
                <w:rFonts w:ascii="宋体" w:hAnsi="宋体" w:cs="宋体"/>
                <w:b/>
                <w:kern w:val="0"/>
                <w:sz w:val="20"/>
                <w:szCs w:val="20"/>
              </w:rPr>
            </w:pPr>
            <w:r>
              <w:rPr>
                <w:rFonts w:hint="eastAsia" w:ascii="宋体" w:hAnsi="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14:paraId="03F6B26A">
            <w:pPr>
              <w:widowControl/>
              <w:jc w:val="center"/>
              <w:rPr>
                <w:rFonts w:ascii="宋体" w:hAnsi="宋体" w:cs="宋体"/>
                <w:b/>
                <w:kern w:val="0"/>
                <w:sz w:val="20"/>
                <w:szCs w:val="20"/>
              </w:rPr>
            </w:pPr>
            <w:r>
              <w:rPr>
                <w:rFonts w:hint="eastAsia" w:ascii="宋体" w:hAnsi="宋体" w:cs="宋体"/>
                <w:b/>
                <w:kern w:val="0"/>
                <w:sz w:val="20"/>
                <w:szCs w:val="20"/>
              </w:rPr>
              <w:t>微型</w:t>
            </w:r>
          </w:p>
        </w:tc>
      </w:tr>
      <w:tr w14:paraId="795EE912">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3C5334CD">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14:paraId="5F1D6BE5">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6C11EB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39C402E3">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14:paraId="2FAF7EFB">
            <w:pPr>
              <w:widowControl/>
              <w:jc w:val="left"/>
              <w:rPr>
                <w:rFonts w:ascii="宋体" w:hAnsi="宋体" w:cs="宋体"/>
                <w:kern w:val="0"/>
                <w:sz w:val="20"/>
                <w:szCs w:val="20"/>
              </w:rPr>
            </w:pPr>
            <w:r>
              <w:rPr>
                <w:rFonts w:hint="eastAsia" w:ascii="宋体" w:hAnsi="宋体" w:cs="宋体"/>
                <w:kern w:val="0"/>
                <w:sz w:val="20"/>
                <w:szCs w:val="20"/>
              </w:rPr>
              <w:t>50≤Y＜500</w:t>
            </w:r>
          </w:p>
        </w:tc>
        <w:tc>
          <w:tcPr>
            <w:tcW w:w="1091" w:type="dxa"/>
            <w:tcBorders>
              <w:top w:val="nil"/>
              <w:left w:val="nil"/>
              <w:bottom w:val="single" w:color="auto" w:sz="4" w:space="0"/>
              <w:right w:val="single" w:color="auto" w:sz="4" w:space="0"/>
            </w:tcBorders>
            <w:vAlign w:val="center"/>
          </w:tcPr>
          <w:p w14:paraId="7AA725B7">
            <w:pPr>
              <w:widowControl/>
              <w:jc w:val="left"/>
              <w:rPr>
                <w:rFonts w:ascii="宋体" w:hAnsi="宋体" w:cs="宋体"/>
                <w:kern w:val="0"/>
                <w:sz w:val="20"/>
                <w:szCs w:val="20"/>
              </w:rPr>
            </w:pPr>
            <w:r>
              <w:rPr>
                <w:rFonts w:hint="eastAsia" w:ascii="宋体" w:hAnsi="宋体" w:cs="宋体"/>
                <w:kern w:val="0"/>
                <w:sz w:val="20"/>
                <w:szCs w:val="20"/>
              </w:rPr>
              <w:t>Y＜50</w:t>
            </w:r>
          </w:p>
        </w:tc>
      </w:tr>
      <w:tr w14:paraId="4F03AD8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92040AA">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14:paraId="755D8D9A">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10E309A">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86B4DE6">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0798551D">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7A05E3DE">
            <w:pPr>
              <w:widowControl/>
              <w:jc w:val="left"/>
              <w:rPr>
                <w:rFonts w:ascii="宋体" w:hAnsi="宋体" w:cs="宋体"/>
                <w:kern w:val="0"/>
                <w:sz w:val="20"/>
                <w:szCs w:val="20"/>
              </w:rPr>
            </w:pPr>
            <w:r>
              <w:rPr>
                <w:rFonts w:hint="eastAsia" w:ascii="宋体" w:hAnsi="宋体" w:cs="宋体"/>
                <w:kern w:val="0"/>
                <w:sz w:val="20"/>
                <w:szCs w:val="20"/>
              </w:rPr>
              <w:t>X＜20</w:t>
            </w:r>
          </w:p>
        </w:tc>
      </w:tr>
      <w:tr w14:paraId="5284D7F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B256491">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448FFBEC">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62C06021">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0934B233">
            <w:pPr>
              <w:widowControl/>
              <w:jc w:val="left"/>
              <w:rPr>
                <w:rFonts w:ascii="宋体" w:hAnsi="宋体" w:cs="宋体"/>
                <w:kern w:val="0"/>
                <w:sz w:val="20"/>
                <w:szCs w:val="20"/>
              </w:rPr>
            </w:pPr>
            <w:r>
              <w:rPr>
                <w:rFonts w:hint="eastAsia" w:ascii="宋体" w:hAnsi="宋体" w:cs="宋体"/>
                <w:kern w:val="0"/>
                <w:sz w:val="20"/>
                <w:szCs w:val="20"/>
              </w:rPr>
              <w:t>2000≤Y＜40000</w:t>
            </w:r>
          </w:p>
        </w:tc>
        <w:tc>
          <w:tcPr>
            <w:tcW w:w="1699" w:type="dxa"/>
            <w:tcBorders>
              <w:top w:val="nil"/>
              <w:left w:val="nil"/>
              <w:bottom w:val="single" w:color="auto" w:sz="4" w:space="0"/>
              <w:right w:val="single" w:color="auto" w:sz="4" w:space="0"/>
            </w:tcBorders>
            <w:vAlign w:val="center"/>
          </w:tcPr>
          <w:p w14:paraId="45A50AB2">
            <w:pPr>
              <w:widowControl/>
              <w:jc w:val="left"/>
              <w:rPr>
                <w:rFonts w:ascii="宋体" w:hAnsi="宋体" w:cs="宋体"/>
                <w:kern w:val="0"/>
                <w:sz w:val="20"/>
                <w:szCs w:val="20"/>
              </w:rPr>
            </w:pPr>
            <w:r>
              <w:rPr>
                <w:rFonts w:hint="eastAsia" w:ascii="宋体" w:hAnsi="宋体" w:cs="宋体"/>
                <w:kern w:val="0"/>
                <w:sz w:val="20"/>
                <w:szCs w:val="20"/>
              </w:rPr>
              <w:t>300≤Y＜2000</w:t>
            </w:r>
          </w:p>
        </w:tc>
        <w:tc>
          <w:tcPr>
            <w:tcW w:w="1091" w:type="dxa"/>
            <w:tcBorders>
              <w:top w:val="nil"/>
              <w:left w:val="nil"/>
              <w:bottom w:val="single" w:color="auto" w:sz="4" w:space="0"/>
              <w:right w:val="single" w:color="auto" w:sz="4" w:space="0"/>
            </w:tcBorders>
            <w:vAlign w:val="center"/>
          </w:tcPr>
          <w:p w14:paraId="67982308">
            <w:pPr>
              <w:widowControl/>
              <w:jc w:val="left"/>
              <w:rPr>
                <w:rFonts w:ascii="宋体" w:hAnsi="宋体" w:cs="宋体"/>
                <w:kern w:val="0"/>
                <w:sz w:val="20"/>
                <w:szCs w:val="20"/>
              </w:rPr>
            </w:pPr>
            <w:r>
              <w:rPr>
                <w:rFonts w:hint="eastAsia" w:ascii="宋体" w:hAnsi="宋体" w:cs="宋体"/>
                <w:kern w:val="0"/>
                <w:sz w:val="20"/>
                <w:szCs w:val="20"/>
              </w:rPr>
              <w:t>Y＜300</w:t>
            </w:r>
          </w:p>
        </w:tc>
      </w:tr>
      <w:tr w14:paraId="268AF834">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D5E6524">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14:paraId="395AEF52">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709BDD13">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67D1C43">
            <w:pPr>
              <w:widowControl/>
              <w:jc w:val="left"/>
              <w:rPr>
                <w:rFonts w:ascii="宋体" w:hAnsi="宋体" w:cs="宋体"/>
                <w:kern w:val="0"/>
                <w:sz w:val="20"/>
                <w:szCs w:val="20"/>
              </w:rPr>
            </w:pPr>
            <w:r>
              <w:rPr>
                <w:rFonts w:hint="eastAsia" w:ascii="宋体" w:hAnsi="宋体" w:cs="宋体"/>
                <w:kern w:val="0"/>
                <w:sz w:val="20"/>
                <w:szCs w:val="20"/>
              </w:rPr>
              <w:t>6000≤Y＜80000</w:t>
            </w:r>
          </w:p>
        </w:tc>
        <w:tc>
          <w:tcPr>
            <w:tcW w:w="1699" w:type="dxa"/>
            <w:tcBorders>
              <w:top w:val="nil"/>
              <w:left w:val="nil"/>
              <w:bottom w:val="single" w:color="auto" w:sz="4" w:space="0"/>
              <w:right w:val="single" w:color="auto" w:sz="4" w:space="0"/>
            </w:tcBorders>
            <w:vAlign w:val="center"/>
          </w:tcPr>
          <w:p w14:paraId="28B201A5">
            <w:pPr>
              <w:widowControl/>
              <w:jc w:val="left"/>
              <w:rPr>
                <w:rFonts w:ascii="宋体" w:hAnsi="宋体" w:cs="宋体"/>
                <w:kern w:val="0"/>
                <w:sz w:val="20"/>
                <w:szCs w:val="20"/>
              </w:rPr>
            </w:pPr>
            <w:r>
              <w:rPr>
                <w:rFonts w:hint="eastAsia" w:ascii="宋体" w:hAnsi="宋体" w:cs="宋体"/>
                <w:kern w:val="0"/>
                <w:sz w:val="20"/>
                <w:szCs w:val="20"/>
              </w:rPr>
              <w:t>300≤Y＜6000</w:t>
            </w:r>
          </w:p>
        </w:tc>
        <w:tc>
          <w:tcPr>
            <w:tcW w:w="1091" w:type="dxa"/>
            <w:tcBorders>
              <w:top w:val="nil"/>
              <w:left w:val="nil"/>
              <w:bottom w:val="single" w:color="auto" w:sz="4" w:space="0"/>
              <w:right w:val="single" w:color="auto" w:sz="4" w:space="0"/>
            </w:tcBorders>
            <w:vAlign w:val="center"/>
          </w:tcPr>
          <w:p w14:paraId="4FF5DF79">
            <w:pPr>
              <w:widowControl/>
              <w:jc w:val="left"/>
              <w:rPr>
                <w:rFonts w:ascii="宋体" w:hAnsi="宋体" w:cs="宋体"/>
                <w:kern w:val="0"/>
                <w:sz w:val="20"/>
                <w:szCs w:val="20"/>
              </w:rPr>
            </w:pPr>
            <w:r>
              <w:rPr>
                <w:rFonts w:hint="eastAsia" w:ascii="宋体" w:hAnsi="宋体" w:cs="宋体"/>
                <w:kern w:val="0"/>
                <w:sz w:val="20"/>
                <w:szCs w:val="20"/>
              </w:rPr>
              <w:t>Y＜300</w:t>
            </w:r>
          </w:p>
        </w:tc>
      </w:tr>
      <w:tr w14:paraId="2C9496E9">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C60B52A">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6512D0AA">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1DDC03BE">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C885EC7">
            <w:pPr>
              <w:widowControl/>
              <w:jc w:val="left"/>
              <w:rPr>
                <w:rFonts w:ascii="宋体" w:hAnsi="宋体" w:cs="宋体"/>
                <w:kern w:val="0"/>
                <w:sz w:val="20"/>
                <w:szCs w:val="20"/>
              </w:rPr>
            </w:pPr>
            <w:r>
              <w:rPr>
                <w:rFonts w:hint="eastAsia" w:ascii="宋体" w:hAnsi="宋体" w:cs="宋体"/>
                <w:kern w:val="0"/>
                <w:sz w:val="20"/>
                <w:szCs w:val="20"/>
              </w:rPr>
              <w:t>5000≤Z＜80000</w:t>
            </w:r>
          </w:p>
        </w:tc>
        <w:tc>
          <w:tcPr>
            <w:tcW w:w="1699" w:type="dxa"/>
            <w:tcBorders>
              <w:top w:val="nil"/>
              <w:left w:val="nil"/>
              <w:bottom w:val="single" w:color="auto" w:sz="4" w:space="0"/>
              <w:right w:val="single" w:color="auto" w:sz="4" w:space="0"/>
            </w:tcBorders>
            <w:vAlign w:val="center"/>
          </w:tcPr>
          <w:p w14:paraId="36A8A819">
            <w:pPr>
              <w:widowControl/>
              <w:jc w:val="left"/>
              <w:rPr>
                <w:rFonts w:ascii="宋体" w:hAnsi="宋体" w:cs="宋体"/>
                <w:kern w:val="0"/>
                <w:sz w:val="20"/>
                <w:szCs w:val="20"/>
              </w:rPr>
            </w:pPr>
            <w:r>
              <w:rPr>
                <w:rFonts w:hint="eastAsia" w:ascii="宋体" w:hAnsi="宋体" w:cs="宋体"/>
                <w:kern w:val="0"/>
                <w:sz w:val="20"/>
                <w:szCs w:val="20"/>
              </w:rPr>
              <w:t>300≤Z＜5000</w:t>
            </w:r>
          </w:p>
        </w:tc>
        <w:tc>
          <w:tcPr>
            <w:tcW w:w="1091" w:type="dxa"/>
            <w:tcBorders>
              <w:top w:val="nil"/>
              <w:left w:val="nil"/>
              <w:bottom w:val="single" w:color="auto" w:sz="4" w:space="0"/>
              <w:right w:val="single" w:color="auto" w:sz="4" w:space="0"/>
            </w:tcBorders>
            <w:vAlign w:val="center"/>
          </w:tcPr>
          <w:p w14:paraId="7F459C92">
            <w:pPr>
              <w:widowControl/>
              <w:jc w:val="left"/>
              <w:rPr>
                <w:rFonts w:ascii="宋体" w:hAnsi="宋体" w:cs="宋体"/>
                <w:kern w:val="0"/>
                <w:sz w:val="20"/>
                <w:szCs w:val="20"/>
              </w:rPr>
            </w:pPr>
            <w:r>
              <w:rPr>
                <w:rFonts w:hint="eastAsia" w:ascii="宋体" w:hAnsi="宋体" w:cs="宋体"/>
                <w:kern w:val="0"/>
                <w:sz w:val="20"/>
                <w:szCs w:val="20"/>
              </w:rPr>
              <w:t>Z＜300</w:t>
            </w:r>
          </w:p>
        </w:tc>
      </w:tr>
      <w:tr w14:paraId="399C08B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B6E2483">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14:paraId="2B7B9473">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EFAD7F8">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83C16EB">
            <w:pPr>
              <w:widowControl/>
              <w:jc w:val="left"/>
              <w:rPr>
                <w:rFonts w:ascii="宋体" w:hAnsi="宋体" w:cs="宋体"/>
                <w:kern w:val="0"/>
                <w:sz w:val="20"/>
                <w:szCs w:val="20"/>
              </w:rPr>
            </w:pPr>
            <w:r>
              <w:rPr>
                <w:rFonts w:hint="eastAsia" w:ascii="宋体" w:hAnsi="宋体" w:cs="宋体"/>
                <w:kern w:val="0"/>
                <w:sz w:val="20"/>
                <w:szCs w:val="20"/>
              </w:rPr>
              <w:t>20≤X＜200</w:t>
            </w:r>
          </w:p>
        </w:tc>
        <w:tc>
          <w:tcPr>
            <w:tcW w:w="1699" w:type="dxa"/>
            <w:tcBorders>
              <w:top w:val="nil"/>
              <w:left w:val="nil"/>
              <w:bottom w:val="single" w:color="auto" w:sz="4" w:space="0"/>
              <w:right w:val="single" w:color="auto" w:sz="4" w:space="0"/>
            </w:tcBorders>
            <w:vAlign w:val="center"/>
          </w:tcPr>
          <w:p w14:paraId="7447F655">
            <w:pPr>
              <w:widowControl/>
              <w:jc w:val="left"/>
              <w:rPr>
                <w:rFonts w:ascii="宋体" w:hAnsi="宋体" w:cs="宋体"/>
                <w:kern w:val="0"/>
                <w:sz w:val="20"/>
                <w:szCs w:val="20"/>
              </w:rPr>
            </w:pPr>
            <w:r>
              <w:rPr>
                <w:rFonts w:hint="eastAsia" w:ascii="宋体" w:hAnsi="宋体" w:cs="宋体"/>
                <w:kern w:val="0"/>
                <w:sz w:val="20"/>
                <w:szCs w:val="20"/>
              </w:rPr>
              <w:t>5≤X＜20</w:t>
            </w:r>
          </w:p>
        </w:tc>
        <w:tc>
          <w:tcPr>
            <w:tcW w:w="1091" w:type="dxa"/>
            <w:tcBorders>
              <w:top w:val="nil"/>
              <w:left w:val="nil"/>
              <w:bottom w:val="single" w:color="auto" w:sz="4" w:space="0"/>
              <w:right w:val="single" w:color="auto" w:sz="4" w:space="0"/>
            </w:tcBorders>
            <w:vAlign w:val="center"/>
          </w:tcPr>
          <w:p w14:paraId="07C2073B">
            <w:pPr>
              <w:widowControl/>
              <w:jc w:val="left"/>
              <w:rPr>
                <w:rFonts w:ascii="宋体" w:hAnsi="宋体" w:cs="宋体"/>
                <w:kern w:val="0"/>
                <w:sz w:val="20"/>
                <w:szCs w:val="20"/>
              </w:rPr>
            </w:pPr>
            <w:r>
              <w:rPr>
                <w:rFonts w:hint="eastAsia" w:ascii="宋体" w:hAnsi="宋体" w:cs="宋体"/>
                <w:kern w:val="0"/>
                <w:sz w:val="20"/>
                <w:szCs w:val="20"/>
              </w:rPr>
              <w:t>X＜5</w:t>
            </w:r>
          </w:p>
        </w:tc>
      </w:tr>
      <w:tr w14:paraId="693FBDC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2077414">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62FCF90F">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1DEB8D7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709EDFF9">
            <w:pPr>
              <w:widowControl/>
              <w:jc w:val="left"/>
              <w:rPr>
                <w:rFonts w:ascii="宋体" w:hAnsi="宋体" w:cs="宋体"/>
                <w:kern w:val="0"/>
                <w:sz w:val="20"/>
                <w:szCs w:val="20"/>
              </w:rPr>
            </w:pPr>
            <w:r>
              <w:rPr>
                <w:rFonts w:hint="eastAsia" w:ascii="宋体" w:hAnsi="宋体" w:cs="宋体"/>
                <w:kern w:val="0"/>
                <w:sz w:val="20"/>
                <w:szCs w:val="20"/>
              </w:rPr>
              <w:t>5000≤Y＜40000</w:t>
            </w:r>
          </w:p>
        </w:tc>
        <w:tc>
          <w:tcPr>
            <w:tcW w:w="1699" w:type="dxa"/>
            <w:tcBorders>
              <w:top w:val="nil"/>
              <w:left w:val="nil"/>
              <w:bottom w:val="single" w:color="auto" w:sz="4" w:space="0"/>
              <w:right w:val="single" w:color="auto" w:sz="4" w:space="0"/>
            </w:tcBorders>
            <w:vAlign w:val="center"/>
          </w:tcPr>
          <w:p w14:paraId="1A035A2E">
            <w:pPr>
              <w:widowControl/>
              <w:jc w:val="left"/>
              <w:rPr>
                <w:rFonts w:ascii="宋体" w:hAnsi="宋体" w:cs="宋体"/>
                <w:kern w:val="0"/>
                <w:sz w:val="20"/>
                <w:szCs w:val="20"/>
              </w:rPr>
            </w:pPr>
            <w:r>
              <w:rPr>
                <w:rFonts w:hint="eastAsia" w:ascii="宋体" w:hAnsi="宋体" w:cs="宋体"/>
                <w:kern w:val="0"/>
                <w:sz w:val="20"/>
                <w:szCs w:val="20"/>
              </w:rPr>
              <w:t>1000≤Y＜5000</w:t>
            </w:r>
          </w:p>
        </w:tc>
        <w:tc>
          <w:tcPr>
            <w:tcW w:w="1091" w:type="dxa"/>
            <w:tcBorders>
              <w:top w:val="nil"/>
              <w:left w:val="nil"/>
              <w:bottom w:val="single" w:color="auto" w:sz="4" w:space="0"/>
              <w:right w:val="single" w:color="auto" w:sz="4" w:space="0"/>
            </w:tcBorders>
            <w:vAlign w:val="center"/>
          </w:tcPr>
          <w:p w14:paraId="0DA760F8">
            <w:pPr>
              <w:widowControl/>
              <w:jc w:val="left"/>
              <w:rPr>
                <w:rFonts w:ascii="宋体" w:hAnsi="宋体" w:cs="宋体"/>
                <w:kern w:val="0"/>
                <w:sz w:val="20"/>
                <w:szCs w:val="20"/>
              </w:rPr>
            </w:pPr>
            <w:r>
              <w:rPr>
                <w:rFonts w:hint="eastAsia" w:ascii="宋体" w:hAnsi="宋体" w:cs="宋体"/>
                <w:kern w:val="0"/>
                <w:sz w:val="20"/>
                <w:szCs w:val="20"/>
              </w:rPr>
              <w:t>Y＜1000</w:t>
            </w:r>
          </w:p>
        </w:tc>
      </w:tr>
      <w:tr w14:paraId="33DCAF06">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D60FB53">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14:paraId="1C966C2E">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51C0F00F">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71C656FF">
            <w:pPr>
              <w:widowControl/>
              <w:jc w:val="left"/>
              <w:rPr>
                <w:rFonts w:ascii="宋体" w:hAnsi="宋体" w:cs="宋体"/>
                <w:kern w:val="0"/>
                <w:sz w:val="20"/>
                <w:szCs w:val="20"/>
              </w:rPr>
            </w:pPr>
            <w:r>
              <w:rPr>
                <w:rFonts w:hint="eastAsia" w:ascii="宋体" w:hAnsi="宋体" w:cs="宋体"/>
                <w:kern w:val="0"/>
                <w:sz w:val="20"/>
                <w:szCs w:val="20"/>
              </w:rPr>
              <w:t>50≤X＜300</w:t>
            </w:r>
          </w:p>
        </w:tc>
        <w:tc>
          <w:tcPr>
            <w:tcW w:w="1699" w:type="dxa"/>
            <w:tcBorders>
              <w:top w:val="nil"/>
              <w:left w:val="nil"/>
              <w:bottom w:val="single" w:color="auto" w:sz="4" w:space="0"/>
              <w:right w:val="single" w:color="auto" w:sz="4" w:space="0"/>
            </w:tcBorders>
            <w:vAlign w:val="center"/>
          </w:tcPr>
          <w:p w14:paraId="610475E3">
            <w:pPr>
              <w:widowControl/>
              <w:jc w:val="left"/>
              <w:rPr>
                <w:rFonts w:ascii="宋体" w:hAnsi="宋体" w:cs="宋体"/>
                <w:kern w:val="0"/>
                <w:sz w:val="20"/>
                <w:szCs w:val="20"/>
              </w:rPr>
            </w:pPr>
            <w:r>
              <w:rPr>
                <w:rFonts w:hint="eastAsia" w:ascii="宋体" w:hAnsi="宋体" w:cs="宋体"/>
                <w:kern w:val="0"/>
                <w:sz w:val="20"/>
                <w:szCs w:val="20"/>
              </w:rPr>
              <w:t>10≤X＜50</w:t>
            </w:r>
          </w:p>
        </w:tc>
        <w:tc>
          <w:tcPr>
            <w:tcW w:w="1091" w:type="dxa"/>
            <w:tcBorders>
              <w:top w:val="nil"/>
              <w:left w:val="nil"/>
              <w:bottom w:val="single" w:color="auto" w:sz="4" w:space="0"/>
              <w:right w:val="single" w:color="auto" w:sz="4" w:space="0"/>
            </w:tcBorders>
            <w:vAlign w:val="center"/>
          </w:tcPr>
          <w:p w14:paraId="032B6C0C">
            <w:pPr>
              <w:widowControl/>
              <w:jc w:val="left"/>
              <w:rPr>
                <w:rFonts w:ascii="宋体" w:hAnsi="宋体" w:cs="宋体"/>
                <w:kern w:val="0"/>
                <w:sz w:val="20"/>
                <w:szCs w:val="20"/>
              </w:rPr>
            </w:pPr>
            <w:r>
              <w:rPr>
                <w:rFonts w:hint="eastAsia" w:ascii="宋体" w:hAnsi="宋体" w:cs="宋体"/>
                <w:kern w:val="0"/>
                <w:sz w:val="20"/>
                <w:szCs w:val="20"/>
              </w:rPr>
              <w:t>X＜10</w:t>
            </w:r>
          </w:p>
        </w:tc>
      </w:tr>
      <w:tr w14:paraId="0772C448">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4334888">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E726199">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7516FC6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0DDDE2BF">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14:paraId="14507F73">
            <w:pPr>
              <w:widowControl/>
              <w:jc w:val="left"/>
              <w:rPr>
                <w:rFonts w:ascii="宋体" w:hAnsi="宋体" w:cs="宋体"/>
                <w:kern w:val="0"/>
                <w:sz w:val="20"/>
                <w:szCs w:val="20"/>
              </w:rPr>
            </w:pPr>
            <w:r>
              <w:rPr>
                <w:rFonts w:hint="eastAsia" w:ascii="宋体" w:hAnsi="宋体" w:cs="宋体"/>
                <w:kern w:val="0"/>
                <w:sz w:val="20"/>
                <w:szCs w:val="20"/>
              </w:rPr>
              <w:t>100≤Y＜500</w:t>
            </w:r>
          </w:p>
        </w:tc>
        <w:tc>
          <w:tcPr>
            <w:tcW w:w="1091" w:type="dxa"/>
            <w:tcBorders>
              <w:top w:val="nil"/>
              <w:left w:val="nil"/>
              <w:bottom w:val="single" w:color="auto" w:sz="4" w:space="0"/>
              <w:right w:val="single" w:color="auto" w:sz="4" w:space="0"/>
            </w:tcBorders>
            <w:vAlign w:val="center"/>
          </w:tcPr>
          <w:p w14:paraId="6F360BE2">
            <w:pPr>
              <w:widowControl/>
              <w:jc w:val="left"/>
              <w:rPr>
                <w:rFonts w:ascii="宋体" w:hAnsi="宋体" w:cs="宋体"/>
                <w:kern w:val="0"/>
                <w:sz w:val="20"/>
                <w:szCs w:val="20"/>
              </w:rPr>
            </w:pPr>
            <w:r>
              <w:rPr>
                <w:rFonts w:hint="eastAsia" w:ascii="宋体" w:hAnsi="宋体" w:cs="宋体"/>
                <w:kern w:val="0"/>
                <w:sz w:val="20"/>
                <w:szCs w:val="20"/>
              </w:rPr>
              <w:t>Y＜100</w:t>
            </w:r>
          </w:p>
        </w:tc>
      </w:tr>
      <w:tr w14:paraId="1A488AA5">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8E0B647">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14:paraId="3FBD9D8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6850444A">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A58B055">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6771AAD5">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0EB3942F">
            <w:pPr>
              <w:widowControl/>
              <w:jc w:val="left"/>
              <w:rPr>
                <w:rFonts w:ascii="宋体" w:hAnsi="宋体" w:cs="宋体"/>
                <w:kern w:val="0"/>
                <w:sz w:val="20"/>
                <w:szCs w:val="20"/>
              </w:rPr>
            </w:pPr>
            <w:r>
              <w:rPr>
                <w:rFonts w:hint="eastAsia" w:ascii="宋体" w:hAnsi="宋体" w:cs="宋体"/>
                <w:kern w:val="0"/>
                <w:sz w:val="20"/>
                <w:szCs w:val="20"/>
              </w:rPr>
              <w:t>X＜20</w:t>
            </w:r>
          </w:p>
        </w:tc>
      </w:tr>
      <w:tr w14:paraId="6EEA312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BFB9EED">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F0CD2C6">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19FEC655">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E0B5A88">
            <w:pPr>
              <w:widowControl/>
              <w:jc w:val="left"/>
              <w:rPr>
                <w:rFonts w:ascii="宋体" w:hAnsi="宋体" w:cs="宋体"/>
                <w:kern w:val="0"/>
                <w:sz w:val="20"/>
                <w:szCs w:val="20"/>
              </w:rPr>
            </w:pPr>
            <w:r>
              <w:rPr>
                <w:rFonts w:hint="eastAsia" w:ascii="宋体" w:hAnsi="宋体" w:cs="宋体"/>
                <w:kern w:val="0"/>
                <w:sz w:val="20"/>
                <w:szCs w:val="20"/>
              </w:rPr>
              <w:t>3000≤Y＜30000</w:t>
            </w:r>
          </w:p>
        </w:tc>
        <w:tc>
          <w:tcPr>
            <w:tcW w:w="1699" w:type="dxa"/>
            <w:tcBorders>
              <w:top w:val="nil"/>
              <w:left w:val="nil"/>
              <w:bottom w:val="single" w:color="auto" w:sz="4" w:space="0"/>
              <w:right w:val="single" w:color="auto" w:sz="4" w:space="0"/>
            </w:tcBorders>
            <w:vAlign w:val="center"/>
          </w:tcPr>
          <w:p w14:paraId="749D0153">
            <w:pPr>
              <w:widowControl/>
              <w:jc w:val="left"/>
              <w:rPr>
                <w:rFonts w:ascii="宋体" w:hAnsi="宋体" w:cs="宋体"/>
                <w:kern w:val="0"/>
                <w:sz w:val="20"/>
                <w:szCs w:val="20"/>
              </w:rPr>
            </w:pPr>
            <w:r>
              <w:rPr>
                <w:rFonts w:hint="eastAsia" w:ascii="宋体" w:hAnsi="宋体" w:cs="宋体"/>
                <w:kern w:val="0"/>
                <w:sz w:val="20"/>
                <w:szCs w:val="20"/>
              </w:rPr>
              <w:t>200≤Y＜3000</w:t>
            </w:r>
          </w:p>
        </w:tc>
        <w:tc>
          <w:tcPr>
            <w:tcW w:w="1091" w:type="dxa"/>
            <w:tcBorders>
              <w:top w:val="nil"/>
              <w:left w:val="nil"/>
              <w:bottom w:val="single" w:color="auto" w:sz="4" w:space="0"/>
              <w:right w:val="single" w:color="auto" w:sz="4" w:space="0"/>
            </w:tcBorders>
            <w:vAlign w:val="center"/>
          </w:tcPr>
          <w:p w14:paraId="4648B8E6">
            <w:pPr>
              <w:widowControl/>
              <w:jc w:val="left"/>
              <w:rPr>
                <w:rFonts w:ascii="宋体" w:hAnsi="宋体" w:cs="宋体"/>
                <w:kern w:val="0"/>
                <w:sz w:val="20"/>
                <w:szCs w:val="20"/>
              </w:rPr>
            </w:pPr>
            <w:r>
              <w:rPr>
                <w:rFonts w:hint="eastAsia" w:ascii="宋体" w:hAnsi="宋体" w:cs="宋体"/>
                <w:kern w:val="0"/>
                <w:sz w:val="20"/>
                <w:szCs w:val="20"/>
              </w:rPr>
              <w:t>Y＜200</w:t>
            </w:r>
          </w:p>
        </w:tc>
      </w:tr>
      <w:tr w14:paraId="2B2F23E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96DCBEA">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14:paraId="7434A2F3">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25C4767">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92C0F76">
            <w:pPr>
              <w:widowControl/>
              <w:jc w:val="left"/>
              <w:rPr>
                <w:rFonts w:ascii="宋体" w:hAnsi="宋体" w:cs="宋体"/>
                <w:kern w:val="0"/>
                <w:sz w:val="20"/>
                <w:szCs w:val="20"/>
              </w:rPr>
            </w:pPr>
            <w:r>
              <w:rPr>
                <w:rFonts w:hint="eastAsia" w:ascii="宋体" w:hAnsi="宋体" w:cs="宋体"/>
                <w:kern w:val="0"/>
                <w:sz w:val="20"/>
                <w:szCs w:val="20"/>
              </w:rPr>
              <w:t>100≤X＜200</w:t>
            </w:r>
          </w:p>
        </w:tc>
        <w:tc>
          <w:tcPr>
            <w:tcW w:w="1699" w:type="dxa"/>
            <w:tcBorders>
              <w:top w:val="nil"/>
              <w:left w:val="nil"/>
              <w:bottom w:val="single" w:color="auto" w:sz="4" w:space="0"/>
              <w:right w:val="single" w:color="auto" w:sz="4" w:space="0"/>
            </w:tcBorders>
            <w:vAlign w:val="center"/>
          </w:tcPr>
          <w:p w14:paraId="3A5A01ED">
            <w:pPr>
              <w:widowControl/>
              <w:jc w:val="left"/>
              <w:rPr>
                <w:rFonts w:ascii="宋体" w:hAnsi="宋体" w:cs="宋体"/>
                <w:kern w:val="0"/>
                <w:sz w:val="20"/>
                <w:szCs w:val="20"/>
              </w:rPr>
            </w:pPr>
            <w:r>
              <w:rPr>
                <w:rFonts w:hint="eastAsia" w:ascii="宋体" w:hAnsi="宋体" w:cs="宋体"/>
                <w:kern w:val="0"/>
                <w:sz w:val="20"/>
                <w:szCs w:val="20"/>
              </w:rPr>
              <w:t>20≤X＜100</w:t>
            </w:r>
          </w:p>
        </w:tc>
        <w:tc>
          <w:tcPr>
            <w:tcW w:w="1091" w:type="dxa"/>
            <w:tcBorders>
              <w:top w:val="nil"/>
              <w:left w:val="nil"/>
              <w:bottom w:val="single" w:color="auto" w:sz="4" w:space="0"/>
              <w:right w:val="single" w:color="auto" w:sz="4" w:space="0"/>
            </w:tcBorders>
            <w:vAlign w:val="center"/>
          </w:tcPr>
          <w:p w14:paraId="2A08B5B2">
            <w:pPr>
              <w:widowControl/>
              <w:jc w:val="left"/>
              <w:rPr>
                <w:rFonts w:ascii="宋体" w:hAnsi="宋体" w:cs="宋体"/>
                <w:kern w:val="0"/>
                <w:sz w:val="20"/>
                <w:szCs w:val="20"/>
              </w:rPr>
            </w:pPr>
            <w:r>
              <w:rPr>
                <w:rFonts w:hint="eastAsia" w:ascii="宋体" w:hAnsi="宋体" w:cs="宋体"/>
                <w:kern w:val="0"/>
                <w:sz w:val="20"/>
                <w:szCs w:val="20"/>
              </w:rPr>
              <w:t>X＜20</w:t>
            </w:r>
          </w:p>
        </w:tc>
      </w:tr>
      <w:tr w14:paraId="1F4BFF8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A818EF7">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67567418">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7AB098CD">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3E2F9BD">
            <w:pPr>
              <w:widowControl/>
              <w:jc w:val="left"/>
              <w:rPr>
                <w:rFonts w:ascii="宋体" w:hAnsi="宋体" w:cs="宋体"/>
                <w:kern w:val="0"/>
                <w:sz w:val="20"/>
                <w:szCs w:val="20"/>
              </w:rPr>
            </w:pPr>
            <w:r>
              <w:rPr>
                <w:rFonts w:hint="eastAsia" w:ascii="宋体" w:hAnsi="宋体" w:cs="宋体"/>
                <w:kern w:val="0"/>
                <w:sz w:val="20"/>
                <w:szCs w:val="20"/>
              </w:rPr>
              <w:t>1000≤Y＜30000</w:t>
            </w:r>
          </w:p>
        </w:tc>
        <w:tc>
          <w:tcPr>
            <w:tcW w:w="1699" w:type="dxa"/>
            <w:tcBorders>
              <w:top w:val="nil"/>
              <w:left w:val="nil"/>
              <w:bottom w:val="single" w:color="auto" w:sz="4" w:space="0"/>
              <w:right w:val="single" w:color="auto" w:sz="4" w:space="0"/>
            </w:tcBorders>
            <w:vAlign w:val="center"/>
          </w:tcPr>
          <w:p w14:paraId="1593BEE0">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14:paraId="600E4A79">
            <w:pPr>
              <w:widowControl/>
              <w:jc w:val="left"/>
              <w:rPr>
                <w:rFonts w:ascii="宋体" w:hAnsi="宋体" w:cs="宋体"/>
                <w:kern w:val="0"/>
                <w:sz w:val="20"/>
                <w:szCs w:val="20"/>
              </w:rPr>
            </w:pPr>
            <w:r>
              <w:rPr>
                <w:rFonts w:hint="eastAsia" w:ascii="宋体" w:hAnsi="宋体" w:cs="宋体"/>
                <w:kern w:val="0"/>
                <w:sz w:val="20"/>
                <w:szCs w:val="20"/>
              </w:rPr>
              <w:t>Y＜100</w:t>
            </w:r>
          </w:p>
        </w:tc>
      </w:tr>
      <w:tr w14:paraId="58294A8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1963296">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14:paraId="3A1F70D8">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6338EBD4">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19BC0A4C">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5DE3B6C3">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03E736AD">
            <w:pPr>
              <w:widowControl/>
              <w:jc w:val="left"/>
              <w:rPr>
                <w:rFonts w:ascii="宋体" w:hAnsi="宋体" w:cs="宋体"/>
                <w:kern w:val="0"/>
                <w:sz w:val="20"/>
                <w:szCs w:val="20"/>
              </w:rPr>
            </w:pPr>
            <w:r>
              <w:rPr>
                <w:rFonts w:hint="eastAsia" w:ascii="宋体" w:hAnsi="宋体" w:cs="宋体"/>
                <w:kern w:val="0"/>
                <w:sz w:val="20"/>
                <w:szCs w:val="20"/>
              </w:rPr>
              <w:t>X＜20</w:t>
            </w:r>
          </w:p>
        </w:tc>
      </w:tr>
      <w:tr w14:paraId="0F0901A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31D52BF">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56FC2F38">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23AC5C46">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65CB69C">
            <w:pPr>
              <w:widowControl/>
              <w:jc w:val="left"/>
              <w:rPr>
                <w:rFonts w:ascii="宋体" w:hAnsi="宋体" w:cs="宋体"/>
                <w:kern w:val="0"/>
                <w:sz w:val="20"/>
                <w:szCs w:val="20"/>
              </w:rPr>
            </w:pPr>
            <w:r>
              <w:rPr>
                <w:rFonts w:hint="eastAsia" w:ascii="宋体" w:hAnsi="宋体" w:cs="宋体"/>
                <w:kern w:val="0"/>
                <w:sz w:val="20"/>
                <w:szCs w:val="20"/>
              </w:rPr>
              <w:t>2000≤Y＜30000</w:t>
            </w:r>
          </w:p>
        </w:tc>
        <w:tc>
          <w:tcPr>
            <w:tcW w:w="1699" w:type="dxa"/>
            <w:tcBorders>
              <w:top w:val="nil"/>
              <w:left w:val="nil"/>
              <w:bottom w:val="single" w:color="auto" w:sz="4" w:space="0"/>
              <w:right w:val="single" w:color="auto" w:sz="4" w:space="0"/>
            </w:tcBorders>
            <w:vAlign w:val="center"/>
          </w:tcPr>
          <w:p w14:paraId="4DD63598">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2DD2E787">
            <w:pPr>
              <w:widowControl/>
              <w:jc w:val="left"/>
              <w:rPr>
                <w:rFonts w:ascii="宋体" w:hAnsi="宋体" w:cs="宋体"/>
                <w:kern w:val="0"/>
                <w:sz w:val="20"/>
                <w:szCs w:val="20"/>
              </w:rPr>
            </w:pPr>
            <w:r>
              <w:rPr>
                <w:rFonts w:hint="eastAsia" w:ascii="宋体" w:hAnsi="宋体" w:cs="宋体"/>
                <w:kern w:val="0"/>
                <w:sz w:val="20"/>
                <w:szCs w:val="20"/>
              </w:rPr>
              <w:t>Y＜100</w:t>
            </w:r>
          </w:p>
        </w:tc>
      </w:tr>
      <w:tr w14:paraId="77628923">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7924FAB">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14:paraId="73073CB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77B04FE1">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1F55510">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7BCD170F">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05FA88E6">
            <w:pPr>
              <w:widowControl/>
              <w:jc w:val="left"/>
              <w:rPr>
                <w:rFonts w:ascii="宋体" w:hAnsi="宋体" w:cs="宋体"/>
                <w:kern w:val="0"/>
                <w:sz w:val="20"/>
                <w:szCs w:val="20"/>
              </w:rPr>
            </w:pPr>
            <w:r>
              <w:rPr>
                <w:rFonts w:hint="eastAsia" w:ascii="宋体" w:hAnsi="宋体" w:cs="宋体"/>
                <w:kern w:val="0"/>
                <w:sz w:val="20"/>
                <w:szCs w:val="20"/>
              </w:rPr>
              <w:t>X＜10</w:t>
            </w:r>
          </w:p>
        </w:tc>
      </w:tr>
      <w:tr w14:paraId="391D111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A33FCA7">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57704CBC">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A3CBFBC">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794574D">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14:paraId="70E6142A">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45A07E60">
            <w:pPr>
              <w:widowControl/>
              <w:jc w:val="left"/>
              <w:rPr>
                <w:rFonts w:ascii="宋体" w:hAnsi="宋体" w:cs="宋体"/>
                <w:kern w:val="0"/>
                <w:sz w:val="20"/>
                <w:szCs w:val="20"/>
              </w:rPr>
            </w:pPr>
            <w:r>
              <w:rPr>
                <w:rFonts w:hint="eastAsia" w:ascii="宋体" w:hAnsi="宋体" w:cs="宋体"/>
                <w:kern w:val="0"/>
                <w:sz w:val="20"/>
                <w:szCs w:val="20"/>
              </w:rPr>
              <w:t>Y＜100</w:t>
            </w:r>
          </w:p>
        </w:tc>
      </w:tr>
      <w:tr w14:paraId="736990A7">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B25DF53">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14:paraId="66F53490">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67EE681A">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01CADF3">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274A0A76">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5E8019C5">
            <w:pPr>
              <w:widowControl/>
              <w:jc w:val="left"/>
              <w:rPr>
                <w:rFonts w:ascii="宋体" w:hAnsi="宋体" w:cs="宋体"/>
                <w:kern w:val="0"/>
                <w:sz w:val="20"/>
                <w:szCs w:val="20"/>
              </w:rPr>
            </w:pPr>
            <w:r>
              <w:rPr>
                <w:rFonts w:hint="eastAsia" w:ascii="宋体" w:hAnsi="宋体" w:cs="宋体"/>
                <w:kern w:val="0"/>
                <w:sz w:val="20"/>
                <w:szCs w:val="20"/>
              </w:rPr>
              <w:t>X＜10</w:t>
            </w:r>
          </w:p>
        </w:tc>
      </w:tr>
      <w:tr w14:paraId="0AFEBCD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3DF3AB3">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15DBAB63">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274ABDF2">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7965C39A">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14:paraId="500DF137">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41EBB800">
            <w:pPr>
              <w:widowControl/>
              <w:jc w:val="left"/>
              <w:rPr>
                <w:rFonts w:ascii="宋体" w:hAnsi="宋体" w:cs="宋体"/>
                <w:kern w:val="0"/>
                <w:sz w:val="20"/>
                <w:szCs w:val="20"/>
              </w:rPr>
            </w:pPr>
            <w:r>
              <w:rPr>
                <w:rFonts w:hint="eastAsia" w:ascii="宋体" w:hAnsi="宋体" w:cs="宋体"/>
                <w:kern w:val="0"/>
                <w:sz w:val="20"/>
                <w:szCs w:val="20"/>
              </w:rPr>
              <w:t>Y＜100</w:t>
            </w:r>
          </w:p>
        </w:tc>
      </w:tr>
      <w:tr w14:paraId="4E3668B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99FE3C4">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14:paraId="35F1B79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151DBA9C">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08CAB78">
            <w:pPr>
              <w:widowControl/>
              <w:jc w:val="left"/>
              <w:rPr>
                <w:rFonts w:ascii="宋体" w:hAnsi="宋体" w:cs="宋体"/>
                <w:kern w:val="0"/>
                <w:sz w:val="20"/>
                <w:szCs w:val="20"/>
              </w:rPr>
            </w:pPr>
            <w:r>
              <w:rPr>
                <w:rFonts w:hint="eastAsia" w:ascii="宋体" w:hAnsi="宋体" w:cs="宋体"/>
                <w:kern w:val="0"/>
                <w:sz w:val="20"/>
                <w:szCs w:val="20"/>
              </w:rPr>
              <w:t>100≤X＜2000</w:t>
            </w:r>
          </w:p>
        </w:tc>
        <w:tc>
          <w:tcPr>
            <w:tcW w:w="1699" w:type="dxa"/>
            <w:tcBorders>
              <w:top w:val="nil"/>
              <w:left w:val="nil"/>
              <w:bottom w:val="single" w:color="auto" w:sz="4" w:space="0"/>
              <w:right w:val="single" w:color="auto" w:sz="4" w:space="0"/>
            </w:tcBorders>
            <w:vAlign w:val="center"/>
          </w:tcPr>
          <w:p w14:paraId="1F9AE84C">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14CE6CF3">
            <w:pPr>
              <w:widowControl/>
              <w:jc w:val="left"/>
              <w:rPr>
                <w:rFonts w:ascii="宋体" w:hAnsi="宋体" w:cs="宋体"/>
                <w:kern w:val="0"/>
                <w:sz w:val="20"/>
                <w:szCs w:val="20"/>
              </w:rPr>
            </w:pPr>
            <w:r>
              <w:rPr>
                <w:rFonts w:hint="eastAsia" w:ascii="宋体" w:hAnsi="宋体" w:cs="宋体"/>
                <w:kern w:val="0"/>
                <w:sz w:val="20"/>
                <w:szCs w:val="20"/>
              </w:rPr>
              <w:t>X＜10</w:t>
            </w:r>
          </w:p>
        </w:tc>
      </w:tr>
      <w:tr w14:paraId="661D9BB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85CF8EC">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41C63C8B">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6D0D6CEC">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37187E10">
            <w:pPr>
              <w:widowControl/>
              <w:jc w:val="left"/>
              <w:rPr>
                <w:rFonts w:ascii="宋体" w:hAnsi="宋体" w:cs="宋体"/>
                <w:kern w:val="0"/>
                <w:sz w:val="20"/>
                <w:szCs w:val="20"/>
              </w:rPr>
            </w:pPr>
            <w:r>
              <w:rPr>
                <w:rFonts w:hint="eastAsia" w:ascii="宋体" w:hAnsi="宋体" w:cs="宋体"/>
                <w:kern w:val="0"/>
                <w:sz w:val="20"/>
                <w:szCs w:val="20"/>
              </w:rPr>
              <w:t>1000≤Y＜100000</w:t>
            </w:r>
          </w:p>
        </w:tc>
        <w:tc>
          <w:tcPr>
            <w:tcW w:w="1699" w:type="dxa"/>
            <w:tcBorders>
              <w:top w:val="nil"/>
              <w:left w:val="nil"/>
              <w:bottom w:val="single" w:color="auto" w:sz="4" w:space="0"/>
              <w:right w:val="single" w:color="auto" w:sz="4" w:space="0"/>
            </w:tcBorders>
            <w:vAlign w:val="center"/>
          </w:tcPr>
          <w:p w14:paraId="41A90E0B">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14:paraId="0D8C9ADC">
            <w:pPr>
              <w:widowControl/>
              <w:jc w:val="left"/>
              <w:rPr>
                <w:rFonts w:ascii="宋体" w:hAnsi="宋体" w:cs="宋体"/>
                <w:kern w:val="0"/>
                <w:sz w:val="20"/>
                <w:szCs w:val="20"/>
              </w:rPr>
            </w:pPr>
            <w:r>
              <w:rPr>
                <w:rFonts w:hint="eastAsia" w:ascii="宋体" w:hAnsi="宋体" w:cs="宋体"/>
                <w:kern w:val="0"/>
                <w:sz w:val="20"/>
                <w:szCs w:val="20"/>
              </w:rPr>
              <w:t>Y＜100</w:t>
            </w:r>
          </w:p>
        </w:tc>
      </w:tr>
      <w:tr w14:paraId="7397B476">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8ECE693">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14:paraId="5356565D">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23C1A22">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6C356DA">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4EE7D47E">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2ECFC3CF">
            <w:pPr>
              <w:widowControl/>
              <w:jc w:val="left"/>
              <w:rPr>
                <w:rFonts w:ascii="宋体" w:hAnsi="宋体" w:cs="宋体"/>
                <w:kern w:val="0"/>
                <w:sz w:val="20"/>
                <w:szCs w:val="20"/>
              </w:rPr>
            </w:pPr>
            <w:r>
              <w:rPr>
                <w:rFonts w:hint="eastAsia" w:ascii="宋体" w:hAnsi="宋体" w:cs="宋体"/>
                <w:kern w:val="0"/>
                <w:sz w:val="20"/>
                <w:szCs w:val="20"/>
              </w:rPr>
              <w:t>X＜10</w:t>
            </w:r>
          </w:p>
        </w:tc>
      </w:tr>
      <w:tr w14:paraId="65AC45B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DF31206">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11072D19">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5B59E568">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2C2B201">
            <w:pPr>
              <w:widowControl/>
              <w:jc w:val="left"/>
              <w:rPr>
                <w:rFonts w:ascii="宋体" w:hAnsi="宋体" w:cs="宋体"/>
                <w:kern w:val="0"/>
                <w:sz w:val="20"/>
                <w:szCs w:val="20"/>
              </w:rPr>
            </w:pPr>
            <w:r>
              <w:rPr>
                <w:rFonts w:hint="eastAsia" w:ascii="宋体" w:hAnsi="宋体" w:cs="宋体"/>
                <w:kern w:val="0"/>
                <w:sz w:val="20"/>
                <w:szCs w:val="20"/>
              </w:rPr>
              <w:t>1000≤Y＜10000</w:t>
            </w:r>
          </w:p>
        </w:tc>
        <w:tc>
          <w:tcPr>
            <w:tcW w:w="1699" w:type="dxa"/>
            <w:tcBorders>
              <w:top w:val="nil"/>
              <w:left w:val="nil"/>
              <w:bottom w:val="single" w:color="auto" w:sz="4" w:space="0"/>
              <w:right w:val="single" w:color="auto" w:sz="4" w:space="0"/>
            </w:tcBorders>
            <w:vAlign w:val="center"/>
          </w:tcPr>
          <w:p w14:paraId="2233A76F">
            <w:pPr>
              <w:widowControl/>
              <w:jc w:val="left"/>
              <w:rPr>
                <w:rFonts w:ascii="宋体" w:hAnsi="宋体" w:cs="宋体"/>
                <w:kern w:val="0"/>
                <w:sz w:val="20"/>
                <w:szCs w:val="20"/>
              </w:rPr>
            </w:pPr>
            <w:r>
              <w:rPr>
                <w:rFonts w:hint="eastAsia" w:ascii="宋体" w:hAnsi="宋体" w:cs="宋体"/>
                <w:kern w:val="0"/>
                <w:sz w:val="20"/>
                <w:szCs w:val="20"/>
              </w:rPr>
              <w:t>50≤Y＜1000</w:t>
            </w:r>
          </w:p>
        </w:tc>
        <w:tc>
          <w:tcPr>
            <w:tcW w:w="1091" w:type="dxa"/>
            <w:tcBorders>
              <w:top w:val="nil"/>
              <w:left w:val="nil"/>
              <w:bottom w:val="single" w:color="auto" w:sz="4" w:space="0"/>
              <w:right w:val="single" w:color="auto" w:sz="4" w:space="0"/>
            </w:tcBorders>
            <w:vAlign w:val="center"/>
          </w:tcPr>
          <w:p w14:paraId="32AB0359">
            <w:pPr>
              <w:widowControl/>
              <w:jc w:val="left"/>
              <w:rPr>
                <w:rFonts w:ascii="宋体" w:hAnsi="宋体" w:cs="宋体"/>
                <w:kern w:val="0"/>
                <w:sz w:val="20"/>
                <w:szCs w:val="20"/>
              </w:rPr>
            </w:pPr>
            <w:r>
              <w:rPr>
                <w:rFonts w:hint="eastAsia" w:ascii="宋体" w:hAnsi="宋体" w:cs="宋体"/>
                <w:kern w:val="0"/>
                <w:sz w:val="20"/>
                <w:szCs w:val="20"/>
              </w:rPr>
              <w:t>Y＜50</w:t>
            </w:r>
          </w:p>
        </w:tc>
      </w:tr>
      <w:tr w14:paraId="6ADEC27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CFC971E">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14:paraId="213E0E80">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64BF0B9B">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02D219D">
            <w:pPr>
              <w:widowControl/>
              <w:jc w:val="left"/>
              <w:rPr>
                <w:rFonts w:ascii="宋体" w:hAnsi="宋体" w:cs="宋体"/>
                <w:kern w:val="0"/>
                <w:sz w:val="20"/>
                <w:szCs w:val="20"/>
              </w:rPr>
            </w:pPr>
            <w:r>
              <w:rPr>
                <w:rFonts w:hint="eastAsia" w:ascii="宋体" w:hAnsi="宋体" w:cs="宋体"/>
                <w:kern w:val="0"/>
                <w:sz w:val="20"/>
                <w:szCs w:val="20"/>
              </w:rPr>
              <w:t>1000≤Y＜200000</w:t>
            </w:r>
          </w:p>
        </w:tc>
        <w:tc>
          <w:tcPr>
            <w:tcW w:w="1699" w:type="dxa"/>
            <w:tcBorders>
              <w:top w:val="nil"/>
              <w:left w:val="nil"/>
              <w:bottom w:val="single" w:color="auto" w:sz="4" w:space="0"/>
              <w:right w:val="single" w:color="auto" w:sz="4" w:space="0"/>
            </w:tcBorders>
            <w:vAlign w:val="center"/>
          </w:tcPr>
          <w:p w14:paraId="2E6F3185">
            <w:pPr>
              <w:widowControl/>
              <w:jc w:val="left"/>
              <w:rPr>
                <w:rFonts w:ascii="宋体" w:hAnsi="宋体" w:cs="宋体"/>
                <w:kern w:val="0"/>
                <w:sz w:val="20"/>
                <w:szCs w:val="20"/>
              </w:rPr>
            </w:pPr>
            <w:r>
              <w:rPr>
                <w:rFonts w:hint="eastAsia" w:ascii="宋体" w:hAnsi="宋体" w:cs="宋体"/>
                <w:kern w:val="0"/>
                <w:sz w:val="20"/>
                <w:szCs w:val="20"/>
              </w:rPr>
              <w:t>100≤X＜1000</w:t>
            </w:r>
          </w:p>
        </w:tc>
        <w:tc>
          <w:tcPr>
            <w:tcW w:w="1091" w:type="dxa"/>
            <w:tcBorders>
              <w:top w:val="nil"/>
              <w:left w:val="nil"/>
              <w:bottom w:val="single" w:color="auto" w:sz="4" w:space="0"/>
              <w:right w:val="single" w:color="auto" w:sz="4" w:space="0"/>
            </w:tcBorders>
            <w:vAlign w:val="center"/>
          </w:tcPr>
          <w:p w14:paraId="7ACB789B">
            <w:pPr>
              <w:widowControl/>
              <w:jc w:val="left"/>
              <w:rPr>
                <w:rFonts w:ascii="宋体" w:hAnsi="宋体" w:cs="宋体"/>
                <w:kern w:val="0"/>
                <w:sz w:val="20"/>
                <w:szCs w:val="20"/>
              </w:rPr>
            </w:pPr>
            <w:r>
              <w:rPr>
                <w:rFonts w:hint="eastAsia" w:ascii="宋体" w:hAnsi="宋体" w:cs="宋体"/>
                <w:kern w:val="0"/>
                <w:sz w:val="20"/>
                <w:szCs w:val="20"/>
              </w:rPr>
              <w:t>X＜100</w:t>
            </w:r>
          </w:p>
        </w:tc>
      </w:tr>
      <w:tr w14:paraId="28AF2C0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ED79902">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3015E813">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5374EE9A">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47F271A5">
            <w:pPr>
              <w:widowControl/>
              <w:jc w:val="left"/>
              <w:rPr>
                <w:rFonts w:ascii="宋体" w:hAnsi="宋体" w:cs="宋体"/>
                <w:kern w:val="0"/>
                <w:sz w:val="20"/>
                <w:szCs w:val="20"/>
              </w:rPr>
            </w:pPr>
            <w:r>
              <w:rPr>
                <w:rFonts w:hint="eastAsia" w:ascii="宋体" w:hAnsi="宋体" w:cs="宋体"/>
                <w:kern w:val="0"/>
                <w:sz w:val="20"/>
                <w:szCs w:val="20"/>
              </w:rPr>
              <w:t>5000≤Z＜10000</w:t>
            </w:r>
          </w:p>
        </w:tc>
        <w:tc>
          <w:tcPr>
            <w:tcW w:w="1699" w:type="dxa"/>
            <w:tcBorders>
              <w:top w:val="nil"/>
              <w:left w:val="nil"/>
              <w:bottom w:val="single" w:color="auto" w:sz="4" w:space="0"/>
              <w:right w:val="single" w:color="auto" w:sz="4" w:space="0"/>
            </w:tcBorders>
            <w:vAlign w:val="center"/>
          </w:tcPr>
          <w:p w14:paraId="3AFEAFC4">
            <w:pPr>
              <w:widowControl/>
              <w:jc w:val="left"/>
              <w:rPr>
                <w:rFonts w:ascii="宋体" w:hAnsi="宋体" w:cs="宋体"/>
                <w:kern w:val="0"/>
                <w:sz w:val="20"/>
                <w:szCs w:val="20"/>
              </w:rPr>
            </w:pPr>
            <w:r>
              <w:rPr>
                <w:rFonts w:hint="eastAsia" w:ascii="宋体" w:hAnsi="宋体" w:cs="宋体"/>
                <w:kern w:val="0"/>
                <w:sz w:val="20"/>
                <w:szCs w:val="20"/>
              </w:rPr>
              <w:t>2000≤Y＜5000</w:t>
            </w:r>
          </w:p>
        </w:tc>
        <w:tc>
          <w:tcPr>
            <w:tcW w:w="1091" w:type="dxa"/>
            <w:tcBorders>
              <w:top w:val="nil"/>
              <w:left w:val="nil"/>
              <w:bottom w:val="single" w:color="auto" w:sz="4" w:space="0"/>
              <w:right w:val="single" w:color="auto" w:sz="4" w:space="0"/>
            </w:tcBorders>
            <w:vAlign w:val="center"/>
          </w:tcPr>
          <w:p w14:paraId="57A9D076">
            <w:pPr>
              <w:widowControl/>
              <w:jc w:val="left"/>
              <w:rPr>
                <w:rFonts w:ascii="宋体" w:hAnsi="宋体" w:cs="宋体"/>
                <w:kern w:val="0"/>
                <w:sz w:val="20"/>
                <w:szCs w:val="20"/>
              </w:rPr>
            </w:pPr>
            <w:r>
              <w:rPr>
                <w:rFonts w:hint="eastAsia" w:ascii="宋体" w:hAnsi="宋体" w:cs="宋体"/>
                <w:kern w:val="0"/>
                <w:sz w:val="20"/>
                <w:szCs w:val="20"/>
              </w:rPr>
              <w:t>Y＜2000</w:t>
            </w:r>
          </w:p>
        </w:tc>
      </w:tr>
      <w:tr w14:paraId="3639556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339480F">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14:paraId="278E4BC8">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18FDF374">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1715AAB">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54B02E6F">
            <w:pPr>
              <w:widowControl/>
              <w:jc w:val="left"/>
              <w:rPr>
                <w:rFonts w:ascii="宋体" w:hAnsi="宋体" w:cs="宋体"/>
                <w:kern w:val="0"/>
                <w:sz w:val="20"/>
                <w:szCs w:val="20"/>
              </w:rPr>
            </w:pPr>
            <w:r>
              <w:rPr>
                <w:rFonts w:hint="eastAsia" w:ascii="宋体" w:hAnsi="宋体" w:cs="宋体"/>
                <w:kern w:val="0"/>
                <w:sz w:val="20"/>
                <w:szCs w:val="20"/>
              </w:rPr>
              <w:t>100≤X＜300</w:t>
            </w:r>
          </w:p>
        </w:tc>
        <w:tc>
          <w:tcPr>
            <w:tcW w:w="1091" w:type="dxa"/>
            <w:tcBorders>
              <w:top w:val="nil"/>
              <w:left w:val="nil"/>
              <w:bottom w:val="single" w:color="auto" w:sz="4" w:space="0"/>
              <w:right w:val="single" w:color="auto" w:sz="4" w:space="0"/>
            </w:tcBorders>
            <w:vAlign w:val="center"/>
          </w:tcPr>
          <w:p w14:paraId="05F229C6">
            <w:pPr>
              <w:widowControl/>
              <w:jc w:val="left"/>
              <w:rPr>
                <w:rFonts w:ascii="宋体" w:hAnsi="宋体" w:cs="宋体"/>
                <w:kern w:val="0"/>
                <w:sz w:val="20"/>
                <w:szCs w:val="20"/>
              </w:rPr>
            </w:pPr>
            <w:r>
              <w:rPr>
                <w:rFonts w:hint="eastAsia" w:ascii="宋体" w:hAnsi="宋体" w:cs="宋体"/>
                <w:kern w:val="0"/>
                <w:sz w:val="20"/>
                <w:szCs w:val="20"/>
              </w:rPr>
              <w:t>X＜100</w:t>
            </w:r>
          </w:p>
        </w:tc>
      </w:tr>
      <w:tr w14:paraId="63A5377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08E9E18">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0A53EFB7">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511FEFA9">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139F85E">
            <w:pPr>
              <w:widowControl/>
              <w:jc w:val="left"/>
              <w:rPr>
                <w:rFonts w:ascii="宋体" w:hAnsi="宋体" w:cs="宋体"/>
                <w:kern w:val="0"/>
                <w:sz w:val="20"/>
                <w:szCs w:val="20"/>
              </w:rPr>
            </w:pPr>
            <w:r>
              <w:rPr>
                <w:rFonts w:hint="eastAsia" w:ascii="宋体" w:hAnsi="宋体" w:cs="宋体"/>
                <w:kern w:val="0"/>
                <w:sz w:val="20"/>
                <w:szCs w:val="20"/>
              </w:rPr>
              <w:t>1000≤Y＜5000</w:t>
            </w:r>
          </w:p>
        </w:tc>
        <w:tc>
          <w:tcPr>
            <w:tcW w:w="1699" w:type="dxa"/>
            <w:tcBorders>
              <w:top w:val="nil"/>
              <w:left w:val="nil"/>
              <w:bottom w:val="single" w:color="auto" w:sz="4" w:space="0"/>
              <w:right w:val="single" w:color="auto" w:sz="4" w:space="0"/>
            </w:tcBorders>
            <w:vAlign w:val="center"/>
          </w:tcPr>
          <w:p w14:paraId="37F9FD0C">
            <w:pPr>
              <w:widowControl/>
              <w:jc w:val="left"/>
              <w:rPr>
                <w:rFonts w:ascii="宋体" w:hAnsi="宋体" w:cs="宋体"/>
                <w:kern w:val="0"/>
                <w:sz w:val="20"/>
                <w:szCs w:val="20"/>
              </w:rPr>
            </w:pPr>
            <w:r>
              <w:rPr>
                <w:rFonts w:hint="eastAsia" w:ascii="宋体" w:hAnsi="宋体" w:cs="宋体"/>
                <w:kern w:val="0"/>
                <w:sz w:val="20"/>
                <w:szCs w:val="20"/>
              </w:rPr>
              <w:t>500≤Y＜1000</w:t>
            </w:r>
          </w:p>
        </w:tc>
        <w:tc>
          <w:tcPr>
            <w:tcW w:w="1091" w:type="dxa"/>
            <w:tcBorders>
              <w:top w:val="nil"/>
              <w:left w:val="nil"/>
              <w:bottom w:val="single" w:color="auto" w:sz="4" w:space="0"/>
              <w:right w:val="single" w:color="auto" w:sz="4" w:space="0"/>
            </w:tcBorders>
            <w:vAlign w:val="center"/>
          </w:tcPr>
          <w:p w14:paraId="0C6D9978">
            <w:pPr>
              <w:widowControl/>
              <w:jc w:val="left"/>
              <w:rPr>
                <w:rFonts w:ascii="宋体" w:hAnsi="宋体" w:cs="宋体"/>
                <w:kern w:val="0"/>
                <w:sz w:val="20"/>
                <w:szCs w:val="20"/>
              </w:rPr>
            </w:pPr>
            <w:r>
              <w:rPr>
                <w:rFonts w:hint="eastAsia" w:ascii="宋体" w:hAnsi="宋体" w:cs="宋体"/>
                <w:kern w:val="0"/>
                <w:sz w:val="20"/>
                <w:szCs w:val="20"/>
              </w:rPr>
              <w:t>Y＜500</w:t>
            </w:r>
          </w:p>
        </w:tc>
      </w:tr>
      <w:tr w14:paraId="2F36D5C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44E4DF0">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14:paraId="5B10CB60">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E56FDE3">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5A56C967">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4E794963">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1E01340F">
            <w:pPr>
              <w:widowControl/>
              <w:jc w:val="left"/>
              <w:rPr>
                <w:rFonts w:ascii="宋体" w:hAnsi="宋体" w:cs="宋体"/>
                <w:kern w:val="0"/>
                <w:sz w:val="20"/>
                <w:szCs w:val="20"/>
              </w:rPr>
            </w:pPr>
            <w:r>
              <w:rPr>
                <w:rFonts w:hint="eastAsia" w:ascii="宋体" w:hAnsi="宋体" w:cs="宋体"/>
                <w:kern w:val="0"/>
                <w:sz w:val="20"/>
                <w:szCs w:val="20"/>
              </w:rPr>
              <w:t>X＜10</w:t>
            </w:r>
          </w:p>
        </w:tc>
      </w:tr>
      <w:tr w14:paraId="2B57D00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5B4F5B5">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6A431198">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2A06E330">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54682A6">
            <w:pPr>
              <w:widowControl/>
              <w:jc w:val="left"/>
              <w:rPr>
                <w:rFonts w:ascii="宋体" w:hAnsi="宋体" w:cs="宋体"/>
                <w:kern w:val="0"/>
                <w:sz w:val="20"/>
                <w:szCs w:val="20"/>
              </w:rPr>
            </w:pPr>
            <w:r>
              <w:rPr>
                <w:rFonts w:hint="eastAsia" w:ascii="宋体" w:hAnsi="宋体" w:cs="宋体"/>
                <w:kern w:val="0"/>
                <w:sz w:val="20"/>
                <w:szCs w:val="20"/>
              </w:rPr>
              <w:t>8000≤Z＜120000</w:t>
            </w:r>
          </w:p>
        </w:tc>
        <w:tc>
          <w:tcPr>
            <w:tcW w:w="1699" w:type="dxa"/>
            <w:tcBorders>
              <w:top w:val="nil"/>
              <w:left w:val="nil"/>
              <w:bottom w:val="single" w:color="auto" w:sz="4" w:space="0"/>
              <w:right w:val="single" w:color="auto" w:sz="4" w:space="0"/>
            </w:tcBorders>
            <w:vAlign w:val="center"/>
          </w:tcPr>
          <w:p w14:paraId="5D0F0ED1">
            <w:pPr>
              <w:widowControl/>
              <w:jc w:val="left"/>
              <w:rPr>
                <w:rFonts w:ascii="宋体" w:hAnsi="宋体" w:cs="宋体"/>
                <w:kern w:val="0"/>
                <w:sz w:val="20"/>
                <w:szCs w:val="20"/>
              </w:rPr>
            </w:pPr>
            <w:r>
              <w:rPr>
                <w:rFonts w:hint="eastAsia" w:ascii="宋体" w:hAnsi="宋体" w:cs="宋体"/>
                <w:kern w:val="0"/>
                <w:sz w:val="20"/>
                <w:szCs w:val="20"/>
              </w:rPr>
              <w:t>100≤Z＜8000</w:t>
            </w:r>
          </w:p>
        </w:tc>
        <w:tc>
          <w:tcPr>
            <w:tcW w:w="1091" w:type="dxa"/>
            <w:tcBorders>
              <w:top w:val="nil"/>
              <w:left w:val="nil"/>
              <w:bottom w:val="single" w:color="auto" w:sz="4" w:space="0"/>
              <w:right w:val="single" w:color="auto" w:sz="4" w:space="0"/>
            </w:tcBorders>
            <w:vAlign w:val="center"/>
          </w:tcPr>
          <w:p w14:paraId="25B85313">
            <w:pPr>
              <w:widowControl/>
              <w:jc w:val="left"/>
              <w:rPr>
                <w:rFonts w:ascii="宋体" w:hAnsi="宋体" w:cs="宋体"/>
                <w:kern w:val="0"/>
                <w:sz w:val="20"/>
                <w:szCs w:val="20"/>
              </w:rPr>
            </w:pPr>
            <w:r>
              <w:rPr>
                <w:rFonts w:hint="eastAsia" w:ascii="宋体" w:hAnsi="宋体" w:cs="宋体"/>
                <w:kern w:val="0"/>
                <w:sz w:val="20"/>
                <w:szCs w:val="20"/>
              </w:rPr>
              <w:t>Y＜100</w:t>
            </w:r>
          </w:p>
        </w:tc>
      </w:tr>
      <w:tr w14:paraId="3360DC10">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62D37081">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14:paraId="64900344">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03DA31F5">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4BB26D8">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7ACE1810">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4F7E17B8">
            <w:pPr>
              <w:widowControl/>
              <w:jc w:val="left"/>
              <w:rPr>
                <w:rFonts w:ascii="宋体" w:hAnsi="宋体" w:cs="宋体"/>
                <w:kern w:val="0"/>
                <w:sz w:val="20"/>
                <w:szCs w:val="20"/>
              </w:rPr>
            </w:pPr>
            <w:r>
              <w:rPr>
                <w:rFonts w:hint="eastAsia" w:ascii="宋体" w:hAnsi="宋体" w:cs="宋体"/>
                <w:kern w:val="0"/>
                <w:sz w:val="20"/>
                <w:szCs w:val="20"/>
              </w:rPr>
              <w:t>X＜10</w:t>
            </w:r>
          </w:p>
        </w:tc>
      </w:tr>
    </w:tbl>
    <w:p w14:paraId="07B04FA0">
      <w:pPr>
        <w:spacing w:line="360" w:lineRule="auto"/>
        <w:ind w:firstLine="602" w:firstLineChars="250"/>
        <w:rPr>
          <w:rFonts w:ascii="楷体" w:hAnsi="楷体" w:eastAsia="楷体" w:cs="宋体"/>
          <w:b/>
          <w:sz w:val="24"/>
        </w:rPr>
      </w:pPr>
      <w:r>
        <w:rPr>
          <w:rFonts w:hint="eastAsia" w:ascii="楷体" w:hAnsi="楷体" w:eastAsia="楷体" w:cs="宋体"/>
          <w:b/>
          <w:sz w:val="24"/>
        </w:rPr>
        <w:t>说明：</w:t>
      </w:r>
    </w:p>
    <w:p w14:paraId="25E73312">
      <w:pPr>
        <w:spacing w:line="360" w:lineRule="auto"/>
        <w:ind w:firstLine="600" w:firstLineChars="250"/>
        <w:rPr>
          <w:rFonts w:ascii="楷体" w:hAnsi="楷体" w:eastAsia="楷体" w:cs="宋体"/>
          <w:sz w:val="24"/>
        </w:rPr>
      </w:pPr>
      <w:r>
        <w:rPr>
          <w:rFonts w:hint="eastAsia" w:ascii="楷体" w:hAnsi="楷体" w:eastAsia="楷体" w:cs="宋体"/>
          <w:sz w:val="24"/>
        </w:rPr>
        <w:t>上述标准参照《关于印发中小企业划型标准规定的通知》（工信部联企业</w:t>
      </w:r>
      <w:r>
        <w:rPr>
          <w:rFonts w:ascii="楷体" w:hAnsi="楷体" w:eastAsia="楷体" w:cs="宋体"/>
          <w:sz w:val="24"/>
        </w:rPr>
        <w:t>[2011]300号），大型、中型和小型企业须同时满足所列指标的下限，否则下划一档；微型企业只须满足所列指标中的一项即可。</w:t>
      </w:r>
    </w:p>
    <w:p w14:paraId="319F0A8A">
      <w:pPr>
        <w:widowControl/>
        <w:jc w:val="left"/>
        <w:rPr>
          <w:rFonts w:ascii="宋体" w:hAnsi="宋体" w:cs="宋体"/>
          <w:sz w:val="24"/>
        </w:rPr>
        <w:sectPr>
          <w:footerReference r:id="rId8" w:type="default"/>
          <w:pgSz w:w="11906" w:h="16838"/>
          <w:pgMar w:top="1134" w:right="1134" w:bottom="1134" w:left="1134" w:header="720" w:footer="720" w:gutter="0"/>
          <w:pgNumType w:start="1"/>
          <w:cols w:space="720" w:num="1"/>
          <w:docGrid w:type="lines" w:linePitch="331" w:charSpace="0"/>
        </w:sectPr>
      </w:pPr>
    </w:p>
    <w:p w14:paraId="3D64112C">
      <w:pPr>
        <w:pStyle w:val="3"/>
        <w:spacing w:before="0" w:after="0" w:line="360" w:lineRule="auto"/>
        <w:ind w:firstLine="883" w:firstLineChars="200"/>
        <w:jc w:val="left"/>
        <w:rPr>
          <w:rFonts w:ascii="宋体" w:hAnsi="宋体" w:cs="宋体"/>
        </w:rPr>
      </w:pPr>
      <w:r>
        <w:rPr>
          <w:rFonts w:hint="eastAsia" w:ascii="宋体" w:hAnsi="宋体" w:cs="宋体"/>
        </w:rPr>
        <w:t xml:space="preserve">第四章  </w:t>
      </w:r>
      <w:bookmarkStart w:id="26" w:name="_Hlk68601507"/>
      <w:r>
        <w:rPr>
          <w:rFonts w:hint="eastAsia" w:ascii="宋体" w:hAnsi="宋体" w:cs="宋体"/>
        </w:rPr>
        <w:t>评审程序和评定成交的标准</w:t>
      </w:r>
      <w:bookmarkEnd w:id="25"/>
      <w:bookmarkEnd w:id="26"/>
    </w:p>
    <w:p w14:paraId="42F391F0">
      <w:pPr>
        <w:spacing w:line="360" w:lineRule="auto"/>
        <w:jc w:val="center"/>
        <w:rPr>
          <w:rFonts w:ascii="宋体" w:hAnsi="宋体" w:cs="宋体"/>
          <w:b/>
          <w:sz w:val="32"/>
          <w:szCs w:val="32"/>
        </w:rPr>
      </w:pPr>
    </w:p>
    <w:p w14:paraId="15326C92">
      <w:pPr>
        <w:jc w:val="center"/>
        <w:rPr>
          <w:rFonts w:ascii="宋体" w:hAnsi="宋体" w:cs="宋体"/>
          <w:b/>
          <w:sz w:val="32"/>
          <w:szCs w:val="32"/>
        </w:rPr>
      </w:pPr>
      <w:r>
        <w:rPr>
          <w:rFonts w:hint="eastAsia" w:ascii="宋体" w:hAnsi="宋体" w:cs="宋体"/>
          <w:b/>
          <w:sz w:val="32"/>
          <w:szCs w:val="32"/>
        </w:rPr>
        <w:t>一、评审程序</w:t>
      </w:r>
    </w:p>
    <w:p w14:paraId="4A7BE259">
      <w:pPr>
        <w:spacing w:line="360" w:lineRule="auto"/>
        <w:ind w:firstLine="482" w:firstLineChars="200"/>
        <w:rPr>
          <w:rFonts w:ascii="宋体" w:hAnsi="宋体" w:cs="宋体"/>
          <w:b/>
          <w:bCs/>
          <w:sz w:val="24"/>
        </w:rPr>
      </w:pPr>
    </w:p>
    <w:p w14:paraId="0DA74AD9">
      <w:pPr>
        <w:spacing w:line="360" w:lineRule="auto"/>
        <w:ind w:firstLine="482" w:firstLineChars="200"/>
        <w:rPr>
          <w:rFonts w:ascii="宋体" w:hAnsi="宋体" w:cs="宋体"/>
          <w:b/>
          <w:bCs/>
          <w:sz w:val="24"/>
        </w:rPr>
      </w:pPr>
      <w:r>
        <w:rPr>
          <w:rFonts w:hint="eastAsia" w:ascii="宋体" w:hAnsi="宋体" w:cs="宋体"/>
          <w:b/>
          <w:bCs/>
          <w:sz w:val="24"/>
        </w:rPr>
        <w:t>1.确认谈判文件</w:t>
      </w:r>
    </w:p>
    <w:p w14:paraId="65EF2A7E">
      <w:pPr>
        <w:spacing w:line="360" w:lineRule="auto"/>
        <w:ind w:firstLine="480" w:firstLineChars="200"/>
        <w:rPr>
          <w:rFonts w:ascii="宋体" w:hAnsi="宋体" w:cs="宋体"/>
          <w:sz w:val="24"/>
        </w:rPr>
      </w:pPr>
      <w:r>
        <w:rPr>
          <w:rFonts w:hint="eastAsia" w:ascii="宋体" w:hAnsi="宋体" w:cs="宋体"/>
          <w:sz w:val="24"/>
        </w:rPr>
        <w:t>由谈判小组确认谈判文件。</w:t>
      </w:r>
    </w:p>
    <w:p w14:paraId="233DFE70">
      <w:pPr>
        <w:spacing w:line="360" w:lineRule="auto"/>
        <w:ind w:firstLine="482" w:firstLineChars="200"/>
        <w:rPr>
          <w:rFonts w:ascii="宋体" w:hAnsi="宋体" w:cs="宋体"/>
          <w:b/>
          <w:bCs/>
          <w:sz w:val="24"/>
        </w:rPr>
      </w:pPr>
      <w:r>
        <w:rPr>
          <w:rFonts w:hint="eastAsia" w:ascii="宋体" w:hAnsi="宋体" w:cs="宋体"/>
          <w:b/>
          <w:bCs/>
          <w:sz w:val="24"/>
        </w:rPr>
        <w:t>2.资格审查</w:t>
      </w:r>
    </w:p>
    <w:p w14:paraId="1C56E049">
      <w:pPr>
        <w:snapToGrid w:val="0"/>
        <w:spacing w:line="360" w:lineRule="auto"/>
        <w:ind w:firstLine="480" w:firstLineChars="200"/>
        <w:rPr>
          <w:rFonts w:ascii="宋体" w:hAnsi="宋体" w:cs="宋体"/>
          <w:sz w:val="24"/>
        </w:rPr>
      </w:pPr>
      <w:r>
        <w:rPr>
          <w:rFonts w:hint="eastAsia" w:ascii="宋体" w:hAnsi="宋体" w:cs="宋体"/>
          <w:sz w:val="24"/>
        </w:rPr>
        <w:t>2.1响应文件开启后，谈判小组依法对供应商的资格证明文件进行审查。</w:t>
      </w:r>
    </w:p>
    <w:p w14:paraId="4BE722F1">
      <w:pPr>
        <w:snapToGrid w:val="0"/>
        <w:spacing w:line="360" w:lineRule="auto"/>
        <w:ind w:firstLine="480" w:firstLineChars="200"/>
        <w:rPr>
          <w:rFonts w:ascii="宋体" w:hAnsi="宋体" w:cs="宋体"/>
          <w:sz w:val="24"/>
        </w:rPr>
      </w:pPr>
      <w:r>
        <w:rPr>
          <w:rFonts w:hint="eastAsia" w:ascii="宋体" w:hAnsi="宋体" w:cs="宋体"/>
          <w:sz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 xml:space="preserve">） </w:t>
      </w:r>
    </w:p>
    <w:p w14:paraId="7D3449E5">
      <w:pPr>
        <w:snapToGrid w:val="0"/>
        <w:spacing w:line="360" w:lineRule="auto"/>
        <w:ind w:firstLine="480" w:firstLineChars="200"/>
        <w:rPr>
          <w:rFonts w:ascii="宋体" w:hAnsi="宋体" w:cs="宋体"/>
          <w:sz w:val="24"/>
        </w:rPr>
      </w:pPr>
      <w:r>
        <w:rPr>
          <w:rFonts w:hint="eastAsia" w:ascii="宋体" w:hAnsi="宋体" w:cs="宋体"/>
          <w:sz w:val="24"/>
        </w:rPr>
        <w:t>（2）信用查询截止时点：资格审查结束前</w:t>
      </w:r>
    </w:p>
    <w:p w14:paraId="5A03C7EE">
      <w:pPr>
        <w:snapToGrid w:val="0"/>
        <w:spacing w:line="360" w:lineRule="auto"/>
        <w:ind w:firstLine="480" w:firstLineChars="200"/>
        <w:jc w:val="left"/>
        <w:rPr>
          <w:rFonts w:ascii="宋体" w:hAnsi="宋体" w:cs="宋体"/>
          <w:sz w:val="24"/>
        </w:rPr>
      </w:pPr>
      <w:r>
        <w:rPr>
          <w:rFonts w:hint="eastAsia" w:ascii="宋体" w:hAnsi="宋体" w:cs="宋体"/>
          <w:sz w:val="24"/>
        </w:rPr>
        <w:t>（3）查询记录和证据留存方式：将查询网站中的查询记录截图并作为评审资料保存。</w:t>
      </w:r>
    </w:p>
    <w:p w14:paraId="5E19EB79">
      <w:pPr>
        <w:snapToGrid w:val="0"/>
        <w:spacing w:line="360" w:lineRule="auto"/>
        <w:ind w:firstLine="480" w:firstLineChars="200"/>
        <w:jc w:val="left"/>
        <w:rPr>
          <w:rFonts w:ascii="宋体" w:hAnsi="宋体" w:cs="宋体"/>
          <w:sz w:val="24"/>
        </w:rPr>
      </w:pPr>
      <w:r>
        <w:rPr>
          <w:rFonts w:hint="eastAsia" w:ascii="宋体" w:hAnsi="宋体" w:cs="宋体"/>
          <w:sz w:val="24"/>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6B5E05">
      <w:pPr>
        <w:snapToGrid w:val="0"/>
        <w:spacing w:line="360" w:lineRule="auto"/>
        <w:ind w:firstLine="480" w:firstLineChars="200"/>
        <w:rPr>
          <w:rFonts w:ascii="宋体" w:hAnsi="宋体" w:cs="宋体"/>
          <w:sz w:val="24"/>
        </w:rPr>
      </w:pPr>
      <w:r>
        <w:rPr>
          <w:rFonts w:hint="eastAsia" w:ascii="宋体" w:hAnsi="宋体" w:cs="宋体"/>
          <w:sz w:val="24"/>
        </w:rPr>
        <w:t>2.2资格审查标准为本谈判文件中载明对供应商资格要求的条件。本项目资格审查采用合格制，凡符合谈判文件规定的供应商资格要求的供应商均通过资格审查。</w:t>
      </w:r>
    </w:p>
    <w:p w14:paraId="6902B038">
      <w:pPr>
        <w:spacing w:line="360" w:lineRule="auto"/>
        <w:ind w:firstLine="480" w:firstLineChars="200"/>
        <w:rPr>
          <w:rFonts w:ascii="宋体" w:hAnsi="宋体" w:cs="宋体"/>
          <w:sz w:val="24"/>
        </w:rPr>
      </w:pPr>
      <w:r>
        <w:rPr>
          <w:rFonts w:hint="eastAsia" w:ascii="宋体" w:hAnsi="宋体" w:cs="宋体"/>
          <w:sz w:val="24"/>
        </w:rPr>
        <w:t>2.3 供应商有下列情形之一的，资格审查不通过，其响应文件按无效响应处理：</w:t>
      </w:r>
    </w:p>
    <w:p w14:paraId="272F3C59">
      <w:pPr>
        <w:snapToGrid w:val="0"/>
        <w:spacing w:line="360" w:lineRule="auto"/>
        <w:ind w:firstLine="480" w:firstLineChars="200"/>
        <w:rPr>
          <w:rFonts w:ascii="宋体" w:hAnsi="宋体" w:cs="宋体"/>
          <w:sz w:val="24"/>
        </w:rPr>
      </w:pPr>
      <w:r>
        <w:rPr>
          <w:rFonts w:hint="eastAsia" w:ascii="宋体" w:hAnsi="宋体" w:cs="宋体"/>
          <w:sz w:val="24"/>
        </w:rPr>
        <w:t>（1）不具备谈判文件中规定的资格要求的；</w:t>
      </w:r>
    </w:p>
    <w:p w14:paraId="5A2ADA4D">
      <w:pPr>
        <w:spacing w:line="360" w:lineRule="auto"/>
        <w:ind w:firstLine="480" w:firstLineChars="200"/>
        <w:contextualSpacing/>
        <w:rPr>
          <w:rFonts w:ascii="宋体" w:hAnsi="宋体" w:cs="宋体"/>
          <w:sz w:val="24"/>
        </w:rPr>
      </w:pPr>
      <w:r>
        <w:rPr>
          <w:rFonts w:hint="eastAsia" w:ascii="宋体" w:hAnsi="宋体" w:cs="宋体"/>
          <w:sz w:val="24"/>
        </w:rPr>
        <w:t>（2）响应文件中的资格证明文件缺少任一项“供应商须知前附表”资格证明文件规定的“必须提供”的文件资料的；</w:t>
      </w:r>
    </w:p>
    <w:p w14:paraId="3905B01D">
      <w:pPr>
        <w:spacing w:line="360" w:lineRule="auto"/>
        <w:ind w:firstLine="480" w:firstLineChars="200"/>
        <w:contextualSpacing/>
        <w:rPr>
          <w:rFonts w:ascii="宋体" w:hAnsi="宋体" w:cs="宋体"/>
          <w:sz w:val="24"/>
        </w:rPr>
      </w:pPr>
      <w:r>
        <w:rPr>
          <w:rFonts w:hint="eastAsia" w:ascii="宋体" w:hAnsi="宋体" w:cs="宋体"/>
          <w:sz w:val="24"/>
        </w:rPr>
        <w:t>（3）响应文件中的资格证明文件出现任一项不符合“供应商须知前附表”资格证明文件规定的“必须提供”的文件资料要求或者无效的；</w:t>
      </w:r>
    </w:p>
    <w:p w14:paraId="2A4210D8">
      <w:pPr>
        <w:spacing w:line="360" w:lineRule="auto"/>
        <w:ind w:firstLine="480" w:firstLineChars="200"/>
        <w:rPr>
          <w:rFonts w:ascii="宋体" w:hAnsi="宋体" w:cs="宋体"/>
          <w:sz w:val="24"/>
        </w:rPr>
      </w:pPr>
      <w:r>
        <w:rPr>
          <w:rFonts w:hint="eastAsia" w:ascii="宋体" w:hAnsi="宋体" w:cs="宋体"/>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438CECCF">
      <w:pPr>
        <w:spacing w:line="360" w:lineRule="auto"/>
        <w:ind w:firstLine="480" w:firstLineChars="200"/>
        <w:rPr>
          <w:rFonts w:ascii="宋体" w:hAnsi="宋体" w:cs="宋体"/>
          <w:sz w:val="24"/>
        </w:rPr>
      </w:pPr>
      <w:r>
        <w:rPr>
          <w:rFonts w:hint="eastAsia" w:ascii="宋体" w:hAnsi="宋体" w:cs="宋体"/>
          <w:sz w:val="24"/>
        </w:rPr>
        <w:t>2.4通过资格审查的合格供应商不足3家（本章3.7条规定除外）的，不得进入符合性审查环节，应当重新开展采购活动。</w:t>
      </w:r>
    </w:p>
    <w:p w14:paraId="10659FD6">
      <w:pPr>
        <w:spacing w:line="360" w:lineRule="auto"/>
        <w:ind w:firstLine="482" w:firstLineChars="200"/>
        <w:rPr>
          <w:rFonts w:ascii="宋体" w:hAnsi="宋体" w:cs="宋体"/>
          <w:b/>
          <w:bCs/>
          <w:sz w:val="24"/>
        </w:rPr>
      </w:pPr>
      <w:r>
        <w:rPr>
          <w:rFonts w:hint="eastAsia" w:ascii="宋体" w:hAnsi="宋体" w:cs="宋体"/>
          <w:b/>
          <w:bCs/>
          <w:sz w:val="24"/>
        </w:rPr>
        <w:t>3.符合性审查</w:t>
      </w:r>
    </w:p>
    <w:p w14:paraId="25B19808">
      <w:pPr>
        <w:spacing w:line="360" w:lineRule="auto"/>
        <w:ind w:firstLine="480" w:firstLineChars="200"/>
        <w:rPr>
          <w:rFonts w:ascii="宋体" w:hAnsi="宋体" w:cs="宋体"/>
          <w:sz w:val="24"/>
        </w:rPr>
      </w:pPr>
      <w:r>
        <w:rPr>
          <w:rFonts w:hint="eastAsia" w:ascii="宋体" w:hAnsi="宋体" w:cs="宋体"/>
          <w:sz w:val="24"/>
        </w:rPr>
        <w:t>3.1由谈判小组对资格审查的合格的供应商的响应文件进行</w:t>
      </w:r>
      <w:r>
        <w:rPr>
          <w:rFonts w:hint="eastAsia" w:ascii="宋体" w:hAnsi="宋体" w:cs="宋体"/>
          <w:sz w:val="24"/>
          <w:lang w:bidi="ar"/>
        </w:rPr>
        <w:t>竞争性谈判</w:t>
      </w:r>
      <w:r>
        <w:rPr>
          <w:rFonts w:hint="eastAsia" w:ascii="宋体" w:hAnsi="宋体" w:cs="宋体"/>
          <w:sz w:val="24"/>
        </w:rPr>
        <w:t>报价、商务、技术等实质性要求符合性审查，以确定其是否满足谈判文件的实质性要求。</w:t>
      </w:r>
    </w:p>
    <w:p w14:paraId="292222BB">
      <w:pPr>
        <w:spacing w:line="360" w:lineRule="auto"/>
        <w:ind w:firstLine="480" w:firstLineChars="200"/>
        <w:rPr>
          <w:rFonts w:ascii="宋体" w:hAnsi="宋体" w:cs="宋体"/>
          <w:sz w:val="24"/>
        </w:rPr>
      </w:pPr>
      <w:r>
        <w:rPr>
          <w:rFonts w:hint="eastAsia" w:ascii="宋体" w:hAnsi="宋体" w:cs="宋体"/>
          <w:sz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9B1FC6">
      <w:pPr>
        <w:spacing w:line="360" w:lineRule="auto"/>
        <w:ind w:firstLine="480" w:firstLineChars="200"/>
        <w:rPr>
          <w:rFonts w:ascii="宋体" w:hAnsi="宋体" w:cs="宋体"/>
          <w:spacing w:val="-6"/>
          <w:sz w:val="24"/>
        </w:rPr>
      </w:pPr>
      <w:r>
        <w:rPr>
          <w:rFonts w:hint="eastAsia" w:ascii="宋体" w:hAnsi="宋体" w:cs="宋体"/>
          <w:sz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14:paraId="631EBF7A">
      <w:pPr>
        <w:spacing w:line="360" w:lineRule="auto"/>
        <w:ind w:firstLine="456" w:firstLineChars="200"/>
        <w:rPr>
          <w:rFonts w:ascii="宋体" w:hAnsi="宋体" w:cs="宋体"/>
          <w:sz w:val="24"/>
        </w:rPr>
      </w:pPr>
      <w:r>
        <w:rPr>
          <w:rFonts w:hint="eastAsia" w:ascii="宋体" w:hAnsi="宋体" w:cs="宋体"/>
          <w:spacing w:val="-6"/>
          <w:sz w:val="24"/>
        </w:rPr>
        <w:t>3.4</w:t>
      </w:r>
      <w:r>
        <w:rPr>
          <w:rFonts w:hint="eastAsia" w:ascii="宋体" w:hAnsi="宋体" w:cs="宋体"/>
          <w:sz w:val="24"/>
        </w:rPr>
        <w:t xml:space="preserve">首次响应文件报价出现前后不一致的，按照下列规定修正： </w:t>
      </w:r>
    </w:p>
    <w:p w14:paraId="2DA48F47">
      <w:pPr>
        <w:spacing w:line="360" w:lineRule="auto"/>
        <w:ind w:firstLine="480" w:firstLineChars="200"/>
        <w:rPr>
          <w:rFonts w:ascii="宋体" w:hAnsi="宋体" w:cs="宋体"/>
          <w:sz w:val="24"/>
        </w:rPr>
      </w:pPr>
      <w:r>
        <w:rPr>
          <w:rFonts w:hint="eastAsia" w:ascii="宋体" w:hAnsi="宋体" w:cs="宋体"/>
          <w:sz w:val="24"/>
        </w:rPr>
        <w:t>（1）响应文件中报价表内容与响应文件中相应内容不一致的，以报价表为准；</w:t>
      </w:r>
    </w:p>
    <w:p w14:paraId="1D19561C">
      <w:pPr>
        <w:spacing w:line="360" w:lineRule="auto"/>
        <w:ind w:firstLine="480" w:firstLineChars="200"/>
        <w:rPr>
          <w:rFonts w:ascii="宋体" w:hAnsi="宋体" w:cs="宋体"/>
          <w:sz w:val="24"/>
        </w:rPr>
      </w:pPr>
      <w:r>
        <w:rPr>
          <w:rFonts w:hint="eastAsia" w:ascii="宋体" w:hAnsi="宋体" w:cs="宋体"/>
          <w:sz w:val="24"/>
        </w:rPr>
        <w:t>（2）大写金额和小写金额不一致的，以大写金额为准；</w:t>
      </w:r>
    </w:p>
    <w:p w14:paraId="7009364D">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14:paraId="2C7528C7">
      <w:pPr>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25AA1710">
      <w:pPr>
        <w:spacing w:line="360" w:lineRule="auto"/>
        <w:ind w:firstLine="480" w:firstLineChars="200"/>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14:paraId="09438035">
      <w:pPr>
        <w:spacing w:line="360" w:lineRule="auto"/>
        <w:ind w:firstLine="480" w:firstLineChars="200"/>
        <w:rPr>
          <w:rFonts w:ascii="宋体" w:hAnsi="宋体" w:cs="宋体"/>
          <w:sz w:val="24"/>
        </w:rPr>
      </w:pPr>
      <w:r>
        <w:rPr>
          <w:rFonts w:hint="eastAsia" w:ascii="宋体" w:hAnsi="宋体" w:cs="宋体"/>
          <w:sz w:val="24"/>
        </w:rPr>
        <w:t>3.5商务技术报价评审</w:t>
      </w:r>
    </w:p>
    <w:p w14:paraId="7D9A17FD">
      <w:pPr>
        <w:spacing w:line="360" w:lineRule="auto"/>
        <w:ind w:firstLine="480" w:firstLineChars="200"/>
        <w:rPr>
          <w:rFonts w:ascii="宋体" w:hAnsi="宋体" w:cs="宋体"/>
          <w:sz w:val="24"/>
        </w:rPr>
      </w:pPr>
      <w:r>
        <w:rPr>
          <w:rFonts w:hint="eastAsia" w:ascii="宋体" w:hAnsi="宋体" w:cs="宋体"/>
          <w:sz w:val="24"/>
        </w:rPr>
        <w:t>在评审时，如发现下列情形之一的，将被视为响应文件无效响应处理：</w:t>
      </w:r>
    </w:p>
    <w:p w14:paraId="1B974198">
      <w:pPr>
        <w:spacing w:line="360" w:lineRule="auto"/>
        <w:ind w:firstLine="480" w:firstLineChars="200"/>
        <w:rPr>
          <w:rFonts w:ascii="宋体" w:hAnsi="宋体" w:cs="宋体"/>
          <w:sz w:val="24"/>
        </w:rPr>
      </w:pPr>
      <w:r>
        <w:rPr>
          <w:rFonts w:hint="eastAsia" w:ascii="宋体" w:hAnsi="宋体" w:cs="宋体"/>
          <w:sz w:val="24"/>
        </w:rPr>
        <w:t>（1）商务技术评审</w:t>
      </w:r>
    </w:p>
    <w:p w14:paraId="14BC214A">
      <w:pPr>
        <w:spacing w:line="360" w:lineRule="auto"/>
        <w:ind w:firstLine="480" w:firstLineChars="200"/>
        <w:rPr>
          <w:rFonts w:ascii="宋体" w:hAnsi="宋体" w:cs="宋体"/>
          <w:sz w:val="24"/>
        </w:rPr>
      </w:pPr>
      <w:r>
        <w:rPr>
          <w:rFonts w:hint="eastAsia" w:ascii="宋体" w:hAnsi="宋体" w:cs="宋体"/>
          <w:sz w:val="24"/>
        </w:rPr>
        <w:t>1）响应文件未按谈判文件要求签署、盖章的；</w:t>
      </w:r>
    </w:p>
    <w:p w14:paraId="1055C8C9">
      <w:pPr>
        <w:spacing w:line="360" w:lineRule="auto"/>
        <w:ind w:firstLine="480" w:firstLineChars="200"/>
        <w:rPr>
          <w:rFonts w:ascii="宋体" w:hAnsi="宋体" w:cs="宋体"/>
          <w:sz w:val="24"/>
        </w:rPr>
      </w:pPr>
      <w:r>
        <w:rPr>
          <w:rFonts w:hint="eastAsia" w:ascii="宋体" w:hAnsi="宋体" w:cs="宋体"/>
          <w:sz w:val="24"/>
        </w:rPr>
        <w:t xml:space="preserve">2）委托代理人未能出具有效身份证或者出具的身份证与授权委托书中的信息不符的； </w:t>
      </w:r>
    </w:p>
    <w:p w14:paraId="460483A3">
      <w:pPr>
        <w:spacing w:line="360" w:lineRule="auto"/>
        <w:ind w:firstLine="480" w:firstLineChars="200"/>
        <w:rPr>
          <w:rFonts w:ascii="宋体" w:hAnsi="宋体" w:cs="宋体"/>
          <w:sz w:val="24"/>
        </w:rPr>
      </w:pPr>
      <w:r>
        <w:rPr>
          <w:rFonts w:hint="eastAsia" w:ascii="宋体" w:hAnsi="宋体" w:cs="宋体"/>
          <w:sz w:val="24"/>
        </w:rPr>
        <w:t>3）提交的谈判保证金无效的或者未按照谈判文件的规定提交谈判保证金；</w:t>
      </w:r>
    </w:p>
    <w:p w14:paraId="363ADC08">
      <w:pPr>
        <w:spacing w:line="360" w:lineRule="auto"/>
        <w:ind w:firstLine="480" w:firstLineChars="200"/>
        <w:rPr>
          <w:rFonts w:ascii="宋体" w:hAnsi="宋体" w:cs="宋体"/>
          <w:sz w:val="24"/>
        </w:rPr>
      </w:pPr>
      <w:r>
        <w:rPr>
          <w:rFonts w:hint="eastAsia" w:ascii="宋体" w:hAnsi="宋体" w:cs="宋体"/>
          <w:sz w:val="24"/>
        </w:rPr>
        <w:t>4）响应文件中的报价商务技术文件出现任一项不符合“供应商须知前附表”中“必须提供”或者“委托时必须提供”文件资料要求的规定或者提供的报价商务技术文件无效。</w:t>
      </w:r>
    </w:p>
    <w:p w14:paraId="0B17F441">
      <w:pPr>
        <w:spacing w:line="360" w:lineRule="auto"/>
        <w:ind w:firstLine="480" w:firstLineChars="200"/>
        <w:rPr>
          <w:rFonts w:ascii="宋体" w:hAnsi="宋体" w:cs="宋体"/>
          <w:sz w:val="24"/>
        </w:rPr>
      </w:pPr>
      <w:r>
        <w:rPr>
          <w:rFonts w:hint="eastAsia" w:ascii="宋体" w:hAnsi="宋体" w:cs="宋体"/>
          <w:sz w:val="24"/>
        </w:rPr>
        <w:t>5）商务条款中标“▲”的条款发生负偏离或者允许负偏离的条款数超过“供应商须知前附表”规定项数的；</w:t>
      </w:r>
    </w:p>
    <w:p w14:paraId="310210D2">
      <w:pPr>
        <w:spacing w:line="360" w:lineRule="auto"/>
        <w:ind w:firstLine="480" w:firstLineChars="200"/>
        <w:rPr>
          <w:rFonts w:ascii="宋体" w:hAnsi="宋体" w:cs="宋体"/>
          <w:sz w:val="24"/>
        </w:rPr>
      </w:pPr>
      <w:r>
        <w:rPr>
          <w:rFonts w:hint="eastAsia" w:ascii="宋体" w:hAnsi="宋体" w:cs="宋体"/>
          <w:sz w:val="24"/>
        </w:rPr>
        <w:t>6）未对</w:t>
      </w:r>
      <w:r>
        <w:rPr>
          <w:rFonts w:hint="eastAsia" w:ascii="宋体" w:hAnsi="宋体" w:cs="宋体"/>
          <w:sz w:val="24"/>
          <w:lang w:bidi="ar"/>
        </w:rPr>
        <w:t>竞争性谈判</w:t>
      </w:r>
      <w:r>
        <w:rPr>
          <w:rFonts w:hint="eastAsia" w:ascii="宋体" w:hAnsi="宋体" w:cs="宋体"/>
          <w:sz w:val="24"/>
        </w:rPr>
        <w:t>有效期作出响应或者响应文件承诺的</w:t>
      </w:r>
      <w:r>
        <w:rPr>
          <w:rFonts w:hint="eastAsia" w:ascii="宋体" w:hAnsi="宋体" w:cs="宋体"/>
          <w:sz w:val="24"/>
          <w:lang w:bidi="ar"/>
        </w:rPr>
        <w:t>竞争性谈判</w:t>
      </w:r>
      <w:r>
        <w:rPr>
          <w:rFonts w:hint="eastAsia" w:ascii="宋体" w:hAnsi="宋体" w:cs="宋体"/>
          <w:sz w:val="24"/>
        </w:rPr>
        <w:t>有效期不满足谈判文件要求；</w:t>
      </w:r>
    </w:p>
    <w:p w14:paraId="374C0C66">
      <w:pPr>
        <w:spacing w:line="360" w:lineRule="auto"/>
        <w:ind w:firstLine="480" w:firstLineChars="200"/>
        <w:rPr>
          <w:rFonts w:ascii="宋体" w:hAnsi="宋体" w:cs="宋体"/>
          <w:sz w:val="24"/>
        </w:rPr>
      </w:pPr>
      <w:r>
        <w:rPr>
          <w:rFonts w:hint="eastAsia" w:ascii="宋体" w:hAnsi="宋体" w:cs="宋体"/>
          <w:sz w:val="24"/>
        </w:rPr>
        <w:t>7）响应文件的实质性内容未使用中文表述、使用计量单位不符合谈判文件要求的；</w:t>
      </w:r>
    </w:p>
    <w:p w14:paraId="7B848329">
      <w:pPr>
        <w:spacing w:line="360" w:lineRule="auto"/>
        <w:ind w:firstLine="480" w:firstLineChars="200"/>
        <w:rPr>
          <w:rFonts w:ascii="宋体" w:hAnsi="宋体" w:cs="宋体"/>
          <w:sz w:val="24"/>
        </w:rPr>
      </w:pPr>
      <w:r>
        <w:rPr>
          <w:rFonts w:hint="eastAsia" w:ascii="宋体" w:hAnsi="宋体" w:cs="宋体"/>
          <w:sz w:val="24"/>
        </w:rPr>
        <w:t>8）响应文件中的文件资料因填写不齐全或者内容虚假或者出现其他情形而导致被谈判小组认定无效的；</w:t>
      </w:r>
    </w:p>
    <w:p w14:paraId="25A8C17E">
      <w:pPr>
        <w:spacing w:line="360" w:lineRule="auto"/>
        <w:ind w:firstLine="480" w:firstLineChars="200"/>
        <w:rPr>
          <w:rFonts w:ascii="宋体" w:hAnsi="宋体" w:cs="宋体"/>
          <w:sz w:val="24"/>
        </w:rPr>
      </w:pPr>
      <w:r>
        <w:rPr>
          <w:rFonts w:hint="eastAsia" w:ascii="宋体" w:hAnsi="宋体" w:cs="宋体"/>
          <w:sz w:val="24"/>
        </w:rPr>
        <w:t>9）响应文件含有采购人不能接受的附加条件的；</w:t>
      </w:r>
    </w:p>
    <w:p w14:paraId="5613D384">
      <w:pPr>
        <w:spacing w:line="360" w:lineRule="auto"/>
        <w:ind w:firstLine="480" w:firstLineChars="200"/>
        <w:rPr>
          <w:rFonts w:ascii="宋体" w:hAnsi="宋体" w:cs="宋体"/>
          <w:sz w:val="24"/>
        </w:rPr>
      </w:pPr>
      <w:r>
        <w:rPr>
          <w:rFonts w:hint="eastAsia" w:ascii="宋体" w:hAnsi="宋体" w:cs="宋体"/>
          <w:sz w:val="24"/>
        </w:rPr>
        <w:t>10）属于“供应商须知正文”第7.</w:t>
      </w:r>
      <w:r>
        <w:rPr>
          <w:rFonts w:ascii="宋体" w:hAnsi="宋体" w:cs="宋体"/>
          <w:sz w:val="24"/>
        </w:rPr>
        <w:t>4</w:t>
      </w:r>
      <w:r>
        <w:rPr>
          <w:rFonts w:hint="eastAsia" w:ascii="宋体" w:hAnsi="宋体" w:cs="宋体"/>
          <w:sz w:val="24"/>
        </w:rPr>
        <w:t>条的情形的；</w:t>
      </w:r>
    </w:p>
    <w:p w14:paraId="51A65980">
      <w:pPr>
        <w:spacing w:line="360" w:lineRule="auto"/>
        <w:ind w:firstLine="480" w:firstLineChars="200"/>
        <w:rPr>
          <w:rFonts w:ascii="宋体" w:hAnsi="宋体" w:cs="宋体"/>
          <w:sz w:val="24"/>
        </w:rPr>
      </w:pPr>
      <w:r>
        <w:rPr>
          <w:rFonts w:hint="eastAsia" w:ascii="宋体" w:hAnsi="宋体" w:cs="宋体"/>
          <w:sz w:val="24"/>
        </w:rPr>
        <w:t>11）技术要求中标“▲”的条款发生负偏离或允许负偏离的条款数超过“供应商须知前附表”规定项数的；</w:t>
      </w:r>
    </w:p>
    <w:p w14:paraId="75C46893">
      <w:pPr>
        <w:spacing w:line="360" w:lineRule="auto"/>
        <w:ind w:firstLine="480" w:firstLineChars="200"/>
        <w:rPr>
          <w:rFonts w:ascii="宋体" w:hAnsi="宋体" w:cs="宋体"/>
          <w:sz w:val="24"/>
        </w:rPr>
      </w:pPr>
      <w:r>
        <w:rPr>
          <w:rFonts w:hint="eastAsia" w:ascii="宋体" w:hAnsi="宋体" w:cs="宋体"/>
          <w:sz w:val="24"/>
        </w:rPr>
        <w:t>12）虚假响应，或者出现其他情形而导致被谈判小组认定无效的；</w:t>
      </w:r>
    </w:p>
    <w:p w14:paraId="0AECD0E2">
      <w:pPr>
        <w:spacing w:line="360" w:lineRule="auto"/>
        <w:ind w:firstLine="480" w:firstLineChars="200"/>
        <w:rPr>
          <w:rFonts w:ascii="宋体" w:hAnsi="宋体" w:cs="宋体"/>
          <w:sz w:val="24"/>
        </w:rPr>
      </w:pPr>
      <w:r>
        <w:rPr>
          <w:rFonts w:hint="eastAsia" w:ascii="宋体" w:hAnsi="宋体" w:cs="宋体"/>
          <w:sz w:val="24"/>
        </w:rPr>
        <w:t>13）</w:t>
      </w:r>
      <w:bookmarkStart w:id="27" w:name="_Hlk71704147"/>
      <w:r>
        <w:rPr>
          <w:rFonts w:hint="eastAsia" w:ascii="宋体" w:hAnsi="宋体" w:cs="宋体"/>
          <w:sz w:val="24"/>
        </w:rPr>
        <w:t>谈判文件未载明允许提供备选（替代）响应方案或明确不允许提供备选（替代）响应方案时，供应商提供了备选（替代）响应方案的；</w:t>
      </w:r>
      <w:bookmarkEnd w:id="27"/>
    </w:p>
    <w:p w14:paraId="3A161CC8">
      <w:pPr>
        <w:spacing w:line="360" w:lineRule="auto"/>
        <w:ind w:firstLine="480" w:firstLineChars="200"/>
        <w:rPr>
          <w:rFonts w:ascii="宋体" w:hAnsi="宋体" w:cs="宋体"/>
          <w:sz w:val="24"/>
        </w:rPr>
      </w:pPr>
      <w:r>
        <w:rPr>
          <w:rFonts w:hint="eastAsia" w:ascii="宋体" w:hAnsi="宋体" w:cs="宋体"/>
          <w:sz w:val="24"/>
        </w:rPr>
        <w:t>14）响应文件标注的项目名称或者项目编号与谈判文件标注的项目名称或者项目编号不一致的；</w:t>
      </w:r>
    </w:p>
    <w:p w14:paraId="7D5B04B6">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b/>
          <w:sz w:val="24"/>
        </w:rPr>
        <w:t>谈判文件明确不允许分包，响应文件拟分包的；</w:t>
      </w:r>
    </w:p>
    <w:p w14:paraId="27D0B514">
      <w:pPr>
        <w:spacing w:line="360" w:lineRule="auto"/>
        <w:ind w:firstLine="480" w:firstLineChars="200"/>
        <w:rPr>
          <w:rFonts w:ascii="宋体" w:hAnsi="宋体" w:cs="宋体"/>
          <w:sz w:val="24"/>
        </w:rPr>
      </w:pPr>
      <w:r>
        <w:rPr>
          <w:rFonts w:hint="eastAsia" w:ascii="宋体" w:hAnsi="宋体" w:cs="宋体"/>
          <w:sz w:val="24"/>
        </w:rPr>
        <w:t>16）未响应谈判文件实质性要求；</w:t>
      </w:r>
    </w:p>
    <w:p w14:paraId="0CBF7698">
      <w:pPr>
        <w:spacing w:line="360" w:lineRule="auto"/>
        <w:ind w:firstLine="480" w:firstLineChars="200"/>
        <w:rPr>
          <w:rFonts w:ascii="宋体" w:hAnsi="宋体" w:cs="宋体"/>
          <w:sz w:val="24"/>
        </w:rPr>
      </w:pPr>
      <w:r>
        <w:rPr>
          <w:rFonts w:hint="eastAsia" w:ascii="宋体" w:hAnsi="宋体" w:cs="宋体"/>
          <w:sz w:val="24"/>
        </w:rPr>
        <w:t>17）法律、法规和谈判文件规定的其他无效情形。</w:t>
      </w:r>
    </w:p>
    <w:p w14:paraId="28354CC8">
      <w:pPr>
        <w:spacing w:line="360" w:lineRule="auto"/>
        <w:ind w:firstLine="480" w:firstLineChars="200"/>
        <w:rPr>
          <w:rFonts w:ascii="宋体" w:hAnsi="宋体" w:cs="宋体"/>
          <w:sz w:val="24"/>
        </w:rPr>
      </w:pPr>
      <w:r>
        <w:rPr>
          <w:rFonts w:hint="eastAsia" w:ascii="宋体" w:hAnsi="宋体" w:cs="宋体"/>
          <w:sz w:val="24"/>
        </w:rPr>
        <w:t>（2）报价评审</w:t>
      </w:r>
    </w:p>
    <w:p w14:paraId="1FCF6AE7">
      <w:pPr>
        <w:spacing w:line="360" w:lineRule="auto"/>
        <w:ind w:firstLine="480" w:firstLineChars="200"/>
        <w:rPr>
          <w:rFonts w:ascii="宋体" w:hAnsi="宋体" w:cs="宋体"/>
          <w:sz w:val="24"/>
        </w:rPr>
      </w:pPr>
      <w:r>
        <w:rPr>
          <w:rFonts w:hint="eastAsia" w:ascii="宋体" w:hAnsi="宋体" w:cs="宋体"/>
          <w:sz w:val="24"/>
        </w:rPr>
        <w:t>1）响应文件未提供“供应商须知前附表” 报价商务技术文件中规定的“</w:t>
      </w:r>
      <w:r>
        <w:rPr>
          <w:rFonts w:hint="eastAsia" w:ascii="宋体" w:hAnsi="宋体" w:cs="宋体"/>
          <w:sz w:val="24"/>
          <w:lang w:bidi="ar"/>
        </w:rPr>
        <w:t>竞争性谈判</w:t>
      </w:r>
      <w:r>
        <w:rPr>
          <w:rFonts w:hint="eastAsia" w:ascii="宋体" w:hAnsi="宋体" w:cs="宋体"/>
          <w:sz w:val="24"/>
        </w:rPr>
        <w:t>报价表”的；</w:t>
      </w:r>
    </w:p>
    <w:p w14:paraId="7344D603">
      <w:pPr>
        <w:spacing w:line="360" w:lineRule="auto"/>
        <w:ind w:firstLine="480" w:firstLineChars="200"/>
        <w:rPr>
          <w:rFonts w:ascii="宋体" w:hAnsi="宋体" w:cs="宋体"/>
          <w:sz w:val="24"/>
        </w:rPr>
      </w:pPr>
      <w:r>
        <w:rPr>
          <w:rFonts w:hint="eastAsia" w:ascii="宋体" w:hAnsi="宋体" w:cs="宋体"/>
          <w:sz w:val="24"/>
        </w:rPr>
        <w:t>2）未采用人民币报价或者未按照谈判文件标明的币种报价的；</w:t>
      </w:r>
    </w:p>
    <w:p w14:paraId="32D336D7">
      <w:pPr>
        <w:spacing w:line="360" w:lineRule="auto"/>
        <w:ind w:firstLine="480" w:firstLineChars="200"/>
        <w:rPr>
          <w:rFonts w:ascii="宋体" w:hAnsi="宋体" w:cs="宋体"/>
          <w:sz w:val="24"/>
        </w:rPr>
      </w:pPr>
      <w:r>
        <w:rPr>
          <w:rFonts w:hint="eastAsia" w:ascii="宋体" w:hAnsi="宋体" w:cs="宋体"/>
          <w:sz w:val="24"/>
        </w:rPr>
        <w:t>3）供应商未就所参与</w:t>
      </w:r>
      <w:r>
        <w:rPr>
          <w:rFonts w:hint="eastAsia" w:ascii="宋体" w:hAnsi="宋体" w:cs="宋体"/>
          <w:sz w:val="24"/>
          <w:lang w:bidi="ar"/>
        </w:rPr>
        <w:t>竞争性谈判</w:t>
      </w:r>
      <w:r>
        <w:rPr>
          <w:rFonts w:hint="eastAsia" w:ascii="宋体" w:hAnsi="宋体" w:cs="宋体"/>
          <w:sz w:val="24"/>
        </w:rPr>
        <w:t>分标进行报价或者存在漏项报价的；供应商未就所参与</w:t>
      </w:r>
      <w:r>
        <w:rPr>
          <w:rFonts w:hint="eastAsia" w:ascii="宋体" w:hAnsi="宋体" w:cs="宋体"/>
          <w:sz w:val="24"/>
          <w:lang w:bidi="ar"/>
        </w:rPr>
        <w:t>竞争性谈判</w:t>
      </w:r>
      <w:r>
        <w:rPr>
          <w:rFonts w:hint="eastAsia" w:ascii="宋体" w:hAnsi="宋体" w:cs="宋体"/>
          <w:sz w:val="24"/>
        </w:rPr>
        <w:t>分标的单项内容作唯一报价的；供应商未就所参与</w:t>
      </w:r>
      <w:r>
        <w:rPr>
          <w:rFonts w:hint="eastAsia" w:ascii="宋体" w:hAnsi="宋体" w:cs="宋体"/>
          <w:sz w:val="24"/>
          <w:lang w:bidi="ar"/>
        </w:rPr>
        <w:t>竞争性谈判</w:t>
      </w:r>
      <w:r>
        <w:rPr>
          <w:rFonts w:hint="eastAsia" w:ascii="宋体" w:hAnsi="宋体" w:cs="宋体"/>
          <w:sz w:val="24"/>
        </w:rPr>
        <w:t>分标的全部内容作完整唯一总价报价的；供应商响应文件中存在有选择、有条件报价的（谈判文件允许有备选方案或者其他约定的除外）；</w:t>
      </w:r>
    </w:p>
    <w:p w14:paraId="0625354D">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bidi="ar"/>
        </w:rPr>
        <w:t>竞争性谈判</w:t>
      </w:r>
      <w:r>
        <w:rPr>
          <w:rFonts w:hint="eastAsia" w:ascii="宋体" w:hAnsi="宋体" w:cs="宋体"/>
          <w:sz w:val="24"/>
        </w:rPr>
        <w:t>报价（包含首次报价、最后报价）超过所参与</w:t>
      </w:r>
      <w:r>
        <w:rPr>
          <w:rFonts w:hint="eastAsia" w:ascii="宋体" w:hAnsi="宋体" w:cs="宋体"/>
          <w:sz w:val="24"/>
          <w:lang w:bidi="ar"/>
        </w:rPr>
        <w:t>竞争性谈判</w:t>
      </w:r>
      <w:r>
        <w:rPr>
          <w:rFonts w:hint="eastAsia" w:ascii="宋体" w:hAnsi="宋体" w:cs="宋体"/>
          <w:sz w:val="24"/>
        </w:rPr>
        <w:t>分标规定的采购预算金额或者最高限价的；</w:t>
      </w:r>
    </w:p>
    <w:p w14:paraId="6BEB926C">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bidi="ar"/>
        </w:rPr>
        <w:t>竞争性谈判</w:t>
      </w:r>
      <w:r>
        <w:rPr>
          <w:rFonts w:hint="eastAsia" w:ascii="宋体" w:hAnsi="宋体" w:cs="宋体"/>
          <w:sz w:val="24"/>
        </w:rPr>
        <w:t>报价（包含首次报价、最后报价）超过分项采购预算金额或者最高限价的，其响应文件将作无效处理；</w:t>
      </w:r>
    </w:p>
    <w:p w14:paraId="475D1B8A">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）修正后的报价，供应商不确认的；或者经供应商确认修正后的最后报价超过所参与</w:t>
      </w:r>
      <w:r>
        <w:rPr>
          <w:rFonts w:hint="eastAsia" w:ascii="宋体" w:hAnsi="宋体" w:cs="宋体"/>
          <w:sz w:val="24"/>
          <w:lang w:bidi="ar"/>
        </w:rPr>
        <w:t>竞争性谈判</w:t>
      </w:r>
      <w:r>
        <w:rPr>
          <w:rFonts w:hint="eastAsia" w:ascii="宋体" w:hAnsi="宋体" w:cs="宋体"/>
          <w:sz w:val="24"/>
        </w:rPr>
        <w:t>分标规定的采购预算金额或者最高限价（如本项目公布了最高限价）；</w:t>
      </w:r>
    </w:p>
    <w:p w14:paraId="59F662F6">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）响应文件响应的标的数量及单位与竞争性谈判采购文件要求实质性不一致的。</w:t>
      </w:r>
    </w:p>
    <w:p w14:paraId="5C3F4B6F">
      <w:pPr>
        <w:spacing w:line="360" w:lineRule="auto"/>
        <w:ind w:firstLine="480" w:firstLineChars="200"/>
        <w:rPr>
          <w:rFonts w:ascii="宋体" w:hAnsi="宋体" w:cs="宋体"/>
          <w:sz w:val="24"/>
        </w:rPr>
      </w:pPr>
      <w:r>
        <w:rPr>
          <w:rFonts w:hint="eastAsia" w:ascii="宋体" w:hAnsi="宋体" w:cs="宋体"/>
          <w:sz w:val="24"/>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033DD9E3">
      <w:pPr>
        <w:spacing w:line="360" w:lineRule="auto"/>
        <w:ind w:firstLine="480" w:firstLineChars="200"/>
        <w:rPr>
          <w:rFonts w:ascii="宋体" w:hAnsi="宋体" w:cs="宋体"/>
          <w:sz w:val="24"/>
        </w:rPr>
      </w:pPr>
      <w:r>
        <w:rPr>
          <w:rFonts w:hint="eastAsia" w:ascii="宋体" w:hAnsi="宋体" w:cs="宋体"/>
          <w:sz w:val="24"/>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Pr>
          <w:rFonts w:hint="eastAsia" w:ascii="宋体" w:hAnsi="宋体" w:cs="宋体"/>
          <w:sz w:val="24"/>
          <w:lang w:bidi="ar"/>
        </w:rPr>
        <w:t>竞争性谈判</w:t>
      </w:r>
      <w:r>
        <w:rPr>
          <w:rFonts w:hint="eastAsia" w:ascii="宋体" w:hAnsi="宋体" w:cs="宋体"/>
          <w:sz w:val="24"/>
        </w:rPr>
        <w:t>文件中的采购需求编制谈判文件，成立谈判小组，由谈判小组对谈判文件进行确认。</w:t>
      </w:r>
    </w:p>
    <w:p w14:paraId="76DC96E7">
      <w:pPr>
        <w:spacing w:line="360" w:lineRule="auto"/>
        <w:ind w:firstLine="480" w:firstLineChars="200"/>
        <w:rPr>
          <w:rFonts w:ascii="宋体" w:hAnsi="宋体" w:cs="宋体"/>
          <w:sz w:val="24"/>
        </w:rPr>
      </w:pPr>
      <w:r>
        <w:rPr>
          <w:rFonts w:hint="eastAsia" w:ascii="宋体" w:hAnsi="宋体" w:cs="宋体"/>
          <w:sz w:val="24"/>
        </w:rPr>
        <w:t>3.8通过符合性审查的合格供应商不足3家的，不得进入谈判环节，应当重新开展采购活动。</w:t>
      </w:r>
    </w:p>
    <w:p w14:paraId="07961A07">
      <w:pPr>
        <w:spacing w:line="360" w:lineRule="auto"/>
        <w:ind w:firstLine="482" w:firstLineChars="200"/>
        <w:rPr>
          <w:rFonts w:ascii="宋体" w:hAnsi="宋体" w:cs="宋体"/>
          <w:b/>
          <w:bCs/>
          <w:sz w:val="24"/>
        </w:rPr>
      </w:pPr>
      <w:r>
        <w:rPr>
          <w:rFonts w:hint="eastAsia" w:ascii="宋体" w:hAnsi="宋体" w:cs="宋体"/>
          <w:b/>
          <w:bCs/>
          <w:sz w:val="24"/>
        </w:rPr>
        <w:t>4.谈判程序</w:t>
      </w:r>
    </w:p>
    <w:p w14:paraId="24713D8F">
      <w:pPr>
        <w:spacing w:line="360" w:lineRule="auto"/>
        <w:ind w:firstLine="480" w:firstLineChars="200"/>
        <w:rPr>
          <w:rFonts w:ascii="宋体" w:hAnsi="宋体" w:cs="宋体"/>
          <w:sz w:val="24"/>
        </w:rPr>
      </w:pPr>
      <w:r>
        <w:rPr>
          <w:rFonts w:hint="eastAsia" w:ascii="宋体" w:hAnsi="宋体" w:cs="宋体"/>
          <w:kern w:val="0"/>
          <w:sz w:val="24"/>
        </w:rPr>
        <w:t>4.1谈判小组按照“供应商须知前附表”第26条确定的</w:t>
      </w:r>
      <w:r>
        <w:rPr>
          <w:rFonts w:hint="eastAsia" w:ascii="宋体" w:hAnsi="宋体" w:cs="宋体"/>
          <w:sz w:val="24"/>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27536793">
      <w:pPr>
        <w:spacing w:line="360" w:lineRule="auto"/>
        <w:ind w:firstLine="480" w:firstLineChars="200"/>
        <w:rPr>
          <w:rFonts w:ascii="宋体" w:hAnsi="宋体" w:cs="宋体"/>
          <w:sz w:val="24"/>
        </w:rPr>
      </w:pPr>
      <w:r>
        <w:rPr>
          <w:rFonts w:hint="eastAsia" w:ascii="宋体" w:hAnsi="宋体" w:cs="宋体"/>
          <w:sz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5B936F6">
      <w:pPr>
        <w:spacing w:line="360" w:lineRule="auto"/>
        <w:ind w:firstLine="480" w:firstLineChars="200"/>
        <w:rPr>
          <w:rFonts w:ascii="宋体" w:hAnsi="宋体" w:cs="宋体"/>
          <w:sz w:val="24"/>
        </w:rPr>
      </w:pPr>
      <w:r>
        <w:rPr>
          <w:rFonts w:hint="eastAsia" w:ascii="宋体" w:hAnsi="宋体" w:cs="宋体"/>
          <w:sz w:val="24"/>
        </w:rPr>
        <w:t>4.3对谈判文件作出的实质性变动是谈判文件的有效组成部分，谈判小组应当及时以电子谈判记录形式同时通知所有参加谈判的供应商。</w:t>
      </w:r>
    </w:p>
    <w:p w14:paraId="6D7E5CEC">
      <w:pPr>
        <w:spacing w:line="360" w:lineRule="auto"/>
        <w:ind w:firstLine="480" w:firstLineChars="200"/>
        <w:rPr>
          <w:rFonts w:ascii="宋体" w:hAnsi="宋体" w:cs="宋体"/>
          <w:sz w:val="24"/>
        </w:rPr>
      </w:pPr>
      <w:r>
        <w:rPr>
          <w:rFonts w:hint="eastAsia" w:ascii="宋体" w:hAnsi="宋体" w:cs="宋体"/>
          <w:sz w:val="24"/>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cs="宋体"/>
          <w:bCs/>
          <w:sz w:val="24"/>
        </w:rPr>
        <w:t>若委托代理人不是响应文件中授权的委托代理人时，必须同时出示有效的授权委托书原件</w:t>
      </w:r>
      <w:r>
        <w:rPr>
          <w:rFonts w:hint="eastAsia" w:ascii="宋体" w:hAnsi="宋体" w:cs="宋体"/>
          <w:sz w:val="24"/>
        </w:rPr>
        <w:t>。供应商为自然人的，必须由本人签字并附身份证明。参加谈判的供应商未在规定时间内以电子回函的形式重新提交响应文件的，视同退出谈判，其响应文件按无效响应处理。</w:t>
      </w:r>
    </w:p>
    <w:p w14:paraId="23BFB69B">
      <w:pPr>
        <w:spacing w:line="360" w:lineRule="auto"/>
        <w:ind w:firstLine="480" w:firstLineChars="200"/>
        <w:rPr>
          <w:rFonts w:ascii="宋体" w:hAnsi="宋体" w:cs="宋体"/>
          <w:sz w:val="24"/>
        </w:rPr>
      </w:pPr>
      <w:r>
        <w:rPr>
          <w:rFonts w:hint="eastAsia" w:ascii="宋体" w:hAnsi="宋体" w:cs="宋体"/>
          <w:sz w:val="24"/>
        </w:rPr>
        <w:t>4.5谈判中，谈判的任何一方不得透露与谈判有关的其他供应商的技术资料、价格和其他信息。</w:t>
      </w:r>
    </w:p>
    <w:p w14:paraId="0CCD2F4E">
      <w:pPr>
        <w:tabs>
          <w:tab w:val="left" w:pos="2835"/>
        </w:tabs>
        <w:spacing w:line="360" w:lineRule="auto"/>
        <w:ind w:firstLine="480" w:firstLineChars="200"/>
        <w:rPr>
          <w:rFonts w:ascii="宋体" w:hAnsi="宋体" w:cs="宋体"/>
          <w:sz w:val="24"/>
        </w:rPr>
      </w:pPr>
      <w:r>
        <w:rPr>
          <w:rFonts w:hint="eastAsia" w:ascii="宋体" w:hAnsi="宋体" w:cs="宋体"/>
          <w:sz w:val="24"/>
        </w:rPr>
        <w:t>4.6对谈判过程提交的响应文件进行有效性、完整性和响应程度审查，通过审查的合格供应商不足3家的，采购人或者采购代理机构应当重新开展采购活动。</w:t>
      </w:r>
    </w:p>
    <w:p w14:paraId="369C7264">
      <w:pPr>
        <w:spacing w:line="360" w:lineRule="auto"/>
        <w:ind w:firstLine="482" w:firstLineChars="200"/>
        <w:rPr>
          <w:rFonts w:ascii="宋体" w:hAnsi="宋体" w:cs="宋体"/>
          <w:b/>
          <w:bCs/>
          <w:sz w:val="24"/>
        </w:rPr>
      </w:pPr>
      <w:r>
        <w:rPr>
          <w:rFonts w:hint="eastAsia" w:ascii="宋体" w:hAnsi="宋体" w:cs="宋体"/>
          <w:b/>
          <w:bCs/>
          <w:sz w:val="24"/>
        </w:rPr>
        <w:t>5.最后报价</w:t>
      </w:r>
    </w:p>
    <w:p w14:paraId="2ADD42DE">
      <w:pPr>
        <w:spacing w:line="360" w:lineRule="auto"/>
        <w:ind w:firstLine="480" w:firstLineChars="200"/>
        <w:rPr>
          <w:rFonts w:ascii="宋体" w:hAnsi="宋体" w:cs="宋体"/>
          <w:sz w:val="24"/>
        </w:rPr>
      </w:pPr>
      <w:r>
        <w:rPr>
          <w:rFonts w:hint="eastAsia" w:ascii="宋体" w:hAnsi="宋体" w:cs="宋体"/>
          <w:sz w:val="24"/>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055AFEA4">
      <w:pPr>
        <w:spacing w:line="360" w:lineRule="auto"/>
        <w:ind w:firstLine="480" w:firstLineChars="200"/>
        <w:rPr>
          <w:rFonts w:ascii="宋体" w:hAnsi="宋体" w:cs="宋体"/>
          <w:sz w:val="24"/>
        </w:rPr>
      </w:pPr>
      <w:r>
        <w:rPr>
          <w:rFonts w:hint="eastAsia" w:ascii="宋体" w:hAnsi="宋体" w:cs="宋体"/>
          <w:sz w:val="24"/>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0EE791B4">
      <w:pPr>
        <w:spacing w:line="360" w:lineRule="auto"/>
        <w:ind w:firstLine="480" w:firstLineChars="200"/>
        <w:rPr>
          <w:rFonts w:ascii="宋体" w:hAnsi="宋体" w:cs="宋体"/>
          <w:sz w:val="24"/>
        </w:rPr>
      </w:pPr>
      <w:r>
        <w:rPr>
          <w:rFonts w:hint="eastAsia" w:ascii="宋体" w:hAnsi="宋体" w:cs="宋体"/>
          <w:sz w:val="24"/>
        </w:rPr>
        <w:t>5.3最后报价是供应商响应文件的有效组成部分。</w:t>
      </w:r>
    </w:p>
    <w:p w14:paraId="64CD5BBD">
      <w:pPr>
        <w:spacing w:line="360" w:lineRule="auto"/>
        <w:ind w:firstLine="480" w:firstLineChars="200"/>
        <w:rPr>
          <w:rFonts w:ascii="宋体" w:hAnsi="宋体" w:cs="宋体"/>
          <w:sz w:val="24"/>
        </w:rPr>
      </w:pPr>
      <w:r>
        <w:rPr>
          <w:rFonts w:hint="eastAsia" w:ascii="宋体" w:hAnsi="宋体" w:cs="宋体"/>
          <w:sz w:val="24"/>
        </w:rPr>
        <w:t>5.4已经提交响应文件的供应商，在提交最后报价之前，可以根据谈判情况退出谈判。采购人、采购代理机构将退还退出谈判的供应商的保证金。</w:t>
      </w:r>
    </w:p>
    <w:p w14:paraId="35454817">
      <w:pPr>
        <w:spacing w:line="360" w:lineRule="auto"/>
        <w:ind w:firstLine="480" w:firstLineChars="200"/>
        <w:rPr>
          <w:rFonts w:ascii="宋体" w:hAnsi="宋体" w:cs="宋体"/>
          <w:sz w:val="24"/>
        </w:rPr>
      </w:pPr>
      <w:r>
        <w:rPr>
          <w:rFonts w:hint="eastAsia" w:ascii="宋体" w:hAnsi="宋体" w:cs="宋体"/>
          <w:sz w:val="24"/>
        </w:rPr>
        <w:t>5.5供应商未在规定时间内提交最后报价的，视为退出谈判，其响应文件按无效响应处理。</w:t>
      </w:r>
    </w:p>
    <w:p w14:paraId="3DEB5972">
      <w:pPr>
        <w:spacing w:line="360" w:lineRule="auto"/>
        <w:ind w:firstLine="480" w:firstLineChars="200"/>
        <w:rPr>
          <w:rFonts w:ascii="宋体" w:hAnsi="宋体" w:cs="宋体"/>
          <w:sz w:val="24"/>
        </w:rPr>
      </w:pPr>
      <w:r>
        <w:rPr>
          <w:rFonts w:hint="eastAsia" w:ascii="宋体" w:hAnsi="宋体" w:cs="宋体"/>
          <w:sz w:val="24"/>
        </w:rPr>
        <w:t>5.6谈判小组收齐某一分标最后报价后或达到规定时间后统一开启，谈判小组对最后报价进行有效性、完整性和响应程度的审查。</w:t>
      </w:r>
    </w:p>
    <w:p w14:paraId="08D34202">
      <w:pPr>
        <w:spacing w:line="360" w:lineRule="auto"/>
        <w:ind w:firstLine="480" w:firstLineChars="200"/>
        <w:rPr>
          <w:rFonts w:ascii="宋体" w:hAnsi="宋体" w:cs="宋体"/>
          <w:sz w:val="24"/>
        </w:rPr>
      </w:pPr>
      <w:r>
        <w:rPr>
          <w:rFonts w:hint="eastAsia" w:ascii="宋体" w:hAnsi="宋体" w:cs="宋体"/>
          <w:sz w:val="24"/>
        </w:rPr>
        <w:t xml:space="preserve">5.7响应文件首次及最后报价出现前后不一致的，按照本章第3.4条的规定修正。 </w:t>
      </w:r>
    </w:p>
    <w:p w14:paraId="2B98072B">
      <w:pPr>
        <w:spacing w:line="360" w:lineRule="auto"/>
        <w:ind w:firstLine="480" w:firstLineChars="200"/>
        <w:rPr>
          <w:rFonts w:ascii="宋体" w:hAnsi="宋体" w:cs="宋体"/>
          <w:sz w:val="24"/>
        </w:rPr>
      </w:pPr>
      <w:r>
        <w:rPr>
          <w:rFonts w:hint="eastAsia" w:ascii="宋体" w:hAnsi="宋体" w:cs="宋体"/>
          <w:sz w:val="24"/>
        </w:rPr>
        <w:t>5.8经供应商确认修正后的最后报价作为评审及签订合同的依据。</w:t>
      </w:r>
    </w:p>
    <w:p w14:paraId="0257B831">
      <w:pPr>
        <w:spacing w:line="360" w:lineRule="auto"/>
        <w:ind w:firstLine="480" w:firstLineChars="200"/>
        <w:rPr>
          <w:rFonts w:ascii="宋体" w:hAnsi="宋体" w:cs="宋体"/>
          <w:sz w:val="24"/>
        </w:rPr>
      </w:pPr>
      <w:r>
        <w:rPr>
          <w:rFonts w:hint="eastAsia" w:ascii="宋体" w:hAnsi="宋体" w:cs="宋体"/>
          <w:sz w:val="24"/>
        </w:rPr>
        <w:t>5.9供应商出现最后报价按无效响应处理或者响应文件按无效响应处理时，谈判小组应当告知有关供应商。</w:t>
      </w:r>
    </w:p>
    <w:p w14:paraId="7A41F2C9">
      <w:pPr>
        <w:spacing w:line="360" w:lineRule="auto"/>
        <w:ind w:firstLine="480" w:firstLineChars="200"/>
        <w:rPr>
          <w:rFonts w:ascii="宋体" w:hAnsi="宋体" w:cs="宋体"/>
          <w:sz w:val="24"/>
        </w:rPr>
      </w:pPr>
      <w:r>
        <w:rPr>
          <w:rFonts w:hint="eastAsia" w:ascii="宋体" w:hAnsi="宋体" w:cs="宋体"/>
          <w:sz w:val="24"/>
        </w:rPr>
        <w:t>5.10最后报价结束后，谈判小组不得再与供应商进行任何形式的商谈。</w:t>
      </w:r>
    </w:p>
    <w:p w14:paraId="4F0BF1B2">
      <w:pPr>
        <w:spacing w:line="360" w:lineRule="auto"/>
        <w:ind w:firstLine="472" w:firstLineChars="196"/>
        <w:rPr>
          <w:rFonts w:ascii="宋体" w:hAnsi="宋体" w:cs="宋体"/>
          <w:b/>
          <w:bCs/>
          <w:sz w:val="24"/>
        </w:rPr>
      </w:pPr>
      <w:r>
        <w:rPr>
          <w:rFonts w:hint="eastAsia" w:ascii="宋体" w:hAnsi="宋体" w:cs="宋体"/>
          <w:b/>
          <w:bCs/>
          <w:sz w:val="24"/>
        </w:rPr>
        <w:t>6.最后报价政府采购政策性扣除</w:t>
      </w:r>
    </w:p>
    <w:p w14:paraId="184420FE">
      <w:pPr>
        <w:spacing w:line="360" w:lineRule="auto"/>
        <w:ind w:firstLine="480" w:firstLineChars="200"/>
        <w:rPr>
          <w:rFonts w:ascii="宋体" w:hAnsi="宋体" w:cs="宋体"/>
          <w:sz w:val="24"/>
        </w:rPr>
      </w:pPr>
      <w:r>
        <w:rPr>
          <w:rFonts w:hint="eastAsia" w:ascii="宋体" w:hAnsi="宋体" w:cs="宋体"/>
          <w:sz w:val="24"/>
        </w:rPr>
        <w:t>6.1评标价为供应商的最后报价进行政策性扣除后的价格，评标价只是作为评审时使用。最终成交供应商的成交金额等于最后报价（如有修正，以确认修正后的最后报价为准）。</w:t>
      </w:r>
    </w:p>
    <w:p w14:paraId="08B27643">
      <w:pPr>
        <w:spacing w:line="360" w:lineRule="auto"/>
        <w:ind w:firstLine="480" w:firstLineChars="200"/>
        <w:rPr>
          <w:rFonts w:ascii="宋体" w:hAnsi="宋体" w:cs="宋体"/>
          <w:sz w:val="24"/>
        </w:rPr>
      </w:pPr>
      <w:r>
        <w:rPr>
          <w:rFonts w:hint="eastAsia" w:ascii="宋体" w:hAnsi="宋体" w:cs="宋体"/>
          <w:sz w:val="24"/>
        </w:rPr>
        <w:t>6.2政策性扣除计算方法。</w:t>
      </w:r>
    </w:p>
    <w:p w14:paraId="416F8E7B">
      <w:pPr>
        <w:spacing w:line="360" w:lineRule="auto"/>
        <w:ind w:firstLine="480" w:firstLineChars="200"/>
        <w:rPr>
          <w:rFonts w:ascii="宋体" w:hAnsi="宋体" w:cs="宋体"/>
          <w:sz w:val="24"/>
        </w:rPr>
      </w:pPr>
      <w:r>
        <w:rPr>
          <w:rFonts w:hint="eastAsia" w:ascii="宋体" w:hAnsi="宋体" w:cs="宋体"/>
          <w:sz w:val="24"/>
        </w:rPr>
        <w:t>根据《政府采购促进中小企业发展管理办法》</w:t>
      </w:r>
      <w:r>
        <w:rPr>
          <w:rFonts w:hint="eastAsia" w:hAnsi="宋体" w:cs="宋体"/>
          <w:bCs/>
          <w:sz w:val="24"/>
        </w:rPr>
        <w:t>及《广西壮族自治区财政厅关于持续优化政府采购营商环境推动高质量发展的通知》</w:t>
      </w:r>
      <w:r>
        <w:rPr>
          <w:rFonts w:hint="eastAsia" w:ascii="宋体" w:hAnsi="宋体" w:cs="宋体"/>
          <w:sz w:val="24"/>
        </w:rPr>
        <w:t>的规定，</w:t>
      </w:r>
      <w:r>
        <w:rPr>
          <w:rFonts w:hint="eastAsia" w:hAnsi="宋体" w:cs="宋体"/>
          <w:bCs/>
          <w:sz w:val="24"/>
        </w:rPr>
        <w:t>调整对小微企业的价格评审优惠幅度</w:t>
      </w:r>
      <w:r>
        <w:rPr>
          <w:rFonts w:hint="eastAsia" w:ascii="宋体" w:hAnsi="宋体" w:cs="宋体"/>
          <w:sz w:val="24"/>
        </w:rPr>
        <w:t>，供应商属于《政府采购促进中小企业发展管理办法》规定的小微企业的，对</w:t>
      </w:r>
      <w:r>
        <w:rPr>
          <w:rFonts w:hint="eastAsia" w:ascii="宋体" w:hAnsi="宋体" w:cs="宋体"/>
          <w:sz w:val="24"/>
          <w:lang w:bidi="ar"/>
        </w:rPr>
        <w:t>竞争性谈判</w:t>
      </w:r>
      <w:r>
        <w:rPr>
          <w:rFonts w:hint="eastAsia" w:ascii="宋体" w:hAnsi="宋体" w:cs="宋体"/>
          <w:sz w:val="24"/>
        </w:rPr>
        <w:t>报价</w:t>
      </w:r>
      <w:r>
        <w:rPr>
          <w:rFonts w:hint="eastAsia" w:ascii="宋体" w:hAnsi="宋体" w:cs="宋体"/>
          <w:sz w:val="24"/>
          <w:highlight w:val="red"/>
        </w:rPr>
        <w:t>给予20%的扣除</w:t>
      </w:r>
      <w:r>
        <w:rPr>
          <w:rFonts w:hint="eastAsia" w:ascii="宋体" w:hAnsi="宋体" w:cs="宋体"/>
          <w:sz w:val="24"/>
        </w:rPr>
        <w:t>，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14:paraId="6FB9C99D">
      <w:pPr>
        <w:spacing w:line="360" w:lineRule="auto"/>
        <w:ind w:firstLine="480" w:firstLineChars="200"/>
        <w:rPr>
          <w:rFonts w:ascii="宋体" w:hAnsi="宋体" w:cs="宋体"/>
          <w:sz w:val="24"/>
        </w:rPr>
      </w:pPr>
      <w:r>
        <w:rPr>
          <w:rFonts w:hint="eastAsia" w:ascii="宋体" w:hAnsi="宋体" w:cs="宋体"/>
          <w:sz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578906F">
      <w:pPr>
        <w:spacing w:line="360" w:lineRule="auto"/>
        <w:ind w:firstLine="480" w:firstLineChars="200"/>
        <w:rPr>
          <w:rFonts w:ascii="宋体" w:hAnsi="宋体" w:cs="宋体"/>
          <w:sz w:val="24"/>
        </w:rPr>
      </w:pPr>
      <w:r>
        <w:rPr>
          <w:rFonts w:hint="eastAsia" w:ascii="宋体" w:hAnsi="宋体" w:cs="宋体"/>
          <w:sz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49CAAA">
      <w:pPr>
        <w:spacing w:line="360" w:lineRule="auto"/>
        <w:ind w:firstLine="480" w:firstLineChars="200"/>
        <w:rPr>
          <w:rFonts w:hint="eastAsia" w:ascii="宋体" w:hAnsi="宋体" w:cs="宋体"/>
          <w:sz w:val="24"/>
        </w:rPr>
      </w:pPr>
      <w:r>
        <w:rPr>
          <w:rFonts w:hint="eastAsia" w:ascii="宋体" w:hAnsi="宋体" w:cs="宋体"/>
          <w:sz w:val="24"/>
        </w:rPr>
        <w:t>6.5除上述情况外，评标价＝最后报价。</w:t>
      </w:r>
    </w:p>
    <w:p w14:paraId="52F0BB84">
      <w:pPr>
        <w:spacing w:line="360" w:lineRule="auto"/>
        <w:ind w:firstLine="480" w:firstLineChars="200"/>
        <w:rPr>
          <w:rFonts w:ascii="宋体" w:hAnsi="宋体" w:cs="宋体"/>
          <w:sz w:val="24"/>
        </w:rPr>
      </w:pPr>
    </w:p>
    <w:p w14:paraId="092CE42D">
      <w:pPr>
        <w:spacing w:line="360" w:lineRule="auto"/>
        <w:jc w:val="center"/>
        <w:rPr>
          <w:rFonts w:ascii="宋体" w:hAnsi="宋体" w:cs="宋体"/>
          <w:b/>
          <w:sz w:val="24"/>
        </w:rPr>
      </w:pPr>
    </w:p>
    <w:p w14:paraId="78569609">
      <w:pPr>
        <w:spacing w:line="360" w:lineRule="auto"/>
        <w:jc w:val="center"/>
        <w:rPr>
          <w:rFonts w:ascii="宋体" w:hAnsi="宋体" w:cs="宋体"/>
          <w:b/>
          <w:sz w:val="32"/>
          <w:szCs w:val="32"/>
        </w:rPr>
      </w:pPr>
      <w:r>
        <w:rPr>
          <w:rFonts w:hint="eastAsia" w:ascii="宋体" w:hAnsi="宋体" w:cs="宋体"/>
          <w:b/>
          <w:sz w:val="32"/>
          <w:szCs w:val="32"/>
        </w:rPr>
        <w:t>二、评定成交的标准</w:t>
      </w:r>
    </w:p>
    <w:p w14:paraId="2CC6C45E">
      <w:pPr>
        <w:spacing w:line="360" w:lineRule="auto"/>
        <w:ind w:firstLine="482" w:firstLineChars="200"/>
        <w:rPr>
          <w:rFonts w:ascii="宋体" w:hAnsi="宋体" w:cs="宋体"/>
          <w:b/>
          <w:bCs/>
          <w:sz w:val="24"/>
        </w:rPr>
      </w:pPr>
      <w:r>
        <w:rPr>
          <w:rFonts w:hint="eastAsia" w:ascii="宋体" w:hAnsi="宋体" w:cs="宋体"/>
          <w:b/>
          <w:bCs/>
          <w:sz w:val="24"/>
        </w:rPr>
        <w:t>7.成交候选人推荐原则</w:t>
      </w:r>
    </w:p>
    <w:p w14:paraId="60680F9B">
      <w:pPr>
        <w:spacing w:line="360" w:lineRule="auto"/>
        <w:ind w:firstLine="480" w:firstLineChars="200"/>
        <w:rPr>
          <w:rFonts w:ascii="宋体" w:hAnsi="宋体" w:cs="宋体"/>
          <w:sz w:val="24"/>
        </w:rPr>
      </w:pPr>
      <w:r>
        <w:rPr>
          <w:rFonts w:hint="eastAsia" w:ascii="宋体" w:hAnsi="宋体" w:cs="宋体"/>
          <w:sz w:val="24"/>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14:paraId="5F38DBD7">
      <w:pPr>
        <w:pStyle w:val="3"/>
        <w:spacing w:before="0" w:after="0"/>
        <w:jc w:val="center"/>
        <w:rPr>
          <w:rFonts w:ascii="宋体" w:hAnsi="宋体" w:cs="宋体"/>
        </w:rPr>
      </w:pPr>
      <w:r>
        <w:rPr>
          <w:rFonts w:hint="eastAsia" w:ascii="宋体" w:hAnsi="宋体" w:cs="宋体"/>
          <w:sz w:val="24"/>
          <w:szCs w:val="24"/>
        </w:rPr>
        <w:br w:type="page"/>
      </w:r>
      <w:bookmarkStart w:id="28" w:name="_Toc74322012"/>
      <w:r>
        <w:rPr>
          <w:rFonts w:hint="eastAsia" w:ascii="宋体" w:hAnsi="宋体" w:cs="宋体"/>
        </w:rPr>
        <w:t>第五章 响应文件格式</w:t>
      </w:r>
      <w:bookmarkEnd w:id="28"/>
    </w:p>
    <w:p w14:paraId="2356BDB8">
      <w:pPr>
        <w:spacing w:line="240" w:lineRule="atLeast"/>
        <w:rPr>
          <w:rFonts w:ascii="宋体" w:hAnsi="宋体" w:cs="宋体"/>
          <w:b/>
          <w:sz w:val="32"/>
          <w:szCs w:val="32"/>
        </w:rPr>
      </w:pPr>
    </w:p>
    <w:p w14:paraId="60087986">
      <w:pPr>
        <w:spacing w:line="240" w:lineRule="atLeast"/>
        <w:rPr>
          <w:rFonts w:ascii="宋体" w:hAnsi="宋体" w:cs="宋体"/>
          <w:b/>
          <w:sz w:val="32"/>
          <w:szCs w:val="32"/>
        </w:rPr>
      </w:pPr>
    </w:p>
    <w:p w14:paraId="402AEB29">
      <w:pPr>
        <w:spacing w:line="360" w:lineRule="auto"/>
        <w:rPr>
          <w:rFonts w:ascii="宋体" w:hAnsi="宋体" w:cs="宋体"/>
          <w:b/>
          <w:sz w:val="32"/>
          <w:szCs w:val="32"/>
        </w:rPr>
      </w:pPr>
      <w:bookmarkStart w:id="29" w:name="_Toc71365382"/>
      <w:bookmarkStart w:id="30" w:name="_Toc71366060"/>
      <w:r>
        <w:rPr>
          <w:rFonts w:hint="eastAsia" w:ascii="宋体" w:hAnsi="宋体" w:cs="宋体"/>
          <w:b/>
          <w:sz w:val="32"/>
          <w:szCs w:val="32"/>
        </w:rPr>
        <w:t>一、资格证明文件格式</w:t>
      </w:r>
      <w:bookmarkEnd w:id="29"/>
      <w:bookmarkEnd w:id="30"/>
    </w:p>
    <w:p w14:paraId="498C69CC">
      <w:pPr>
        <w:snapToGrid w:val="0"/>
        <w:spacing w:line="360" w:lineRule="auto"/>
        <w:jc w:val="left"/>
        <w:rPr>
          <w:rFonts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14:paraId="2AC39226">
      <w:pPr>
        <w:snapToGrid w:val="0"/>
        <w:spacing w:line="360" w:lineRule="auto"/>
        <w:rPr>
          <w:rFonts w:ascii="宋体" w:hAnsi="宋体" w:cs="宋体"/>
          <w:bCs/>
          <w:sz w:val="32"/>
          <w:szCs w:val="20"/>
        </w:rPr>
      </w:pPr>
      <w:r>
        <w:rPr>
          <w:rFonts w:hint="eastAsia" w:ascii="宋体" w:hAnsi="宋体" w:cs="宋体"/>
          <w:sz w:val="24"/>
        </w:rPr>
        <w:t xml:space="preserve">                                                  </w:t>
      </w:r>
    </w:p>
    <w:p w14:paraId="2BCA89E2">
      <w:pPr>
        <w:snapToGrid w:val="0"/>
        <w:spacing w:line="360" w:lineRule="auto"/>
        <w:jc w:val="center"/>
        <w:rPr>
          <w:rFonts w:ascii="宋体" w:hAnsi="宋体" w:cs="宋体"/>
          <w:bCs/>
          <w:sz w:val="44"/>
          <w:szCs w:val="44"/>
        </w:rPr>
      </w:pPr>
    </w:p>
    <w:p w14:paraId="141860EC">
      <w:pPr>
        <w:snapToGrid w:val="0"/>
        <w:spacing w:line="360" w:lineRule="auto"/>
        <w:jc w:val="center"/>
        <w:rPr>
          <w:rFonts w:ascii="宋体" w:hAnsi="宋体" w:cs="宋体"/>
          <w:bCs/>
          <w:sz w:val="84"/>
          <w:szCs w:val="84"/>
        </w:rPr>
      </w:pPr>
      <w:r>
        <w:rPr>
          <w:rFonts w:hint="eastAsia" w:ascii="宋体" w:hAnsi="宋体" w:cs="宋体"/>
          <w:bCs/>
          <w:sz w:val="84"/>
          <w:szCs w:val="84"/>
        </w:rPr>
        <w:t>响  应  文  件</w:t>
      </w:r>
    </w:p>
    <w:p w14:paraId="064AEB98">
      <w:pPr>
        <w:snapToGrid w:val="0"/>
        <w:spacing w:line="360" w:lineRule="auto"/>
        <w:rPr>
          <w:rFonts w:ascii="宋体" w:hAnsi="宋体" w:cs="宋体"/>
          <w:sz w:val="24"/>
          <w:szCs w:val="20"/>
        </w:rPr>
      </w:pPr>
    </w:p>
    <w:p w14:paraId="033CDFFE">
      <w:pPr>
        <w:snapToGrid w:val="0"/>
        <w:spacing w:line="360" w:lineRule="auto"/>
        <w:jc w:val="center"/>
        <w:rPr>
          <w:rFonts w:ascii="宋体" w:hAnsi="宋体" w:cs="宋体"/>
          <w:bCs/>
          <w:sz w:val="32"/>
          <w:szCs w:val="32"/>
        </w:rPr>
      </w:pPr>
      <w:r>
        <w:rPr>
          <w:rFonts w:hint="eastAsia" w:ascii="宋体" w:hAnsi="宋体" w:cs="宋体"/>
          <w:bCs/>
          <w:sz w:val="32"/>
          <w:szCs w:val="32"/>
        </w:rPr>
        <w:t>资  格  证  明  文  件</w:t>
      </w:r>
    </w:p>
    <w:p w14:paraId="5169C879">
      <w:pPr>
        <w:snapToGrid w:val="0"/>
        <w:spacing w:line="360" w:lineRule="auto"/>
        <w:rPr>
          <w:rFonts w:ascii="宋体" w:hAnsi="宋体" w:cs="宋体"/>
          <w:bCs/>
          <w:sz w:val="24"/>
          <w:szCs w:val="20"/>
        </w:rPr>
      </w:pPr>
    </w:p>
    <w:p w14:paraId="623CA273">
      <w:pPr>
        <w:snapToGrid w:val="0"/>
        <w:spacing w:line="360" w:lineRule="auto"/>
        <w:rPr>
          <w:rFonts w:ascii="宋体" w:hAnsi="宋体" w:cs="宋体"/>
          <w:bCs/>
          <w:sz w:val="24"/>
          <w:szCs w:val="20"/>
        </w:rPr>
      </w:pPr>
    </w:p>
    <w:p w14:paraId="4B30F41D">
      <w:pPr>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项目名称：</w:t>
      </w:r>
    </w:p>
    <w:p w14:paraId="3011CA50">
      <w:pPr>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 xml:space="preserve">项目编号： </w:t>
      </w:r>
    </w:p>
    <w:p w14:paraId="358B275F">
      <w:pPr>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所竞分标（如有）：</w:t>
      </w:r>
    </w:p>
    <w:p w14:paraId="367225DA">
      <w:pPr>
        <w:pStyle w:val="7"/>
        <w:snapToGrid w:val="0"/>
        <w:spacing w:line="360" w:lineRule="auto"/>
        <w:ind w:firstLine="2739" w:firstLineChars="856"/>
        <w:rPr>
          <w:rFonts w:ascii="宋体" w:hAnsi="宋体" w:cs="宋体"/>
          <w:bCs/>
          <w:sz w:val="32"/>
          <w:szCs w:val="32"/>
        </w:rPr>
      </w:pPr>
      <w:r>
        <w:rPr>
          <w:rFonts w:hint="eastAsia" w:ascii="宋体" w:hAnsi="宋体" w:cs="宋体"/>
          <w:bCs/>
          <w:sz w:val="32"/>
          <w:szCs w:val="32"/>
        </w:rPr>
        <w:t>供应商名称：</w:t>
      </w:r>
    </w:p>
    <w:p w14:paraId="5422FAD4">
      <w:pPr>
        <w:pStyle w:val="7"/>
        <w:snapToGrid w:val="0"/>
        <w:spacing w:line="360" w:lineRule="auto"/>
        <w:ind w:firstLine="0"/>
        <w:rPr>
          <w:rFonts w:ascii="宋体" w:hAnsi="宋体" w:cs="宋体"/>
          <w:bCs/>
          <w:sz w:val="32"/>
          <w:szCs w:val="32"/>
        </w:rPr>
      </w:pPr>
    </w:p>
    <w:p w14:paraId="5CFD80AA">
      <w:pPr>
        <w:pStyle w:val="7"/>
        <w:snapToGrid w:val="0"/>
        <w:spacing w:line="360" w:lineRule="auto"/>
        <w:ind w:firstLine="1280" w:firstLineChars="400"/>
        <w:rPr>
          <w:rFonts w:ascii="宋体" w:hAnsi="宋体" w:cs="宋体"/>
          <w:bCs/>
          <w:sz w:val="32"/>
          <w:szCs w:val="32"/>
        </w:rPr>
      </w:pPr>
    </w:p>
    <w:p w14:paraId="043DD7F2">
      <w:pPr>
        <w:snapToGrid w:val="0"/>
        <w:spacing w:line="360" w:lineRule="auto"/>
        <w:jc w:val="center"/>
        <w:rPr>
          <w:rFonts w:ascii="宋体" w:hAnsi="宋体" w:cs="宋体"/>
          <w:sz w:val="32"/>
          <w:szCs w:val="32"/>
        </w:rPr>
      </w:pPr>
      <w:r>
        <w:rPr>
          <w:rFonts w:hint="eastAsia" w:ascii="宋体" w:hAnsi="宋体" w:cs="宋体"/>
          <w:sz w:val="32"/>
          <w:szCs w:val="32"/>
        </w:rPr>
        <w:t>年    月    日</w:t>
      </w:r>
    </w:p>
    <w:p w14:paraId="53921EC1">
      <w:pPr>
        <w:snapToGrid w:val="0"/>
        <w:spacing w:line="360" w:lineRule="auto"/>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27B2A2AA">
      <w:pPr>
        <w:snapToGrid w:val="0"/>
        <w:spacing w:line="360" w:lineRule="auto"/>
        <w:ind w:firstLine="645"/>
        <w:rPr>
          <w:rFonts w:ascii="宋体" w:hAnsi="宋体" w:cs="宋体"/>
          <w:sz w:val="32"/>
          <w:szCs w:val="32"/>
        </w:rPr>
      </w:pPr>
      <w:r>
        <w:rPr>
          <w:rFonts w:hint="eastAsia" w:ascii="宋体" w:hAnsi="宋体" w:cs="宋体"/>
          <w:sz w:val="32"/>
          <w:szCs w:val="32"/>
        </w:rPr>
        <w:t>根据谈判文件规定及供应商提供的材料自行编写目录（部分格式后附）。</w:t>
      </w:r>
    </w:p>
    <w:p w14:paraId="0B17115A">
      <w:pPr>
        <w:snapToGrid w:val="0"/>
        <w:spacing w:line="360" w:lineRule="auto"/>
        <w:rPr>
          <w:rFonts w:ascii="宋体" w:hAnsi="宋体" w:cs="宋体"/>
          <w:sz w:val="24"/>
          <w:szCs w:val="20"/>
        </w:rPr>
      </w:pPr>
      <w:r>
        <w:rPr>
          <w:rFonts w:hint="eastAsia" w:ascii="宋体" w:hAnsi="宋体" w:cs="宋体"/>
          <w:sz w:val="24"/>
          <w:szCs w:val="20"/>
        </w:rPr>
        <w:t xml:space="preserve"> </w:t>
      </w:r>
    </w:p>
    <w:p w14:paraId="0F016903">
      <w:pPr>
        <w:spacing w:line="360" w:lineRule="auto"/>
        <w:rPr>
          <w:rFonts w:ascii="宋体" w:hAnsi="宋体" w:cs="宋体"/>
          <w:szCs w:val="21"/>
        </w:rPr>
      </w:pPr>
    </w:p>
    <w:p w14:paraId="44265E39">
      <w:pPr>
        <w:spacing w:line="360" w:lineRule="auto"/>
        <w:rPr>
          <w:rFonts w:ascii="宋体" w:hAnsi="宋体" w:cs="宋体"/>
          <w:szCs w:val="21"/>
        </w:rPr>
      </w:pPr>
    </w:p>
    <w:p w14:paraId="0EF98B26">
      <w:pPr>
        <w:spacing w:line="360" w:lineRule="auto"/>
        <w:rPr>
          <w:rFonts w:ascii="宋体" w:hAnsi="宋体" w:cs="宋体"/>
          <w:szCs w:val="21"/>
        </w:rPr>
      </w:pPr>
    </w:p>
    <w:p w14:paraId="165BED80">
      <w:pPr>
        <w:spacing w:line="360" w:lineRule="auto"/>
        <w:rPr>
          <w:rFonts w:ascii="宋体" w:hAnsi="宋体" w:cs="宋体"/>
          <w:szCs w:val="21"/>
        </w:rPr>
      </w:pPr>
    </w:p>
    <w:p w14:paraId="5FB2FFEB">
      <w:pPr>
        <w:spacing w:line="360" w:lineRule="auto"/>
        <w:rPr>
          <w:rFonts w:ascii="宋体" w:hAnsi="宋体" w:cs="宋体"/>
          <w:szCs w:val="21"/>
        </w:rPr>
      </w:pPr>
    </w:p>
    <w:p w14:paraId="7110D1F4">
      <w:pPr>
        <w:spacing w:line="360" w:lineRule="auto"/>
        <w:rPr>
          <w:rFonts w:ascii="宋体" w:hAnsi="宋体" w:cs="宋体"/>
          <w:szCs w:val="21"/>
        </w:rPr>
      </w:pPr>
    </w:p>
    <w:p w14:paraId="2D5379F3">
      <w:pPr>
        <w:spacing w:line="360" w:lineRule="auto"/>
        <w:rPr>
          <w:rFonts w:ascii="宋体" w:hAnsi="宋体" w:cs="宋体"/>
          <w:szCs w:val="21"/>
        </w:rPr>
      </w:pPr>
    </w:p>
    <w:p w14:paraId="767A1FF0">
      <w:pPr>
        <w:spacing w:line="360" w:lineRule="auto"/>
        <w:rPr>
          <w:rFonts w:ascii="宋体" w:hAnsi="宋体" w:cs="宋体"/>
          <w:szCs w:val="21"/>
        </w:rPr>
      </w:pPr>
    </w:p>
    <w:p w14:paraId="46283106">
      <w:pPr>
        <w:spacing w:line="360" w:lineRule="auto"/>
        <w:rPr>
          <w:rFonts w:ascii="宋体" w:hAnsi="宋体" w:cs="宋体"/>
          <w:szCs w:val="21"/>
        </w:rPr>
      </w:pPr>
    </w:p>
    <w:p w14:paraId="0EED9052">
      <w:pPr>
        <w:spacing w:line="360" w:lineRule="auto"/>
        <w:rPr>
          <w:rFonts w:ascii="宋体" w:hAnsi="宋体" w:cs="宋体"/>
          <w:szCs w:val="21"/>
        </w:rPr>
      </w:pPr>
    </w:p>
    <w:p w14:paraId="4AC644CC">
      <w:pPr>
        <w:spacing w:line="360" w:lineRule="auto"/>
        <w:rPr>
          <w:rFonts w:ascii="宋体" w:hAnsi="宋体" w:cs="宋体"/>
          <w:szCs w:val="21"/>
        </w:rPr>
      </w:pPr>
    </w:p>
    <w:p w14:paraId="334A29FD">
      <w:pPr>
        <w:spacing w:line="360" w:lineRule="auto"/>
        <w:rPr>
          <w:rFonts w:ascii="宋体" w:hAnsi="宋体" w:cs="宋体"/>
          <w:szCs w:val="21"/>
        </w:rPr>
      </w:pPr>
    </w:p>
    <w:p w14:paraId="3F39AD9F">
      <w:pPr>
        <w:spacing w:line="360" w:lineRule="auto"/>
        <w:rPr>
          <w:rFonts w:ascii="宋体" w:hAnsi="宋体" w:cs="宋体"/>
          <w:szCs w:val="21"/>
        </w:rPr>
      </w:pPr>
    </w:p>
    <w:p w14:paraId="22C67705">
      <w:pPr>
        <w:spacing w:line="360" w:lineRule="auto"/>
        <w:rPr>
          <w:rFonts w:ascii="宋体" w:hAnsi="宋体" w:cs="宋体"/>
          <w:szCs w:val="21"/>
        </w:rPr>
      </w:pPr>
    </w:p>
    <w:p w14:paraId="32D0AE85">
      <w:pPr>
        <w:spacing w:line="360" w:lineRule="auto"/>
        <w:rPr>
          <w:rFonts w:ascii="宋体" w:hAnsi="宋体" w:cs="宋体"/>
          <w:szCs w:val="21"/>
        </w:rPr>
      </w:pPr>
    </w:p>
    <w:p w14:paraId="0AC3E489">
      <w:pPr>
        <w:spacing w:line="360" w:lineRule="auto"/>
        <w:jc w:val="left"/>
        <w:rPr>
          <w:rFonts w:ascii="宋体" w:hAnsi="宋体" w:cs="宋体"/>
          <w:szCs w:val="21"/>
        </w:rPr>
      </w:pPr>
    </w:p>
    <w:p w14:paraId="1823026F">
      <w:pPr>
        <w:snapToGrid w:val="0"/>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3.供应商直接控股、管理关系信息表</w:t>
      </w:r>
    </w:p>
    <w:p w14:paraId="12212BAD">
      <w:pPr>
        <w:snapToGrid w:val="0"/>
        <w:spacing w:line="360" w:lineRule="auto"/>
        <w:jc w:val="center"/>
        <w:rPr>
          <w:rFonts w:ascii="宋体" w:hAnsi="宋体" w:cs="宋体"/>
          <w:b/>
          <w:sz w:val="32"/>
          <w:szCs w:val="32"/>
        </w:rPr>
      </w:pPr>
    </w:p>
    <w:p w14:paraId="1D954D0A">
      <w:pPr>
        <w:snapToGrid w:val="0"/>
        <w:spacing w:line="360" w:lineRule="auto"/>
        <w:jc w:val="center"/>
        <w:rPr>
          <w:rFonts w:ascii="宋体" w:hAnsi="宋体" w:cs="宋体"/>
          <w:b/>
          <w:sz w:val="32"/>
          <w:szCs w:val="32"/>
        </w:rPr>
      </w:pPr>
      <w:r>
        <w:rPr>
          <w:rFonts w:hint="eastAsia" w:ascii="宋体" w:hAnsi="宋体" w:cs="宋体"/>
          <w:b/>
          <w:sz w:val="32"/>
          <w:szCs w:val="32"/>
        </w:rPr>
        <w:t>供应商直接控股股东信息表</w:t>
      </w:r>
    </w:p>
    <w:p w14:paraId="03B92D29">
      <w:pPr>
        <w:snapToGrid w:val="0"/>
        <w:spacing w:line="360" w:lineRule="auto"/>
        <w:jc w:val="center"/>
        <w:rPr>
          <w:rFonts w:ascii="宋体" w:hAnsi="宋体" w:cs="宋体"/>
          <w:b/>
          <w:sz w:val="32"/>
          <w:szCs w:val="32"/>
        </w:rPr>
      </w:pPr>
    </w:p>
    <w:tbl>
      <w:tblPr>
        <w:tblStyle w:val="26"/>
        <w:tblW w:w="9318" w:type="dxa"/>
        <w:jc w:val="center"/>
        <w:shd w:val="clear" w:color="auto" w:fill="FBFBFB"/>
        <w:tblLayout w:type="fixed"/>
        <w:tblCellMar>
          <w:top w:w="0" w:type="dxa"/>
          <w:left w:w="0" w:type="dxa"/>
          <w:bottom w:w="0" w:type="dxa"/>
          <w:right w:w="0" w:type="dxa"/>
        </w:tblCellMar>
      </w:tblPr>
      <w:tblGrid>
        <w:gridCol w:w="880"/>
        <w:gridCol w:w="2655"/>
        <w:gridCol w:w="1455"/>
        <w:gridCol w:w="3503"/>
        <w:gridCol w:w="825"/>
      </w:tblGrid>
      <w:tr w14:paraId="6403331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2063E08">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486A553">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C815B0F">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98F3CAB">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7174D74">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108F60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9CC7616">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3DB1DAE">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80E876E">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06E8465">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AD9CCB6">
            <w:pPr>
              <w:widowControl/>
              <w:spacing w:line="360" w:lineRule="auto"/>
              <w:jc w:val="center"/>
              <w:rPr>
                <w:rFonts w:ascii="宋体" w:hAnsi="宋体" w:cs="宋体"/>
                <w:kern w:val="0"/>
                <w:sz w:val="28"/>
                <w:szCs w:val="28"/>
              </w:rPr>
            </w:pPr>
          </w:p>
        </w:tc>
      </w:tr>
      <w:tr w14:paraId="020C693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78517EA">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7F36D55">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0B64359">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B4295B4">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4761B91">
            <w:pPr>
              <w:widowControl/>
              <w:spacing w:line="360" w:lineRule="auto"/>
              <w:jc w:val="center"/>
              <w:rPr>
                <w:rFonts w:ascii="宋体" w:hAnsi="宋体" w:cs="宋体"/>
                <w:kern w:val="0"/>
                <w:sz w:val="28"/>
                <w:szCs w:val="28"/>
              </w:rPr>
            </w:pPr>
          </w:p>
        </w:tc>
      </w:tr>
      <w:tr w14:paraId="52253A2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12D06CC">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76A9336">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E9E3398">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62E11CE">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06DDF88">
            <w:pPr>
              <w:widowControl/>
              <w:spacing w:line="360" w:lineRule="auto"/>
              <w:jc w:val="center"/>
              <w:rPr>
                <w:rFonts w:ascii="宋体" w:hAnsi="宋体" w:cs="宋体"/>
                <w:kern w:val="0"/>
                <w:sz w:val="28"/>
                <w:szCs w:val="28"/>
              </w:rPr>
            </w:pPr>
          </w:p>
        </w:tc>
      </w:tr>
      <w:tr w14:paraId="13E7A45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933AFAB">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EE72F5A">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6106FD5">
            <w:pPr>
              <w:widowControl/>
              <w:spacing w:line="360" w:lineRule="auto"/>
              <w:jc w:val="center"/>
              <w:rPr>
                <w:rFonts w:ascii="宋体" w:hAnsi="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F9EF395">
            <w:pPr>
              <w:widowControl/>
              <w:spacing w:line="360" w:lineRule="auto"/>
              <w:jc w:val="center"/>
              <w:rPr>
                <w:rFonts w:ascii="宋体" w:hAnsi="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FF34D41">
            <w:pPr>
              <w:widowControl/>
              <w:spacing w:line="360" w:lineRule="auto"/>
              <w:jc w:val="center"/>
              <w:rPr>
                <w:rFonts w:ascii="宋体" w:hAnsi="宋体" w:cs="宋体"/>
                <w:kern w:val="0"/>
                <w:sz w:val="28"/>
                <w:szCs w:val="28"/>
              </w:rPr>
            </w:pPr>
          </w:p>
        </w:tc>
      </w:tr>
    </w:tbl>
    <w:p w14:paraId="3897418B">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1DBA38FB">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28B39A">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14:paraId="107EDA30">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3.供应商不存在直接控股股东的，则填“无”。</w:t>
      </w:r>
    </w:p>
    <w:p w14:paraId="6D852299">
      <w:pPr>
        <w:spacing w:line="360" w:lineRule="auto"/>
        <w:ind w:firstLine="420" w:firstLineChars="200"/>
        <w:contextualSpacing/>
        <w:jc w:val="left"/>
        <w:rPr>
          <w:rFonts w:ascii="宋体" w:hAnsi="宋体" w:cs="宋体"/>
          <w:szCs w:val="21"/>
        </w:rPr>
      </w:pPr>
    </w:p>
    <w:p w14:paraId="278D4C82">
      <w:pPr>
        <w:spacing w:line="360" w:lineRule="auto"/>
        <w:ind w:firstLine="560" w:firstLineChars="200"/>
        <w:contextualSpacing/>
        <w:jc w:val="left"/>
        <w:rPr>
          <w:rFonts w:ascii="宋体" w:hAnsi="宋体" w:cs="宋体"/>
          <w:sz w:val="28"/>
          <w:szCs w:val="28"/>
        </w:rPr>
      </w:pPr>
    </w:p>
    <w:p w14:paraId="72BCD3B1">
      <w:pPr>
        <w:spacing w:line="360" w:lineRule="auto"/>
        <w:contextualSpacing/>
        <w:jc w:val="center"/>
        <w:rPr>
          <w:rFonts w:ascii="宋体" w:hAnsi="宋体" w:cs="宋体"/>
          <w:sz w:val="24"/>
          <w:u w:val="single"/>
        </w:rPr>
      </w:pPr>
      <w:r>
        <w:rPr>
          <w:rFonts w:hint="eastAsia" w:ascii="宋体" w:hAnsi="宋体" w:cs="宋体"/>
          <w:sz w:val="24"/>
        </w:rPr>
        <w:t xml:space="preserve">        法定代表人或者委托代理人签字：</w:t>
      </w:r>
      <w:r>
        <w:rPr>
          <w:rFonts w:hint="eastAsia" w:ascii="宋体" w:hAnsi="宋体" w:cs="宋体"/>
          <w:sz w:val="24"/>
          <w:u w:val="single"/>
        </w:rPr>
        <w:t xml:space="preserve">                    </w:t>
      </w:r>
    </w:p>
    <w:p w14:paraId="51121D8B">
      <w:pPr>
        <w:spacing w:line="360" w:lineRule="auto"/>
        <w:ind w:firstLine="3120" w:firstLineChars="1300"/>
        <w:contextualSpacing/>
        <w:rPr>
          <w:rFonts w:ascii="宋体" w:hAnsi="宋体" w:cs="宋体"/>
          <w:sz w:val="24"/>
          <w:u w:val="single"/>
        </w:rPr>
      </w:pPr>
      <w:r>
        <w:rPr>
          <w:rFonts w:hint="eastAsia" w:ascii="宋体" w:hAnsi="宋体" w:cs="宋体"/>
          <w:sz w:val="24"/>
        </w:rPr>
        <w:t xml:space="preserve">供应商（公章 ）： </w:t>
      </w:r>
      <w:r>
        <w:rPr>
          <w:rFonts w:hint="eastAsia" w:ascii="宋体" w:hAnsi="宋体" w:cs="宋体"/>
          <w:sz w:val="24"/>
          <w:u w:val="single"/>
        </w:rPr>
        <w:t xml:space="preserve">                              </w:t>
      </w:r>
    </w:p>
    <w:p w14:paraId="20612931">
      <w:pPr>
        <w:spacing w:line="360" w:lineRule="auto"/>
        <w:ind w:firstLine="3120" w:firstLineChars="1300"/>
        <w:contextualSpacing/>
        <w:rPr>
          <w:rFonts w:ascii="宋体" w:hAnsi="宋体" w:cs="宋体"/>
          <w:b/>
          <w:sz w:val="28"/>
          <w:szCs w:val="28"/>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ascii="宋体" w:hAnsi="宋体" w:cs="宋体"/>
          <w:b/>
          <w:sz w:val="28"/>
          <w:szCs w:val="28"/>
        </w:rPr>
        <w:br w:type="page"/>
      </w:r>
    </w:p>
    <w:p w14:paraId="4A75FFB6">
      <w:pPr>
        <w:snapToGrid w:val="0"/>
        <w:spacing w:line="360" w:lineRule="auto"/>
        <w:jc w:val="center"/>
        <w:rPr>
          <w:rFonts w:ascii="宋体" w:hAnsi="宋体" w:cs="宋体"/>
          <w:b/>
          <w:sz w:val="32"/>
          <w:szCs w:val="32"/>
        </w:rPr>
      </w:pPr>
      <w:r>
        <w:rPr>
          <w:rFonts w:hint="eastAsia" w:ascii="宋体" w:hAnsi="宋体" w:cs="宋体"/>
          <w:b/>
          <w:sz w:val="32"/>
          <w:szCs w:val="32"/>
        </w:rPr>
        <w:t>供应商直接管理关系信息表</w:t>
      </w:r>
    </w:p>
    <w:p w14:paraId="2BDFCAD3">
      <w:pPr>
        <w:snapToGrid w:val="0"/>
        <w:spacing w:line="360" w:lineRule="auto"/>
        <w:jc w:val="center"/>
        <w:rPr>
          <w:rFonts w:ascii="宋体" w:hAnsi="宋体" w:cs="宋体"/>
          <w:b/>
          <w:sz w:val="32"/>
          <w:szCs w:val="32"/>
        </w:rPr>
      </w:pPr>
    </w:p>
    <w:tbl>
      <w:tblPr>
        <w:tblStyle w:val="26"/>
        <w:tblW w:w="8942" w:type="dxa"/>
        <w:jc w:val="center"/>
        <w:shd w:val="clear" w:color="auto" w:fill="FBFBFB"/>
        <w:tblLayout w:type="fixed"/>
        <w:tblCellMar>
          <w:top w:w="0" w:type="dxa"/>
          <w:left w:w="0" w:type="dxa"/>
          <w:bottom w:w="0" w:type="dxa"/>
          <w:right w:w="0" w:type="dxa"/>
        </w:tblCellMar>
      </w:tblPr>
      <w:tblGrid>
        <w:gridCol w:w="808"/>
        <w:gridCol w:w="3600"/>
        <w:gridCol w:w="3555"/>
        <w:gridCol w:w="979"/>
      </w:tblGrid>
      <w:tr w14:paraId="3829AED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374D519">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41FEEC1">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81757AE">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28B618A">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2999406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265C49">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AF1AA4">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9DA8F2">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671B90">
            <w:pPr>
              <w:widowControl/>
              <w:wordWrap w:val="0"/>
              <w:spacing w:line="360" w:lineRule="auto"/>
              <w:jc w:val="center"/>
              <w:rPr>
                <w:rFonts w:ascii="宋体" w:hAnsi="宋体" w:cs="宋体"/>
                <w:kern w:val="0"/>
                <w:sz w:val="28"/>
                <w:szCs w:val="28"/>
              </w:rPr>
            </w:pPr>
          </w:p>
        </w:tc>
      </w:tr>
      <w:tr w14:paraId="09D1731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476D47">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3824CC">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E85E15">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E1968">
            <w:pPr>
              <w:widowControl/>
              <w:wordWrap w:val="0"/>
              <w:spacing w:line="360" w:lineRule="auto"/>
              <w:jc w:val="center"/>
              <w:rPr>
                <w:rFonts w:ascii="宋体" w:hAnsi="宋体" w:cs="宋体"/>
                <w:kern w:val="0"/>
                <w:sz w:val="28"/>
                <w:szCs w:val="28"/>
              </w:rPr>
            </w:pPr>
          </w:p>
        </w:tc>
      </w:tr>
      <w:tr w14:paraId="275717E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8F7B2">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83464C">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2CBB41">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8B150">
            <w:pPr>
              <w:widowControl/>
              <w:wordWrap w:val="0"/>
              <w:spacing w:line="360" w:lineRule="auto"/>
              <w:jc w:val="center"/>
              <w:rPr>
                <w:rFonts w:ascii="宋体" w:hAnsi="宋体" w:cs="宋体"/>
                <w:kern w:val="0"/>
                <w:sz w:val="28"/>
                <w:szCs w:val="28"/>
              </w:rPr>
            </w:pPr>
          </w:p>
        </w:tc>
      </w:tr>
      <w:tr w14:paraId="157E04D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3D3B48">
            <w:pPr>
              <w:widowControl/>
              <w:wordWrap w:val="0"/>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819BC">
            <w:pPr>
              <w:widowControl/>
              <w:wordWrap w:val="0"/>
              <w:spacing w:line="360" w:lineRule="auto"/>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A046AC">
            <w:pPr>
              <w:widowControl/>
              <w:wordWrap w:val="0"/>
              <w:spacing w:line="360" w:lineRule="auto"/>
              <w:jc w:val="center"/>
              <w:rPr>
                <w:rFonts w:ascii="宋体" w:hAnsi="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C3F440">
            <w:pPr>
              <w:widowControl/>
              <w:wordWrap w:val="0"/>
              <w:spacing w:line="360" w:lineRule="auto"/>
              <w:jc w:val="center"/>
              <w:rPr>
                <w:rFonts w:ascii="宋体" w:hAnsi="宋体" w:cs="宋体"/>
                <w:kern w:val="0"/>
                <w:sz w:val="28"/>
                <w:szCs w:val="28"/>
              </w:rPr>
            </w:pPr>
          </w:p>
        </w:tc>
      </w:tr>
    </w:tbl>
    <w:p w14:paraId="1E8C2118">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00DE54AA">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14:paraId="6C62A10C">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14:paraId="1EC93868">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3.供应商不存在直接管理关系的，则填“无”。</w:t>
      </w:r>
    </w:p>
    <w:p w14:paraId="2885B424">
      <w:pPr>
        <w:spacing w:line="360" w:lineRule="auto"/>
        <w:contextualSpacing/>
        <w:jc w:val="left"/>
        <w:rPr>
          <w:rFonts w:ascii="宋体" w:hAnsi="宋体" w:cs="宋体"/>
          <w:sz w:val="28"/>
          <w:szCs w:val="28"/>
        </w:rPr>
      </w:pPr>
    </w:p>
    <w:p w14:paraId="2C5C920F">
      <w:pPr>
        <w:spacing w:line="360" w:lineRule="auto"/>
        <w:contextualSpacing/>
        <w:jc w:val="left"/>
        <w:rPr>
          <w:rFonts w:ascii="宋体" w:hAnsi="宋体" w:cs="宋体"/>
          <w:sz w:val="28"/>
          <w:szCs w:val="28"/>
        </w:rPr>
      </w:pPr>
    </w:p>
    <w:p w14:paraId="765C2023">
      <w:pPr>
        <w:spacing w:line="360" w:lineRule="auto"/>
        <w:contextualSpacing/>
        <w:jc w:val="left"/>
        <w:rPr>
          <w:rFonts w:ascii="宋体" w:hAnsi="宋体" w:cs="宋体"/>
          <w:sz w:val="28"/>
          <w:szCs w:val="28"/>
        </w:rPr>
      </w:pPr>
    </w:p>
    <w:p w14:paraId="4749E4FC">
      <w:pPr>
        <w:spacing w:line="360" w:lineRule="auto"/>
        <w:contextualSpacing/>
        <w:jc w:val="left"/>
        <w:rPr>
          <w:rFonts w:ascii="宋体" w:hAnsi="宋体" w:cs="宋体"/>
          <w:sz w:val="28"/>
          <w:szCs w:val="28"/>
        </w:rPr>
      </w:pPr>
    </w:p>
    <w:p w14:paraId="78E28490">
      <w:pPr>
        <w:spacing w:line="360" w:lineRule="auto"/>
        <w:contextualSpacing/>
        <w:jc w:val="left"/>
        <w:rPr>
          <w:rFonts w:ascii="宋体" w:hAnsi="宋体" w:cs="宋体"/>
          <w:sz w:val="28"/>
          <w:szCs w:val="28"/>
        </w:rPr>
      </w:pPr>
    </w:p>
    <w:p w14:paraId="25049388">
      <w:pPr>
        <w:spacing w:line="360" w:lineRule="auto"/>
        <w:contextualSpacing/>
        <w:jc w:val="left"/>
        <w:rPr>
          <w:rFonts w:ascii="宋体" w:hAnsi="宋体" w:cs="宋体"/>
          <w:sz w:val="28"/>
          <w:szCs w:val="28"/>
        </w:rPr>
      </w:pPr>
    </w:p>
    <w:p w14:paraId="3B9C8EC4">
      <w:pPr>
        <w:spacing w:line="360" w:lineRule="auto"/>
        <w:contextualSpacing/>
        <w:jc w:val="center"/>
        <w:rPr>
          <w:rFonts w:ascii="宋体" w:hAnsi="宋体" w:cs="宋体"/>
          <w:sz w:val="24"/>
          <w:u w:val="single"/>
        </w:rPr>
      </w:pPr>
      <w:r>
        <w:rPr>
          <w:rFonts w:hint="eastAsia" w:ascii="宋体" w:hAnsi="宋体" w:cs="宋体"/>
          <w:sz w:val="24"/>
        </w:rPr>
        <w:t xml:space="preserve">              法定代表人或者委托代理人签字：</w:t>
      </w:r>
      <w:r>
        <w:rPr>
          <w:rFonts w:hint="eastAsia" w:ascii="宋体" w:hAnsi="宋体" w:cs="宋体"/>
          <w:sz w:val="24"/>
          <w:u w:val="single"/>
        </w:rPr>
        <w:t xml:space="preserve">                   </w:t>
      </w:r>
    </w:p>
    <w:p w14:paraId="001DBE30">
      <w:pPr>
        <w:spacing w:line="360" w:lineRule="auto"/>
        <w:ind w:firstLine="3600" w:firstLineChars="15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1015E7C5">
      <w:pPr>
        <w:spacing w:line="360" w:lineRule="auto"/>
        <w:ind w:firstLine="240" w:firstLineChars="100"/>
        <w:contextualSpacing/>
        <w:jc w:val="center"/>
        <w:rPr>
          <w:rFonts w:ascii="宋体" w:hAnsi="宋体" w:cs="宋体"/>
          <w:sz w:val="28"/>
          <w:szCs w:val="28"/>
        </w:rPr>
      </w:pPr>
      <w:r>
        <w:rPr>
          <w:rFonts w:hint="eastAsia" w:ascii="宋体" w:hAnsi="宋体" w:cs="宋体"/>
          <w:sz w:val="24"/>
        </w:rPr>
        <w:t xml:space="preserve">        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33692A1D">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参与竞争性谈判声明</w:t>
      </w:r>
    </w:p>
    <w:p w14:paraId="64816F8F">
      <w:pPr>
        <w:spacing w:line="360" w:lineRule="auto"/>
        <w:jc w:val="center"/>
        <w:rPr>
          <w:rFonts w:ascii="宋体" w:hAnsi="宋体" w:cs="宋体"/>
          <w:sz w:val="24"/>
          <w:szCs w:val="20"/>
        </w:rPr>
      </w:pPr>
    </w:p>
    <w:p w14:paraId="54A1A8E0">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58D870BD">
      <w:pPr>
        <w:spacing w:line="360" w:lineRule="auto"/>
        <w:ind w:firstLine="480" w:firstLineChars="200"/>
        <w:contextualSpacing/>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0269FAED">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w:t>
      </w:r>
      <w:r>
        <w:rPr>
          <w:rFonts w:hint="eastAsia" w:ascii="宋体" w:hAnsi="宋体" w:cs="宋体"/>
          <w:sz w:val="24"/>
          <w:lang w:bidi="ar"/>
        </w:rPr>
        <w:t>竞争性谈判</w:t>
      </w:r>
      <w:r>
        <w:rPr>
          <w:rFonts w:hint="eastAsia" w:ascii="宋体" w:hAnsi="宋体" w:cs="宋体"/>
          <w:sz w:val="24"/>
        </w:rPr>
        <w:t>，为便于贵方公正、择优地确定成交供应商及其参与</w:t>
      </w:r>
      <w:r>
        <w:rPr>
          <w:rFonts w:hint="eastAsia" w:ascii="宋体" w:hAnsi="宋体" w:cs="宋体"/>
          <w:sz w:val="24"/>
          <w:lang w:bidi="ar"/>
        </w:rPr>
        <w:t>竞争性谈判的</w:t>
      </w:r>
      <w:r>
        <w:rPr>
          <w:rFonts w:hint="eastAsia" w:ascii="宋体" w:hAnsi="宋体" w:cs="宋体"/>
          <w:sz w:val="24"/>
        </w:rPr>
        <w:t>产品和服务，我方就本次参与</w:t>
      </w:r>
      <w:r>
        <w:rPr>
          <w:rFonts w:hint="eastAsia" w:ascii="宋体" w:hAnsi="宋体" w:cs="宋体"/>
          <w:sz w:val="24"/>
          <w:lang w:bidi="ar"/>
        </w:rPr>
        <w:t>竞争性谈判</w:t>
      </w:r>
      <w:r>
        <w:rPr>
          <w:rFonts w:hint="eastAsia" w:ascii="宋体" w:hAnsi="宋体" w:cs="宋体"/>
          <w:sz w:val="24"/>
        </w:rPr>
        <w:t>有关事项郑重声明如下：</w:t>
      </w:r>
    </w:p>
    <w:p w14:paraId="36CBF7AB">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49E91CFC">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0F09D36E">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0700DB50">
      <w:pPr>
        <w:spacing w:line="360" w:lineRule="auto"/>
        <w:ind w:firstLine="480" w:firstLineChars="200"/>
        <w:contextualSpacing/>
        <w:rPr>
          <w:rFonts w:ascii="宋体" w:hAnsi="宋体" w:cs="宋体"/>
          <w:sz w:val="24"/>
        </w:rPr>
      </w:pPr>
      <w:r>
        <w:rPr>
          <w:rFonts w:hint="eastAsia" w:ascii="宋体" w:hAnsi="宋体" w:cs="宋体"/>
          <w:sz w:val="24"/>
        </w:rPr>
        <w:t>（1）将按谈判文件的约定履行合同责任和义务；</w:t>
      </w:r>
    </w:p>
    <w:p w14:paraId="46EA2FF4">
      <w:pPr>
        <w:spacing w:line="360" w:lineRule="auto"/>
        <w:ind w:firstLine="480" w:firstLineChars="200"/>
        <w:contextualSpacing/>
        <w:rPr>
          <w:rFonts w:ascii="宋体" w:hAnsi="宋体" w:cs="宋体"/>
          <w:sz w:val="24"/>
        </w:rPr>
      </w:pPr>
      <w:r>
        <w:rPr>
          <w:rFonts w:hint="eastAsia" w:ascii="宋体" w:hAnsi="宋体" w:cs="宋体"/>
          <w:sz w:val="24"/>
        </w:rPr>
        <w:t>（2）已详细审查全部谈判文件，包括补遗文件（如有）；</w:t>
      </w:r>
    </w:p>
    <w:p w14:paraId="213E7DB5">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（3）同意提供按照贵方可能要求的与谈判有关的一切数据或者资料；</w:t>
      </w:r>
    </w:p>
    <w:p w14:paraId="756948F7">
      <w:pPr>
        <w:spacing w:line="360" w:lineRule="auto"/>
        <w:ind w:firstLine="480" w:firstLineChars="200"/>
        <w:contextualSpacing/>
        <w:rPr>
          <w:rFonts w:ascii="宋体" w:hAnsi="宋体" w:cs="宋体"/>
          <w:sz w:val="24"/>
        </w:rPr>
      </w:pPr>
      <w:r>
        <w:rPr>
          <w:rFonts w:hint="eastAsia" w:ascii="宋体" w:hAnsi="宋体" w:cs="宋体"/>
          <w:sz w:val="24"/>
        </w:rPr>
        <w:t>（4）响应谈判文件规定的</w:t>
      </w:r>
      <w:r>
        <w:rPr>
          <w:rFonts w:hint="eastAsia" w:ascii="宋体" w:hAnsi="宋体" w:cs="宋体"/>
          <w:sz w:val="24"/>
          <w:lang w:bidi="ar"/>
        </w:rPr>
        <w:t>竞争性谈判</w:t>
      </w:r>
      <w:r>
        <w:rPr>
          <w:rFonts w:hint="eastAsia" w:ascii="宋体" w:hAnsi="宋体" w:cs="宋体"/>
          <w:sz w:val="24"/>
        </w:rPr>
        <w:t>有效期。</w:t>
      </w:r>
    </w:p>
    <w:p w14:paraId="63211F1E">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08B3B79D">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7197C338">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66293C98">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570679CB">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2E7B5423">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4C579210">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568B575D">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AA365AC">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9805DFD">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3CA278F8">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40079590">
      <w:pPr>
        <w:pStyle w:val="16"/>
        <w:spacing w:line="360" w:lineRule="auto"/>
        <w:ind w:firstLine="480" w:firstLineChars="200"/>
        <w:contextualSpacing/>
        <w:rPr>
          <w:rFonts w:hAnsi="宋体" w:cs="宋体"/>
          <w:sz w:val="24"/>
          <w:szCs w:val="24"/>
          <w:u w:val="single"/>
        </w:rPr>
      </w:pPr>
      <w:r>
        <w:rPr>
          <w:rFonts w:hint="eastAsia" w:hAnsi="宋体" w:cs="宋体"/>
          <w:sz w:val="24"/>
          <w:szCs w:val="24"/>
        </w:rPr>
        <w:t>7.与本谈判有关的一切正式往来信函请寄：</w:t>
      </w:r>
      <w:r>
        <w:rPr>
          <w:rFonts w:hint="eastAsia" w:hAnsi="宋体" w:cs="宋体"/>
          <w:sz w:val="24"/>
          <w:szCs w:val="24"/>
          <w:u w:val="single"/>
        </w:rPr>
        <w:t xml:space="preserve">                  </w:t>
      </w:r>
      <w:r>
        <w:rPr>
          <w:rFonts w:hint="eastAsia" w:hAnsi="宋体" w:cs="宋体"/>
          <w:sz w:val="24"/>
          <w:szCs w:val="24"/>
        </w:rPr>
        <w:t>邮政编码：</w:t>
      </w:r>
      <w:r>
        <w:rPr>
          <w:rFonts w:hint="eastAsia" w:hAnsi="宋体" w:cs="宋体"/>
          <w:sz w:val="24"/>
          <w:szCs w:val="24"/>
          <w:u w:val="single"/>
        </w:rPr>
        <w:t xml:space="preserve">    </w:t>
      </w:r>
    </w:p>
    <w:p w14:paraId="7E019C7C">
      <w:pPr>
        <w:pStyle w:val="16"/>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1EDD45D2">
      <w:pPr>
        <w:pStyle w:val="14"/>
        <w:tabs>
          <w:tab w:val="left" w:pos="939"/>
        </w:tabs>
        <w:spacing w:line="360" w:lineRule="auto"/>
        <w:ind w:left="0" w:leftChars="0" w:firstLine="360" w:firstLineChars="15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帐号/行号：</w:t>
      </w:r>
      <w:r>
        <w:rPr>
          <w:rFonts w:hint="eastAsia" w:ascii="宋体" w:hAnsi="宋体" w:cs="宋体"/>
          <w:sz w:val="24"/>
          <w:u w:val="single"/>
        </w:rPr>
        <w:t xml:space="preserve">           </w:t>
      </w:r>
    </w:p>
    <w:p w14:paraId="7D5BF548">
      <w:pPr>
        <w:pStyle w:val="14"/>
        <w:tabs>
          <w:tab w:val="left" w:pos="939"/>
        </w:tabs>
        <w:spacing w:line="360" w:lineRule="auto"/>
        <w:ind w:left="0" w:leftChars="0" w:firstLine="360" w:firstLineChars="150"/>
        <w:rPr>
          <w:rFonts w:ascii="宋体" w:hAnsi="宋体" w:cs="宋体"/>
          <w:sz w:val="24"/>
        </w:rPr>
      </w:pPr>
      <w:r>
        <w:rPr>
          <w:rFonts w:ascii="宋体" w:hAnsi="宋体" w:cs="宋体"/>
          <w:sz w:val="24"/>
        </w:rPr>
        <w:t>8</w:t>
      </w:r>
      <w:r>
        <w:rPr>
          <w:rFonts w:hint="eastAsia" w:ascii="宋体" w:hAnsi="宋体" w:cs="宋体"/>
          <w:sz w:val="24"/>
        </w:rPr>
        <w:t>.</w:t>
      </w:r>
      <w:r>
        <w:rPr>
          <w:rFonts w:ascii="宋体" w:hAnsi="宋体" w:cs="宋体"/>
          <w:sz w:val="24"/>
        </w:rPr>
        <w:t>我方若</w:t>
      </w:r>
      <w:r>
        <w:rPr>
          <w:rFonts w:hint="eastAsia" w:ascii="宋体" w:hAnsi="宋体" w:cs="宋体"/>
          <w:sz w:val="24"/>
        </w:rPr>
        <w:t>参与</w:t>
      </w:r>
      <w:r>
        <w:rPr>
          <w:rFonts w:hint="eastAsia" w:ascii="宋体" w:hAnsi="宋体" w:cs="宋体"/>
          <w:sz w:val="24"/>
          <w:lang w:bidi="ar"/>
        </w:rPr>
        <w:t>竞争性谈判</w:t>
      </w:r>
      <w:r>
        <w:rPr>
          <w:rFonts w:hint="eastAsia" w:ascii="宋体" w:hAnsi="宋体" w:cs="宋体"/>
          <w:sz w:val="24"/>
        </w:rPr>
        <w:t>成功</w:t>
      </w:r>
      <w:r>
        <w:rPr>
          <w:rFonts w:ascii="宋体" w:hAnsi="宋体" w:cs="宋体"/>
          <w:sz w:val="24"/>
        </w:rPr>
        <w:t>，将采取</w:t>
      </w:r>
      <w:r>
        <w:rPr>
          <w:rFonts w:ascii="宋体" w:hAnsi="宋体" w:cs="宋体"/>
          <w:sz w:val="24"/>
          <w:u w:val="single"/>
        </w:rPr>
        <w:t>      </w:t>
      </w:r>
      <w:r>
        <w:rPr>
          <w:rFonts w:ascii="宋体" w:hAnsi="宋体" w:cs="宋体"/>
          <w:sz w:val="24"/>
        </w:rPr>
        <w:t>（</w:t>
      </w:r>
      <w:r>
        <w:rPr>
          <w:rFonts w:hint="eastAsia" w:ascii="宋体" w:hAnsi="宋体" w:cs="宋体"/>
          <w:sz w:val="24"/>
        </w:rPr>
        <w:t>汽车、火车、飞机等</w:t>
      </w:r>
      <w:r>
        <w:rPr>
          <w:rFonts w:ascii="宋体" w:hAnsi="宋体" w:cs="宋体"/>
          <w:sz w:val="24"/>
        </w:rPr>
        <w:t>）方式运输货物。</w:t>
      </w:r>
    </w:p>
    <w:p w14:paraId="5D1DB1F7">
      <w:pPr>
        <w:pStyle w:val="14"/>
        <w:tabs>
          <w:tab w:val="left" w:pos="939"/>
        </w:tabs>
        <w:spacing w:line="360" w:lineRule="auto"/>
        <w:ind w:left="0" w:leftChars="0" w:firstLine="360" w:firstLineChars="15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我方若参与</w:t>
      </w:r>
      <w:r>
        <w:rPr>
          <w:rFonts w:hint="eastAsia" w:ascii="宋体" w:hAnsi="宋体" w:cs="宋体"/>
          <w:sz w:val="24"/>
          <w:lang w:bidi="ar"/>
        </w:rPr>
        <w:t>竞争性谈判</w:t>
      </w:r>
      <w:r>
        <w:rPr>
          <w:rFonts w:hint="eastAsia" w:ascii="宋体" w:hAnsi="宋体" w:cs="宋体"/>
          <w:sz w:val="24"/>
        </w:rPr>
        <w:t>成功，除非发生不可抗力，承诺与采购人及时签订《合同书》。如果放弃，自愿按照本文件之《供应商须知正文》第2</w:t>
      </w:r>
      <w:r>
        <w:rPr>
          <w:rFonts w:ascii="宋体" w:hAnsi="宋体" w:cs="宋体"/>
          <w:sz w:val="24"/>
        </w:rPr>
        <w:t>7.5</w:t>
      </w:r>
      <w:r>
        <w:rPr>
          <w:rFonts w:hint="eastAsia" w:ascii="宋体" w:hAnsi="宋体" w:cs="宋体"/>
          <w:sz w:val="24"/>
        </w:rPr>
        <w:t>条的要求承担法律责任和失信惩戒。</w:t>
      </w:r>
    </w:p>
    <w:p w14:paraId="29CC5E09">
      <w:pPr>
        <w:pStyle w:val="14"/>
        <w:tabs>
          <w:tab w:val="left" w:pos="939"/>
        </w:tabs>
        <w:spacing w:line="360" w:lineRule="auto"/>
        <w:ind w:left="0" w:leftChars="0" w:firstLine="360" w:firstLineChars="150"/>
        <w:rPr>
          <w:rFonts w:ascii="宋体" w:hAnsi="宋体" w:cs="宋体"/>
          <w:sz w:val="24"/>
        </w:rPr>
      </w:pPr>
      <w:r>
        <w:rPr>
          <w:rFonts w:ascii="宋体" w:hAnsi="宋体" w:cs="宋体"/>
          <w:sz w:val="24"/>
        </w:rPr>
        <w:t>10</w:t>
      </w:r>
      <w:r>
        <w:rPr>
          <w:rFonts w:hint="eastAsia" w:ascii="宋体" w:hAnsi="宋体" w:cs="宋体"/>
          <w:sz w:val="24"/>
        </w:rPr>
        <w:t>.以上事项如有虚假或者隐瞒，我方愿意承担一切后果，并不再寻求任何旨在减轻或者免除法律责任的辩解。</w:t>
      </w:r>
    </w:p>
    <w:p w14:paraId="20404375">
      <w:pPr>
        <w:pStyle w:val="14"/>
        <w:tabs>
          <w:tab w:val="left" w:pos="939"/>
        </w:tabs>
        <w:spacing w:line="360" w:lineRule="auto"/>
        <w:ind w:left="0" w:leftChars="0" w:firstLine="360" w:firstLineChars="150"/>
        <w:rPr>
          <w:rFonts w:ascii="宋体" w:hAnsi="宋体" w:cs="宋体"/>
          <w:szCs w:val="21"/>
        </w:rPr>
      </w:pPr>
      <w:r>
        <w:rPr>
          <w:rFonts w:hint="eastAsia" w:ascii="宋体" w:hAnsi="宋体" w:cs="宋体"/>
          <w:sz w:val="24"/>
        </w:rPr>
        <w:t>特此承诺。</w:t>
      </w:r>
    </w:p>
    <w:p w14:paraId="5C689E38">
      <w:pPr>
        <w:spacing w:line="360" w:lineRule="auto"/>
        <w:contextualSpacing/>
        <w:jc w:val="left"/>
        <w:rPr>
          <w:rFonts w:ascii="楷体" w:hAnsi="楷体" w:eastAsia="楷体" w:cs="宋体"/>
          <w:b/>
          <w:sz w:val="24"/>
        </w:rPr>
      </w:pPr>
      <w:r>
        <w:rPr>
          <w:rFonts w:hint="eastAsia" w:ascii="宋体" w:hAnsi="宋体" w:cs="宋体"/>
          <w:b/>
          <w:sz w:val="24"/>
        </w:rPr>
        <w:t xml:space="preserve">   </w:t>
      </w:r>
      <w:r>
        <w:rPr>
          <w:rFonts w:hint="eastAsia" w:ascii="楷体" w:hAnsi="楷体" w:eastAsia="楷体" w:cs="宋体"/>
          <w:b/>
          <w:sz w:val="24"/>
        </w:rPr>
        <w:t xml:space="preserve"> 注：如为联合体参与</w:t>
      </w:r>
      <w:r>
        <w:rPr>
          <w:rFonts w:hint="eastAsia" w:ascii="楷体" w:hAnsi="楷体" w:eastAsia="楷体" w:cs="宋体"/>
          <w:b/>
          <w:sz w:val="24"/>
          <w:lang w:bidi="ar"/>
        </w:rPr>
        <w:t>竞争性谈判</w:t>
      </w:r>
      <w:r>
        <w:rPr>
          <w:rFonts w:hint="eastAsia" w:ascii="楷体" w:hAnsi="楷体" w:eastAsia="楷体" w:cs="宋体"/>
          <w:b/>
          <w:sz w:val="24"/>
        </w:rPr>
        <w:t>，盖章处须加盖联合体各方公章并由联合体各方法定代表人分别签署，否则响应文件按无效响应处理。</w:t>
      </w:r>
    </w:p>
    <w:p w14:paraId="348AA575">
      <w:pPr>
        <w:spacing w:line="360" w:lineRule="auto"/>
        <w:contextualSpacing/>
        <w:jc w:val="left"/>
        <w:rPr>
          <w:rFonts w:ascii="宋体" w:hAnsi="宋体" w:cs="宋体"/>
          <w:szCs w:val="21"/>
        </w:rPr>
      </w:pPr>
    </w:p>
    <w:p w14:paraId="45FA4E8C">
      <w:pPr>
        <w:spacing w:line="360" w:lineRule="auto"/>
        <w:ind w:firstLine="4320" w:firstLineChars="1800"/>
        <w:contextualSpacing/>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w:t>
      </w:r>
    </w:p>
    <w:p w14:paraId="2EA430EB">
      <w:pPr>
        <w:spacing w:line="360" w:lineRule="auto"/>
        <w:ind w:firstLine="4320" w:firstLineChars="18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6F7045E2">
      <w:pPr>
        <w:spacing w:line="360" w:lineRule="auto"/>
        <w:contextualSpacing/>
        <w:jc w:val="right"/>
        <w:rPr>
          <w:rFonts w:ascii="宋体" w:hAnsi="宋体" w:cs="宋体"/>
          <w:sz w:val="24"/>
        </w:rPr>
      </w:pPr>
      <w:r>
        <w:rPr>
          <w:rFonts w:hint="eastAsia" w:ascii="宋体" w:hAnsi="宋体" w:cs="宋体"/>
          <w:sz w:val="24"/>
        </w:rPr>
        <w:t xml:space="preserve">                      日期： </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ascii="宋体" w:hAnsi="宋体" w:cs="宋体"/>
          <w:sz w:val="32"/>
          <w:szCs w:val="32"/>
        </w:rPr>
        <w:br w:type="page"/>
      </w:r>
    </w:p>
    <w:p w14:paraId="4135F034">
      <w:pPr>
        <w:spacing w:line="360" w:lineRule="auto"/>
        <w:contextualSpacing/>
        <w:jc w:val="left"/>
        <w:rPr>
          <w:rFonts w:ascii="宋体" w:hAnsi="宋体" w:cs="宋体"/>
          <w:b/>
          <w:sz w:val="32"/>
          <w:szCs w:val="32"/>
        </w:rPr>
      </w:pPr>
      <w:r>
        <w:rPr>
          <w:rFonts w:hint="eastAsia" w:ascii="宋体" w:hAnsi="宋体" w:cs="宋体"/>
          <w:b/>
          <w:bCs/>
          <w:sz w:val="32"/>
          <w:szCs w:val="32"/>
        </w:rPr>
        <w:t>二、</w:t>
      </w:r>
      <w:r>
        <w:rPr>
          <w:rFonts w:hint="eastAsia" w:ascii="宋体" w:hAnsi="宋体" w:cs="宋体"/>
          <w:b/>
          <w:sz w:val="32"/>
          <w:szCs w:val="32"/>
        </w:rPr>
        <w:t xml:space="preserve">报价商务技术文件格式 </w:t>
      </w:r>
    </w:p>
    <w:p w14:paraId="4D4CD388">
      <w:pPr>
        <w:snapToGrid w:val="0"/>
        <w:spacing w:line="360" w:lineRule="auto"/>
        <w:jc w:val="left"/>
        <w:rPr>
          <w:rFonts w:ascii="宋体" w:hAnsi="宋体" w:cs="宋体"/>
          <w:b/>
          <w:sz w:val="32"/>
          <w:szCs w:val="32"/>
        </w:rPr>
      </w:pPr>
      <w:r>
        <w:rPr>
          <w:rFonts w:hint="eastAsia" w:ascii="宋体" w:hAnsi="宋体" w:cs="宋体"/>
          <w:b/>
          <w:sz w:val="32"/>
          <w:szCs w:val="32"/>
        </w:rPr>
        <w:t>1.报价商务技术文件封面格式</w:t>
      </w:r>
    </w:p>
    <w:p w14:paraId="175BDDAD">
      <w:pPr>
        <w:snapToGrid w:val="0"/>
        <w:spacing w:line="360" w:lineRule="auto"/>
        <w:rPr>
          <w:rFonts w:ascii="宋体" w:hAnsi="宋体" w:cs="宋体"/>
          <w:sz w:val="24"/>
        </w:rPr>
      </w:pPr>
      <w:r>
        <w:rPr>
          <w:rFonts w:hint="eastAsia" w:ascii="宋体" w:hAnsi="宋体" w:cs="宋体"/>
          <w:sz w:val="24"/>
        </w:rPr>
        <w:t xml:space="preserve">                                                   </w:t>
      </w:r>
    </w:p>
    <w:p w14:paraId="3A540473">
      <w:pPr>
        <w:snapToGrid w:val="0"/>
        <w:spacing w:line="360" w:lineRule="auto"/>
        <w:rPr>
          <w:rFonts w:ascii="宋体" w:hAnsi="宋体" w:cs="宋体"/>
          <w:sz w:val="24"/>
        </w:rPr>
      </w:pPr>
    </w:p>
    <w:p w14:paraId="443B7802">
      <w:pPr>
        <w:snapToGrid w:val="0"/>
        <w:spacing w:line="360" w:lineRule="auto"/>
        <w:rPr>
          <w:rFonts w:ascii="宋体" w:hAnsi="宋体" w:cs="宋体"/>
          <w:sz w:val="24"/>
          <w:szCs w:val="20"/>
        </w:rPr>
      </w:pPr>
    </w:p>
    <w:p w14:paraId="3877C276">
      <w:pPr>
        <w:snapToGrid w:val="0"/>
        <w:spacing w:line="360" w:lineRule="auto"/>
        <w:jc w:val="center"/>
        <w:rPr>
          <w:rFonts w:ascii="宋体" w:hAnsi="宋体" w:cs="宋体"/>
          <w:bCs/>
          <w:sz w:val="84"/>
          <w:szCs w:val="84"/>
        </w:rPr>
      </w:pPr>
      <w:r>
        <w:rPr>
          <w:rFonts w:hint="eastAsia" w:ascii="宋体" w:hAnsi="宋体" w:cs="宋体"/>
          <w:b/>
          <w:sz w:val="84"/>
          <w:szCs w:val="84"/>
        </w:rPr>
        <w:t>响  应  文  件</w:t>
      </w:r>
    </w:p>
    <w:p w14:paraId="656C0B9F">
      <w:pPr>
        <w:snapToGrid w:val="0"/>
        <w:spacing w:line="360" w:lineRule="auto"/>
        <w:rPr>
          <w:rFonts w:ascii="宋体" w:hAnsi="宋体" w:cs="宋体"/>
          <w:sz w:val="24"/>
          <w:szCs w:val="20"/>
        </w:rPr>
      </w:pPr>
    </w:p>
    <w:p w14:paraId="7D06BC08">
      <w:pPr>
        <w:snapToGrid w:val="0"/>
        <w:spacing w:line="360" w:lineRule="auto"/>
        <w:jc w:val="center"/>
        <w:rPr>
          <w:rFonts w:ascii="宋体" w:hAnsi="宋体" w:cs="宋体"/>
          <w:bCs/>
          <w:sz w:val="32"/>
          <w:szCs w:val="32"/>
        </w:rPr>
      </w:pPr>
      <w:r>
        <w:rPr>
          <w:rFonts w:hint="eastAsia" w:ascii="宋体" w:hAnsi="宋体" w:cs="宋体"/>
          <w:bCs/>
          <w:sz w:val="32"/>
          <w:szCs w:val="32"/>
        </w:rPr>
        <w:t>报价商务技术文件</w:t>
      </w:r>
    </w:p>
    <w:p w14:paraId="066886FB">
      <w:pPr>
        <w:snapToGrid w:val="0"/>
        <w:spacing w:line="360" w:lineRule="auto"/>
        <w:rPr>
          <w:rFonts w:ascii="宋体" w:hAnsi="宋体" w:cs="宋体"/>
          <w:bCs/>
          <w:sz w:val="28"/>
          <w:szCs w:val="28"/>
        </w:rPr>
      </w:pPr>
    </w:p>
    <w:p w14:paraId="730EF943">
      <w:pPr>
        <w:snapToGrid w:val="0"/>
        <w:spacing w:line="360" w:lineRule="auto"/>
        <w:rPr>
          <w:rFonts w:ascii="宋体" w:hAnsi="宋体" w:cs="宋体"/>
          <w:bCs/>
          <w:sz w:val="28"/>
          <w:szCs w:val="28"/>
        </w:rPr>
      </w:pPr>
    </w:p>
    <w:p w14:paraId="207D7461">
      <w:pPr>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项目名称：</w:t>
      </w:r>
    </w:p>
    <w:p w14:paraId="07E67C97">
      <w:pPr>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 xml:space="preserve">项目编号： </w:t>
      </w:r>
    </w:p>
    <w:p w14:paraId="30466E0B">
      <w:pPr>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所竞分标（如有）：</w:t>
      </w:r>
    </w:p>
    <w:p w14:paraId="18F876E3">
      <w:pPr>
        <w:pStyle w:val="7"/>
        <w:snapToGrid w:val="0"/>
        <w:spacing w:line="360" w:lineRule="auto"/>
        <w:ind w:firstLine="1680" w:firstLineChars="600"/>
        <w:rPr>
          <w:rFonts w:ascii="宋体" w:hAnsi="宋体" w:cs="宋体"/>
          <w:bCs/>
          <w:sz w:val="28"/>
          <w:szCs w:val="28"/>
        </w:rPr>
      </w:pPr>
      <w:r>
        <w:rPr>
          <w:rFonts w:hint="eastAsia" w:ascii="宋体" w:hAnsi="宋体" w:cs="宋体"/>
          <w:bCs/>
          <w:sz w:val="28"/>
          <w:szCs w:val="28"/>
        </w:rPr>
        <w:t>供应商名称：</w:t>
      </w:r>
    </w:p>
    <w:p w14:paraId="0EF5A29B">
      <w:pPr>
        <w:pStyle w:val="7"/>
        <w:snapToGrid w:val="0"/>
        <w:spacing w:line="360" w:lineRule="auto"/>
        <w:ind w:firstLine="1680" w:firstLineChars="600"/>
        <w:rPr>
          <w:rFonts w:ascii="宋体" w:hAnsi="宋体" w:cs="宋体"/>
          <w:bCs/>
          <w:sz w:val="28"/>
          <w:szCs w:val="28"/>
        </w:rPr>
      </w:pPr>
    </w:p>
    <w:p w14:paraId="006BDA5F">
      <w:pPr>
        <w:snapToGrid w:val="0"/>
        <w:spacing w:line="360" w:lineRule="auto"/>
        <w:jc w:val="center"/>
        <w:rPr>
          <w:rFonts w:ascii="宋体" w:hAnsi="宋体" w:cs="宋体"/>
          <w:sz w:val="28"/>
          <w:szCs w:val="28"/>
        </w:rPr>
      </w:pPr>
      <w:r>
        <w:rPr>
          <w:rFonts w:hint="eastAsia" w:ascii="宋体" w:hAnsi="宋体" w:cs="宋体"/>
          <w:sz w:val="28"/>
          <w:szCs w:val="28"/>
        </w:rPr>
        <w:t>年    月    日</w:t>
      </w:r>
    </w:p>
    <w:p w14:paraId="44A51B9E">
      <w:pPr>
        <w:snapToGrid w:val="0"/>
        <w:spacing w:line="360" w:lineRule="auto"/>
        <w:jc w:val="left"/>
        <w:rPr>
          <w:rFonts w:ascii="宋体" w:hAnsi="宋体" w:cs="宋体"/>
          <w:b/>
          <w:bCs/>
          <w:sz w:val="24"/>
        </w:rPr>
      </w:pPr>
      <w:r>
        <w:rPr>
          <w:rFonts w:hint="eastAsia" w:ascii="宋体" w:hAnsi="宋体" w:cs="宋体"/>
          <w:sz w:val="28"/>
          <w:szCs w:val="28"/>
        </w:rPr>
        <w:br w:type="page"/>
      </w:r>
      <w:r>
        <w:rPr>
          <w:rFonts w:hint="eastAsia" w:ascii="宋体" w:hAnsi="宋体" w:cs="宋体"/>
          <w:b/>
          <w:bCs/>
          <w:sz w:val="32"/>
          <w:szCs w:val="32"/>
        </w:rPr>
        <w:t>2.报价商务技术文件目录</w:t>
      </w:r>
    </w:p>
    <w:p w14:paraId="0D216394">
      <w:pPr>
        <w:snapToGrid w:val="0"/>
        <w:spacing w:line="360" w:lineRule="auto"/>
        <w:ind w:firstLine="480" w:firstLineChars="200"/>
        <w:rPr>
          <w:rFonts w:ascii="宋体" w:hAnsi="宋体" w:cs="宋体"/>
          <w:sz w:val="24"/>
        </w:rPr>
      </w:pPr>
      <w:r>
        <w:rPr>
          <w:rFonts w:hint="eastAsia" w:ascii="宋体" w:hAnsi="宋体" w:cs="宋体"/>
          <w:sz w:val="24"/>
        </w:rPr>
        <w:t>根据谈判文件规定及供应商提供的材料自行编写目录（部分格式后附）。</w:t>
      </w:r>
    </w:p>
    <w:p w14:paraId="54F5E846">
      <w:pPr>
        <w:spacing w:line="360" w:lineRule="auto"/>
        <w:rPr>
          <w:rFonts w:ascii="宋体" w:hAnsi="宋体" w:cs="宋体"/>
          <w:sz w:val="32"/>
          <w:szCs w:val="32"/>
        </w:rPr>
      </w:pPr>
    </w:p>
    <w:p w14:paraId="78DCB884">
      <w:pPr>
        <w:spacing w:line="360" w:lineRule="auto"/>
        <w:jc w:val="center"/>
        <w:rPr>
          <w:rFonts w:ascii="宋体" w:hAnsi="宋体" w:cs="宋体"/>
          <w:b/>
          <w:sz w:val="32"/>
          <w:szCs w:val="32"/>
        </w:rPr>
      </w:pPr>
      <w:r>
        <w:rPr>
          <w:rFonts w:hint="eastAsia" w:ascii="宋体" w:hAnsi="宋体" w:cs="宋体"/>
          <w:sz w:val="44"/>
          <w:szCs w:val="44"/>
        </w:rPr>
        <w:br w:type="page"/>
      </w:r>
      <w:r>
        <w:rPr>
          <w:rFonts w:hint="eastAsia" w:ascii="宋体" w:hAnsi="宋体" w:cs="宋体"/>
          <w:b/>
          <w:sz w:val="44"/>
          <w:szCs w:val="44"/>
        </w:rPr>
        <w:t>无串通参与竞争性谈判行为的承诺函</w:t>
      </w:r>
    </w:p>
    <w:p w14:paraId="469FA028">
      <w:pPr>
        <w:spacing w:line="360" w:lineRule="auto"/>
        <w:ind w:firstLine="640" w:firstLineChars="200"/>
        <w:contextualSpacing/>
        <w:rPr>
          <w:rFonts w:ascii="宋体" w:hAnsi="宋体" w:cs="宋体"/>
          <w:sz w:val="32"/>
          <w:szCs w:val="32"/>
        </w:rPr>
      </w:pPr>
    </w:p>
    <w:p w14:paraId="74CFF046">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一、我方承诺无下列相互串通参与</w:t>
      </w:r>
      <w:r>
        <w:rPr>
          <w:rFonts w:hint="eastAsia" w:ascii="宋体" w:hAnsi="宋体" w:cs="宋体"/>
          <w:b/>
          <w:sz w:val="24"/>
          <w:lang w:bidi="ar"/>
        </w:rPr>
        <w:t>竞争性谈判</w:t>
      </w:r>
      <w:r>
        <w:rPr>
          <w:rFonts w:hint="eastAsia" w:ascii="宋体" w:hAnsi="宋体" w:cs="宋体"/>
          <w:b/>
          <w:bCs/>
          <w:sz w:val="24"/>
        </w:rPr>
        <w:t>的情形：</w:t>
      </w:r>
    </w:p>
    <w:p w14:paraId="6841B426">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3BA9066C">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2.不同供应商委托同一单位或者个人办理参与</w:t>
      </w:r>
      <w:r>
        <w:rPr>
          <w:rFonts w:hint="eastAsia" w:ascii="宋体" w:hAnsi="宋体" w:cs="宋体"/>
          <w:sz w:val="24"/>
          <w:lang w:bidi="ar"/>
        </w:rPr>
        <w:t>竞争性谈判</w:t>
      </w:r>
      <w:r>
        <w:rPr>
          <w:rFonts w:hint="eastAsia" w:ascii="宋体" w:hAnsi="宋体" w:cs="宋体"/>
          <w:sz w:val="24"/>
        </w:rPr>
        <w:t>事宜；</w:t>
      </w:r>
    </w:p>
    <w:p w14:paraId="5E68374C">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5F1E452F">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同供应商的响应文件异常一致或者参与</w:t>
      </w:r>
      <w:r>
        <w:rPr>
          <w:rFonts w:hint="eastAsia" w:ascii="宋体" w:hAnsi="宋体" w:cs="宋体"/>
          <w:sz w:val="24"/>
          <w:lang w:bidi="ar"/>
        </w:rPr>
        <w:t>竞争性谈判的</w:t>
      </w:r>
      <w:r>
        <w:rPr>
          <w:rFonts w:hint="eastAsia" w:ascii="宋体" w:hAnsi="宋体" w:cs="宋体"/>
          <w:spacing w:val="-6"/>
          <w:sz w:val="24"/>
        </w:rPr>
        <w:t>报价呈规律性差异；</w:t>
      </w:r>
    </w:p>
    <w:p w14:paraId="27510F77">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6BCB1794">
      <w:pPr>
        <w:spacing w:line="360" w:lineRule="auto"/>
        <w:ind w:firstLine="480" w:firstLineChars="200"/>
        <w:contextualSpacing/>
        <w:rPr>
          <w:rFonts w:ascii="宋体" w:hAnsi="宋体" w:cs="宋体"/>
          <w:sz w:val="24"/>
        </w:rPr>
      </w:pPr>
      <w:r>
        <w:rPr>
          <w:rFonts w:hint="eastAsia" w:ascii="宋体" w:hAnsi="宋体" w:cs="宋体"/>
          <w:sz w:val="24"/>
        </w:rPr>
        <w:t>6.不同供应商的谈判保证金从同一单位或者个人账户转出。</w:t>
      </w:r>
    </w:p>
    <w:p w14:paraId="69547050">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6765AE76">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42E2D94E">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13B76985">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7E57C12B">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079A951F">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w:t>
      </w:r>
      <w:r>
        <w:rPr>
          <w:rFonts w:hint="eastAsia" w:ascii="宋体" w:hAnsi="宋体" w:cs="宋体"/>
          <w:sz w:val="24"/>
          <w:lang w:bidi="ar"/>
        </w:rPr>
        <w:t>竞争性谈判</w:t>
      </w:r>
      <w:r>
        <w:rPr>
          <w:rFonts w:hint="eastAsia" w:ascii="宋体" w:hAnsi="宋体" w:cs="宋体"/>
          <w:sz w:val="24"/>
        </w:rPr>
        <w:t>报价,或者在竞争性谈判项目中事先约定轮流以高价位或者低价位成交,或者事先约定由某一特定供应商成交,然后再参加</w:t>
      </w:r>
      <w:r>
        <w:rPr>
          <w:rFonts w:hint="eastAsia" w:ascii="宋体" w:hAnsi="宋体" w:cs="宋体"/>
          <w:sz w:val="24"/>
          <w:lang w:bidi="ar"/>
        </w:rPr>
        <w:t>竞争性谈判</w:t>
      </w:r>
      <w:r>
        <w:rPr>
          <w:rFonts w:hint="eastAsia" w:ascii="宋体" w:hAnsi="宋体" w:cs="宋体"/>
          <w:sz w:val="24"/>
        </w:rPr>
        <w:t>；</w:t>
      </w:r>
    </w:p>
    <w:p w14:paraId="50577B89">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472B163A">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5B0098A5">
      <w:pPr>
        <w:spacing w:line="360" w:lineRule="auto"/>
        <w:ind w:firstLine="480" w:firstLineChars="200"/>
        <w:contextualSpacing/>
        <w:rPr>
          <w:rFonts w:ascii="宋体" w:hAnsi="宋体" w:cs="宋体"/>
          <w:sz w:val="24"/>
        </w:rPr>
      </w:pPr>
    </w:p>
    <w:p w14:paraId="40ECC929">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56EDEDDA">
      <w:pPr>
        <w:spacing w:line="360" w:lineRule="auto"/>
        <w:ind w:firstLine="480" w:firstLineChars="200"/>
        <w:contextualSpacing/>
        <w:rPr>
          <w:rFonts w:ascii="宋体" w:hAnsi="宋体" w:cs="宋体"/>
          <w:sz w:val="24"/>
        </w:rPr>
      </w:pPr>
    </w:p>
    <w:p w14:paraId="00CABABC">
      <w:pPr>
        <w:spacing w:line="360" w:lineRule="auto"/>
        <w:ind w:firstLine="3600" w:firstLineChars="1500"/>
        <w:contextualSpacing/>
        <w:rPr>
          <w:rFonts w:ascii="宋体" w:hAnsi="宋体" w:cs="宋体"/>
          <w:sz w:val="24"/>
          <w:u w:val="single"/>
        </w:rPr>
      </w:pPr>
      <w:r>
        <w:rPr>
          <w:rFonts w:hint="eastAsia" w:ascii="宋体" w:hAnsi="宋体" w:cs="宋体"/>
          <w:sz w:val="24"/>
        </w:rPr>
        <w:t>供应商（公章 ）：</w:t>
      </w:r>
      <w:r>
        <w:rPr>
          <w:rFonts w:hint="eastAsia" w:ascii="宋体" w:hAnsi="宋体" w:cs="宋体"/>
          <w:sz w:val="24"/>
          <w:u w:val="single"/>
        </w:rPr>
        <w:t xml:space="preserve"> </w:t>
      </w:r>
      <w:r>
        <w:rPr>
          <w:rFonts w:ascii="宋体" w:hAnsi="宋体" w:cs="宋体"/>
          <w:sz w:val="24"/>
          <w:u w:val="single"/>
        </w:rPr>
        <w:t xml:space="preserve">                 </w:t>
      </w:r>
    </w:p>
    <w:p w14:paraId="7C6A7F68">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1CA6B311">
      <w:pPr>
        <w:tabs>
          <w:tab w:val="left" w:pos="3479"/>
        </w:tabs>
        <w:spacing w:line="360" w:lineRule="auto"/>
        <w:jc w:val="center"/>
        <w:rPr>
          <w:rFonts w:ascii="宋体" w:hAnsi="宋体" w:cs="宋体"/>
          <w:b/>
          <w:bCs/>
          <w:sz w:val="32"/>
          <w:szCs w:val="32"/>
        </w:rPr>
      </w:pPr>
      <w:r>
        <w:rPr>
          <w:rFonts w:hint="eastAsia" w:ascii="宋体" w:hAnsi="宋体" w:cs="宋体"/>
          <w:b/>
          <w:bCs/>
          <w:sz w:val="44"/>
          <w:szCs w:val="44"/>
        </w:rPr>
        <w:t>竞争性谈判报价表</w:t>
      </w:r>
    </w:p>
    <w:p w14:paraId="423062F9">
      <w:pPr>
        <w:spacing w:line="360" w:lineRule="auto"/>
        <w:jc w:val="center"/>
        <w:rPr>
          <w:rFonts w:ascii="宋体" w:hAnsi="宋体" w:cs="宋体"/>
          <w:bCs/>
          <w:sz w:val="24"/>
        </w:rPr>
      </w:pPr>
    </w:p>
    <w:p w14:paraId="5551D574">
      <w:pPr>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分标（如有）：</w:t>
      </w:r>
      <w:r>
        <w:rPr>
          <w:rFonts w:hint="eastAsia" w:ascii="宋体" w:hAnsi="宋体" w:cs="宋体"/>
          <w:sz w:val="24"/>
          <w:u w:val="single"/>
        </w:rPr>
        <w:t xml:space="preserve">            </w:t>
      </w:r>
    </w:p>
    <w:p w14:paraId="3F76ABAA">
      <w:pPr>
        <w:snapToGrid w:val="0"/>
        <w:spacing w:line="360" w:lineRule="auto"/>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46A48182">
      <w:pPr>
        <w:snapToGrid w:val="0"/>
        <w:spacing w:line="360" w:lineRule="auto"/>
        <w:ind w:firstLine="5520" w:firstLineChars="2300"/>
        <w:rPr>
          <w:rFonts w:ascii="宋体" w:hAnsi="宋体" w:cs="宋体"/>
          <w:sz w:val="24"/>
        </w:rPr>
      </w:pPr>
      <w:r>
        <w:rPr>
          <w:rFonts w:hint="eastAsia" w:ascii="宋体" w:hAnsi="宋体" w:cs="宋体"/>
          <w:sz w:val="24"/>
        </w:rPr>
        <w:t>货币单位：人民币元</w:t>
      </w:r>
    </w:p>
    <w:tbl>
      <w:tblPr>
        <w:tblStyle w:val="26"/>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2"/>
        <w:gridCol w:w="1080"/>
        <w:gridCol w:w="1215"/>
        <w:gridCol w:w="1080"/>
        <w:gridCol w:w="870"/>
        <w:gridCol w:w="930"/>
        <w:gridCol w:w="885"/>
        <w:gridCol w:w="915"/>
        <w:gridCol w:w="1365"/>
      </w:tblGrid>
      <w:tr w14:paraId="279C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218DEF4F">
            <w:pPr>
              <w:snapToGrid w:val="0"/>
              <w:spacing w:line="460" w:lineRule="exact"/>
              <w:jc w:val="center"/>
              <w:rPr>
                <w:rFonts w:ascii="宋体" w:hAnsi="宋体" w:cs="宋体"/>
                <w:sz w:val="24"/>
              </w:rPr>
            </w:pPr>
            <w:r>
              <w:rPr>
                <w:rFonts w:hint="eastAsia" w:ascii="宋体" w:hAnsi="宋体" w:cs="宋体"/>
                <w:sz w:val="24"/>
              </w:rPr>
              <w:t>序号</w:t>
            </w:r>
          </w:p>
        </w:tc>
        <w:tc>
          <w:tcPr>
            <w:tcW w:w="712" w:type="dxa"/>
            <w:vAlign w:val="center"/>
          </w:tcPr>
          <w:p w14:paraId="5D2261D2">
            <w:pPr>
              <w:snapToGrid w:val="0"/>
              <w:spacing w:line="460" w:lineRule="exact"/>
              <w:jc w:val="center"/>
              <w:rPr>
                <w:rFonts w:ascii="宋体" w:hAnsi="宋体" w:cs="宋体"/>
                <w:sz w:val="24"/>
              </w:rPr>
            </w:pPr>
            <w:r>
              <w:rPr>
                <w:rFonts w:hint="eastAsia" w:ascii="宋体" w:hAnsi="宋体" w:cs="宋体"/>
                <w:sz w:val="24"/>
              </w:rPr>
              <w:t>货物名称</w:t>
            </w:r>
          </w:p>
        </w:tc>
        <w:tc>
          <w:tcPr>
            <w:tcW w:w="1080" w:type="dxa"/>
            <w:vAlign w:val="center"/>
          </w:tcPr>
          <w:p w14:paraId="0B0F9101">
            <w:pPr>
              <w:snapToGrid w:val="0"/>
              <w:spacing w:line="460" w:lineRule="exact"/>
              <w:jc w:val="center"/>
              <w:rPr>
                <w:rFonts w:ascii="宋体" w:hAnsi="宋体" w:cs="宋体"/>
                <w:sz w:val="24"/>
              </w:rPr>
            </w:pPr>
            <w:r>
              <w:rPr>
                <w:rFonts w:hint="eastAsia" w:ascii="宋体" w:hAnsi="宋体" w:cs="宋体"/>
                <w:sz w:val="24"/>
              </w:rPr>
              <w:t>品牌</w:t>
            </w:r>
          </w:p>
        </w:tc>
        <w:tc>
          <w:tcPr>
            <w:tcW w:w="1215" w:type="dxa"/>
            <w:vAlign w:val="center"/>
          </w:tcPr>
          <w:p w14:paraId="7E6C3A72">
            <w:pPr>
              <w:snapToGrid w:val="0"/>
              <w:spacing w:line="460" w:lineRule="exact"/>
              <w:jc w:val="center"/>
              <w:rPr>
                <w:rFonts w:ascii="宋体" w:hAnsi="宋体" w:cs="宋体"/>
                <w:sz w:val="24"/>
              </w:rPr>
            </w:pPr>
            <w:r>
              <w:rPr>
                <w:rFonts w:hint="eastAsia" w:ascii="宋体" w:hAnsi="宋体" w:cs="宋体"/>
                <w:sz w:val="24"/>
              </w:rPr>
              <w:t>型号</w:t>
            </w:r>
          </w:p>
          <w:p w14:paraId="6F3A936D">
            <w:pPr>
              <w:snapToGrid w:val="0"/>
              <w:spacing w:line="460" w:lineRule="exact"/>
              <w:jc w:val="center"/>
              <w:rPr>
                <w:rFonts w:ascii="宋体" w:hAnsi="宋体" w:cs="宋体"/>
                <w:sz w:val="24"/>
              </w:rPr>
            </w:pPr>
            <w:r>
              <w:rPr>
                <w:rFonts w:hint="eastAsia" w:ascii="宋体" w:hAnsi="宋体" w:cs="宋体"/>
                <w:sz w:val="24"/>
              </w:rPr>
              <w:t>（与铭牌一致）</w:t>
            </w:r>
          </w:p>
        </w:tc>
        <w:tc>
          <w:tcPr>
            <w:tcW w:w="1080" w:type="dxa"/>
            <w:vAlign w:val="center"/>
          </w:tcPr>
          <w:p w14:paraId="433EC284">
            <w:pPr>
              <w:snapToGrid w:val="0"/>
              <w:jc w:val="center"/>
              <w:rPr>
                <w:rFonts w:ascii="宋体" w:hAnsi="宋体" w:cs="宋体"/>
                <w:sz w:val="24"/>
              </w:rPr>
            </w:pPr>
            <w:r>
              <w:rPr>
                <w:rFonts w:hint="eastAsia" w:ascii="宋体" w:hAnsi="宋体" w:cs="宋体"/>
                <w:sz w:val="24"/>
              </w:rPr>
              <w:t>生产</w:t>
            </w:r>
          </w:p>
          <w:p w14:paraId="3536A20D">
            <w:pPr>
              <w:snapToGrid w:val="0"/>
              <w:jc w:val="center"/>
              <w:rPr>
                <w:rFonts w:ascii="宋体" w:hAnsi="宋体" w:cs="宋体"/>
                <w:sz w:val="24"/>
              </w:rPr>
            </w:pPr>
            <w:r>
              <w:rPr>
                <w:rFonts w:hint="eastAsia" w:ascii="宋体" w:hAnsi="宋体" w:cs="宋体"/>
                <w:sz w:val="24"/>
              </w:rPr>
              <w:t>厂家</w:t>
            </w:r>
          </w:p>
        </w:tc>
        <w:tc>
          <w:tcPr>
            <w:tcW w:w="870" w:type="dxa"/>
            <w:vAlign w:val="center"/>
          </w:tcPr>
          <w:p w14:paraId="0BF3A478">
            <w:pPr>
              <w:snapToGrid w:val="0"/>
              <w:jc w:val="center"/>
              <w:rPr>
                <w:rFonts w:ascii="宋体" w:hAnsi="宋体" w:cs="宋体"/>
                <w:sz w:val="24"/>
              </w:rPr>
            </w:pPr>
            <w:r>
              <w:rPr>
                <w:rFonts w:hint="eastAsia" w:ascii="宋体" w:hAnsi="宋体" w:cs="宋体"/>
                <w:sz w:val="24"/>
              </w:rPr>
              <w:t>产地</w:t>
            </w:r>
          </w:p>
        </w:tc>
        <w:tc>
          <w:tcPr>
            <w:tcW w:w="930" w:type="dxa"/>
            <w:vAlign w:val="center"/>
          </w:tcPr>
          <w:p w14:paraId="1CF9379C">
            <w:pPr>
              <w:snapToGrid w:val="0"/>
              <w:jc w:val="center"/>
              <w:rPr>
                <w:rFonts w:ascii="宋体" w:hAnsi="宋体" w:cs="宋体"/>
                <w:sz w:val="24"/>
              </w:rPr>
            </w:pPr>
            <w:r>
              <w:rPr>
                <w:rFonts w:hint="eastAsia" w:ascii="宋体" w:hAnsi="宋体" w:cs="宋体"/>
                <w:sz w:val="24"/>
              </w:rPr>
              <w:t>数 量①</w:t>
            </w:r>
          </w:p>
        </w:tc>
        <w:tc>
          <w:tcPr>
            <w:tcW w:w="885" w:type="dxa"/>
            <w:vAlign w:val="center"/>
          </w:tcPr>
          <w:p w14:paraId="1FD70F00">
            <w:pPr>
              <w:snapToGrid w:val="0"/>
              <w:jc w:val="center"/>
              <w:rPr>
                <w:rFonts w:ascii="宋体" w:hAnsi="宋体" w:cs="宋体"/>
                <w:sz w:val="24"/>
              </w:rPr>
            </w:pPr>
            <w:r>
              <w:rPr>
                <w:rFonts w:hint="eastAsia" w:ascii="宋体" w:hAnsi="宋体" w:cs="宋体"/>
                <w:sz w:val="24"/>
              </w:rPr>
              <w:t>单位</w:t>
            </w:r>
          </w:p>
        </w:tc>
        <w:tc>
          <w:tcPr>
            <w:tcW w:w="915" w:type="dxa"/>
            <w:vAlign w:val="center"/>
          </w:tcPr>
          <w:p w14:paraId="186736BD">
            <w:pPr>
              <w:snapToGrid w:val="0"/>
              <w:jc w:val="center"/>
              <w:rPr>
                <w:rFonts w:ascii="宋体" w:hAnsi="宋体" w:cs="宋体"/>
                <w:sz w:val="24"/>
              </w:rPr>
            </w:pPr>
            <w:r>
              <w:rPr>
                <w:rFonts w:hint="eastAsia" w:ascii="宋体" w:hAnsi="宋体" w:cs="宋体"/>
                <w:sz w:val="24"/>
              </w:rPr>
              <w:t>单 价</w:t>
            </w:r>
          </w:p>
          <w:p w14:paraId="4AABABEE">
            <w:pPr>
              <w:snapToGrid w:val="0"/>
              <w:jc w:val="center"/>
              <w:rPr>
                <w:rFonts w:ascii="宋体" w:hAnsi="宋体" w:cs="宋体"/>
                <w:sz w:val="24"/>
              </w:rPr>
            </w:pPr>
            <w:r>
              <w:rPr>
                <w:rFonts w:hint="eastAsia" w:ascii="宋体" w:hAnsi="宋体" w:cs="宋体"/>
                <w:sz w:val="24"/>
              </w:rPr>
              <w:t>②</w:t>
            </w:r>
          </w:p>
        </w:tc>
        <w:tc>
          <w:tcPr>
            <w:tcW w:w="1365" w:type="dxa"/>
            <w:vAlign w:val="center"/>
          </w:tcPr>
          <w:p w14:paraId="36EF96F0">
            <w:pPr>
              <w:snapToGrid w:val="0"/>
              <w:spacing w:before="50" w:after="50" w:line="360" w:lineRule="auto"/>
              <w:jc w:val="center"/>
              <w:rPr>
                <w:rFonts w:ascii="宋体" w:hAnsi="宋体" w:cs="宋体"/>
                <w:sz w:val="24"/>
              </w:rPr>
            </w:pPr>
            <w:r>
              <w:rPr>
                <w:rFonts w:hint="eastAsia" w:ascii="宋体" w:hAnsi="宋体" w:cs="宋体"/>
                <w:sz w:val="24"/>
                <w:lang w:bidi="ar"/>
              </w:rPr>
              <w:t>竞争性谈判</w:t>
            </w:r>
            <w:r>
              <w:rPr>
                <w:rFonts w:hint="eastAsia" w:ascii="宋体" w:hAnsi="宋体" w:cs="宋体"/>
                <w:sz w:val="24"/>
              </w:rPr>
              <w:t>报价</w:t>
            </w:r>
          </w:p>
          <w:p w14:paraId="207E47FC">
            <w:pPr>
              <w:snapToGrid w:val="0"/>
              <w:jc w:val="center"/>
              <w:rPr>
                <w:rFonts w:ascii="宋体" w:hAnsi="宋体" w:cs="宋体"/>
                <w:sz w:val="24"/>
              </w:rPr>
            </w:pPr>
            <w:r>
              <w:rPr>
                <w:rFonts w:hint="eastAsia" w:ascii="宋体" w:hAnsi="宋体" w:cs="宋体"/>
                <w:sz w:val="24"/>
              </w:rPr>
              <w:t>③=①×②</w:t>
            </w:r>
          </w:p>
        </w:tc>
      </w:tr>
      <w:tr w14:paraId="41EA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34B6E2A6">
            <w:pPr>
              <w:snapToGrid w:val="0"/>
              <w:spacing w:line="460" w:lineRule="exact"/>
              <w:jc w:val="center"/>
              <w:rPr>
                <w:rFonts w:ascii="宋体" w:hAnsi="宋体" w:cs="宋体"/>
                <w:sz w:val="24"/>
              </w:rPr>
            </w:pPr>
            <w:r>
              <w:rPr>
                <w:rFonts w:hint="eastAsia" w:ascii="宋体" w:hAnsi="宋体" w:cs="宋体"/>
                <w:sz w:val="24"/>
              </w:rPr>
              <w:t>1</w:t>
            </w:r>
          </w:p>
        </w:tc>
        <w:tc>
          <w:tcPr>
            <w:tcW w:w="712" w:type="dxa"/>
            <w:vAlign w:val="center"/>
          </w:tcPr>
          <w:p w14:paraId="6721CBAD">
            <w:pPr>
              <w:snapToGrid w:val="0"/>
              <w:spacing w:line="460" w:lineRule="exact"/>
              <w:jc w:val="center"/>
              <w:rPr>
                <w:rFonts w:ascii="宋体" w:hAnsi="宋体" w:cs="宋体"/>
                <w:sz w:val="24"/>
              </w:rPr>
            </w:pPr>
          </w:p>
        </w:tc>
        <w:tc>
          <w:tcPr>
            <w:tcW w:w="1080" w:type="dxa"/>
            <w:vAlign w:val="center"/>
          </w:tcPr>
          <w:p w14:paraId="168F8FBB">
            <w:pPr>
              <w:snapToGrid w:val="0"/>
              <w:spacing w:line="460" w:lineRule="exact"/>
              <w:jc w:val="center"/>
              <w:rPr>
                <w:rFonts w:ascii="宋体" w:hAnsi="宋体" w:cs="宋体"/>
                <w:sz w:val="24"/>
              </w:rPr>
            </w:pPr>
          </w:p>
        </w:tc>
        <w:tc>
          <w:tcPr>
            <w:tcW w:w="1215" w:type="dxa"/>
            <w:vAlign w:val="center"/>
          </w:tcPr>
          <w:p w14:paraId="1C89B148">
            <w:pPr>
              <w:snapToGrid w:val="0"/>
              <w:spacing w:line="460" w:lineRule="exact"/>
              <w:jc w:val="center"/>
              <w:rPr>
                <w:rFonts w:ascii="宋体" w:hAnsi="宋体" w:cs="宋体"/>
                <w:sz w:val="24"/>
              </w:rPr>
            </w:pPr>
          </w:p>
        </w:tc>
        <w:tc>
          <w:tcPr>
            <w:tcW w:w="1080" w:type="dxa"/>
          </w:tcPr>
          <w:p w14:paraId="6962E168">
            <w:pPr>
              <w:snapToGrid w:val="0"/>
              <w:spacing w:line="460" w:lineRule="exact"/>
              <w:jc w:val="center"/>
              <w:rPr>
                <w:rFonts w:ascii="宋体" w:hAnsi="宋体" w:cs="宋体"/>
                <w:sz w:val="24"/>
              </w:rPr>
            </w:pPr>
          </w:p>
        </w:tc>
        <w:tc>
          <w:tcPr>
            <w:tcW w:w="870" w:type="dxa"/>
            <w:vAlign w:val="center"/>
          </w:tcPr>
          <w:p w14:paraId="116E5336">
            <w:pPr>
              <w:snapToGrid w:val="0"/>
              <w:spacing w:line="460" w:lineRule="exact"/>
              <w:jc w:val="center"/>
              <w:rPr>
                <w:rFonts w:ascii="宋体" w:hAnsi="宋体" w:cs="宋体"/>
                <w:sz w:val="24"/>
              </w:rPr>
            </w:pPr>
          </w:p>
        </w:tc>
        <w:tc>
          <w:tcPr>
            <w:tcW w:w="930" w:type="dxa"/>
            <w:vAlign w:val="center"/>
          </w:tcPr>
          <w:p w14:paraId="507AFED4">
            <w:pPr>
              <w:pStyle w:val="71"/>
              <w:snapToGrid w:val="0"/>
              <w:spacing w:line="460" w:lineRule="exact"/>
              <w:ind w:left="360" w:firstLine="0" w:firstLineChars="0"/>
              <w:rPr>
                <w:rFonts w:ascii="宋体" w:hAnsi="宋体" w:cs="宋体"/>
                <w:sz w:val="24"/>
              </w:rPr>
            </w:pPr>
          </w:p>
        </w:tc>
        <w:tc>
          <w:tcPr>
            <w:tcW w:w="885" w:type="dxa"/>
          </w:tcPr>
          <w:p w14:paraId="198EFE68">
            <w:pPr>
              <w:snapToGrid w:val="0"/>
              <w:spacing w:line="460" w:lineRule="exact"/>
              <w:jc w:val="center"/>
              <w:rPr>
                <w:rFonts w:ascii="宋体" w:hAnsi="宋体" w:cs="宋体"/>
                <w:sz w:val="24"/>
              </w:rPr>
            </w:pPr>
          </w:p>
        </w:tc>
        <w:tc>
          <w:tcPr>
            <w:tcW w:w="915" w:type="dxa"/>
            <w:vAlign w:val="center"/>
          </w:tcPr>
          <w:p w14:paraId="1DC2AB22">
            <w:pPr>
              <w:pStyle w:val="71"/>
              <w:snapToGrid w:val="0"/>
              <w:spacing w:line="460" w:lineRule="exact"/>
              <w:ind w:left="360" w:firstLine="0" w:firstLineChars="0"/>
              <w:rPr>
                <w:rFonts w:ascii="宋体" w:hAnsi="宋体" w:cs="宋体"/>
                <w:sz w:val="24"/>
              </w:rPr>
            </w:pPr>
          </w:p>
        </w:tc>
        <w:tc>
          <w:tcPr>
            <w:tcW w:w="1365" w:type="dxa"/>
          </w:tcPr>
          <w:p w14:paraId="502BF88A">
            <w:pPr>
              <w:snapToGrid w:val="0"/>
              <w:spacing w:line="460" w:lineRule="exact"/>
              <w:jc w:val="center"/>
              <w:rPr>
                <w:rFonts w:ascii="宋体" w:hAnsi="宋体" w:cs="宋体"/>
                <w:sz w:val="24"/>
              </w:rPr>
            </w:pPr>
          </w:p>
        </w:tc>
      </w:tr>
      <w:tr w14:paraId="0EC7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761" w:type="dxa"/>
            <w:gridSpan w:val="10"/>
          </w:tcPr>
          <w:p w14:paraId="61302351">
            <w:pPr>
              <w:snapToGrid w:val="0"/>
              <w:spacing w:line="460" w:lineRule="exact"/>
              <w:jc w:val="left"/>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u w:val="single"/>
              </w:rPr>
              <w:t>元整</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r w14:paraId="07A9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761" w:type="dxa"/>
            <w:gridSpan w:val="10"/>
          </w:tcPr>
          <w:p w14:paraId="2124464E">
            <w:pPr>
              <w:snapToGrid w:val="0"/>
              <w:spacing w:line="460" w:lineRule="exact"/>
              <w:jc w:val="left"/>
              <w:rPr>
                <w:rFonts w:ascii="宋体" w:hAnsi="宋体" w:cs="宋体"/>
                <w:sz w:val="24"/>
              </w:rPr>
            </w:pPr>
            <w:r>
              <w:rPr>
                <w:rFonts w:hint="eastAsia" w:ascii="宋体" w:hAnsi="宋体" w:cs="宋体"/>
                <w:sz w:val="24"/>
              </w:rPr>
              <w:t>交付时间：</w:t>
            </w:r>
          </w:p>
        </w:tc>
      </w:tr>
    </w:tbl>
    <w:p w14:paraId="1705C3F0">
      <w:pPr>
        <w:pStyle w:val="32"/>
      </w:pPr>
    </w:p>
    <w:p w14:paraId="66995AE8">
      <w:pPr>
        <w:contextualSpacing/>
        <w:jc w:val="left"/>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14:paraId="24416806">
      <w:pPr>
        <w:ind w:firstLine="480" w:firstLineChars="200"/>
        <w:contextualSpacing/>
        <w:jc w:val="left"/>
        <w:rPr>
          <w:rFonts w:ascii="楷体" w:hAnsi="楷体" w:eastAsia="楷体" w:cs="宋体"/>
          <w:b/>
          <w:sz w:val="24"/>
        </w:rPr>
      </w:pPr>
      <w:r>
        <w:rPr>
          <w:rFonts w:ascii="楷体" w:hAnsi="楷体" w:eastAsia="楷体" w:cs="宋体"/>
          <w:sz w:val="24"/>
        </w:rPr>
        <w:t>1.</w:t>
      </w:r>
      <w:r>
        <w:rPr>
          <w:rFonts w:hint="eastAsia" w:ascii="楷体" w:hAnsi="楷体" w:eastAsia="楷体" w:cs="宋体"/>
          <w:sz w:val="24"/>
        </w:rPr>
        <w:t>竞争性谈判报价表中“货物名称、数量、单位、品牌、型号、生产厂家、产地”必须如实填写完整，定制产品在型号栏中填写“定制”。</w:t>
      </w:r>
      <w:r>
        <w:rPr>
          <w:rFonts w:hint="eastAsia" w:ascii="楷体" w:hAnsi="楷体" w:eastAsia="楷体" w:cs="宋体"/>
          <w:b/>
          <w:sz w:val="24"/>
        </w:rPr>
        <w:t>填写有缺漏</w:t>
      </w:r>
      <w:r>
        <w:rPr>
          <w:rFonts w:hint="eastAsia" w:ascii="楷体" w:hAnsi="楷体" w:eastAsia="楷体" w:cs="宋体"/>
          <w:b/>
          <w:bCs/>
          <w:sz w:val="24"/>
        </w:rPr>
        <w:t>的，</w:t>
      </w:r>
      <w:r>
        <w:rPr>
          <w:rFonts w:hint="eastAsia" w:ascii="楷体" w:hAnsi="楷体" w:eastAsia="楷体" w:cs="宋体"/>
          <w:b/>
          <w:sz w:val="24"/>
        </w:rPr>
        <w:t>其响应文件按无效响应处理。</w:t>
      </w:r>
    </w:p>
    <w:p w14:paraId="592D822D">
      <w:pPr>
        <w:snapToGrid w:val="0"/>
        <w:spacing w:before="50" w:after="50"/>
        <w:ind w:firstLine="482" w:firstLineChars="200"/>
        <w:jc w:val="left"/>
        <w:rPr>
          <w:rFonts w:ascii="楷体" w:hAnsi="楷体" w:eastAsia="楷体"/>
        </w:rPr>
      </w:pPr>
      <w:r>
        <w:rPr>
          <w:rFonts w:ascii="楷体" w:hAnsi="楷体" w:eastAsia="楷体" w:cs="宋体"/>
          <w:b/>
          <w:sz w:val="24"/>
        </w:rPr>
        <w:t>2.所填写的型号与货物铭牌一致。</w:t>
      </w:r>
    </w:p>
    <w:p w14:paraId="7C407DAD">
      <w:pPr>
        <w:ind w:firstLine="480" w:firstLineChars="200"/>
        <w:contextualSpacing/>
        <w:jc w:val="left"/>
        <w:rPr>
          <w:rFonts w:ascii="楷体" w:hAnsi="楷体" w:eastAsia="楷体" w:cs="宋体"/>
          <w:sz w:val="24"/>
        </w:rPr>
      </w:pPr>
      <w:r>
        <w:rPr>
          <w:rFonts w:ascii="楷体" w:hAnsi="楷体" w:eastAsia="楷体" w:cs="宋体"/>
          <w:sz w:val="24"/>
        </w:rPr>
        <w:t>3.供应商的报价表必须加盖供应商公章并由法定代表人或者委托代理人签字，</w:t>
      </w:r>
      <w:r>
        <w:rPr>
          <w:rFonts w:hint="eastAsia" w:ascii="楷体" w:hAnsi="楷体" w:eastAsia="楷体" w:cs="宋体"/>
          <w:b/>
          <w:sz w:val="24"/>
        </w:rPr>
        <w:t>否则其响应文件按无效响应处理</w:t>
      </w:r>
      <w:r>
        <w:rPr>
          <w:rFonts w:hint="eastAsia" w:ascii="楷体" w:hAnsi="楷体" w:eastAsia="楷体" w:cs="宋体"/>
          <w:sz w:val="24"/>
        </w:rPr>
        <w:t>。</w:t>
      </w:r>
    </w:p>
    <w:p w14:paraId="51224B56">
      <w:pPr>
        <w:ind w:firstLine="480" w:firstLineChars="200"/>
        <w:contextualSpacing/>
        <w:jc w:val="left"/>
        <w:rPr>
          <w:rFonts w:ascii="楷体" w:hAnsi="楷体" w:eastAsia="楷体" w:cs="宋体"/>
          <w:b/>
          <w:sz w:val="24"/>
        </w:rPr>
      </w:pPr>
      <w:r>
        <w:rPr>
          <w:rFonts w:ascii="楷体" w:hAnsi="楷体" w:eastAsia="楷体" w:cs="宋体"/>
          <w:bCs/>
          <w:sz w:val="24"/>
        </w:rPr>
        <w:t>4.</w:t>
      </w:r>
      <w:r>
        <w:rPr>
          <w:rFonts w:hint="eastAsia" w:ascii="楷体" w:hAnsi="楷体" w:eastAsia="楷体" w:cs="宋体"/>
          <w:sz w:val="24"/>
        </w:rPr>
        <w:t>报价一经涂改，应在涂改处加盖供应商公章或者由法定代表人或者授权委托人签字或者盖章</w:t>
      </w:r>
      <w:r>
        <w:rPr>
          <w:rFonts w:hint="eastAsia" w:ascii="楷体" w:hAnsi="楷体" w:eastAsia="楷体" w:cs="宋体"/>
          <w:b/>
          <w:sz w:val="24"/>
        </w:rPr>
        <w:t>，否则其响应文件按无效响应处理。</w:t>
      </w:r>
    </w:p>
    <w:p w14:paraId="2BB0F4E4">
      <w:pPr>
        <w:ind w:firstLine="480" w:firstLineChars="200"/>
        <w:contextualSpacing/>
        <w:jc w:val="left"/>
        <w:rPr>
          <w:rFonts w:ascii="楷体" w:hAnsi="楷体" w:eastAsia="楷体" w:cs="宋体"/>
          <w:sz w:val="24"/>
        </w:rPr>
      </w:pPr>
      <w:r>
        <w:rPr>
          <w:rFonts w:ascii="楷体" w:hAnsi="楷体" w:eastAsia="楷体" w:cs="宋体"/>
          <w:sz w:val="24"/>
        </w:rPr>
        <w:t>5.谈判文件中列明采购专用耗材的，应按谈判文件规定的耗材量或者按耗材的常规</w:t>
      </w:r>
      <w:r>
        <w:rPr>
          <w:rFonts w:hint="eastAsia" w:ascii="楷体" w:hAnsi="楷体" w:eastAsia="楷体" w:cs="宋体"/>
          <w:sz w:val="24"/>
        </w:rPr>
        <w:t>使用量提供报价。</w:t>
      </w:r>
    </w:p>
    <w:p w14:paraId="3EAF8FB7">
      <w:pPr>
        <w:ind w:firstLine="480" w:firstLineChars="200"/>
        <w:contextualSpacing/>
        <w:jc w:val="left"/>
        <w:rPr>
          <w:rFonts w:ascii="楷体" w:hAnsi="楷体" w:eastAsia="楷体" w:cs="宋体"/>
          <w:sz w:val="24"/>
        </w:rPr>
      </w:pPr>
      <w:r>
        <w:rPr>
          <w:rFonts w:ascii="楷体" w:hAnsi="楷体" w:eastAsia="楷体" w:cs="宋体"/>
          <w:sz w:val="24"/>
        </w:rPr>
        <w:t>6.如为联合体</w:t>
      </w:r>
      <w:r>
        <w:rPr>
          <w:rFonts w:hint="eastAsia" w:ascii="楷体" w:hAnsi="楷体" w:eastAsia="楷体" w:cs="宋体"/>
          <w:sz w:val="24"/>
        </w:rPr>
        <w:t>参与竞争性谈判</w:t>
      </w:r>
      <w:r>
        <w:rPr>
          <w:rFonts w:ascii="楷体" w:hAnsi="楷体" w:eastAsia="楷体" w:cs="宋体"/>
          <w:sz w:val="24"/>
        </w:rPr>
        <w:t>,“供应商名称”处必须列明联合体各方名称，标注联合体牵头人名称，</w:t>
      </w:r>
      <w:r>
        <w:rPr>
          <w:rFonts w:hint="eastAsia" w:ascii="楷体" w:hAnsi="楷体" w:eastAsia="楷体" w:cs="宋体"/>
          <w:b/>
          <w:sz w:val="24"/>
        </w:rPr>
        <w:t>否则其响应文件按无效响应处理。（采购人可根据项目情况自行修改是否需要联合体各方签字盖章）</w:t>
      </w:r>
    </w:p>
    <w:p w14:paraId="702944DB">
      <w:pPr>
        <w:ind w:firstLine="480" w:firstLineChars="200"/>
        <w:contextualSpacing/>
        <w:jc w:val="left"/>
        <w:rPr>
          <w:rFonts w:ascii="楷体" w:hAnsi="楷体" w:eastAsia="楷体" w:cs="宋体"/>
          <w:sz w:val="24"/>
        </w:rPr>
      </w:pPr>
      <w:r>
        <w:rPr>
          <w:rFonts w:ascii="楷体" w:hAnsi="楷体" w:eastAsia="楷体" w:cs="宋体"/>
          <w:sz w:val="24"/>
        </w:rPr>
        <w:t>7.如为联合体</w:t>
      </w:r>
      <w:r>
        <w:rPr>
          <w:rFonts w:hint="eastAsia" w:ascii="楷体" w:hAnsi="楷体" w:eastAsia="楷体" w:cs="宋体"/>
          <w:sz w:val="24"/>
        </w:rPr>
        <w:t>参与竞争性谈判</w:t>
      </w:r>
      <w:r>
        <w:rPr>
          <w:rFonts w:ascii="楷体" w:hAnsi="楷体" w:eastAsia="楷体" w:cs="宋体"/>
          <w:sz w:val="24"/>
        </w:rPr>
        <w:t>,盖章处须加盖联合体各方公章，</w:t>
      </w:r>
      <w:r>
        <w:rPr>
          <w:rFonts w:hint="eastAsia" w:ascii="楷体" w:hAnsi="楷体" w:eastAsia="楷体" w:cs="宋体"/>
          <w:b/>
          <w:sz w:val="24"/>
        </w:rPr>
        <w:t>否则其响应文件按无效响应处理。</w:t>
      </w:r>
    </w:p>
    <w:p w14:paraId="7A437C8B">
      <w:pPr>
        <w:ind w:firstLine="480" w:firstLineChars="200"/>
        <w:contextualSpacing/>
        <w:rPr>
          <w:rFonts w:ascii="楷体" w:hAnsi="楷体" w:eastAsia="楷体" w:cs="宋体"/>
          <w:b/>
          <w:sz w:val="24"/>
        </w:rPr>
      </w:pPr>
      <w:r>
        <w:rPr>
          <w:rFonts w:ascii="楷体" w:hAnsi="楷体" w:eastAsia="楷体" w:cs="宋体"/>
          <w:sz w:val="24"/>
        </w:rPr>
        <w:t>8.</w:t>
      </w:r>
      <w:r>
        <w:rPr>
          <w:rFonts w:hint="eastAsia" w:ascii="楷体" w:hAnsi="楷体" w:eastAsia="楷体" w:cs="宋体"/>
          <w:spacing w:val="-6"/>
          <w:sz w:val="24"/>
        </w:rPr>
        <w:t>如有多分标，分别列明各分标的报价表，</w:t>
      </w:r>
      <w:r>
        <w:rPr>
          <w:rFonts w:hint="eastAsia" w:ascii="楷体" w:hAnsi="楷体" w:eastAsia="楷体" w:cs="宋体"/>
          <w:b/>
          <w:spacing w:val="-6"/>
          <w:sz w:val="24"/>
        </w:rPr>
        <w:t>否则其响应文件按无效响应处理。</w:t>
      </w:r>
      <w:r>
        <w:rPr>
          <w:rFonts w:hint="eastAsia" w:ascii="楷体" w:hAnsi="楷体" w:eastAsia="楷体" w:cs="宋体"/>
          <w:b/>
          <w:sz w:val="24"/>
        </w:rPr>
        <w:t>（采购人可根据项目情况自行修改是否需要联合体各方签字盖章）</w:t>
      </w:r>
    </w:p>
    <w:p w14:paraId="71E288AC">
      <w:pPr>
        <w:spacing w:line="360" w:lineRule="auto"/>
        <w:ind w:firstLine="2640" w:firstLineChars="1100"/>
        <w:contextualSpacing/>
        <w:rPr>
          <w:rFonts w:ascii="宋体" w:hAnsi="宋体" w:cs="宋体"/>
          <w:sz w:val="24"/>
        </w:rPr>
      </w:pPr>
    </w:p>
    <w:p w14:paraId="0ED1127F">
      <w:pPr>
        <w:pStyle w:val="32"/>
      </w:pPr>
    </w:p>
    <w:p w14:paraId="031D22FD">
      <w:pPr>
        <w:pStyle w:val="32"/>
      </w:pPr>
    </w:p>
    <w:p w14:paraId="0A0DCB6C">
      <w:pPr>
        <w:spacing w:line="360" w:lineRule="auto"/>
        <w:ind w:firstLine="2640" w:firstLineChars="11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4E41A981">
      <w:pPr>
        <w:spacing w:line="360" w:lineRule="auto"/>
        <w:ind w:firstLine="2640" w:firstLineChars="1100"/>
        <w:contextualSpacing/>
        <w:rPr>
          <w:rFonts w:ascii="宋体" w:hAnsi="宋体" w:cs="宋体"/>
          <w:sz w:val="24"/>
        </w:rPr>
      </w:pPr>
      <w:r>
        <w:rPr>
          <w:rFonts w:hint="eastAsia" w:ascii="宋体" w:hAnsi="宋体" w:cs="宋体"/>
          <w:sz w:val="24"/>
        </w:rPr>
        <w:t>供应商（公章）：</w:t>
      </w:r>
      <w:r>
        <w:rPr>
          <w:rFonts w:ascii="宋体" w:hAnsi="宋体" w:cs="宋体"/>
          <w:sz w:val="24"/>
          <w:u w:val="single"/>
        </w:rPr>
        <w:t xml:space="preserve">                          </w:t>
      </w:r>
      <w:r>
        <w:rPr>
          <w:rFonts w:hint="eastAsia" w:ascii="宋体" w:hAnsi="宋体" w:cs="宋体"/>
          <w:sz w:val="24"/>
        </w:rPr>
        <w:t xml:space="preserve"> </w:t>
      </w:r>
    </w:p>
    <w:p w14:paraId="48108757">
      <w:pPr>
        <w:spacing w:line="360" w:lineRule="auto"/>
        <w:ind w:firstLine="2640" w:firstLineChars="1100"/>
        <w:contextualSpacing/>
        <w:rPr>
          <w:rFonts w:ascii="宋体" w:hAnsi="宋体" w:cs="宋体"/>
          <w:b/>
          <w:sz w:val="24"/>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3D24E767">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bCs/>
          <w:sz w:val="44"/>
          <w:szCs w:val="44"/>
        </w:rPr>
        <w:t>法定代表人身份证明</w:t>
      </w:r>
    </w:p>
    <w:p w14:paraId="4BCE293E">
      <w:pPr>
        <w:spacing w:line="360" w:lineRule="auto"/>
        <w:contextualSpacing/>
        <w:rPr>
          <w:rFonts w:ascii="宋体" w:hAnsi="宋体" w:cs="宋体"/>
          <w:sz w:val="32"/>
          <w:szCs w:val="32"/>
        </w:rPr>
      </w:pPr>
    </w:p>
    <w:p w14:paraId="3F110CA9">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0C1F80C5">
      <w:pPr>
        <w:spacing w:line="360" w:lineRule="auto"/>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2F9BC315">
      <w:pPr>
        <w:spacing w:line="360" w:lineRule="auto"/>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597DB58">
      <w:pPr>
        <w:spacing w:line="360" w:lineRule="auto"/>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2DC662DC">
      <w:pPr>
        <w:spacing w:line="360" w:lineRule="auto"/>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2ECB6BFD">
      <w:pPr>
        <w:spacing w:line="360" w:lineRule="auto"/>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14:paraId="4CFA8920">
      <w:pPr>
        <w:spacing w:line="360" w:lineRule="auto"/>
        <w:contextualSpacing/>
        <w:rPr>
          <w:rFonts w:ascii="宋体" w:hAnsi="宋体" w:cs="宋体"/>
          <w:sz w:val="24"/>
        </w:rPr>
      </w:pPr>
      <w:r>
        <w:rPr>
          <w:rFonts w:hint="eastAsia" w:ascii="宋体" w:hAnsi="宋体" w:cs="宋体"/>
          <w:sz w:val="24"/>
        </w:rPr>
        <w:t>特此证明。</w:t>
      </w:r>
    </w:p>
    <w:p w14:paraId="426B5DA7">
      <w:pPr>
        <w:spacing w:line="360" w:lineRule="auto"/>
        <w:contextualSpacing/>
        <w:rPr>
          <w:rFonts w:ascii="宋体" w:hAnsi="宋体" w:cs="宋体"/>
          <w:sz w:val="24"/>
        </w:rPr>
      </w:pPr>
    </w:p>
    <w:p w14:paraId="2BF49F05">
      <w:pPr>
        <w:spacing w:line="360" w:lineRule="auto"/>
        <w:contextualSpacing/>
        <w:rPr>
          <w:rFonts w:ascii="宋体" w:hAnsi="宋体" w:cs="宋体"/>
          <w:sz w:val="24"/>
        </w:rPr>
      </w:pPr>
    </w:p>
    <w:p w14:paraId="62854401">
      <w:pPr>
        <w:spacing w:line="360" w:lineRule="auto"/>
        <w:contextualSpacing/>
        <w:rPr>
          <w:rFonts w:ascii="宋体" w:hAnsi="宋体" w:cs="宋体"/>
          <w:sz w:val="24"/>
        </w:rPr>
      </w:pPr>
    </w:p>
    <w:p w14:paraId="2D8EB541">
      <w:pPr>
        <w:spacing w:line="360" w:lineRule="auto"/>
        <w:contextualSpacing/>
        <w:rPr>
          <w:rFonts w:ascii="宋体" w:hAnsi="宋体" w:cs="宋体"/>
          <w:sz w:val="24"/>
        </w:rPr>
      </w:pPr>
      <w:r>
        <w:rPr>
          <w:rFonts w:hint="eastAsia" w:ascii="宋体" w:hAnsi="宋体" w:cs="宋体"/>
          <w:sz w:val="24"/>
        </w:rPr>
        <w:t>附件：法定代表人有效身份证正反面复印件</w:t>
      </w:r>
    </w:p>
    <w:p w14:paraId="56CC3EC0">
      <w:pPr>
        <w:spacing w:line="360" w:lineRule="auto"/>
        <w:contextualSpacing/>
        <w:rPr>
          <w:rFonts w:ascii="宋体" w:hAnsi="宋体" w:cs="宋体"/>
          <w:sz w:val="24"/>
        </w:rPr>
      </w:pPr>
    </w:p>
    <w:p w14:paraId="7490382B">
      <w:pPr>
        <w:spacing w:line="360" w:lineRule="auto"/>
        <w:ind w:right="960" w:firstLine="5040" w:firstLineChars="2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5BC7C374">
      <w:pPr>
        <w:spacing w:line="360" w:lineRule="auto"/>
        <w:ind w:firstLine="5040" w:firstLineChars="21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9A22078">
      <w:pPr>
        <w:spacing w:line="360" w:lineRule="auto"/>
        <w:contextualSpacing/>
        <w:jc w:val="center"/>
        <w:rPr>
          <w:rFonts w:ascii="宋体" w:hAnsi="宋体" w:cs="宋体"/>
          <w:b/>
          <w:sz w:val="24"/>
        </w:rPr>
      </w:pPr>
    </w:p>
    <w:p w14:paraId="54E5A926">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7BC46193">
      <w:pPr>
        <w:spacing w:line="360" w:lineRule="auto"/>
        <w:ind w:firstLine="480" w:firstLineChars="200"/>
        <w:contextualSpacing/>
        <w:jc w:val="left"/>
        <w:rPr>
          <w:rFonts w:ascii="楷体" w:hAnsi="楷体" w:eastAsia="楷体" w:cs="宋体"/>
          <w:sz w:val="24"/>
        </w:rPr>
      </w:pPr>
      <w:r>
        <w:rPr>
          <w:rFonts w:hint="eastAsia" w:ascii="楷体" w:hAnsi="楷体" w:eastAsia="楷体" w:cs="宋体"/>
          <w:sz w:val="24"/>
        </w:rPr>
        <w:t>自然人参与</w:t>
      </w:r>
      <w:r>
        <w:rPr>
          <w:rFonts w:hint="eastAsia" w:ascii="楷体" w:hAnsi="楷体" w:eastAsia="楷体" w:cs="宋体"/>
          <w:sz w:val="24"/>
          <w:lang w:bidi="ar"/>
        </w:rPr>
        <w:t>竞争性谈判</w:t>
      </w:r>
      <w:r>
        <w:rPr>
          <w:rFonts w:hint="eastAsia" w:ascii="楷体" w:hAnsi="楷体" w:eastAsia="楷体" w:cs="宋体"/>
          <w:sz w:val="24"/>
        </w:rPr>
        <w:t>的无需提供，联合体参与</w:t>
      </w:r>
      <w:r>
        <w:rPr>
          <w:rFonts w:hint="eastAsia" w:ascii="楷体" w:hAnsi="楷体" w:eastAsia="楷体" w:cs="宋体"/>
          <w:sz w:val="24"/>
          <w:lang w:bidi="ar"/>
        </w:rPr>
        <w:t>竞争性谈判</w:t>
      </w:r>
      <w:r>
        <w:rPr>
          <w:rFonts w:hint="eastAsia" w:ascii="楷体" w:hAnsi="楷体" w:eastAsia="楷体" w:cs="宋体"/>
          <w:sz w:val="24"/>
        </w:rPr>
        <w:t>的只需牵头人出具。</w:t>
      </w:r>
    </w:p>
    <w:p w14:paraId="37E03745">
      <w:pPr>
        <w:adjustRightInd w:val="0"/>
        <w:snapToGrid w:val="0"/>
        <w:spacing w:line="360" w:lineRule="auto"/>
        <w:jc w:val="left"/>
        <w:rPr>
          <w:rFonts w:ascii="楷体" w:hAnsi="楷体" w:eastAsia="楷体" w:cs="宋体"/>
          <w:b/>
          <w:szCs w:val="21"/>
        </w:rPr>
      </w:pPr>
    </w:p>
    <w:p w14:paraId="2FB51714">
      <w:pPr>
        <w:spacing w:line="360" w:lineRule="auto"/>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授权委托书</w:t>
      </w:r>
    </w:p>
    <w:p w14:paraId="514318E8">
      <w:pPr>
        <w:spacing w:line="360" w:lineRule="auto"/>
        <w:jc w:val="center"/>
        <w:rPr>
          <w:rFonts w:ascii="宋体" w:hAnsi="宋体" w:cs="宋体"/>
          <w:sz w:val="28"/>
          <w:szCs w:val="28"/>
        </w:rPr>
      </w:pPr>
      <w:r>
        <w:rPr>
          <w:rFonts w:hint="eastAsia" w:ascii="宋体" w:hAnsi="宋体" w:cs="宋体"/>
          <w:sz w:val="28"/>
          <w:szCs w:val="28"/>
        </w:rPr>
        <w:t>（非联合体参与竞争性谈判格式）</w:t>
      </w:r>
    </w:p>
    <w:p w14:paraId="161F506E">
      <w:pPr>
        <w:spacing w:line="360" w:lineRule="auto"/>
        <w:jc w:val="center"/>
        <w:rPr>
          <w:rFonts w:ascii="宋体" w:hAnsi="宋体" w:cs="宋体"/>
          <w:sz w:val="28"/>
          <w:szCs w:val="28"/>
        </w:rPr>
      </w:pPr>
      <w:r>
        <w:rPr>
          <w:rFonts w:hint="eastAsia" w:ascii="宋体" w:hAnsi="宋体" w:cs="宋体"/>
          <w:sz w:val="28"/>
          <w:szCs w:val="28"/>
        </w:rPr>
        <w:t>（如有委托时）</w:t>
      </w:r>
    </w:p>
    <w:p w14:paraId="4A5D3EC3">
      <w:pPr>
        <w:spacing w:line="360" w:lineRule="auto"/>
        <w:contextualSpacing/>
        <w:rPr>
          <w:rFonts w:ascii="宋体" w:hAnsi="宋体" w:cs="宋体"/>
          <w:sz w:val="32"/>
          <w:szCs w:val="32"/>
        </w:rPr>
      </w:pPr>
    </w:p>
    <w:p w14:paraId="763D9E85">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34F752CC">
      <w:pPr>
        <w:spacing w:line="360" w:lineRule="auto"/>
        <w:ind w:firstLine="480" w:firstLineChars="200"/>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w:t>
      </w:r>
      <w:r>
        <w:rPr>
          <w:rFonts w:hint="eastAsia" w:ascii="宋体" w:hAnsi="宋体" w:cs="宋体"/>
          <w:sz w:val="24"/>
          <w:lang w:bidi="ar"/>
        </w:rPr>
        <w:t>竞争性谈判</w:t>
      </w:r>
      <w:r>
        <w:rPr>
          <w:rFonts w:hint="eastAsia" w:ascii="宋体" w:hAnsi="宋体" w:cs="宋体"/>
          <w:sz w:val="24"/>
        </w:rPr>
        <w:t>活动，并代表我方全权办理针对上述项目的所有采购程序和环节的具体事务和签署相关文件。</w:t>
      </w:r>
    </w:p>
    <w:p w14:paraId="0F3026F7">
      <w:pPr>
        <w:spacing w:line="360" w:lineRule="auto"/>
        <w:contextualSpacing/>
        <w:rPr>
          <w:rFonts w:ascii="宋体" w:hAnsi="宋体" w:cs="宋体"/>
          <w:sz w:val="24"/>
        </w:rPr>
      </w:pPr>
      <w:r>
        <w:rPr>
          <w:rFonts w:hint="eastAsia" w:ascii="宋体" w:hAnsi="宋体" w:cs="宋体"/>
          <w:sz w:val="24"/>
        </w:rPr>
        <w:t xml:space="preserve">    我方对委托代理人的签字事项负全部责任。</w:t>
      </w:r>
    </w:p>
    <w:p w14:paraId="455396D0">
      <w:pPr>
        <w:spacing w:line="360" w:lineRule="auto"/>
        <w:ind w:firstLine="480" w:firstLineChars="200"/>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32CD9589">
      <w:pPr>
        <w:spacing w:line="360" w:lineRule="auto"/>
        <w:ind w:firstLine="480" w:firstLineChars="200"/>
        <w:contextualSpacing/>
        <w:rPr>
          <w:rFonts w:ascii="宋体" w:hAnsi="宋体" w:cs="宋体"/>
          <w:sz w:val="24"/>
        </w:rPr>
      </w:pPr>
      <w:r>
        <w:rPr>
          <w:rFonts w:hint="eastAsia" w:ascii="宋体" w:hAnsi="宋体" w:cs="宋体"/>
          <w:sz w:val="24"/>
        </w:rPr>
        <w:t>委托代理人无转委托权，特此委托。</w:t>
      </w:r>
    </w:p>
    <w:p w14:paraId="13EE78CC">
      <w:pPr>
        <w:spacing w:line="360" w:lineRule="auto"/>
        <w:ind w:firstLine="480" w:firstLineChars="200"/>
        <w:contextualSpacing/>
        <w:rPr>
          <w:rFonts w:ascii="宋体" w:hAnsi="宋体" w:cs="宋体"/>
          <w:sz w:val="24"/>
        </w:rPr>
      </w:pPr>
      <w:r>
        <w:rPr>
          <w:rFonts w:hint="eastAsia" w:ascii="宋体" w:hAnsi="宋体" w:cs="宋体"/>
          <w:sz w:val="24"/>
        </w:rPr>
        <w:t>附：法定代表人身份证明及委托代理人有效身份证正反面复印件</w:t>
      </w:r>
    </w:p>
    <w:p w14:paraId="3E9CDD49">
      <w:pPr>
        <w:spacing w:line="360" w:lineRule="auto"/>
        <w:contextualSpacing/>
        <w:rPr>
          <w:rFonts w:ascii="宋体" w:hAnsi="宋体" w:cs="宋体"/>
          <w:sz w:val="24"/>
        </w:rPr>
      </w:pPr>
    </w:p>
    <w:p w14:paraId="22E215AF">
      <w:pPr>
        <w:spacing w:line="360" w:lineRule="auto"/>
        <w:contextualSpacing/>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56669E15">
      <w:pPr>
        <w:spacing w:line="360" w:lineRule="auto"/>
        <w:contextualSpacing/>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39CB7EB8">
      <w:pPr>
        <w:spacing w:line="360" w:lineRule="auto"/>
        <w:contextualSpacing/>
        <w:rPr>
          <w:rFonts w:ascii="宋体" w:hAnsi="宋体" w:cs="宋体"/>
          <w:sz w:val="24"/>
        </w:rPr>
      </w:pPr>
      <w:r>
        <w:rPr>
          <w:rFonts w:hint="eastAsia" w:ascii="宋体" w:hAnsi="宋体" w:cs="宋体"/>
          <w:sz w:val="24"/>
        </w:rPr>
        <w:t xml:space="preserve">                                </w:t>
      </w:r>
    </w:p>
    <w:p w14:paraId="4EC932AF">
      <w:pPr>
        <w:spacing w:line="360" w:lineRule="auto"/>
        <w:contextualSpacing/>
        <w:rPr>
          <w:rFonts w:ascii="宋体" w:hAnsi="宋体" w:cs="宋体"/>
          <w:sz w:val="24"/>
        </w:rPr>
      </w:pPr>
      <w:r>
        <w:rPr>
          <w:rFonts w:hint="eastAsia" w:ascii="宋体" w:hAnsi="宋体" w:cs="宋体"/>
          <w:sz w:val="24"/>
        </w:rPr>
        <w:t xml:space="preserve">                         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17AA3540">
      <w:pPr>
        <w:spacing w:line="360" w:lineRule="auto"/>
        <w:contextualSpacing/>
        <w:rPr>
          <w:rFonts w:ascii="宋体" w:hAnsi="宋体" w:cs="宋体"/>
          <w:sz w:val="24"/>
        </w:rPr>
      </w:pPr>
      <w:r>
        <w:rPr>
          <w:rFonts w:hint="eastAsia" w:ascii="宋体" w:hAnsi="宋体" w:cs="宋体"/>
          <w:sz w:val="24"/>
        </w:rPr>
        <w:t xml:space="preserve">                         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77C98B46">
      <w:pPr>
        <w:spacing w:line="360" w:lineRule="auto"/>
        <w:contextualSpacing/>
        <w:rPr>
          <w:rFonts w:ascii="宋体" w:hAnsi="宋体" w:cs="宋体"/>
          <w:sz w:val="24"/>
        </w:rPr>
      </w:pPr>
    </w:p>
    <w:p w14:paraId="2E2E5650">
      <w:pPr>
        <w:spacing w:line="360" w:lineRule="auto"/>
        <w:contextualSpacing/>
        <w:rPr>
          <w:rFonts w:ascii="楷体" w:hAnsi="楷体" w:eastAsia="楷体" w:cs="宋体"/>
          <w:b/>
          <w:sz w:val="24"/>
        </w:rPr>
      </w:pPr>
      <w:r>
        <w:rPr>
          <w:rFonts w:hint="eastAsia" w:ascii="楷体" w:hAnsi="楷体" w:eastAsia="楷体" w:cs="宋体"/>
          <w:b/>
          <w:sz w:val="24"/>
        </w:rPr>
        <w:t>注：</w:t>
      </w:r>
    </w:p>
    <w:p w14:paraId="09F0F106">
      <w:pPr>
        <w:spacing w:line="360" w:lineRule="auto"/>
        <w:ind w:firstLine="480" w:firstLineChars="200"/>
        <w:contextualSpacing/>
        <w:rPr>
          <w:rFonts w:ascii="楷体" w:hAnsi="楷体" w:eastAsia="楷体" w:cs="宋体"/>
          <w:sz w:val="24"/>
        </w:rPr>
      </w:pPr>
      <w:r>
        <w:rPr>
          <w:rFonts w:ascii="楷体" w:hAnsi="楷体" w:eastAsia="楷体" w:cs="宋体"/>
          <w:sz w:val="24"/>
        </w:rPr>
        <w:t>1.</w:t>
      </w:r>
      <w:r>
        <w:rPr>
          <w:rFonts w:hint="eastAsia" w:ascii="楷体" w:hAnsi="楷体" w:eastAsia="楷体" w:cs="宋体"/>
          <w:sz w:val="24"/>
        </w:rPr>
        <w:t>法定代表人必须在授权委托书上亲笔签字或者盖章，委托代理人必须在授权委托书上亲笔签字，</w:t>
      </w:r>
      <w:r>
        <w:rPr>
          <w:rFonts w:hint="eastAsia" w:ascii="楷体" w:hAnsi="楷体" w:eastAsia="楷体" w:cs="宋体"/>
          <w:b/>
          <w:sz w:val="24"/>
        </w:rPr>
        <w:t>否则其响应文件按无效响应处理。</w:t>
      </w:r>
    </w:p>
    <w:p w14:paraId="7B5B1891">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2.法人、其他组织</w:t>
      </w:r>
      <w:r>
        <w:rPr>
          <w:rFonts w:hint="eastAsia" w:ascii="楷体" w:hAnsi="楷体" w:eastAsia="楷体" w:cs="宋体"/>
          <w:sz w:val="24"/>
        </w:rPr>
        <w:t>参与</w:t>
      </w:r>
      <w:r>
        <w:rPr>
          <w:rFonts w:hint="eastAsia" w:ascii="楷体" w:hAnsi="楷体" w:eastAsia="楷体" w:cs="宋体"/>
          <w:sz w:val="24"/>
          <w:lang w:bidi="ar"/>
        </w:rPr>
        <w:t>竞争性谈判</w:t>
      </w:r>
      <w:r>
        <w:rPr>
          <w:rFonts w:hint="eastAsia" w:ascii="楷体" w:hAnsi="楷体" w:eastAsia="楷体" w:cs="宋体"/>
          <w:sz w:val="24"/>
        </w:rPr>
        <w:t>时“我方”是指“我单位”，自然人参与</w:t>
      </w:r>
      <w:r>
        <w:rPr>
          <w:rFonts w:hint="eastAsia" w:ascii="楷体" w:hAnsi="楷体" w:eastAsia="楷体" w:cs="宋体"/>
          <w:sz w:val="24"/>
          <w:lang w:bidi="ar"/>
        </w:rPr>
        <w:t>竞争性谈判</w:t>
      </w:r>
      <w:r>
        <w:rPr>
          <w:rFonts w:hint="eastAsia" w:ascii="楷体" w:hAnsi="楷体" w:eastAsia="楷体" w:cs="宋体"/>
          <w:sz w:val="24"/>
        </w:rPr>
        <w:t>时“我方”是指“本人”。</w:t>
      </w:r>
    </w:p>
    <w:p w14:paraId="70CA6504">
      <w:pPr>
        <w:spacing w:line="360" w:lineRule="auto"/>
        <w:ind w:firstLine="420" w:firstLineChars="200"/>
        <w:contextualSpacing/>
        <w:jc w:val="left"/>
        <w:rPr>
          <w:rFonts w:ascii="宋体" w:hAnsi="宋体" w:cs="宋体"/>
          <w:szCs w:val="21"/>
        </w:rPr>
      </w:pPr>
    </w:p>
    <w:p w14:paraId="7DAF111B">
      <w:pPr>
        <w:spacing w:line="360" w:lineRule="auto"/>
        <w:ind w:firstLine="420" w:firstLineChars="200"/>
        <w:contextualSpacing/>
        <w:jc w:val="left"/>
        <w:rPr>
          <w:rFonts w:ascii="楷体" w:hAnsi="楷体" w:eastAsia="楷体" w:cs="宋体"/>
          <w:szCs w:val="21"/>
        </w:rPr>
      </w:pPr>
      <w:r>
        <w:rPr>
          <w:rFonts w:hint="eastAsia" w:ascii="宋体" w:hAnsi="宋体" w:cs="宋体"/>
          <w:szCs w:val="21"/>
        </w:rPr>
        <w:br w:type="page"/>
      </w:r>
    </w:p>
    <w:p w14:paraId="40302814">
      <w:pPr>
        <w:spacing w:line="360" w:lineRule="auto"/>
        <w:jc w:val="center"/>
        <w:rPr>
          <w:rFonts w:ascii="宋体" w:hAnsi="宋体" w:cs="宋体"/>
          <w:b/>
          <w:bCs/>
          <w:sz w:val="44"/>
          <w:szCs w:val="44"/>
        </w:rPr>
      </w:pPr>
      <w:r>
        <w:rPr>
          <w:rFonts w:hint="eastAsia" w:ascii="宋体" w:hAnsi="宋体" w:cs="宋体"/>
          <w:b/>
          <w:bCs/>
          <w:sz w:val="44"/>
          <w:szCs w:val="44"/>
        </w:rPr>
        <w:t>商务要求偏离表格式</w:t>
      </w:r>
    </w:p>
    <w:p w14:paraId="127E5711">
      <w:pPr>
        <w:spacing w:line="360" w:lineRule="auto"/>
        <w:jc w:val="center"/>
        <w:rPr>
          <w:rFonts w:ascii="宋体" w:hAnsi="宋体" w:cs="宋体"/>
          <w:b/>
          <w:sz w:val="28"/>
          <w:szCs w:val="28"/>
        </w:rPr>
      </w:pPr>
      <w:r>
        <w:rPr>
          <w:rFonts w:hint="eastAsia" w:ascii="宋体" w:hAnsi="宋体" w:cs="宋体"/>
          <w:bCs/>
          <w:sz w:val="28"/>
          <w:szCs w:val="28"/>
        </w:rPr>
        <w:t>（注：按采购需求具体条款修改）</w:t>
      </w:r>
    </w:p>
    <w:p w14:paraId="13DEEBD0">
      <w:pPr>
        <w:snapToGrid w:val="0"/>
        <w:spacing w:line="360" w:lineRule="auto"/>
        <w:jc w:val="left"/>
        <w:rPr>
          <w:rFonts w:ascii="宋体" w:hAnsi="宋体" w:cs="宋体"/>
          <w:sz w:val="24"/>
        </w:rPr>
      </w:pPr>
    </w:p>
    <w:p w14:paraId="6A094CB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01D13DF6">
      <w:pPr>
        <w:spacing w:line="360" w:lineRule="auto"/>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342B74B">
      <w:pPr>
        <w:spacing w:line="360" w:lineRule="auto"/>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26"/>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25BE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17EA98A">
            <w:pPr>
              <w:snapToGrid w:val="0"/>
              <w:spacing w:line="500" w:lineRule="exact"/>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33AF630">
            <w:pPr>
              <w:snapToGrid w:val="0"/>
              <w:spacing w:line="500" w:lineRule="exact"/>
              <w:jc w:val="center"/>
              <w:rPr>
                <w:rFonts w:ascii="宋体" w:hAnsi="宋体" w:cs="宋体"/>
                <w:sz w:val="24"/>
              </w:rPr>
            </w:pPr>
            <w:r>
              <w:rPr>
                <w:rFonts w:hint="eastAsia" w:ascii="宋体" w:hAnsi="宋体" w:cs="宋体"/>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78036E38">
            <w:pPr>
              <w:snapToGrid w:val="0"/>
              <w:spacing w:line="500" w:lineRule="exact"/>
              <w:jc w:val="center"/>
              <w:rPr>
                <w:rFonts w:ascii="宋体" w:hAnsi="宋体" w:cs="宋体"/>
                <w:sz w:val="24"/>
              </w:rPr>
            </w:pPr>
            <w:r>
              <w:rPr>
                <w:rFonts w:hint="eastAsia" w:ascii="宋体" w:hAnsi="宋体" w:cs="宋体"/>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36A851EE">
            <w:pPr>
              <w:snapToGrid w:val="0"/>
              <w:spacing w:line="500" w:lineRule="exact"/>
              <w:jc w:val="center"/>
              <w:rPr>
                <w:rFonts w:ascii="宋体" w:hAnsi="宋体" w:cs="宋体"/>
                <w:sz w:val="24"/>
              </w:rPr>
            </w:pPr>
            <w:r>
              <w:rPr>
                <w:rFonts w:hint="eastAsia" w:ascii="宋体" w:hAnsi="宋体" w:cs="宋体"/>
                <w:sz w:val="24"/>
              </w:rPr>
              <w:t>偏离说明</w:t>
            </w:r>
          </w:p>
        </w:tc>
      </w:tr>
      <w:tr w14:paraId="22D7E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4BAF6F5E">
            <w:pPr>
              <w:spacing w:line="500" w:lineRule="exact"/>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450592B">
            <w:pPr>
              <w:spacing w:line="500" w:lineRule="exact"/>
              <w:jc w:val="center"/>
              <w:rPr>
                <w:rFonts w:ascii="宋体" w:hAnsi="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39798F4D">
            <w:pPr>
              <w:snapToGrid w:val="0"/>
              <w:spacing w:line="500" w:lineRule="exact"/>
              <w:jc w:val="center"/>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77B5E29">
            <w:pPr>
              <w:snapToGrid w:val="0"/>
              <w:spacing w:line="500" w:lineRule="exact"/>
              <w:jc w:val="center"/>
              <w:rPr>
                <w:rFonts w:ascii="宋体" w:hAnsi="宋体" w:cs="宋体"/>
                <w:sz w:val="24"/>
              </w:rPr>
            </w:pPr>
          </w:p>
        </w:tc>
      </w:tr>
      <w:tr w14:paraId="15691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0E7CF78">
            <w:pPr>
              <w:spacing w:line="500" w:lineRule="exact"/>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80F2188">
            <w:pPr>
              <w:spacing w:line="500" w:lineRule="exact"/>
              <w:jc w:val="center"/>
              <w:rPr>
                <w:rFonts w:ascii="宋体" w:hAnsi="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78650AC">
            <w:pPr>
              <w:snapToGrid w:val="0"/>
              <w:spacing w:line="500" w:lineRule="exact"/>
              <w:jc w:val="center"/>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66D1B065">
            <w:pPr>
              <w:snapToGrid w:val="0"/>
              <w:spacing w:line="500" w:lineRule="exact"/>
              <w:jc w:val="center"/>
              <w:rPr>
                <w:rFonts w:ascii="宋体" w:hAnsi="宋体" w:cs="宋体"/>
                <w:sz w:val="24"/>
              </w:rPr>
            </w:pPr>
          </w:p>
        </w:tc>
      </w:tr>
      <w:tr w14:paraId="3E0AD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AD8AEEE">
            <w:pPr>
              <w:snapToGrid w:val="0"/>
              <w:spacing w:line="500" w:lineRule="exact"/>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65BBD56C">
            <w:pPr>
              <w:snapToGrid w:val="0"/>
              <w:spacing w:line="500" w:lineRule="exact"/>
              <w:jc w:val="center"/>
              <w:rPr>
                <w:rFonts w:ascii="宋体" w:hAnsi="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71F77EE7">
            <w:pPr>
              <w:snapToGrid w:val="0"/>
              <w:spacing w:line="500" w:lineRule="exact"/>
              <w:jc w:val="center"/>
              <w:rPr>
                <w:rFonts w:ascii="宋体" w:hAnsi="宋体" w:cs="宋体"/>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ECC489F">
            <w:pPr>
              <w:snapToGrid w:val="0"/>
              <w:spacing w:line="500" w:lineRule="exact"/>
              <w:jc w:val="center"/>
              <w:rPr>
                <w:rFonts w:ascii="宋体" w:hAnsi="宋体" w:cs="宋体"/>
                <w:sz w:val="24"/>
              </w:rPr>
            </w:pPr>
          </w:p>
        </w:tc>
      </w:tr>
    </w:tbl>
    <w:p w14:paraId="41693E57">
      <w:pPr>
        <w:pStyle w:val="10"/>
        <w:spacing w:after="0"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14:paraId="7D896DC9">
      <w:pPr>
        <w:pStyle w:val="10"/>
        <w:spacing w:after="0"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 xml:space="preserve">1.说明：应对照谈判文件“第三章 </w:t>
      </w:r>
      <w:r>
        <w:rPr>
          <w:rFonts w:hint="eastAsia" w:ascii="楷体" w:hAnsi="楷体" w:eastAsia="楷体" w:cs="宋体"/>
          <w:kern w:val="0"/>
          <w:sz w:val="24"/>
          <w:szCs w:val="24"/>
        </w:rPr>
        <w:t>采购需求”中的商务要求逐条明确响应，并作出偏离说明。</w:t>
      </w:r>
    </w:p>
    <w:p w14:paraId="1C45C496">
      <w:pPr>
        <w:pStyle w:val="10"/>
        <w:spacing w:after="0"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2.供应商应根据自身的承诺，对照谈判文件要求在“偏离说明”中注明“正偏离”、“负偏离”或者“无偏离”。既不属于“正偏离”也不属于“负偏离”即为“无偏离”。</w:t>
      </w:r>
    </w:p>
    <w:p w14:paraId="3B937F0A">
      <w:pPr>
        <w:spacing w:line="360" w:lineRule="auto"/>
        <w:contextualSpacing/>
        <w:jc w:val="left"/>
        <w:rPr>
          <w:rFonts w:ascii="宋体" w:hAnsi="宋体" w:cs="宋体"/>
          <w:sz w:val="24"/>
          <w:u w:val="single"/>
        </w:rPr>
      </w:pPr>
    </w:p>
    <w:p w14:paraId="247D8697">
      <w:pPr>
        <w:spacing w:line="360" w:lineRule="auto"/>
        <w:contextualSpacing/>
        <w:jc w:val="left"/>
        <w:rPr>
          <w:rFonts w:ascii="宋体" w:hAnsi="宋体" w:cs="宋体"/>
          <w:sz w:val="24"/>
          <w:u w:val="single"/>
        </w:rPr>
      </w:pPr>
    </w:p>
    <w:p w14:paraId="7EA10E2B">
      <w:pPr>
        <w:spacing w:line="360" w:lineRule="auto"/>
        <w:contextualSpacing/>
        <w:rPr>
          <w:rFonts w:ascii="宋体" w:hAnsi="宋体" w:cs="宋体"/>
          <w:sz w:val="24"/>
        </w:rPr>
      </w:pPr>
    </w:p>
    <w:p w14:paraId="03A9741F">
      <w:pPr>
        <w:spacing w:line="360" w:lineRule="auto"/>
        <w:contextualSpacing/>
        <w:jc w:val="center"/>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p>
    <w:p w14:paraId="16D87D57">
      <w:pPr>
        <w:spacing w:line="360" w:lineRule="auto"/>
        <w:ind w:firstLine="3240" w:firstLineChars="135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0A4D2F4D">
      <w:pPr>
        <w:spacing w:line="360" w:lineRule="auto"/>
        <w:ind w:firstLine="3240" w:firstLineChars="1350"/>
        <w:contextualSpacing/>
        <w:rPr>
          <w:rFonts w:ascii="宋体" w:hAnsi="宋体" w:cs="宋体"/>
          <w:sz w:val="24"/>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4E1C5565">
      <w:pPr>
        <w:adjustRightInd w:val="0"/>
        <w:snapToGrid w:val="0"/>
        <w:spacing w:line="360" w:lineRule="auto"/>
        <w:ind w:firstLine="7040" w:firstLineChars="1600"/>
        <w:jc w:val="center"/>
        <w:rPr>
          <w:rFonts w:ascii="宋体" w:hAnsi="宋体" w:cs="宋体"/>
          <w:bCs/>
          <w:sz w:val="44"/>
          <w:szCs w:val="44"/>
        </w:rPr>
      </w:pPr>
    </w:p>
    <w:p w14:paraId="3004D4EA">
      <w:pPr>
        <w:adjustRightInd w:val="0"/>
        <w:snapToGrid w:val="0"/>
        <w:spacing w:line="360" w:lineRule="auto"/>
        <w:jc w:val="center"/>
        <w:rPr>
          <w:rFonts w:ascii="宋体" w:hAnsi="宋体" w:cs="宋体"/>
          <w:b/>
          <w:sz w:val="32"/>
          <w:szCs w:val="32"/>
        </w:rPr>
      </w:pPr>
      <w:r>
        <w:rPr>
          <w:rFonts w:hint="eastAsia" w:ascii="宋体" w:hAnsi="宋体" w:cs="宋体"/>
          <w:bCs/>
          <w:sz w:val="44"/>
          <w:szCs w:val="44"/>
        </w:rPr>
        <w:br w:type="page"/>
      </w:r>
      <w:r>
        <w:rPr>
          <w:rFonts w:hint="eastAsia" w:ascii="宋体" w:hAnsi="宋体" w:cs="宋体"/>
          <w:b/>
          <w:bCs/>
          <w:sz w:val="44"/>
          <w:szCs w:val="44"/>
        </w:rPr>
        <w:t>货物配置清单</w:t>
      </w:r>
    </w:p>
    <w:p w14:paraId="534F879A">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080A533C">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042E234C">
      <w:pPr>
        <w:spacing w:line="360" w:lineRule="auto"/>
        <w:rPr>
          <w:rFonts w:ascii="宋体" w:hAnsi="宋体" w:cs="宋体"/>
          <w:sz w:val="24"/>
          <w:u w:val="single"/>
        </w:rPr>
      </w:pPr>
      <w:r>
        <w:rPr>
          <w:rFonts w:hint="eastAsia" w:ascii="宋体" w:hAnsi="宋体" w:cs="宋体"/>
          <w:sz w:val="24"/>
        </w:rPr>
        <w:t>所竞分标（如有）：</w:t>
      </w:r>
      <w:r>
        <w:rPr>
          <w:rFonts w:hint="eastAsia" w:ascii="宋体" w:hAnsi="宋体" w:cs="宋体"/>
          <w:sz w:val="24"/>
          <w:u w:val="single"/>
        </w:rPr>
        <w:t xml:space="preserve">                 </w:t>
      </w:r>
    </w:p>
    <w:tbl>
      <w:tblPr>
        <w:tblStyle w:val="26"/>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14:paraId="5088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90BBFF1">
            <w:pPr>
              <w:snapToGrid w:val="0"/>
              <w:spacing w:before="50" w:after="50"/>
              <w:jc w:val="center"/>
              <w:rPr>
                <w:rFonts w:ascii="宋体" w:hAnsi="宋体" w:cs="宋体"/>
                <w:sz w:val="24"/>
              </w:rPr>
            </w:pPr>
            <w:r>
              <w:rPr>
                <w:rFonts w:hint="eastAsia" w:ascii="宋体" w:hAnsi="宋体" w:cs="宋体"/>
                <w:sz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12CF4929">
            <w:pPr>
              <w:snapToGrid w:val="0"/>
              <w:spacing w:before="50" w:after="50"/>
              <w:jc w:val="center"/>
              <w:rPr>
                <w:rFonts w:ascii="宋体" w:hAnsi="宋体" w:cs="宋体"/>
                <w:sz w:val="24"/>
              </w:rPr>
            </w:pPr>
            <w:r>
              <w:rPr>
                <w:rFonts w:hint="eastAsia" w:ascii="宋体" w:hAnsi="宋体" w:cs="宋体"/>
                <w:sz w:val="24"/>
              </w:rPr>
              <w:t>货物名称</w:t>
            </w:r>
          </w:p>
        </w:tc>
        <w:tc>
          <w:tcPr>
            <w:tcW w:w="929" w:type="dxa"/>
            <w:tcBorders>
              <w:top w:val="single" w:color="auto" w:sz="4" w:space="0"/>
              <w:left w:val="single" w:color="auto" w:sz="4" w:space="0"/>
              <w:bottom w:val="single" w:color="auto" w:sz="4" w:space="0"/>
              <w:right w:val="single" w:color="auto" w:sz="4" w:space="0"/>
            </w:tcBorders>
            <w:vAlign w:val="center"/>
          </w:tcPr>
          <w:p w14:paraId="35365DBF">
            <w:pPr>
              <w:snapToGrid w:val="0"/>
              <w:spacing w:before="50" w:after="50"/>
              <w:jc w:val="center"/>
              <w:rPr>
                <w:rFonts w:ascii="宋体" w:hAnsi="宋体" w:cs="宋体"/>
                <w:sz w:val="24"/>
              </w:rPr>
            </w:pPr>
            <w:r>
              <w:rPr>
                <w:rFonts w:hint="eastAsia" w:ascii="宋体" w:hAnsi="宋体" w:cs="宋体"/>
                <w:sz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14:paraId="01B7368B">
            <w:pPr>
              <w:snapToGrid w:val="0"/>
              <w:spacing w:before="50" w:after="50"/>
              <w:jc w:val="center"/>
              <w:rPr>
                <w:rFonts w:ascii="宋体" w:hAnsi="宋体" w:cs="宋体"/>
                <w:sz w:val="24"/>
              </w:rPr>
            </w:pPr>
            <w:r>
              <w:rPr>
                <w:rFonts w:hint="eastAsia" w:ascii="宋体" w:hAnsi="宋体" w:cs="宋体"/>
                <w:sz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14:paraId="6CB410EA">
            <w:pPr>
              <w:snapToGrid w:val="0"/>
              <w:spacing w:before="50" w:after="50"/>
              <w:jc w:val="center"/>
              <w:rPr>
                <w:rFonts w:ascii="宋体" w:hAnsi="宋体" w:cs="宋体"/>
                <w:sz w:val="24"/>
              </w:rPr>
            </w:pPr>
            <w:r>
              <w:rPr>
                <w:rFonts w:hint="eastAsia" w:ascii="宋体" w:hAnsi="宋体" w:cs="宋体"/>
                <w:sz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14:paraId="52F9D779">
            <w:pPr>
              <w:snapToGrid w:val="0"/>
              <w:spacing w:before="50" w:after="50"/>
              <w:jc w:val="center"/>
              <w:rPr>
                <w:rFonts w:ascii="宋体" w:hAnsi="宋体" w:cs="宋体"/>
                <w:sz w:val="24"/>
              </w:rPr>
            </w:pPr>
            <w:r>
              <w:rPr>
                <w:rFonts w:hint="eastAsia" w:ascii="宋体" w:hAnsi="宋体" w:cs="宋体"/>
                <w:sz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14:paraId="55CC0E1A">
            <w:pPr>
              <w:snapToGrid w:val="0"/>
              <w:spacing w:before="50" w:after="50"/>
              <w:jc w:val="center"/>
              <w:rPr>
                <w:rFonts w:ascii="宋体" w:hAnsi="宋体" w:cs="宋体"/>
                <w:sz w:val="24"/>
              </w:rPr>
            </w:pPr>
            <w:r>
              <w:rPr>
                <w:rFonts w:hint="eastAsia" w:ascii="宋体" w:hAnsi="宋体" w:cs="宋体"/>
                <w:sz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14:paraId="1045F0C9">
            <w:pPr>
              <w:snapToGrid w:val="0"/>
              <w:spacing w:before="50" w:after="50"/>
              <w:jc w:val="center"/>
              <w:rPr>
                <w:rFonts w:ascii="宋体" w:hAnsi="宋体" w:cs="宋体"/>
                <w:sz w:val="24"/>
              </w:rPr>
            </w:pPr>
            <w:r>
              <w:rPr>
                <w:rFonts w:hint="eastAsia" w:ascii="宋体" w:hAnsi="宋体" w:cs="宋体"/>
                <w:sz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14:paraId="663313BA">
            <w:pPr>
              <w:snapToGrid w:val="0"/>
              <w:spacing w:before="50" w:after="50"/>
              <w:jc w:val="center"/>
              <w:rPr>
                <w:rFonts w:ascii="宋体" w:hAnsi="宋体" w:cs="宋体"/>
                <w:sz w:val="24"/>
              </w:rPr>
            </w:pPr>
            <w:r>
              <w:rPr>
                <w:rFonts w:hint="eastAsia" w:ascii="宋体" w:hAnsi="宋体" w:cs="宋体"/>
                <w:sz w:val="24"/>
              </w:rPr>
              <w:t>参数性能、指标及配置</w:t>
            </w:r>
          </w:p>
        </w:tc>
      </w:tr>
      <w:tr w14:paraId="17DA4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7BD6871">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285C8EB8">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01DBF041">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14:paraId="6D9CA50F">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2D751A2D">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007A0625">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14:paraId="644A6C17">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14:paraId="1621A678">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23FC0F0E">
            <w:pPr>
              <w:snapToGrid w:val="0"/>
              <w:spacing w:before="50" w:after="50"/>
              <w:jc w:val="center"/>
              <w:rPr>
                <w:rFonts w:ascii="宋体" w:hAnsi="宋体" w:cs="宋体"/>
                <w:sz w:val="24"/>
              </w:rPr>
            </w:pPr>
          </w:p>
        </w:tc>
      </w:tr>
      <w:tr w14:paraId="1C94D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CF5CFC4">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6D306D9D">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75EA10F3">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14:paraId="2F99304A">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22DE6405">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48AFE530">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14:paraId="1EF84652">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14:paraId="35AE7023">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0010B8F9">
            <w:pPr>
              <w:snapToGrid w:val="0"/>
              <w:spacing w:before="50" w:after="50"/>
              <w:jc w:val="center"/>
              <w:rPr>
                <w:rFonts w:ascii="宋体" w:hAnsi="宋体" w:cs="宋体"/>
                <w:sz w:val="24"/>
              </w:rPr>
            </w:pPr>
          </w:p>
        </w:tc>
      </w:tr>
      <w:tr w14:paraId="01181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5CED11D">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3A38F9D6">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36D55857">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14:paraId="31AAD407">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0194E2E5">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47D11035">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14:paraId="3A6790C1">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14:paraId="322916B4">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6D58C204">
            <w:pPr>
              <w:snapToGrid w:val="0"/>
              <w:spacing w:before="50" w:after="50"/>
              <w:jc w:val="center"/>
              <w:rPr>
                <w:rFonts w:ascii="宋体" w:hAnsi="宋体" w:cs="宋体"/>
                <w:sz w:val="24"/>
              </w:rPr>
            </w:pPr>
          </w:p>
        </w:tc>
      </w:tr>
    </w:tbl>
    <w:p w14:paraId="4DD121F9">
      <w:pPr>
        <w:spacing w:line="360" w:lineRule="auto"/>
        <w:contextualSpacing/>
        <w:rPr>
          <w:rFonts w:ascii="楷体" w:hAnsi="楷体" w:eastAsia="楷体" w:cs="宋体"/>
          <w:b/>
          <w:sz w:val="24"/>
        </w:rPr>
      </w:pPr>
      <w:r>
        <w:rPr>
          <w:rFonts w:hint="eastAsia" w:ascii="楷体" w:hAnsi="楷体" w:eastAsia="楷体" w:cs="宋体"/>
          <w:b/>
          <w:sz w:val="24"/>
        </w:rPr>
        <w:t>备注：</w:t>
      </w:r>
    </w:p>
    <w:p w14:paraId="6B112EA3">
      <w:pPr>
        <w:tabs>
          <w:tab w:val="left" w:pos="1065"/>
        </w:tabs>
        <w:adjustRightInd w:val="0"/>
        <w:spacing w:line="360" w:lineRule="auto"/>
        <w:ind w:firstLine="482" w:firstLineChars="200"/>
        <w:contextualSpacing/>
        <w:rPr>
          <w:rFonts w:ascii="楷体" w:hAnsi="楷体" w:eastAsia="楷体" w:cs="宋体"/>
          <w:sz w:val="24"/>
        </w:rPr>
      </w:pPr>
      <w:r>
        <w:rPr>
          <w:rFonts w:hint="eastAsia" w:ascii="楷体" w:hAnsi="楷体" w:eastAsia="楷体" w:cs="宋体"/>
          <w:b/>
          <w:bCs/>
          <w:sz w:val="24"/>
        </w:rPr>
        <w:t>以上货物配置清单中“货物名称、数量、单位、品牌、型号、生产厂家、产地、参数性能、指标及配置”必须如实填写完整，定制产品在型号栏中填写“定制”。填写有缺漏的，响应文件按无效响应处理</w:t>
      </w:r>
      <w:r>
        <w:rPr>
          <w:rFonts w:hint="eastAsia" w:ascii="楷体" w:hAnsi="楷体" w:eastAsia="楷体" w:cs="宋体"/>
          <w:b/>
          <w:sz w:val="24"/>
        </w:rPr>
        <w:t>。</w:t>
      </w:r>
      <w:r>
        <w:rPr>
          <w:rFonts w:hint="eastAsia" w:ascii="楷体" w:hAnsi="楷体" w:eastAsia="楷体" w:cs="宋体"/>
          <w:sz w:val="24"/>
        </w:rPr>
        <w:t>货物名称、数量、单位、品牌等必须与“</w:t>
      </w:r>
      <w:r>
        <w:rPr>
          <w:rFonts w:hint="eastAsia" w:ascii="楷体" w:hAnsi="楷体" w:eastAsia="楷体" w:cs="宋体"/>
          <w:sz w:val="24"/>
          <w:lang w:bidi="ar"/>
        </w:rPr>
        <w:t>竞争性谈判</w:t>
      </w:r>
      <w:r>
        <w:rPr>
          <w:rFonts w:hint="eastAsia" w:ascii="楷体" w:hAnsi="楷体" w:eastAsia="楷体" w:cs="宋体"/>
          <w:sz w:val="24"/>
        </w:rPr>
        <w:t>报价表”一致，</w:t>
      </w:r>
      <w:r>
        <w:rPr>
          <w:rFonts w:hint="eastAsia" w:ascii="楷体" w:hAnsi="楷体" w:eastAsia="楷体" w:cs="宋体"/>
          <w:bCs/>
          <w:sz w:val="24"/>
        </w:rPr>
        <w:t>否则响应文件按无效响应处理</w:t>
      </w:r>
      <w:r>
        <w:rPr>
          <w:rFonts w:hint="eastAsia" w:ascii="楷体" w:hAnsi="楷体" w:eastAsia="楷体" w:cs="宋体"/>
          <w:b/>
          <w:sz w:val="24"/>
        </w:rPr>
        <w:t>。</w:t>
      </w:r>
      <w:r>
        <w:rPr>
          <w:rFonts w:ascii="楷体" w:hAnsi="楷体" w:eastAsia="楷体" w:cs="宋体"/>
          <w:sz w:val="24"/>
        </w:rPr>
        <w:tab/>
      </w:r>
    </w:p>
    <w:p w14:paraId="0D37139C">
      <w:pPr>
        <w:adjustRightInd w:val="0"/>
        <w:spacing w:line="360" w:lineRule="auto"/>
        <w:contextualSpacing/>
        <w:jc w:val="left"/>
        <w:rPr>
          <w:rFonts w:ascii="宋体" w:hAnsi="宋体" w:cs="宋体"/>
          <w:sz w:val="24"/>
        </w:rPr>
      </w:pPr>
    </w:p>
    <w:p w14:paraId="14F80CD5">
      <w:pPr>
        <w:adjustRightInd w:val="0"/>
        <w:spacing w:line="360" w:lineRule="auto"/>
        <w:contextualSpacing/>
        <w:jc w:val="left"/>
        <w:rPr>
          <w:rFonts w:ascii="宋体" w:hAnsi="宋体" w:cs="宋体"/>
          <w:sz w:val="24"/>
        </w:rPr>
      </w:pPr>
    </w:p>
    <w:p w14:paraId="0B1113F6">
      <w:pPr>
        <w:adjustRightInd w:val="0"/>
        <w:spacing w:line="360" w:lineRule="auto"/>
        <w:contextualSpacing/>
        <w:jc w:val="left"/>
        <w:rPr>
          <w:rFonts w:ascii="宋体" w:hAnsi="宋体" w:cs="宋体"/>
          <w:sz w:val="24"/>
        </w:rPr>
      </w:pPr>
    </w:p>
    <w:p w14:paraId="293769E8">
      <w:pPr>
        <w:spacing w:line="360" w:lineRule="auto"/>
        <w:contextualSpacing/>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p>
    <w:p w14:paraId="4DE6C332">
      <w:pPr>
        <w:spacing w:line="360" w:lineRule="auto"/>
        <w:ind w:firstLine="3240" w:firstLineChars="135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7B790D1A">
      <w:pPr>
        <w:spacing w:line="360" w:lineRule="auto"/>
        <w:ind w:firstLine="3240" w:firstLineChars="1350"/>
        <w:contextualSpacing/>
        <w:rPr>
          <w:rFonts w:ascii="宋体" w:hAnsi="宋体" w:cs="宋体"/>
          <w:szCs w:val="21"/>
          <w:u w:val="single"/>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6DF89368">
      <w:pPr>
        <w:adjustRightInd w:val="0"/>
        <w:snapToGrid w:val="0"/>
        <w:spacing w:line="360" w:lineRule="auto"/>
        <w:rPr>
          <w:rFonts w:ascii="宋体" w:hAnsi="宋体" w:cs="宋体"/>
          <w:szCs w:val="21"/>
          <w:u w:val="single"/>
        </w:rPr>
      </w:pPr>
    </w:p>
    <w:p w14:paraId="743BEB73">
      <w:pPr>
        <w:adjustRightInd w:val="0"/>
        <w:snapToGrid w:val="0"/>
        <w:spacing w:line="360" w:lineRule="auto"/>
        <w:rPr>
          <w:rFonts w:ascii="宋体" w:hAnsi="宋体" w:cs="宋体"/>
          <w:szCs w:val="21"/>
          <w:u w:val="single"/>
        </w:rPr>
      </w:pPr>
    </w:p>
    <w:p w14:paraId="39C47F8E">
      <w:pPr>
        <w:adjustRightInd w:val="0"/>
        <w:snapToGrid w:val="0"/>
        <w:spacing w:line="360" w:lineRule="auto"/>
        <w:rPr>
          <w:rFonts w:ascii="宋体" w:hAnsi="宋体" w:cs="宋体"/>
          <w:szCs w:val="21"/>
          <w:u w:val="single"/>
        </w:rPr>
      </w:pPr>
    </w:p>
    <w:p w14:paraId="425E5044">
      <w:pPr>
        <w:adjustRightInd w:val="0"/>
        <w:snapToGrid w:val="0"/>
        <w:spacing w:line="360" w:lineRule="auto"/>
        <w:rPr>
          <w:rFonts w:ascii="宋体" w:hAnsi="宋体" w:cs="宋体"/>
          <w:szCs w:val="21"/>
          <w:u w:val="single"/>
        </w:rPr>
      </w:pPr>
    </w:p>
    <w:p w14:paraId="373A06D6">
      <w:pPr>
        <w:adjustRightInd w:val="0"/>
        <w:snapToGrid w:val="0"/>
        <w:spacing w:line="360" w:lineRule="auto"/>
        <w:rPr>
          <w:rFonts w:ascii="宋体" w:hAnsi="宋体" w:cs="宋体"/>
          <w:szCs w:val="21"/>
          <w:u w:val="single"/>
        </w:rPr>
      </w:pPr>
    </w:p>
    <w:p w14:paraId="48251A2E">
      <w:pPr>
        <w:adjustRightInd w:val="0"/>
        <w:snapToGrid w:val="0"/>
        <w:spacing w:line="360" w:lineRule="auto"/>
        <w:jc w:val="center"/>
        <w:rPr>
          <w:rFonts w:ascii="宋体" w:hAnsi="宋体" w:cs="宋体"/>
          <w:b/>
          <w:bCs/>
          <w:sz w:val="44"/>
          <w:szCs w:val="44"/>
        </w:rPr>
      </w:pPr>
      <w:r>
        <w:rPr>
          <w:rFonts w:hint="eastAsia" w:ascii="宋体" w:hAnsi="宋体" w:cs="宋体"/>
          <w:bCs/>
          <w:sz w:val="44"/>
          <w:szCs w:val="44"/>
        </w:rPr>
        <w:br w:type="page"/>
      </w:r>
      <w:r>
        <w:rPr>
          <w:rFonts w:hint="eastAsia" w:ascii="宋体" w:hAnsi="宋体" w:cs="宋体"/>
          <w:b/>
          <w:bCs/>
          <w:sz w:val="44"/>
          <w:szCs w:val="44"/>
        </w:rPr>
        <w:t>技术要求偏离表</w:t>
      </w:r>
    </w:p>
    <w:p w14:paraId="526A39C4">
      <w:pPr>
        <w:spacing w:line="360" w:lineRule="auto"/>
        <w:rPr>
          <w:rFonts w:ascii="宋体" w:hAnsi="宋体" w:cs="宋体"/>
          <w:sz w:val="32"/>
          <w:szCs w:val="32"/>
        </w:rPr>
      </w:pPr>
      <w:r>
        <w:rPr>
          <w:rFonts w:hint="eastAsia" w:ascii="宋体" w:hAnsi="宋体" w:cs="宋体"/>
          <w:sz w:val="24"/>
        </w:rPr>
        <w:t>采购项目名称：</w:t>
      </w:r>
      <w:r>
        <w:rPr>
          <w:rFonts w:hint="eastAsia" w:ascii="宋体" w:hAnsi="宋体" w:cs="宋体"/>
          <w:sz w:val="24"/>
          <w:u w:val="single"/>
        </w:rPr>
        <w:t xml:space="preserve">                 </w:t>
      </w:r>
    </w:p>
    <w:p w14:paraId="6714A521">
      <w:pPr>
        <w:spacing w:line="360" w:lineRule="auto"/>
        <w:rPr>
          <w:rFonts w:ascii="宋体" w:hAnsi="宋体" w:cs="宋体"/>
          <w:sz w:val="24"/>
        </w:rPr>
      </w:pPr>
      <w:r>
        <w:rPr>
          <w:rFonts w:hint="eastAsia" w:ascii="宋体" w:hAnsi="宋体" w:cs="宋体"/>
          <w:sz w:val="24"/>
        </w:rPr>
        <w:t>采购项目编号：</w:t>
      </w:r>
      <w:r>
        <w:rPr>
          <w:rFonts w:hint="eastAsia" w:ascii="宋体" w:hAnsi="宋体" w:cs="宋体"/>
          <w:sz w:val="24"/>
          <w:u w:val="single"/>
        </w:rPr>
        <w:t xml:space="preserve">                 </w:t>
      </w:r>
    </w:p>
    <w:p w14:paraId="1E0FDF4C">
      <w:pPr>
        <w:spacing w:line="360" w:lineRule="auto"/>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3"/>
        <w:gridCol w:w="3104"/>
        <w:gridCol w:w="2793"/>
        <w:gridCol w:w="1524"/>
      </w:tblGrid>
      <w:tr w14:paraId="18360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61F62732">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502" w:type="pct"/>
            <w:tcBorders>
              <w:right w:val="single" w:color="auto" w:sz="4" w:space="0"/>
            </w:tcBorders>
            <w:vAlign w:val="center"/>
          </w:tcPr>
          <w:p w14:paraId="3B4A9908">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货物名称</w:t>
            </w:r>
          </w:p>
        </w:tc>
        <w:tc>
          <w:tcPr>
            <w:tcW w:w="1670" w:type="pct"/>
            <w:tcBorders>
              <w:left w:val="single" w:color="auto" w:sz="4" w:space="0"/>
            </w:tcBorders>
            <w:vAlign w:val="center"/>
          </w:tcPr>
          <w:p w14:paraId="37DDA904">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技术要求</w:t>
            </w:r>
          </w:p>
        </w:tc>
        <w:tc>
          <w:tcPr>
            <w:tcW w:w="1503" w:type="pct"/>
            <w:vAlign w:val="center"/>
          </w:tcPr>
          <w:p w14:paraId="4DA9C183">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竞争性谈判响应</w:t>
            </w:r>
          </w:p>
        </w:tc>
        <w:tc>
          <w:tcPr>
            <w:tcW w:w="820" w:type="pct"/>
            <w:vAlign w:val="center"/>
          </w:tcPr>
          <w:p w14:paraId="0471AE3D">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偏离说明</w:t>
            </w:r>
          </w:p>
        </w:tc>
      </w:tr>
      <w:tr w14:paraId="6D1D3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6AAACF6C">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1</w:t>
            </w:r>
          </w:p>
        </w:tc>
        <w:tc>
          <w:tcPr>
            <w:tcW w:w="502" w:type="pct"/>
            <w:tcBorders>
              <w:right w:val="single" w:color="auto" w:sz="4" w:space="0"/>
            </w:tcBorders>
            <w:vAlign w:val="center"/>
          </w:tcPr>
          <w:p w14:paraId="35E450C1">
            <w:pPr>
              <w:pStyle w:val="13"/>
              <w:spacing w:line="500" w:lineRule="exact"/>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12FAD2E2">
            <w:pPr>
              <w:pStyle w:val="13"/>
              <w:spacing w:line="500" w:lineRule="exact"/>
              <w:ind w:firstLine="0" w:firstLineChars="0"/>
              <w:jc w:val="center"/>
              <w:rPr>
                <w:rFonts w:ascii="宋体" w:hAnsi="宋体" w:eastAsia="宋体" w:cs="宋体"/>
                <w:kern w:val="2"/>
                <w:sz w:val="24"/>
                <w:szCs w:val="24"/>
              </w:rPr>
            </w:pPr>
          </w:p>
        </w:tc>
        <w:tc>
          <w:tcPr>
            <w:tcW w:w="1503" w:type="pct"/>
            <w:vAlign w:val="center"/>
          </w:tcPr>
          <w:p w14:paraId="3B78E89E">
            <w:pPr>
              <w:pStyle w:val="13"/>
              <w:spacing w:line="500" w:lineRule="exact"/>
              <w:ind w:firstLine="0" w:firstLineChars="0"/>
              <w:jc w:val="center"/>
              <w:rPr>
                <w:rFonts w:ascii="宋体" w:hAnsi="宋体" w:eastAsia="宋体" w:cs="宋体"/>
                <w:kern w:val="2"/>
                <w:sz w:val="24"/>
                <w:szCs w:val="24"/>
              </w:rPr>
            </w:pPr>
          </w:p>
        </w:tc>
        <w:tc>
          <w:tcPr>
            <w:tcW w:w="820" w:type="pct"/>
            <w:vAlign w:val="center"/>
          </w:tcPr>
          <w:p w14:paraId="2880B7F0">
            <w:pPr>
              <w:pStyle w:val="13"/>
              <w:spacing w:line="500" w:lineRule="exact"/>
              <w:ind w:firstLine="0" w:firstLineChars="0"/>
              <w:jc w:val="center"/>
              <w:rPr>
                <w:rFonts w:ascii="宋体" w:hAnsi="宋体" w:eastAsia="宋体" w:cs="宋体"/>
                <w:kern w:val="2"/>
                <w:sz w:val="24"/>
                <w:szCs w:val="24"/>
              </w:rPr>
            </w:pPr>
          </w:p>
        </w:tc>
      </w:tr>
      <w:tr w14:paraId="09B86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13EFA8C6">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w:t>
            </w:r>
          </w:p>
        </w:tc>
        <w:tc>
          <w:tcPr>
            <w:tcW w:w="502" w:type="pct"/>
            <w:tcBorders>
              <w:right w:val="single" w:color="auto" w:sz="4" w:space="0"/>
            </w:tcBorders>
            <w:vAlign w:val="center"/>
          </w:tcPr>
          <w:p w14:paraId="6C2A80E1">
            <w:pPr>
              <w:pStyle w:val="13"/>
              <w:spacing w:line="500" w:lineRule="exact"/>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359F267C">
            <w:pPr>
              <w:pStyle w:val="13"/>
              <w:spacing w:line="500" w:lineRule="exact"/>
              <w:ind w:firstLine="0" w:firstLineChars="0"/>
              <w:jc w:val="center"/>
              <w:rPr>
                <w:rFonts w:ascii="宋体" w:hAnsi="宋体" w:eastAsia="宋体" w:cs="宋体"/>
                <w:kern w:val="2"/>
                <w:sz w:val="24"/>
                <w:szCs w:val="24"/>
              </w:rPr>
            </w:pPr>
          </w:p>
        </w:tc>
        <w:tc>
          <w:tcPr>
            <w:tcW w:w="1503" w:type="pct"/>
            <w:vAlign w:val="center"/>
          </w:tcPr>
          <w:p w14:paraId="35942882">
            <w:pPr>
              <w:pStyle w:val="13"/>
              <w:spacing w:line="500" w:lineRule="exact"/>
              <w:ind w:firstLine="0" w:firstLineChars="0"/>
              <w:jc w:val="center"/>
              <w:rPr>
                <w:rFonts w:ascii="宋体" w:hAnsi="宋体" w:eastAsia="宋体" w:cs="宋体"/>
                <w:kern w:val="2"/>
                <w:sz w:val="24"/>
                <w:szCs w:val="24"/>
              </w:rPr>
            </w:pPr>
          </w:p>
        </w:tc>
        <w:tc>
          <w:tcPr>
            <w:tcW w:w="820" w:type="pct"/>
            <w:vAlign w:val="center"/>
          </w:tcPr>
          <w:p w14:paraId="0FE2C551">
            <w:pPr>
              <w:pStyle w:val="13"/>
              <w:spacing w:line="500" w:lineRule="exact"/>
              <w:ind w:firstLine="0" w:firstLineChars="0"/>
              <w:jc w:val="center"/>
              <w:rPr>
                <w:rFonts w:ascii="宋体" w:hAnsi="宋体" w:eastAsia="宋体" w:cs="宋体"/>
                <w:kern w:val="2"/>
                <w:sz w:val="24"/>
                <w:szCs w:val="24"/>
              </w:rPr>
            </w:pPr>
          </w:p>
        </w:tc>
      </w:tr>
      <w:tr w14:paraId="78DE4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03A78CE3">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3</w:t>
            </w:r>
          </w:p>
        </w:tc>
        <w:tc>
          <w:tcPr>
            <w:tcW w:w="502" w:type="pct"/>
            <w:tcBorders>
              <w:right w:val="single" w:color="auto" w:sz="4" w:space="0"/>
            </w:tcBorders>
            <w:vAlign w:val="center"/>
          </w:tcPr>
          <w:p w14:paraId="4DD484A8">
            <w:pPr>
              <w:pStyle w:val="13"/>
              <w:spacing w:line="500" w:lineRule="exact"/>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6CF1F09A">
            <w:pPr>
              <w:pStyle w:val="13"/>
              <w:spacing w:line="500" w:lineRule="exact"/>
              <w:ind w:firstLine="0" w:firstLineChars="0"/>
              <w:jc w:val="center"/>
              <w:rPr>
                <w:rFonts w:ascii="宋体" w:hAnsi="宋体" w:eastAsia="宋体" w:cs="宋体"/>
                <w:kern w:val="2"/>
                <w:sz w:val="24"/>
                <w:szCs w:val="24"/>
              </w:rPr>
            </w:pPr>
          </w:p>
        </w:tc>
        <w:tc>
          <w:tcPr>
            <w:tcW w:w="1503" w:type="pct"/>
            <w:vAlign w:val="center"/>
          </w:tcPr>
          <w:p w14:paraId="18A84067">
            <w:pPr>
              <w:pStyle w:val="13"/>
              <w:spacing w:line="500" w:lineRule="exact"/>
              <w:ind w:firstLine="0" w:firstLineChars="0"/>
              <w:jc w:val="center"/>
              <w:rPr>
                <w:rFonts w:ascii="宋体" w:hAnsi="宋体" w:eastAsia="宋体" w:cs="宋体"/>
                <w:kern w:val="2"/>
                <w:sz w:val="24"/>
                <w:szCs w:val="24"/>
              </w:rPr>
            </w:pPr>
          </w:p>
        </w:tc>
        <w:tc>
          <w:tcPr>
            <w:tcW w:w="820" w:type="pct"/>
            <w:vAlign w:val="center"/>
          </w:tcPr>
          <w:p w14:paraId="09BB7E05">
            <w:pPr>
              <w:pStyle w:val="13"/>
              <w:spacing w:line="500" w:lineRule="exact"/>
              <w:ind w:firstLine="0" w:firstLineChars="0"/>
              <w:jc w:val="center"/>
              <w:rPr>
                <w:rFonts w:ascii="宋体" w:hAnsi="宋体" w:eastAsia="宋体" w:cs="宋体"/>
                <w:kern w:val="2"/>
                <w:sz w:val="24"/>
                <w:szCs w:val="24"/>
              </w:rPr>
            </w:pPr>
          </w:p>
        </w:tc>
      </w:tr>
      <w:tr w14:paraId="441F52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vAlign w:val="center"/>
          </w:tcPr>
          <w:p w14:paraId="03650019">
            <w:pPr>
              <w:pStyle w:val="13"/>
              <w:spacing w:line="50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w:t>
            </w:r>
          </w:p>
        </w:tc>
        <w:tc>
          <w:tcPr>
            <w:tcW w:w="502" w:type="pct"/>
            <w:tcBorders>
              <w:right w:val="single" w:color="auto" w:sz="4" w:space="0"/>
            </w:tcBorders>
            <w:vAlign w:val="center"/>
          </w:tcPr>
          <w:p w14:paraId="54C17B8C">
            <w:pPr>
              <w:pStyle w:val="13"/>
              <w:spacing w:line="500" w:lineRule="exact"/>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1DAD9A1B">
            <w:pPr>
              <w:pStyle w:val="13"/>
              <w:spacing w:line="500" w:lineRule="exact"/>
              <w:ind w:firstLine="0" w:firstLineChars="0"/>
              <w:jc w:val="center"/>
              <w:rPr>
                <w:rFonts w:ascii="宋体" w:hAnsi="宋体" w:eastAsia="宋体" w:cs="宋体"/>
                <w:kern w:val="2"/>
                <w:sz w:val="24"/>
                <w:szCs w:val="24"/>
              </w:rPr>
            </w:pPr>
          </w:p>
        </w:tc>
        <w:tc>
          <w:tcPr>
            <w:tcW w:w="1503" w:type="pct"/>
            <w:vAlign w:val="center"/>
          </w:tcPr>
          <w:p w14:paraId="27FDB508">
            <w:pPr>
              <w:pStyle w:val="13"/>
              <w:spacing w:line="500" w:lineRule="exact"/>
              <w:ind w:firstLine="0" w:firstLineChars="0"/>
              <w:jc w:val="center"/>
              <w:rPr>
                <w:rFonts w:ascii="宋体" w:hAnsi="宋体" w:eastAsia="宋体" w:cs="宋体"/>
                <w:kern w:val="2"/>
                <w:sz w:val="24"/>
                <w:szCs w:val="24"/>
              </w:rPr>
            </w:pPr>
          </w:p>
        </w:tc>
        <w:tc>
          <w:tcPr>
            <w:tcW w:w="820" w:type="pct"/>
            <w:tcBorders>
              <w:right w:val="single" w:color="auto" w:sz="4" w:space="0"/>
            </w:tcBorders>
            <w:vAlign w:val="center"/>
          </w:tcPr>
          <w:p w14:paraId="4B16C8BA">
            <w:pPr>
              <w:pStyle w:val="13"/>
              <w:spacing w:line="500" w:lineRule="exact"/>
              <w:ind w:firstLine="0" w:firstLineChars="0"/>
              <w:jc w:val="center"/>
              <w:rPr>
                <w:rFonts w:ascii="宋体" w:hAnsi="宋体" w:eastAsia="宋体" w:cs="宋体"/>
                <w:kern w:val="2"/>
                <w:sz w:val="24"/>
                <w:szCs w:val="24"/>
              </w:rPr>
            </w:pPr>
          </w:p>
        </w:tc>
      </w:tr>
    </w:tbl>
    <w:p w14:paraId="00B5642B">
      <w:pPr>
        <w:pStyle w:val="13"/>
        <w:spacing w:line="360" w:lineRule="auto"/>
        <w:ind w:firstLine="0" w:firstLineChars="0"/>
        <w:contextualSpacing/>
        <w:rPr>
          <w:rFonts w:ascii="楷体" w:hAnsi="楷体" w:eastAsia="楷体" w:cs="宋体"/>
          <w:b/>
          <w:sz w:val="24"/>
          <w:szCs w:val="24"/>
        </w:rPr>
      </w:pPr>
      <w:r>
        <w:rPr>
          <w:rFonts w:hint="eastAsia" w:ascii="楷体" w:hAnsi="楷体" w:eastAsia="楷体" w:cs="宋体"/>
          <w:b/>
          <w:sz w:val="24"/>
          <w:szCs w:val="24"/>
        </w:rPr>
        <w:t>注：</w:t>
      </w:r>
    </w:p>
    <w:p w14:paraId="49D07ABF">
      <w:pPr>
        <w:pStyle w:val="13"/>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1.</w:t>
      </w:r>
      <w:r>
        <w:rPr>
          <w:rFonts w:hint="eastAsia" w:ascii="楷体" w:hAnsi="楷体" w:eastAsia="楷体" w:cs="宋体"/>
          <w:sz w:val="24"/>
          <w:szCs w:val="24"/>
        </w:rPr>
        <w:t>说明：应对照谈判文件“第三章</w:t>
      </w:r>
      <w:r>
        <w:rPr>
          <w:rFonts w:ascii="楷体" w:hAnsi="楷体" w:eastAsia="楷体" w:cs="宋体"/>
          <w:sz w:val="24"/>
          <w:szCs w:val="24"/>
        </w:rPr>
        <w:t xml:space="preserve"> </w:t>
      </w:r>
      <w:r>
        <w:rPr>
          <w:rFonts w:hint="eastAsia" w:ascii="楷体" w:hAnsi="楷体" w:eastAsia="楷体" w:cs="宋体"/>
          <w:sz w:val="24"/>
          <w:szCs w:val="24"/>
        </w:rPr>
        <w:t>采购需求”中的技术要求逐条实质性响应，并作出偏离说明。</w:t>
      </w:r>
    </w:p>
    <w:p w14:paraId="5E01C2E9">
      <w:pPr>
        <w:pStyle w:val="13"/>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2.供应商应根据</w:t>
      </w:r>
      <w:r>
        <w:rPr>
          <w:rFonts w:hint="eastAsia" w:ascii="楷体" w:hAnsi="楷体" w:eastAsia="楷体" w:cs="宋体"/>
          <w:sz w:val="24"/>
          <w:szCs w:val="24"/>
        </w:rPr>
        <w:t>其参与</w:t>
      </w:r>
      <w:r>
        <w:rPr>
          <w:rFonts w:hint="eastAsia" w:ascii="楷体" w:hAnsi="楷体" w:eastAsia="楷体" w:cs="宋体"/>
          <w:sz w:val="24"/>
          <w:lang w:bidi="ar"/>
        </w:rPr>
        <w:t>竞争性谈判</w:t>
      </w:r>
      <w:r>
        <w:rPr>
          <w:rFonts w:hint="eastAsia" w:ascii="楷体" w:hAnsi="楷体" w:eastAsia="楷体" w:cs="宋体"/>
          <w:sz w:val="24"/>
          <w:szCs w:val="24"/>
        </w:rPr>
        <w:t>设备的性能指标，对照谈判文件要求，在“偏离说明”中注明“正偏离”、“负偏离”或者“无偏离”。既不属于“正偏离”也不属于“负偏离”即为“无偏离”。</w:t>
      </w:r>
    </w:p>
    <w:p w14:paraId="049F3B91">
      <w:pPr>
        <w:pStyle w:val="13"/>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3.供应商认为其</w:t>
      </w:r>
      <w:r>
        <w:rPr>
          <w:rFonts w:hint="eastAsia" w:ascii="楷体" w:hAnsi="楷体" w:eastAsia="楷体" w:cs="宋体"/>
          <w:sz w:val="24"/>
          <w:lang w:bidi="ar"/>
        </w:rPr>
        <w:t>竞争性谈判</w:t>
      </w:r>
      <w:r>
        <w:rPr>
          <w:rFonts w:hint="eastAsia" w:ascii="楷体" w:hAnsi="楷体" w:eastAsia="楷体" w:cs="宋体"/>
          <w:sz w:val="24"/>
          <w:szCs w:val="24"/>
        </w:rPr>
        <w:t>响应有正偏离的，请在技术偏离表中列明，且在响应文件中提供参与</w:t>
      </w:r>
      <w:r>
        <w:rPr>
          <w:rFonts w:hint="eastAsia" w:ascii="楷体" w:hAnsi="楷体" w:eastAsia="楷体" w:cs="宋体"/>
          <w:sz w:val="24"/>
          <w:lang w:bidi="ar"/>
        </w:rPr>
        <w:t>竞争性谈判</w:t>
      </w:r>
      <w:r>
        <w:rPr>
          <w:rFonts w:hint="eastAsia" w:ascii="楷体" w:hAnsi="楷体" w:eastAsia="楷体" w:cs="宋体"/>
          <w:sz w:val="24"/>
          <w:szCs w:val="24"/>
        </w:rPr>
        <w:t>产品的彩页或国家认可有资质的第三方检测机构出具的检测报告复印件或产品生产厂家出具的技术参数说明证明作为佐证，以上佐证材料均需加盖生产厂家或代理商（附生产厂家授权资料）公章。</w:t>
      </w:r>
    </w:p>
    <w:p w14:paraId="6BBCD1C3">
      <w:pPr>
        <w:pStyle w:val="13"/>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4.</w:t>
      </w:r>
      <w:r>
        <w:rPr>
          <w:rFonts w:hint="eastAsia" w:ascii="楷体" w:hAnsi="楷体" w:eastAsia="楷体" w:cs="宋体"/>
          <w:sz w:val="24"/>
          <w:szCs w:val="24"/>
        </w:rPr>
        <w:t>如技术偏离表中的</w:t>
      </w:r>
      <w:r>
        <w:rPr>
          <w:rFonts w:hint="eastAsia" w:ascii="楷体" w:hAnsi="楷体" w:eastAsia="楷体" w:cs="宋体"/>
          <w:sz w:val="24"/>
          <w:lang w:bidi="ar"/>
        </w:rPr>
        <w:t>竞争性谈判</w:t>
      </w:r>
      <w:r>
        <w:rPr>
          <w:rFonts w:hint="eastAsia" w:ascii="楷体" w:hAnsi="楷体" w:eastAsia="楷体" w:cs="宋体"/>
          <w:sz w:val="24"/>
          <w:szCs w:val="24"/>
        </w:rPr>
        <w:t>响应与佐证材料不一致的，以佐证材料为准。</w:t>
      </w:r>
    </w:p>
    <w:p w14:paraId="45C8067F">
      <w:pPr>
        <w:pStyle w:val="13"/>
        <w:spacing w:line="360" w:lineRule="auto"/>
        <w:ind w:firstLine="0" w:firstLineChars="0"/>
        <w:contextualSpacing/>
        <w:rPr>
          <w:rFonts w:ascii="宋体" w:hAnsi="宋体" w:eastAsia="宋体" w:cs="宋体"/>
          <w:sz w:val="24"/>
          <w:szCs w:val="24"/>
        </w:rPr>
      </w:pPr>
    </w:p>
    <w:p w14:paraId="25AE1C44">
      <w:pPr>
        <w:spacing w:line="360" w:lineRule="auto"/>
        <w:contextualSpacing/>
        <w:rPr>
          <w:rFonts w:ascii="宋体" w:hAnsi="宋体" w:cs="宋体"/>
          <w:sz w:val="24"/>
        </w:rPr>
      </w:pPr>
    </w:p>
    <w:p w14:paraId="237F2649">
      <w:pPr>
        <w:spacing w:line="360" w:lineRule="auto"/>
        <w:contextualSpacing/>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p>
    <w:p w14:paraId="5FEC803B">
      <w:pPr>
        <w:spacing w:line="360" w:lineRule="auto"/>
        <w:ind w:firstLine="2880" w:firstLineChars="12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0F003CBD">
      <w:pPr>
        <w:spacing w:line="360" w:lineRule="auto"/>
        <w:ind w:firstLine="2880" w:firstLineChars="1200"/>
        <w:contextualSpacing/>
        <w:rPr>
          <w:rFonts w:ascii="宋体" w:hAnsi="宋体" w:cs="宋体"/>
          <w:sz w:val="32"/>
          <w:szCs w:val="32"/>
        </w:rPr>
      </w:pPr>
      <w:r>
        <w:rPr>
          <w:rFonts w:hint="eastAsia" w:ascii="宋体" w:hAnsi="宋体" w:cs="宋体"/>
          <w:sz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1726E851">
      <w:pPr>
        <w:spacing w:line="360" w:lineRule="auto"/>
        <w:rPr>
          <w:rFonts w:ascii="宋体" w:hAnsi="宋体" w:cs="宋体"/>
          <w:szCs w:val="21"/>
        </w:rPr>
      </w:pPr>
      <w:r>
        <w:rPr>
          <w:rFonts w:hint="eastAsia" w:ascii="宋体" w:hAnsi="宋体" w:cs="宋体"/>
          <w:b/>
          <w:bCs/>
          <w:sz w:val="24"/>
        </w:rPr>
        <w:br w:type="page"/>
      </w:r>
      <w:r>
        <w:rPr>
          <w:rFonts w:hint="eastAsia" w:ascii="宋体" w:hAnsi="宋体" w:cs="宋体"/>
          <w:b/>
          <w:bCs/>
          <w:sz w:val="24"/>
        </w:rPr>
        <w:t>其他文书、文件格式</w:t>
      </w:r>
    </w:p>
    <w:p w14:paraId="4AAB341B">
      <w:pPr>
        <w:adjustRightInd w:val="0"/>
        <w:snapToGrid w:val="0"/>
        <w:spacing w:line="360" w:lineRule="auto"/>
        <w:jc w:val="center"/>
        <w:rPr>
          <w:rFonts w:ascii="宋体" w:hAnsi="宋体" w:cs="宋体"/>
          <w:b/>
          <w:bCs/>
          <w:sz w:val="44"/>
          <w:szCs w:val="44"/>
        </w:rPr>
      </w:pPr>
      <w:bookmarkStart w:id="31" w:name="_Toc71365383"/>
      <w:bookmarkStart w:id="32" w:name="_Toc71366061"/>
      <w:r>
        <w:rPr>
          <w:rFonts w:hint="eastAsia" w:ascii="宋体" w:hAnsi="宋体" w:cs="宋体"/>
          <w:b/>
          <w:bCs/>
          <w:sz w:val="44"/>
          <w:szCs w:val="44"/>
        </w:rPr>
        <w:t>中小企业声明函（货物）</w:t>
      </w:r>
      <w:bookmarkEnd w:id="31"/>
      <w:bookmarkEnd w:id="32"/>
    </w:p>
    <w:p w14:paraId="24FAD0FE">
      <w:pPr>
        <w:spacing w:line="360" w:lineRule="auto"/>
        <w:rPr>
          <w:rFonts w:ascii="宋体" w:hAnsi="宋体" w:cs="宋体"/>
        </w:rPr>
      </w:pPr>
    </w:p>
    <w:p w14:paraId="45306A4D">
      <w:pPr>
        <w:pStyle w:val="11"/>
        <w:spacing w:after="0" w:line="360" w:lineRule="auto"/>
        <w:ind w:firstLine="64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6D6AF77E">
      <w:pPr>
        <w:tabs>
          <w:tab w:val="left" w:pos="1384"/>
          <w:tab w:val="left" w:pos="4562"/>
          <w:tab w:val="left" w:pos="6803"/>
        </w:tabs>
        <w:spacing w:line="360" w:lineRule="auto"/>
        <w:ind w:firstLine="655"/>
        <w:contextualSpacing/>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3BA58FB7">
      <w:pPr>
        <w:tabs>
          <w:tab w:val="left" w:pos="1065"/>
          <w:tab w:val="left" w:pos="6477"/>
        </w:tabs>
        <w:spacing w:line="360" w:lineRule="auto"/>
        <w:ind w:firstLine="655"/>
        <w:contextualSpacing/>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59872B88">
      <w:pPr>
        <w:pStyle w:val="11"/>
        <w:spacing w:after="0" w:line="360" w:lineRule="auto"/>
        <w:contextualSpacing/>
        <w:rPr>
          <w:rFonts w:ascii="宋体" w:hAnsi="宋体" w:cs="宋体"/>
          <w:sz w:val="24"/>
        </w:rPr>
      </w:pPr>
      <w:r>
        <w:rPr>
          <w:rFonts w:hint="eastAsia" w:ascii="宋体" w:hAnsi="宋体" w:cs="宋体"/>
          <w:sz w:val="24"/>
        </w:rPr>
        <w:t xml:space="preserve">…… </w:t>
      </w:r>
    </w:p>
    <w:p w14:paraId="319DE842">
      <w:pPr>
        <w:pStyle w:val="11"/>
        <w:spacing w:after="0" w:line="360" w:lineRule="auto"/>
        <w:ind w:firstLine="453" w:firstLineChars="189"/>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1E3FC61">
      <w:pPr>
        <w:pStyle w:val="11"/>
        <w:spacing w:after="0" w:line="360" w:lineRule="auto"/>
        <w:ind w:firstLine="567"/>
        <w:contextualSpacing/>
        <w:rPr>
          <w:rFonts w:ascii="宋体" w:hAnsi="宋体" w:cs="宋体"/>
          <w:sz w:val="24"/>
        </w:rPr>
      </w:pPr>
      <w:r>
        <w:rPr>
          <w:rFonts w:hint="eastAsia" w:ascii="宋体" w:hAnsi="宋体" w:cs="宋体"/>
          <w:sz w:val="24"/>
        </w:rPr>
        <w:t>本企业对上述声明内容的真实性负责。如有虚假，将依法承担相应责任。</w:t>
      </w:r>
    </w:p>
    <w:p w14:paraId="7255C4E4">
      <w:pPr>
        <w:pStyle w:val="11"/>
        <w:spacing w:after="0" w:line="360" w:lineRule="auto"/>
        <w:contextualSpacing/>
        <w:rPr>
          <w:rFonts w:ascii="宋体" w:hAnsi="宋体" w:cs="宋体"/>
          <w:sz w:val="24"/>
        </w:rPr>
      </w:pPr>
    </w:p>
    <w:p w14:paraId="5F6F4CBF">
      <w:pPr>
        <w:pStyle w:val="11"/>
        <w:spacing w:after="0" w:line="360" w:lineRule="auto"/>
        <w:ind w:firstLine="3360" w:firstLineChars="1400"/>
        <w:contextualSpacing/>
        <w:rPr>
          <w:rFonts w:ascii="宋体" w:hAnsi="宋体" w:cs="宋体"/>
          <w:sz w:val="24"/>
          <w:u w:val="single"/>
        </w:rPr>
      </w:pPr>
      <w:r>
        <w:rPr>
          <w:rFonts w:hint="eastAsia" w:ascii="宋体" w:hAnsi="宋体" w:cs="宋体"/>
          <w:sz w:val="24"/>
        </w:rPr>
        <w:t xml:space="preserve">企业名称（公章）： </w:t>
      </w:r>
      <w:r>
        <w:rPr>
          <w:rFonts w:ascii="宋体" w:hAnsi="宋体" w:cs="宋体"/>
          <w:sz w:val="24"/>
          <w:u w:val="single"/>
        </w:rPr>
        <w:t xml:space="preserve">                   </w:t>
      </w:r>
    </w:p>
    <w:p w14:paraId="4BE02735">
      <w:pPr>
        <w:pStyle w:val="11"/>
        <w:spacing w:after="0" w:line="360" w:lineRule="auto"/>
        <w:ind w:firstLine="3360" w:firstLineChars="1400"/>
        <w:contextualSpacing/>
        <w:rPr>
          <w:rFonts w:ascii="宋体" w:hAnsi="宋体" w:cs="宋体"/>
          <w:sz w:val="24"/>
        </w:rPr>
      </w:pPr>
      <w:r>
        <w:rPr>
          <w:rFonts w:hint="eastAsia" w:ascii="宋体" w:hAnsi="宋体" w:cs="宋体"/>
          <w:sz w:val="24"/>
        </w:rPr>
        <w:t>日 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714D04B4">
      <w:pPr>
        <w:pStyle w:val="11"/>
        <w:spacing w:after="0" w:line="360" w:lineRule="auto"/>
        <w:contextualSpacing/>
        <w:rPr>
          <w:rFonts w:ascii="宋体" w:hAnsi="宋体" w:cs="宋体"/>
        </w:rPr>
      </w:pPr>
    </w:p>
    <w:p w14:paraId="3D3C4C23">
      <w:pPr>
        <w:spacing w:line="360" w:lineRule="auto"/>
        <w:contextualSpacing/>
        <w:jc w:val="left"/>
        <w:rPr>
          <w:rFonts w:ascii="楷体" w:hAnsi="楷体" w:eastAsia="楷体" w:cs="宋体"/>
          <w:b/>
          <w:sz w:val="24"/>
        </w:rPr>
      </w:pPr>
      <w:r>
        <w:rPr>
          <w:rFonts w:hint="eastAsia" w:ascii="楷体" w:hAnsi="楷体" w:eastAsia="楷体" w:cs="宋体"/>
          <w:b/>
          <w:sz w:val="24"/>
        </w:rPr>
        <w:t>注：</w:t>
      </w:r>
    </w:p>
    <w:p w14:paraId="32BA4F2C">
      <w:pPr>
        <w:spacing w:line="360" w:lineRule="auto"/>
        <w:ind w:firstLine="480" w:firstLineChars="200"/>
        <w:contextualSpacing/>
        <w:jc w:val="left"/>
        <w:rPr>
          <w:rFonts w:ascii="楷体" w:hAnsi="楷体" w:eastAsia="楷体" w:cs="宋体"/>
          <w:sz w:val="24"/>
        </w:rPr>
      </w:pPr>
      <w:r>
        <w:rPr>
          <w:rFonts w:hint="eastAsia" w:ascii="楷体" w:hAnsi="楷体" w:eastAsia="楷体" w:cs="宋体"/>
          <w:sz w:val="24"/>
        </w:rPr>
        <w:t>享受《政府采购促进中小企业发展管理办法》（财库〔</w:t>
      </w:r>
      <w:r>
        <w:rPr>
          <w:rFonts w:ascii="楷体" w:hAnsi="楷体" w:eastAsia="楷体" w:cs="宋体"/>
          <w:sz w:val="24"/>
        </w:rPr>
        <w:t>2020〕46号）规定的中小企业扶持政策的，采购人、采购代理机构应当随成交结果公开成交供应商的《中小企业声明函》。从业人员、营业收入、资产总额填报上一年度数据，无上一年度数据的新成立企业可不填报。</w:t>
      </w:r>
    </w:p>
    <w:p w14:paraId="307C2679">
      <w:pPr>
        <w:spacing w:line="360" w:lineRule="auto"/>
        <w:contextualSpacing/>
        <w:jc w:val="center"/>
        <w:rPr>
          <w:rFonts w:ascii="宋体" w:hAnsi="宋体" w:cs="宋体"/>
          <w:sz w:val="24"/>
        </w:rPr>
      </w:pPr>
    </w:p>
    <w:p w14:paraId="25DCC17B">
      <w:pPr>
        <w:spacing w:line="360" w:lineRule="auto"/>
        <w:contextualSpacing/>
        <w:jc w:val="center"/>
        <w:rPr>
          <w:rFonts w:ascii="宋体" w:hAnsi="宋体" w:cs="宋体"/>
          <w:sz w:val="24"/>
        </w:rPr>
      </w:pPr>
    </w:p>
    <w:p w14:paraId="20F75723">
      <w:pPr>
        <w:spacing w:line="360" w:lineRule="auto"/>
        <w:ind w:firstLine="800" w:firstLineChars="250"/>
        <w:jc w:val="center"/>
        <w:rPr>
          <w:rFonts w:ascii="宋体" w:hAnsi="宋体" w:cs="宋体"/>
          <w:b/>
          <w:sz w:val="32"/>
          <w:szCs w:val="32"/>
        </w:rPr>
      </w:pPr>
      <w:r>
        <w:rPr>
          <w:rFonts w:hint="eastAsia" w:hAnsi="宋体" w:cs="宋体"/>
          <w:sz w:val="32"/>
          <w:szCs w:val="32"/>
        </w:rPr>
        <w:br w:type="page"/>
      </w:r>
      <w:r>
        <w:rPr>
          <w:rFonts w:hint="eastAsia" w:ascii="宋体" w:hAnsi="宋体" w:cs="宋体"/>
          <w:b/>
          <w:sz w:val="44"/>
          <w:szCs w:val="44"/>
        </w:rPr>
        <w:t>残疾人福利性单位声明函</w:t>
      </w:r>
    </w:p>
    <w:p w14:paraId="4BD6B02F">
      <w:pPr>
        <w:spacing w:line="360" w:lineRule="auto"/>
        <w:rPr>
          <w:rFonts w:ascii="宋体" w:hAnsi="宋体" w:cs="宋体"/>
          <w:sz w:val="32"/>
          <w:szCs w:val="32"/>
        </w:rPr>
      </w:pPr>
    </w:p>
    <w:p w14:paraId="0631C615">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E88C049">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1F459440">
      <w:pPr>
        <w:spacing w:line="360" w:lineRule="auto"/>
        <w:contextualSpacing/>
        <w:rPr>
          <w:rFonts w:ascii="宋体" w:hAnsi="宋体" w:cs="宋体"/>
          <w:sz w:val="24"/>
        </w:rPr>
      </w:pPr>
    </w:p>
    <w:p w14:paraId="4B552C06">
      <w:pPr>
        <w:spacing w:line="360" w:lineRule="auto"/>
        <w:contextualSpacing/>
        <w:rPr>
          <w:rFonts w:ascii="宋体" w:hAnsi="宋体" w:cs="宋体"/>
          <w:sz w:val="24"/>
        </w:rPr>
      </w:pPr>
    </w:p>
    <w:p w14:paraId="1D86B4AE">
      <w:pPr>
        <w:spacing w:line="360" w:lineRule="auto"/>
        <w:contextualSpacing/>
        <w:rPr>
          <w:rFonts w:ascii="宋体" w:hAnsi="宋体" w:cs="宋体"/>
          <w:sz w:val="24"/>
        </w:rPr>
      </w:pPr>
    </w:p>
    <w:p w14:paraId="53CE2A29">
      <w:pPr>
        <w:spacing w:line="360" w:lineRule="auto"/>
        <w:ind w:firstLine="3600" w:firstLineChars="1500"/>
        <w:contextualSpacing/>
        <w:rPr>
          <w:rFonts w:ascii="宋体" w:hAnsi="宋体" w:cs="宋体"/>
          <w:sz w:val="24"/>
          <w:u w:val="single"/>
        </w:rPr>
      </w:pPr>
      <w:r>
        <w:rPr>
          <w:rFonts w:hint="eastAsia" w:ascii="宋体" w:hAnsi="宋体" w:cs="宋体"/>
          <w:sz w:val="24"/>
        </w:rPr>
        <w:t>单位名称（公章）：</w:t>
      </w:r>
      <w:r>
        <w:rPr>
          <w:rFonts w:hint="eastAsia" w:ascii="宋体" w:hAnsi="宋体" w:cs="宋体"/>
          <w:sz w:val="24"/>
          <w:u w:val="single"/>
        </w:rPr>
        <w:t xml:space="preserve"> </w:t>
      </w:r>
      <w:r>
        <w:rPr>
          <w:rFonts w:ascii="宋体" w:hAnsi="宋体" w:cs="宋体"/>
          <w:sz w:val="24"/>
          <w:u w:val="single"/>
        </w:rPr>
        <w:t xml:space="preserve">                   </w:t>
      </w:r>
    </w:p>
    <w:p w14:paraId="27345484">
      <w:pPr>
        <w:spacing w:line="360" w:lineRule="auto"/>
        <w:ind w:firstLine="3600" w:firstLineChars="1500"/>
        <w:contextualSpacing/>
        <w:rPr>
          <w:rFonts w:ascii="宋体" w:hAnsi="宋体" w:cs="宋体"/>
          <w:sz w:val="24"/>
        </w:rPr>
      </w:pPr>
      <w:r>
        <w:rPr>
          <w:rFonts w:hint="eastAsia" w:ascii="宋体" w:hAnsi="宋体" w:cs="宋体"/>
          <w:sz w:val="24"/>
        </w:rPr>
        <w:t>日  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1D9B1BD4">
      <w:pPr>
        <w:spacing w:line="360" w:lineRule="auto"/>
        <w:contextualSpacing/>
        <w:rPr>
          <w:rFonts w:ascii="宋体" w:hAnsi="宋体" w:cs="宋体"/>
          <w:sz w:val="24"/>
        </w:rPr>
      </w:pPr>
    </w:p>
    <w:p w14:paraId="62875F9E">
      <w:pPr>
        <w:spacing w:line="360" w:lineRule="auto"/>
        <w:contextualSpacing/>
        <w:rPr>
          <w:rFonts w:ascii="宋体" w:hAnsi="宋体" w:cs="宋体"/>
          <w:sz w:val="24"/>
        </w:rPr>
      </w:pPr>
    </w:p>
    <w:p w14:paraId="7E6C14CD">
      <w:pPr>
        <w:spacing w:line="360" w:lineRule="auto"/>
        <w:contextualSpacing/>
        <w:rPr>
          <w:rFonts w:ascii="宋体" w:hAnsi="宋体" w:cs="宋体"/>
          <w:sz w:val="24"/>
        </w:rPr>
      </w:pPr>
    </w:p>
    <w:p w14:paraId="30799301">
      <w:pPr>
        <w:spacing w:line="360" w:lineRule="auto"/>
        <w:contextualSpacing/>
        <w:rPr>
          <w:rFonts w:ascii="楷体" w:hAnsi="楷体" w:eastAsia="楷体" w:cs="宋体"/>
          <w:b/>
          <w:sz w:val="24"/>
        </w:rPr>
      </w:pPr>
      <w:r>
        <w:rPr>
          <w:rFonts w:hint="eastAsia" w:ascii="楷体" w:hAnsi="楷体" w:eastAsia="楷体" w:cs="宋体"/>
          <w:b/>
          <w:sz w:val="24"/>
        </w:rPr>
        <w:t>注：</w:t>
      </w:r>
    </w:p>
    <w:p w14:paraId="1366E59A">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14:paraId="6D82F26D">
      <w:pPr>
        <w:spacing w:line="360" w:lineRule="auto"/>
        <w:jc w:val="center"/>
        <w:rPr>
          <w:rFonts w:ascii="宋体" w:hAnsi="宋体" w:cs="宋体"/>
          <w:b/>
          <w:bCs/>
          <w:sz w:val="32"/>
          <w:szCs w:val="32"/>
        </w:rPr>
      </w:pPr>
      <w:r>
        <w:rPr>
          <w:rFonts w:hint="eastAsia" w:ascii="宋体" w:hAnsi="宋体" w:cs="宋体"/>
          <w:sz w:val="24"/>
        </w:rPr>
        <w:br w:type="page"/>
      </w:r>
      <w:r>
        <w:rPr>
          <w:rFonts w:hint="eastAsia" w:ascii="宋体" w:hAnsi="宋体" w:cs="宋体"/>
          <w:b/>
          <w:sz w:val="44"/>
          <w:szCs w:val="44"/>
        </w:rPr>
        <w:t>质疑函</w:t>
      </w:r>
      <w:r>
        <w:rPr>
          <w:rFonts w:hint="eastAsia" w:ascii="宋体" w:hAnsi="宋体" w:cs="宋体"/>
          <w:sz w:val="28"/>
          <w:szCs w:val="28"/>
        </w:rPr>
        <w:t>（格式）</w:t>
      </w:r>
    </w:p>
    <w:p w14:paraId="539B2340">
      <w:pPr>
        <w:spacing w:line="360" w:lineRule="auto"/>
        <w:jc w:val="center"/>
        <w:rPr>
          <w:rFonts w:ascii="宋体" w:hAnsi="宋体" w:cs="宋体"/>
          <w:b/>
          <w:bCs/>
          <w:sz w:val="32"/>
          <w:szCs w:val="32"/>
        </w:rPr>
      </w:pPr>
    </w:p>
    <w:p w14:paraId="01A43E92">
      <w:pPr>
        <w:pStyle w:val="16"/>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1501253C">
      <w:pPr>
        <w:pStyle w:val="16"/>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67FE1921">
      <w:pPr>
        <w:pStyle w:val="16"/>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A170462">
      <w:pPr>
        <w:pStyle w:val="16"/>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00FE94A">
      <w:pPr>
        <w:pStyle w:val="16"/>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7D756C82">
      <w:pPr>
        <w:pStyle w:val="16"/>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1CD0B303">
      <w:pPr>
        <w:pStyle w:val="16"/>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0D703E0E">
      <w:pPr>
        <w:pStyle w:val="16"/>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260948E6">
      <w:pPr>
        <w:pStyle w:val="16"/>
        <w:spacing w:line="360" w:lineRule="auto"/>
        <w:ind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4D3E60AB">
      <w:pPr>
        <w:pStyle w:val="16"/>
        <w:spacing w:line="360" w:lineRule="auto"/>
        <w:ind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6D0F540A">
      <w:pPr>
        <w:pStyle w:val="16"/>
        <w:spacing w:line="360" w:lineRule="auto"/>
        <w:ind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0017EE43">
      <w:pPr>
        <w:pStyle w:val="16"/>
        <w:spacing w:line="360" w:lineRule="auto"/>
        <w:ind w:firstLine="472" w:firstLineChars="197"/>
        <w:contextualSpacing/>
        <w:rPr>
          <w:rFonts w:hAnsi="宋体" w:cs="宋体"/>
          <w:sz w:val="24"/>
          <w:szCs w:val="24"/>
        </w:rPr>
      </w:pPr>
      <w:r>
        <w:rPr>
          <w:rFonts w:hint="eastAsia" w:hAnsi="宋体" w:cs="宋体"/>
          <w:sz w:val="24"/>
          <w:szCs w:val="24"/>
        </w:rPr>
        <w:t>质疑事项：</w:t>
      </w:r>
    </w:p>
    <w:p w14:paraId="311C1FBC">
      <w:pPr>
        <w:pStyle w:val="16"/>
        <w:spacing w:line="360" w:lineRule="auto"/>
        <w:ind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1EFA4D43">
      <w:pPr>
        <w:pStyle w:val="16"/>
        <w:spacing w:line="360" w:lineRule="auto"/>
        <w:ind w:firstLine="352" w:firstLineChars="147"/>
        <w:contextualSpacing/>
        <w:rPr>
          <w:rFonts w:hAnsi="宋体" w:cs="宋体"/>
          <w:sz w:val="24"/>
          <w:szCs w:val="24"/>
        </w:rPr>
      </w:pPr>
      <w:r>
        <w:rPr>
          <w:rFonts w:hint="eastAsia" w:hAnsi="宋体" w:cs="宋体"/>
          <w:sz w:val="24"/>
          <w:szCs w:val="24"/>
        </w:rPr>
        <w:t xml:space="preserve">□采购过程   </w:t>
      </w:r>
    </w:p>
    <w:p w14:paraId="0372BBEA">
      <w:pPr>
        <w:pStyle w:val="16"/>
        <w:spacing w:line="360" w:lineRule="auto"/>
        <w:ind w:firstLine="352" w:firstLineChars="147"/>
        <w:contextualSpacing/>
        <w:rPr>
          <w:rFonts w:hAnsi="宋体" w:cs="宋体"/>
          <w:bCs/>
          <w:sz w:val="24"/>
          <w:szCs w:val="24"/>
          <w:u w:val="single"/>
        </w:rPr>
      </w:pPr>
      <w:r>
        <w:rPr>
          <w:rFonts w:hint="eastAsia" w:hAnsi="宋体" w:cs="宋体"/>
          <w:sz w:val="24"/>
          <w:szCs w:val="24"/>
        </w:rPr>
        <w:t xml:space="preserve">□成交结果   </w:t>
      </w:r>
    </w:p>
    <w:p w14:paraId="639FB8CD">
      <w:pPr>
        <w:pStyle w:val="16"/>
        <w:spacing w:line="360" w:lineRule="auto"/>
        <w:ind w:firstLine="472" w:firstLineChars="196"/>
        <w:contextualSpacing/>
        <w:rPr>
          <w:rFonts w:hAnsi="宋体" w:cs="宋体"/>
          <w:b/>
          <w:sz w:val="24"/>
          <w:szCs w:val="24"/>
        </w:rPr>
      </w:pPr>
      <w:r>
        <w:rPr>
          <w:rFonts w:hint="eastAsia" w:hAnsi="宋体" w:cs="宋体"/>
          <w:b/>
          <w:sz w:val="24"/>
          <w:szCs w:val="24"/>
        </w:rPr>
        <w:t>三、质疑事项具体内容</w:t>
      </w:r>
    </w:p>
    <w:p w14:paraId="0181848A">
      <w:pPr>
        <w:pStyle w:val="16"/>
        <w:spacing w:line="360" w:lineRule="auto"/>
        <w:ind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60C66378">
      <w:pPr>
        <w:pStyle w:val="16"/>
        <w:spacing w:line="360" w:lineRule="auto"/>
        <w:ind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35E2DB6C">
      <w:pPr>
        <w:pStyle w:val="16"/>
        <w:spacing w:line="360" w:lineRule="auto"/>
        <w:ind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5B088198">
      <w:pPr>
        <w:pStyle w:val="16"/>
        <w:spacing w:line="360" w:lineRule="auto"/>
        <w:ind w:firstLine="472" w:firstLineChars="197"/>
        <w:contextualSpacing/>
        <w:rPr>
          <w:rFonts w:hAnsi="宋体" w:cs="宋体"/>
          <w:sz w:val="24"/>
          <w:szCs w:val="24"/>
        </w:rPr>
      </w:pPr>
      <w:r>
        <w:rPr>
          <w:rFonts w:hint="eastAsia" w:hAnsi="宋体" w:cs="宋体"/>
          <w:sz w:val="24"/>
          <w:szCs w:val="24"/>
        </w:rPr>
        <w:t>质疑事项2</w:t>
      </w:r>
    </w:p>
    <w:p w14:paraId="7060895F">
      <w:pPr>
        <w:pStyle w:val="16"/>
        <w:spacing w:line="360" w:lineRule="auto"/>
        <w:ind w:firstLine="472" w:firstLineChars="197"/>
        <w:contextualSpacing/>
        <w:rPr>
          <w:rFonts w:hAnsi="宋体" w:cs="宋体"/>
          <w:sz w:val="24"/>
          <w:szCs w:val="24"/>
        </w:rPr>
      </w:pPr>
      <w:r>
        <w:rPr>
          <w:rFonts w:hint="eastAsia" w:hAnsi="宋体" w:cs="宋体"/>
          <w:sz w:val="24"/>
          <w:szCs w:val="24"/>
        </w:rPr>
        <w:t>……</w:t>
      </w:r>
    </w:p>
    <w:p w14:paraId="4282E398">
      <w:pPr>
        <w:pStyle w:val="16"/>
        <w:spacing w:line="360" w:lineRule="auto"/>
        <w:ind w:firstLine="472" w:firstLineChars="197"/>
        <w:contextualSpacing/>
        <w:rPr>
          <w:rFonts w:hAnsi="宋体" w:cs="宋体"/>
          <w:sz w:val="24"/>
          <w:szCs w:val="24"/>
        </w:rPr>
      </w:pPr>
      <w:r>
        <w:rPr>
          <w:rFonts w:hint="eastAsia" w:hAnsi="宋体" w:cs="宋体"/>
          <w:sz w:val="24"/>
          <w:szCs w:val="24"/>
        </w:rPr>
        <w:t>四、与质疑事项相关的质疑请求：</w:t>
      </w:r>
    </w:p>
    <w:p w14:paraId="32620F38">
      <w:pPr>
        <w:pStyle w:val="16"/>
        <w:spacing w:line="360" w:lineRule="auto"/>
        <w:ind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76EE9861">
      <w:pPr>
        <w:pStyle w:val="16"/>
        <w:spacing w:line="360" w:lineRule="auto"/>
        <w:ind w:firstLine="352" w:firstLineChars="147"/>
        <w:contextualSpacing/>
        <w:rPr>
          <w:rFonts w:hAnsi="宋体" w:cs="宋体"/>
          <w:sz w:val="24"/>
          <w:szCs w:val="24"/>
        </w:rPr>
      </w:pPr>
    </w:p>
    <w:p w14:paraId="7813740A">
      <w:pPr>
        <w:pStyle w:val="16"/>
        <w:spacing w:line="360" w:lineRule="auto"/>
        <w:ind w:firstLine="472" w:firstLineChars="197"/>
        <w:contextualSpacing/>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14:paraId="1D579647">
      <w:pPr>
        <w:pStyle w:val="16"/>
        <w:spacing w:line="360" w:lineRule="auto"/>
        <w:ind w:firstLine="472" w:firstLineChars="197"/>
        <w:contextualSpacing/>
        <w:rPr>
          <w:rFonts w:hAnsi="宋体" w:cs="宋体"/>
          <w:sz w:val="24"/>
          <w:szCs w:val="24"/>
        </w:rPr>
      </w:pPr>
      <w:r>
        <w:rPr>
          <w:rFonts w:hint="eastAsia" w:hAnsi="宋体" w:cs="宋体"/>
          <w:sz w:val="24"/>
          <w:szCs w:val="24"/>
        </w:rPr>
        <w:t>日期：</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p>
    <w:p w14:paraId="442CD1F9">
      <w:pPr>
        <w:pStyle w:val="16"/>
        <w:spacing w:line="360" w:lineRule="auto"/>
        <w:contextualSpacing/>
        <w:rPr>
          <w:rFonts w:hAnsi="宋体" w:cs="宋体"/>
          <w:b/>
          <w:sz w:val="24"/>
          <w:szCs w:val="24"/>
        </w:rPr>
      </w:pPr>
    </w:p>
    <w:p w14:paraId="06800F6F">
      <w:pPr>
        <w:pStyle w:val="16"/>
        <w:spacing w:line="360" w:lineRule="auto"/>
        <w:contextualSpacing/>
        <w:rPr>
          <w:rFonts w:ascii="楷体" w:hAnsi="楷体" w:eastAsia="楷体" w:cs="宋体"/>
          <w:b/>
          <w:sz w:val="24"/>
          <w:szCs w:val="24"/>
        </w:rPr>
      </w:pPr>
      <w:r>
        <w:rPr>
          <w:rFonts w:hint="eastAsia" w:ascii="楷体" w:hAnsi="楷体" w:eastAsia="楷体" w:cs="宋体"/>
          <w:b/>
          <w:sz w:val="24"/>
          <w:szCs w:val="24"/>
        </w:rPr>
        <w:t>说明：</w:t>
      </w:r>
    </w:p>
    <w:p w14:paraId="79DCBDDB">
      <w:pPr>
        <w:pStyle w:val="16"/>
        <w:spacing w:line="360" w:lineRule="auto"/>
        <w:ind w:firstLine="354" w:firstLineChars="147"/>
        <w:contextualSpacing/>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14:paraId="246C8507">
      <w:pPr>
        <w:pStyle w:val="16"/>
        <w:spacing w:line="360" w:lineRule="auto"/>
        <w:ind w:firstLine="354" w:firstLineChars="147"/>
        <w:contextualSpacing/>
        <w:rPr>
          <w:rFonts w:ascii="楷体" w:hAnsi="楷体" w:eastAsia="楷体" w:cs="宋体"/>
          <w:b/>
          <w:sz w:val="24"/>
          <w:szCs w:val="24"/>
        </w:rPr>
      </w:pPr>
      <w:r>
        <w:rPr>
          <w:rFonts w:ascii="楷体" w:hAnsi="楷体" w:eastAsia="楷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382ACB">
      <w:pPr>
        <w:pStyle w:val="16"/>
        <w:spacing w:line="360" w:lineRule="auto"/>
        <w:ind w:firstLine="354" w:firstLineChars="147"/>
        <w:contextualSpacing/>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14:paraId="6FCE91FF">
      <w:pPr>
        <w:pStyle w:val="16"/>
        <w:spacing w:line="360" w:lineRule="auto"/>
        <w:ind w:firstLine="354" w:firstLineChars="147"/>
        <w:contextualSpacing/>
        <w:rPr>
          <w:rFonts w:ascii="楷体" w:hAnsi="楷体" w:eastAsia="楷体" w:cs="宋体"/>
          <w:b/>
          <w:sz w:val="24"/>
          <w:szCs w:val="24"/>
        </w:rPr>
      </w:pPr>
      <w:r>
        <w:rPr>
          <w:rFonts w:ascii="楷体" w:hAnsi="楷体" w:eastAsia="楷体" w:cs="宋体"/>
          <w:b/>
          <w:sz w:val="24"/>
          <w:szCs w:val="24"/>
        </w:rPr>
        <w:t>4.质疑函的质疑请求应与质疑事项相关。</w:t>
      </w:r>
    </w:p>
    <w:p w14:paraId="62C3E556">
      <w:pPr>
        <w:pStyle w:val="16"/>
        <w:spacing w:line="360" w:lineRule="auto"/>
        <w:ind w:firstLine="354" w:firstLineChars="147"/>
        <w:contextualSpacing/>
        <w:rPr>
          <w:rFonts w:ascii="楷体" w:hAnsi="楷体" w:eastAsia="楷体" w:cs="宋体"/>
          <w:b/>
        </w:rPr>
      </w:pPr>
      <w:r>
        <w:rPr>
          <w:rFonts w:ascii="楷体" w:hAnsi="楷体" w:eastAsia="楷体" w:cs="宋体"/>
          <w:b/>
          <w:sz w:val="24"/>
          <w:szCs w:val="24"/>
        </w:rPr>
        <w:t>5.质疑供应商为法人或者其他组织的，质疑函应由法定代表人、主要负责人，或者其授权代表签字或者盖章，并加盖公章。</w:t>
      </w:r>
    </w:p>
    <w:p w14:paraId="1041FE45">
      <w:pPr>
        <w:pStyle w:val="16"/>
        <w:snapToGrid w:val="0"/>
        <w:spacing w:line="360" w:lineRule="auto"/>
        <w:rPr>
          <w:rFonts w:hAnsi="宋体" w:cs="宋体"/>
          <w:b/>
          <w:sz w:val="24"/>
          <w:szCs w:val="24"/>
        </w:rPr>
      </w:pPr>
    </w:p>
    <w:p w14:paraId="4EC4515E">
      <w:pPr>
        <w:spacing w:line="360" w:lineRule="auto"/>
        <w:rPr>
          <w:rFonts w:ascii="宋体" w:hAnsi="宋体" w:cs="宋体"/>
        </w:rPr>
      </w:pPr>
      <w:r>
        <w:rPr>
          <w:rFonts w:hint="eastAsia" w:ascii="宋体" w:hAnsi="宋体" w:cs="宋体"/>
        </w:rPr>
        <w:br w:type="page"/>
      </w:r>
    </w:p>
    <w:p w14:paraId="5C7254BE">
      <w:pPr>
        <w:spacing w:line="360" w:lineRule="auto"/>
        <w:jc w:val="center"/>
        <w:rPr>
          <w:rFonts w:ascii="宋体" w:hAnsi="宋体" w:cs="宋体"/>
          <w:sz w:val="44"/>
          <w:szCs w:val="44"/>
        </w:rPr>
      </w:pPr>
      <w:r>
        <w:rPr>
          <w:rFonts w:hint="eastAsia" w:ascii="宋体" w:hAnsi="宋体" w:cs="宋体"/>
          <w:b/>
          <w:sz w:val="44"/>
          <w:szCs w:val="44"/>
        </w:rPr>
        <w:t>投诉书</w:t>
      </w:r>
      <w:r>
        <w:rPr>
          <w:rFonts w:hint="eastAsia" w:ascii="宋体" w:hAnsi="宋体" w:cs="宋体"/>
          <w:sz w:val="28"/>
          <w:szCs w:val="28"/>
        </w:rPr>
        <w:t>（格式）</w:t>
      </w:r>
    </w:p>
    <w:p w14:paraId="2929F5CF">
      <w:pPr>
        <w:pStyle w:val="16"/>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49C7D88C">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12CB3E3E">
      <w:pPr>
        <w:pStyle w:val="16"/>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A1F79A9">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448B1785">
      <w:pPr>
        <w:pStyle w:val="16"/>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27121BF7">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7CC7939D">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0F76F9C8">
      <w:pPr>
        <w:pStyle w:val="16"/>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625917FD">
      <w:pPr>
        <w:pStyle w:val="16"/>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0EFA36CE">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301533E9">
      <w:pPr>
        <w:pStyle w:val="16"/>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8753887">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4066671">
      <w:pPr>
        <w:pStyle w:val="16"/>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0494B6E6">
      <w:pPr>
        <w:pStyle w:val="16"/>
        <w:snapToGrid w:val="0"/>
        <w:spacing w:line="360" w:lineRule="auto"/>
        <w:ind w:firstLine="480" w:firstLineChars="200"/>
        <w:rPr>
          <w:rFonts w:hAnsi="宋体" w:cs="宋体"/>
          <w:bCs/>
          <w:sz w:val="24"/>
          <w:szCs w:val="24"/>
        </w:rPr>
      </w:pPr>
      <w:r>
        <w:rPr>
          <w:rFonts w:hint="eastAsia" w:hAnsi="宋体" w:cs="宋体"/>
          <w:bCs/>
          <w:sz w:val="24"/>
          <w:szCs w:val="24"/>
        </w:rPr>
        <w:t>……</w:t>
      </w:r>
    </w:p>
    <w:p w14:paraId="583951B9">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2A00FA94">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0299C77A">
      <w:pPr>
        <w:pStyle w:val="16"/>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60864047">
      <w:pPr>
        <w:pStyle w:val="16"/>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195CBD0A">
      <w:pPr>
        <w:pStyle w:val="16"/>
        <w:spacing w:line="360" w:lineRule="auto"/>
        <w:ind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15CCD990">
      <w:pPr>
        <w:pStyle w:val="16"/>
        <w:spacing w:line="360" w:lineRule="auto"/>
        <w:ind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6EC3343D">
      <w:pPr>
        <w:pStyle w:val="16"/>
        <w:spacing w:line="360" w:lineRule="auto"/>
        <w:ind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51B7FA93">
      <w:pPr>
        <w:pStyle w:val="16"/>
        <w:spacing w:line="360" w:lineRule="auto"/>
        <w:ind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1A14C155">
      <w:pPr>
        <w:pStyle w:val="16"/>
        <w:spacing w:line="360" w:lineRule="auto"/>
        <w:ind w:firstLine="472" w:firstLineChars="197"/>
        <w:rPr>
          <w:rFonts w:hAnsi="宋体" w:cs="宋体"/>
          <w:bCs/>
          <w:sz w:val="24"/>
          <w:szCs w:val="24"/>
          <w:u w:val="single"/>
        </w:rPr>
      </w:pPr>
      <w:r>
        <w:rPr>
          <w:rFonts w:hint="eastAsia" w:hAnsi="宋体" w:cs="宋体"/>
          <w:bCs/>
          <w:sz w:val="24"/>
          <w:szCs w:val="24"/>
        </w:rPr>
        <w:t>采购文件公告：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29498AE2">
      <w:pPr>
        <w:pStyle w:val="16"/>
        <w:spacing w:line="360" w:lineRule="auto"/>
        <w:ind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0561D201">
      <w:pPr>
        <w:pStyle w:val="16"/>
        <w:spacing w:line="360" w:lineRule="auto"/>
        <w:ind w:firstLine="472" w:firstLineChars="196"/>
        <w:rPr>
          <w:rFonts w:hAnsi="宋体" w:cs="宋体"/>
          <w:b/>
          <w:sz w:val="24"/>
          <w:szCs w:val="24"/>
        </w:rPr>
      </w:pPr>
      <w:r>
        <w:rPr>
          <w:rFonts w:hint="eastAsia" w:hAnsi="宋体" w:cs="宋体"/>
          <w:b/>
          <w:sz w:val="24"/>
          <w:szCs w:val="24"/>
        </w:rPr>
        <w:t>三、质疑基本情况</w:t>
      </w:r>
    </w:p>
    <w:p w14:paraId="14C211EF">
      <w:pPr>
        <w:pStyle w:val="16"/>
        <w:spacing w:line="360" w:lineRule="auto"/>
        <w:ind w:left="479" w:leftChars="228" w:firstLine="60" w:firstLineChars="25"/>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7436BFAF">
      <w:pPr>
        <w:pStyle w:val="16"/>
        <w:spacing w:line="360" w:lineRule="auto"/>
        <w:ind w:firstLine="540" w:firstLineChars="225"/>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73648FD0">
      <w:pPr>
        <w:pStyle w:val="16"/>
        <w:spacing w:line="360" w:lineRule="auto"/>
        <w:ind w:firstLine="540" w:firstLineChars="225"/>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3EE067C">
      <w:pPr>
        <w:pStyle w:val="16"/>
        <w:spacing w:line="360" w:lineRule="auto"/>
        <w:ind w:firstLine="540" w:firstLineChars="225"/>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0D7BC0DB">
      <w:pPr>
        <w:pStyle w:val="16"/>
        <w:spacing w:line="360" w:lineRule="auto"/>
        <w:ind w:firstLine="472" w:firstLineChars="196"/>
        <w:rPr>
          <w:rFonts w:hAnsi="宋体" w:cs="宋体"/>
          <w:b/>
          <w:sz w:val="24"/>
          <w:szCs w:val="24"/>
        </w:rPr>
      </w:pPr>
      <w:r>
        <w:rPr>
          <w:rFonts w:hint="eastAsia" w:hAnsi="宋体" w:cs="宋体"/>
          <w:b/>
          <w:sz w:val="24"/>
          <w:szCs w:val="24"/>
        </w:rPr>
        <w:t>四、投诉事项具体内容</w:t>
      </w:r>
    </w:p>
    <w:p w14:paraId="5FA24422">
      <w:pPr>
        <w:pStyle w:val="16"/>
        <w:spacing w:line="360" w:lineRule="auto"/>
        <w:ind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6F1CBD7E">
      <w:pPr>
        <w:pStyle w:val="16"/>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3C9E6F41">
      <w:pPr>
        <w:pStyle w:val="16"/>
        <w:spacing w:line="360" w:lineRule="auto"/>
        <w:ind w:firstLine="472" w:firstLineChars="197"/>
        <w:rPr>
          <w:rFonts w:hAnsi="宋体" w:cs="宋体"/>
          <w:sz w:val="24"/>
          <w:szCs w:val="24"/>
        </w:rPr>
      </w:pPr>
      <w:r>
        <w:rPr>
          <w:rFonts w:hint="eastAsia" w:hAnsi="宋体" w:cs="宋体"/>
          <w:bCs/>
          <w:sz w:val="24"/>
          <w:szCs w:val="24"/>
          <w:u w:val="single"/>
        </w:rPr>
        <w:t xml:space="preserve">                                                                                        </w:t>
      </w:r>
    </w:p>
    <w:p w14:paraId="251EDA6B">
      <w:pPr>
        <w:pStyle w:val="16"/>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2BAE117D">
      <w:pPr>
        <w:pStyle w:val="16"/>
        <w:spacing w:line="360" w:lineRule="auto"/>
        <w:ind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4FE1C159">
      <w:pPr>
        <w:pStyle w:val="16"/>
        <w:spacing w:line="360" w:lineRule="auto"/>
        <w:ind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22C3647A">
      <w:pPr>
        <w:pStyle w:val="16"/>
        <w:spacing w:line="360" w:lineRule="auto"/>
        <w:ind w:firstLine="472" w:firstLineChars="197"/>
        <w:rPr>
          <w:rFonts w:hAnsi="宋体" w:cs="宋体"/>
          <w:bCs/>
          <w:sz w:val="24"/>
          <w:szCs w:val="24"/>
        </w:rPr>
      </w:pPr>
      <w:r>
        <w:rPr>
          <w:rFonts w:hint="eastAsia" w:hAnsi="宋体" w:cs="宋体"/>
          <w:bCs/>
          <w:sz w:val="24"/>
          <w:szCs w:val="24"/>
        </w:rPr>
        <w:t>……</w:t>
      </w:r>
    </w:p>
    <w:p w14:paraId="3CF25A70">
      <w:pPr>
        <w:pStyle w:val="16"/>
        <w:spacing w:line="360" w:lineRule="auto"/>
        <w:ind w:firstLine="472" w:firstLineChars="196"/>
        <w:rPr>
          <w:rFonts w:hAnsi="宋体" w:cs="宋体"/>
          <w:b/>
          <w:sz w:val="24"/>
          <w:szCs w:val="24"/>
        </w:rPr>
      </w:pPr>
      <w:r>
        <w:rPr>
          <w:rFonts w:hint="eastAsia" w:hAnsi="宋体" w:cs="宋体"/>
          <w:b/>
          <w:sz w:val="24"/>
          <w:szCs w:val="24"/>
        </w:rPr>
        <w:t>五、与投诉事项相关的投诉请求：</w:t>
      </w:r>
    </w:p>
    <w:p w14:paraId="3884446B">
      <w:pPr>
        <w:pStyle w:val="16"/>
        <w:spacing w:line="360" w:lineRule="auto"/>
        <w:ind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45418C85">
      <w:pPr>
        <w:pStyle w:val="16"/>
        <w:spacing w:line="360" w:lineRule="auto"/>
        <w:ind w:firstLine="352" w:firstLineChars="147"/>
        <w:rPr>
          <w:rFonts w:hAnsi="宋体" w:cs="宋体"/>
          <w:sz w:val="24"/>
          <w:szCs w:val="24"/>
        </w:rPr>
      </w:pPr>
    </w:p>
    <w:p w14:paraId="7EB8A760">
      <w:pPr>
        <w:pStyle w:val="16"/>
        <w:spacing w:line="360" w:lineRule="auto"/>
        <w:ind w:firstLine="472" w:firstLineChars="197"/>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Ansi="宋体" w:cs="宋体"/>
          <w:sz w:val="24"/>
          <w:szCs w:val="24"/>
          <w:u w:val="single"/>
        </w:rPr>
        <w:t xml:space="preserve">            </w:t>
      </w:r>
    </w:p>
    <w:p w14:paraId="0CF9FEA5">
      <w:pPr>
        <w:pStyle w:val="16"/>
        <w:spacing w:line="360" w:lineRule="auto"/>
        <w:ind w:firstLine="352" w:firstLineChars="147"/>
        <w:rPr>
          <w:rFonts w:hAnsi="宋体" w:cs="宋体"/>
          <w:sz w:val="24"/>
          <w:szCs w:val="24"/>
        </w:rPr>
      </w:pPr>
    </w:p>
    <w:p w14:paraId="6DAAC1A7">
      <w:pPr>
        <w:pStyle w:val="16"/>
        <w:spacing w:line="360" w:lineRule="auto"/>
        <w:ind w:firstLine="472" w:firstLineChars="197"/>
        <w:rPr>
          <w:rFonts w:hAnsi="宋体" w:cs="宋体"/>
          <w:sz w:val="24"/>
          <w:szCs w:val="24"/>
        </w:rPr>
      </w:pPr>
      <w:r>
        <w:rPr>
          <w:rFonts w:hint="eastAsia" w:hAnsi="宋体" w:cs="宋体"/>
          <w:sz w:val="24"/>
          <w:szCs w:val="24"/>
        </w:rPr>
        <w:t>日期：</w:t>
      </w:r>
      <w:r>
        <w:rPr>
          <w:rFonts w:hint="eastAsia" w:hAnsi="宋体" w:cs="宋体"/>
          <w:bCs/>
          <w:sz w:val="24"/>
          <w:szCs w:val="24"/>
        </w:rPr>
        <w:t xml:space="preserve">    </w:t>
      </w:r>
      <w:r>
        <w:rPr>
          <w:rFonts w:hint="eastAsia" w:cs="宋体" w:asciiTheme="minorEastAsia" w:hAnsiTheme="minorEastAsia" w:eastAsiaTheme="minorEastAsia"/>
          <w:spacing w:val="20"/>
          <w:sz w:val="24"/>
          <w:u w:val="single"/>
        </w:rPr>
        <w:t xml:space="preserve"> </w:t>
      </w:r>
      <w:r>
        <w:rPr>
          <w:rFonts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年</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月</w:t>
      </w:r>
      <w:r>
        <w:rPr>
          <w:rFonts w:hint="eastAsia" w:cs="宋体" w:asciiTheme="minorEastAsia" w:hAnsiTheme="minorEastAsia" w:eastAsiaTheme="minorEastAsia"/>
          <w:spacing w:val="20"/>
          <w:sz w:val="24"/>
          <w:u w:val="single"/>
        </w:rPr>
        <w:t xml:space="preserve">  </w:t>
      </w:r>
      <w:r>
        <w:rPr>
          <w:rFonts w:hint="eastAsia" w:cs="宋体" w:asciiTheme="minorEastAsia" w:hAnsiTheme="minorEastAsia" w:eastAsiaTheme="minorEastAsia"/>
          <w:spacing w:val="20"/>
          <w:sz w:val="24"/>
        </w:rPr>
        <w:t>日</w:t>
      </w:r>
      <w:r>
        <w:rPr>
          <w:rFonts w:hint="eastAsia" w:cs="宋体" w:asciiTheme="minorEastAsia" w:hAnsiTheme="minorEastAsia" w:eastAsiaTheme="minorEastAsia"/>
          <w:bCs/>
          <w:sz w:val="24"/>
          <w:szCs w:val="24"/>
        </w:rPr>
        <w:t xml:space="preserve"> </w:t>
      </w:r>
      <w:r>
        <w:rPr>
          <w:rFonts w:hint="eastAsia" w:hAnsi="宋体" w:cs="宋体"/>
          <w:bCs/>
          <w:sz w:val="24"/>
          <w:szCs w:val="24"/>
        </w:rPr>
        <w:t xml:space="preserve">                                                        </w:t>
      </w:r>
    </w:p>
    <w:p w14:paraId="4AD408F8">
      <w:pPr>
        <w:pStyle w:val="16"/>
        <w:snapToGrid w:val="0"/>
        <w:spacing w:line="360" w:lineRule="auto"/>
        <w:rPr>
          <w:rFonts w:hAnsi="宋体" w:cs="宋体"/>
          <w:b/>
          <w:sz w:val="24"/>
          <w:szCs w:val="24"/>
        </w:rPr>
      </w:pPr>
    </w:p>
    <w:p w14:paraId="4369021D">
      <w:pPr>
        <w:pStyle w:val="16"/>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14:paraId="2E82DB38">
      <w:pPr>
        <w:pStyle w:val="16"/>
        <w:spacing w:line="360" w:lineRule="auto"/>
        <w:ind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14:paraId="6D20AE29">
      <w:pPr>
        <w:pStyle w:val="16"/>
        <w:spacing w:line="360" w:lineRule="auto"/>
        <w:ind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C64B4A">
      <w:pPr>
        <w:pStyle w:val="16"/>
        <w:spacing w:line="360" w:lineRule="auto"/>
        <w:ind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14:paraId="67431B0A">
      <w:pPr>
        <w:pStyle w:val="16"/>
        <w:spacing w:line="360" w:lineRule="auto"/>
        <w:ind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14:paraId="14714193">
      <w:pPr>
        <w:pStyle w:val="16"/>
        <w:spacing w:line="360" w:lineRule="auto"/>
        <w:ind w:firstLine="354" w:firstLineChars="147"/>
        <w:rPr>
          <w:rFonts w:ascii="楷体" w:hAnsi="楷体" w:eastAsia="楷体" w:cs="宋体"/>
          <w:b/>
          <w:sz w:val="24"/>
          <w:szCs w:val="24"/>
        </w:rPr>
      </w:pPr>
      <w:r>
        <w:rPr>
          <w:rFonts w:ascii="楷体" w:hAnsi="楷体" w:eastAsia="楷体" w:cs="宋体"/>
          <w:b/>
          <w:sz w:val="24"/>
          <w:szCs w:val="24"/>
        </w:rPr>
        <w:t>5.投诉书的投诉请求应与投诉事项相关。</w:t>
      </w:r>
    </w:p>
    <w:p w14:paraId="57ED704E">
      <w:pPr>
        <w:pStyle w:val="16"/>
        <w:spacing w:line="360" w:lineRule="auto"/>
        <w:ind w:firstLine="354" w:firstLineChars="147"/>
        <w:rPr>
          <w:rFonts w:ascii="楷体" w:hAnsi="楷体" w:eastAsia="楷体" w:cs="宋体"/>
          <w:b/>
          <w:sz w:val="24"/>
          <w:szCs w:val="24"/>
        </w:rPr>
      </w:pPr>
      <w:r>
        <w:rPr>
          <w:rFonts w:ascii="楷体" w:hAnsi="楷体" w:eastAsia="楷体" w:cs="宋体"/>
          <w:b/>
          <w:sz w:val="24"/>
          <w:szCs w:val="24"/>
        </w:rPr>
        <w:t>6.投诉人为法人或者其他组织的，投诉书应由法定代表人、主要负责人，或者其授权代表签字或者盖章，并加盖公章。</w:t>
      </w:r>
    </w:p>
    <w:p w14:paraId="4AFA3A40">
      <w:pPr>
        <w:pStyle w:val="3"/>
        <w:spacing w:before="0" w:after="0" w:line="360" w:lineRule="auto"/>
        <w:jc w:val="center"/>
        <w:rPr>
          <w:rFonts w:ascii="宋体" w:hAnsi="宋体" w:cs="宋体"/>
        </w:rPr>
      </w:pPr>
      <w:bookmarkStart w:id="33" w:name="_Toc74322013"/>
      <w:r>
        <w:rPr>
          <w:rFonts w:hint="eastAsia" w:ascii="宋体" w:hAnsi="宋体" w:cs="宋体"/>
        </w:rPr>
        <w:t>第六章 合同文本</w:t>
      </w:r>
      <w:bookmarkEnd w:id="33"/>
    </w:p>
    <w:p w14:paraId="7C9981E3">
      <w:pPr>
        <w:adjustRightInd w:val="0"/>
        <w:snapToGrid w:val="0"/>
        <w:spacing w:line="360" w:lineRule="auto"/>
        <w:ind w:firstLine="420" w:firstLineChars="200"/>
        <w:rPr>
          <w:rFonts w:ascii="宋体" w:hAnsi="宋体" w:cs="宋体"/>
          <w:szCs w:val="21"/>
        </w:rPr>
      </w:pPr>
    </w:p>
    <w:p w14:paraId="2818DD19">
      <w:pPr>
        <w:spacing w:line="360" w:lineRule="auto"/>
        <w:rPr>
          <w:rFonts w:ascii="宋体" w:hAnsi="宋体" w:cs="宋体"/>
          <w:b/>
          <w:sz w:val="32"/>
          <w:szCs w:val="32"/>
        </w:rPr>
      </w:pPr>
      <w:r>
        <w:rPr>
          <w:rFonts w:hint="eastAsia" w:ascii="宋体" w:hAnsi="宋体" w:cs="宋体"/>
          <w:b/>
          <w:sz w:val="32"/>
          <w:szCs w:val="32"/>
        </w:rPr>
        <w:t>一般货物类</w:t>
      </w:r>
    </w:p>
    <w:p w14:paraId="74D5446F">
      <w:pPr>
        <w:spacing w:line="440" w:lineRule="exact"/>
        <w:rPr>
          <w:rFonts w:ascii="宋体" w:hAnsi="宋体" w:cs="宋体"/>
          <w:sz w:val="24"/>
        </w:rPr>
      </w:pPr>
      <w:r>
        <w:rPr>
          <w:rFonts w:hint="eastAsia" w:ascii="宋体" w:hAnsi="宋体" w:cs="宋体"/>
          <w:sz w:val="24"/>
        </w:rPr>
        <w:t>项目名称：</w:t>
      </w:r>
    </w:p>
    <w:p w14:paraId="1ECC7F8C">
      <w:pPr>
        <w:spacing w:line="440" w:lineRule="exact"/>
        <w:rPr>
          <w:rFonts w:ascii="宋体" w:hAnsi="宋体" w:cs="宋体"/>
          <w:sz w:val="24"/>
        </w:rPr>
      </w:pPr>
      <w:r>
        <w:rPr>
          <w:rFonts w:hint="eastAsia" w:ascii="宋体" w:hAnsi="宋体" w:cs="宋体"/>
          <w:sz w:val="24"/>
        </w:rPr>
        <w:t>合同编号：</w:t>
      </w:r>
    </w:p>
    <w:p w14:paraId="2645F35B">
      <w:pPr>
        <w:spacing w:line="440" w:lineRule="exact"/>
        <w:rPr>
          <w:rFonts w:ascii="宋体" w:hAnsi="宋体" w:cs="宋体"/>
          <w:sz w:val="24"/>
        </w:rPr>
      </w:pPr>
      <w:r>
        <w:rPr>
          <w:rFonts w:hint="eastAsia" w:ascii="宋体" w:hAnsi="宋体" w:cs="宋体"/>
          <w:sz w:val="24"/>
        </w:rPr>
        <w:t xml:space="preserve">采购人（甲方）：广西大学                      </w:t>
      </w:r>
    </w:p>
    <w:p w14:paraId="6495A733">
      <w:pPr>
        <w:spacing w:line="440" w:lineRule="exact"/>
        <w:rPr>
          <w:rFonts w:ascii="宋体" w:hAnsi="宋体" w:cs="宋体"/>
          <w:sz w:val="24"/>
        </w:rPr>
      </w:pPr>
      <w:r>
        <w:rPr>
          <w:rFonts w:hint="eastAsia" w:ascii="宋体" w:hAnsi="宋体" w:cs="宋体"/>
          <w:sz w:val="24"/>
        </w:rPr>
        <w:t xml:space="preserve">供应商（乙方）：   </w:t>
      </w:r>
    </w:p>
    <w:p w14:paraId="5C3C31C2">
      <w:pPr>
        <w:spacing w:line="440" w:lineRule="exact"/>
        <w:rPr>
          <w:rFonts w:ascii="宋体" w:hAnsi="宋体" w:cs="宋体"/>
          <w:sz w:val="24"/>
        </w:rPr>
      </w:pPr>
      <w:r>
        <w:rPr>
          <w:rFonts w:hint="eastAsia" w:ascii="宋体" w:hAnsi="宋体" w:cs="宋体"/>
          <w:sz w:val="24"/>
        </w:rPr>
        <w:t xml:space="preserve">项目编号：                           </w:t>
      </w:r>
    </w:p>
    <w:p w14:paraId="0C4DBE57">
      <w:pPr>
        <w:spacing w:line="440" w:lineRule="exact"/>
        <w:rPr>
          <w:rFonts w:ascii="宋体" w:hAnsi="宋体" w:cs="宋体"/>
          <w:sz w:val="24"/>
        </w:rPr>
      </w:pPr>
      <w:r>
        <w:rPr>
          <w:rFonts w:hint="eastAsia" w:ascii="宋体" w:hAnsi="宋体" w:cs="宋体"/>
          <w:sz w:val="24"/>
        </w:rPr>
        <w:t>签订地点：</w:t>
      </w:r>
      <w:r>
        <w:rPr>
          <w:rFonts w:hint="eastAsia" w:ascii="宋体" w:hAnsi="宋体" w:cs="宋体"/>
          <w:sz w:val="24"/>
          <w:u w:val="single"/>
        </w:rPr>
        <w:t>广西壮族自治区南宁市西乡塘区</w:t>
      </w:r>
      <w:r>
        <w:rPr>
          <w:rFonts w:hint="eastAsia" w:ascii="宋体" w:hAnsi="宋体" w:cs="宋体"/>
          <w:sz w:val="24"/>
        </w:rPr>
        <w:t xml:space="preserve">  </w:t>
      </w:r>
    </w:p>
    <w:p w14:paraId="34DBB9AE">
      <w:pPr>
        <w:snapToGrid w:val="0"/>
        <w:spacing w:line="460" w:lineRule="exact"/>
        <w:rPr>
          <w:rFonts w:ascii="宋体" w:hAnsi="宋体" w:cs="宋体"/>
          <w:sz w:val="24"/>
        </w:rPr>
      </w:pPr>
      <w:r>
        <w:rPr>
          <w:rFonts w:hint="eastAsia" w:ascii="宋体" w:hAnsi="宋体" w:cs="宋体"/>
          <w:sz w:val="24"/>
        </w:rPr>
        <w:t>本合同为中小企业预留合同：（是</w:t>
      </w:r>
      <w:r>
        <w:rPr>
          <w:rFonts w:hint="eastAsia" w:ascii="黑体" w:hAnsi="黑体" w:eastAsia="黑体" w:cs="宋体"/>
          <w:b/>
          <w:sz w:val="24"/>
        </w:rPr>
        <w:t>□</w:t>
      </w:r>
      <w:r>
        <w:rPr>
          <w:rFonts w:hint="eastAsia" w:ascii="宋体" w:hAnsi="宋体" w:cs="宋体"/>
          <w:sz w:val="24"/>
        </w:rPr>
        <w:t>/否</w:t>
      </w:r>
      <w:r>
        <w:rPr>
          <w:rFonts w:hint="eastAsia" w:ascii="黑体" w:hAnsi="黑体" w:eastAsia="黑体" w:cs="宋体"/>
          <w:b/>
          <w:sz w:val="24"/>
        </w:rPr>
        <w:t>□</w:t>
      </w:r>
      <w:r>
        <w:rPr>
          <w:rFonts w:hint="eastAsia" w:ascii="宋体" w:hAnsi="宋体" w:cs="宋体"/>
          <w:sz w:val="24"/>
        </w:rPr>
        <w:t>）</w:t>
      </w:r>
    </w:p>
    <w:p w14:paraId="5EE8FFDD">
      <w:pPr>
        <w:pStyle w:val="32"/>
      </w:pPr>
    </w:p>
    <w:p w14:paraId="1D8BC16F">
      <w:pPr>
        <w:snapToGrid w:val="0"/>
        <w:spacing w:line="360" w:lineRule="auto"/>
        <w:ind w:firstLine="480" w:firstLineChars="200"/>
        <w:rPr>
          <w:rFonts w:ascii="宋体" w:hAnsi="宋体" w:cs="宋体"/>
          <w:sz w:val="24"/>
        </w:rPr>
      </w:pPr>
      <w:bookmarkStart w:id="34" w:name="_Hlk55381736"/>
    </w:p>
    <w:p w14:paraId="15889126">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根据《中华人民共和国政府采购法》《中华人民共和国民法典》等法律、法规规定，按照竞争性谈判采购文件规定条款和乙方承诺，甲乙双方签订本合同。</w:t>
      </w:r>
    </w:p>
    <w:p w14:paraId="08B80E5A">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14:paraId="18108E8D">
      <w:pPr>
        <w:snapToGrid w:val="0"/>
        <w:spacing w:line="360" w:lineRule="auto"/>
        <w:ind w:firstLine="480" w:firstLineChars="200"/>
        <w:rPr>
          <w:rFonts w:ascii="宋体" w:hAnsi="宋体" w:cs="宋体"/>
          <w:b/>
          <w:sz w:val="24"/>
        </w:rPr>
      </w:pPr>
      <w:r>
        <w:rPr>
          <w:rFonts w:hint="eastAsia" w:ascii="宋体" w:hAnsi="宋体" w:cs="宋体"/>
          <w:sz w:val="24"/>
        </w:rPr>
        <w:t>1</w:t>
      </w:r>
      <w:r>
        <w:rPr>
          <w:rFonts w:ascii="宋体" w:hAnsi="宋体" w:cs="宋体"/>
          <w:sz w:val="24"/>
        </w:rPr>
        <w:t>.</w:t>
      </w:r>
      <w:r>
        <w:rPr>
          <w:rFonts w:hint="eastAsia" w:ascii="宋体" w:hAnsi="宋体" w:cs="宋体"/>
          <w:sz w:val="24"/>
        </w:rPr>
        <w:t>供货一览表</w:t>
      </w:r>
    </w:p>
    <w:tbl>
      <w:tblPr>
        <w:tblStyle w:val="26"/>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33E1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7458F517">
            <w:pPr>
              <w:snapToGrid w:val="0"/>
              <w:spacing w:line="460" w:lineRule="exact"/>
              <w:jc w:val="center"/>
              <w:rPr>
                <w:rFonts w:ascii="宋体" w:hAnsi="宋体" w:cs="宋体"/>
                <w:b/>
                <w:sz w:val="24"/>
              </w:rPr>
            </w:pPr>
            <w:r>
              <w:rPr>
                <w:rFonts w:hint="eastAsia" w:ascii="宋体" w:hAnsi="宋体" w:cs="宋体"/>
                <w:b/>
                <w:sz w:val="24"/>
              </w:rPr>
              <w:t>序号</w:t>
            </w:r>
          </w:p>
        </w:tc>
        <w:tc>
          <w:tcPr>
            <w:tcW w:w="1034" w:type="dxa"/>
            <w:vAlign w:val="center"/>
          </w:tcPr>
          <w:p w14:paraId="13BF5A4F">
            <w:pPr>
              <w:snapToGrid w:val="0"/>
              <w:spacing w:line="460" w:lineRule="exact"/>
              <w:jc w:val="center"/>
              <w:rPr>
                <w:rFonts w:ascii="宋体" w:hAnsi="宋体" w:cs="宋体"/>
                <w:b/>
                <w:sz w:val="24"/>
              </w:rPr>
            </w:pPr>
            <w:r>
              <w:rPr>
                <w:rFonts w:hint="eastAsia" w:ascii="宋体" w:hAnsi="宋体" w:cs="宋体"/>
                <w:b/>
                <w:sz w:val="24"/>
              </w:rPr>
              <w:t>标的名称</w:t>
            </w:r>
          </w:p>
        </w:tc>
        <w:tc>
          <w:tcPr>
            <w:tcW w:w="1134" w:type="dxa"/>
            <w:vAlign w:val="center"/>
          </w:tcPr>
          <w:p w14:paraId="2EF8525B">
            <w:pPr>
              <w:snapToGrid w:val="0"/>
              <w:spacing w:line="460" w:lineRule="exact"/>
              <w:jc w:val="center"/>
              <w:rPr>
                <w:rFonts w:ascii="宋体" w:hAnsi="宋体" w:cs="宋体"/>
                <w:b/>
                <w:sz w:val="24"/>
              </w:rPr>
            </w:pPr>
            <w:r>
              <w:rPr>
                <w:rFonts w:hint="eastAsia" w:ascii="宋体" w:hAnsi="宋体" w:cs="宋体"/>
                <w:b/>
                <w:sz w:val="24"/>
              </w:rPr>
              <w:t>商标品牌</w:t>
            </w:r>
          </w:p>
        </w:tc>
        <w:tc>
          <w:tcPr>
            <w:tcW w:w="1276" w:type="dxa"/>
            <w:vAlign w:val="center"/>
          </w:tcPr>
          <w:p w14:paraId="077C35BE">
            <w:pPr>
              <w:snapToGrid w:val="0"/>
              <w:spacing w:line="460" w:lineRule="exact"/>
              <w:jc w:val="center"/>
              <w:rPr>
                <w:rFonts w:ascii="宋体" w:hAnsi="宋体" w:cs="宋体"/>
                <w:b/>
                <w:sz w:val="24"/>
              </w:rPr>
            </w:pPr>
            <w:r>
              <w:rPr>
                <w:rFonts w:hint="eastAsia" w:ascii="宋体" w:hAnsi="宋体" w:cs="宋体"/>
                <w:b/>
                <w:sz w:val="24"/>
              </w:rPr>
              <w:t>规格型号</w:t>
            </w:r>
          </w:p>
        </w:tc>
        <w:tc>
          <w:tcPr>
            <w:tcW w:w="1134" w:type="dxa"/>
            <w:vAlign w:val="center"/>
          </w:tcPr>
          <w:p w14:paraId="432674D8">
            <w:pPr>
              <w:snapToGrid w:val="0"/>
              <w:jc w:val="center"/>
              <w:rPr>
                <w:rFonts w:ascii="宋体" w:hAnsi="宋体" w:cs="宋体"/>
                <w:b/>
                <w:sz w:val="24"/>
              </w:rPr>
            </w:pPr>
            <w:r>
              <w:rPr>
                <w:rFonts w:hint="eastAsia" w:ascii="宋体" w:hAnsi="宋体" w:cs="宋体"/>
                <w:b/>
                <w:sz w:val="24"/>
              </w:rPr>
              <w:t>生产厂家</w:t>
            </w:r>
          </w:p>
        </w:tc>
        <w:tc>
          <w:tcPr>
            <w:tcW w:w="992" w:type="dxa"/>
            <w:vAlign w:val="center"/>
          </w:tcPr>
          <w:p w14:paraId="355D4C80">
            <w:pPr>
              <w:snapToGrid w:val="0"/>
              <w:jc w:val="center"/>
              <w:rPr>
                <w:rFonts w:ascii="宋体" w:hAnsi="宋体" w:cs="宋体"/>
                <w:b/>
                <w:sz w:val="24"/>
              </w:rPr>
            </w:pPr>
            <w:r>
              <w:rPr>
                <w:rFonts w:hint="eastAsia" w:ascii="宋体" w:hAnsi="宋体" w:cs="宋体"/>
                <w:b/>
                <w:sz w:val="24"/>
              </w:rPr>
              <w:t>产地</w:t>
            </w:r>
          </w:p>
        </w:tc>
        <w:tc>
          <w:tcPr>
            <w:tcW w:w="709" w:type="dxa"/>
            <w:vAlign w:val="center"/>
          </w:tcPr>
          <w:p w14:paraId="574C8FA8">
            <w:pPr>
              <w:snapToGrid w:val="0"/>
              <w:jc w:val="center"/>
              <w:rPr>
                <w:rFonts w:ascii="宋体" w:hAnsi="宋体" w:cs="宋体"/>
                <w:b/>
                <w:sz w:val="24"/>
              </w:rPr>
            </w:pPr>
            <w:r>
              <w:rPr>
                <w:rFonts w:hint="eastAsia" w:ascii="宋体" w:hAnsi="宋体" w:cs="宋体"/>
                <w:b/>
                <w:sz w:val="24"/>
              </w:rPr>
              <w:t>数  量</w:t>
            </w:r>
          </w:p>
        </w:tc>
        <w:tc>
          <w:tcPr>
            <w:tcW w:w="830" w:type="dxa"/>
            <w:vAlign w:val="center"/>
          </w:tcPr>
          <w:p w14:paraId="2F3012F9">
            <w:pPr>
              <w:snapToGrid w:val="0"/>
              <w:jc w:val="center"/>
              <w:rPr>
                <w:rFonts w:ascii="宋体" w:hAnsi="宋体" w:cs="宋体"/>
                <w:b/>
                <w:sz w:val="24"/>
              </w:rPr>
            </w:pPr>
            <w:r>
              <w:rPr>
                <w:rFonts w:hint="eastAsia" w:ascii="宋体" w:hAnsi="宋体" w:cs="宋体"/>
                <w:b/>
                <w:sz w:val="24"/>
              </w:rPr>
              <w:t>单位</w:t>
            </w:r>
          </w:p>
        </w:tc>
        <w:tc>
          <w:tcPr>
            <w:tcW w:w="1722" w:type="dxa"/>
            <w:vAlign w:val="center"/>
          </w:tcPr>
          <w:p w14:paraId="6254A65C">
            <w:pPr>
              <w:snapToGrid w:val="0"/>
              <w:jc w:val="center"/>
              <w:rPr>
                <w:rFonts w:ascii="宋体" w:hAnsi="宋体" w:cs="宋体"/>
                <w:b/>
                <w:sz w:val="24"/>
              </w:rPr>
            </w:pPr>
            <w:r>
              <w:rPr>
                <w:rFonts w:hint="eastAsia" w:ascii="宋体" w:hAnsi="宋体" w:cs="宋体"/>
                <w:b/>
                <w:sz w:val="24"/>
              </w:rPr>
              <w:t>单  价</w:t>
            </w:r>
          </w:p>
          <w:p w14:paraId="647EF155">
            <w:pPr>
              <w:snapToGrid w:val="0"/>
              <w:jc w:val="center"/>
              <w:rPr>
                <w:rFonts w:ascii="宋体" w:hAnsi="宋体" w:cs="宋体"/>
                <w:b/>
                <w:sz w:val="24"/>
              </w:rPr>
            </w:pPr>
            <w:r>
              <w:rPr>
                <w:rFonts w:hint="eastAsia" w:ascii="宋体" w:hAnsi="宋体" w:cs="宋体"/>
                <w:b/>
                <w:sz w:val="24"/>
              </w:rPr>
              <w:t>（元/人民币）</w:t>
            </w:r>
          </w:p>
        </w:tc>
        <w:tc>
          <w:tcPr>
            <w:tcW w:w="1276" w:type="dxa"/>
            <w:vAlign w:val="center"/>
          </w:tcPr>
          <w:p w14:paraId="74FD48E1">
            <w:pPr>
              <w:snapToGrid w:val="0"/>
              <w:jc w:val="center"/>
              <w:rPr>
                <w:rFonts w:ascii="宋体" w:hAnsi="宋体" w:cs="宋体"/>
                <w:b/>
                <w:sz w:val="24"/>
              </w:rPr>
            </w:pPr>
            <w:r>
              <w:rPr>
                <w:rFonts w:hint="eastAsia" w:ascii="宋体" w:hAnsi="宋体" w:cs="宋体"/>
                <w:b/>
                <w:sz w:val="24"/>
              </w:rPr>
              <w:t>单项合计</w:t>
            </w:r>
            <w:r>
              <w:rPr>
                <w:rFonts w:hint="eastAsia" w:ascii="宋体" w:hAnsi="宋体" w:cs="宋体"/>
                <w:b/>
                <w:szCs w:val="21"/>
              </w:rPr>
              <w:t>（元/人民币）</w:t>
            </w:r>
          </w:p>
        </w:tc>
      </w:tr>
      <w:tr w14:paraId="4218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7AA99A42">
            <w:pPr>
              <w:snapToGrid w:val="0"/>
              <w:spacing w:line="460" w:lineRule="exact"/>
              <w:jc w:val="center"/>
              <w:rPr>
                <w:rFonts w:ascii="宋体" w:hAnsi="宋体" w:cs="宋体"/>
                <w:sz w:val="24"/>
              </w:rPr>
            </w:pPr>
            <w:r>
              <w:rPr>
                <w:rFonts w:hint="eastAsia" w:ascii="宋体" w:hAnsi="宋体" w:cs="宋体"/>
                <w:sz w:val="24"/>
              </w:rPr>
              <w:t>1</w:t>
            </w:r>
          </w:p>
        </w:tc>
        <w:tc>
          <w:tcPr>
            <w:tcW w:w="1034" w:type="dxa"/>
            <w:vAlign w:val="center"/>
          </w:tcPr>
          <w:p w14:paraId="578FD282">
            <w:pPr>
              <w:snapToGrid w:val="0"/>
              <w:spacing w:line="460" w:lineRule="exact"/>
              <w:jc w:val="center"/>
              <w:rPr>
                <w:rFonts w:ascii="宋体" w:hAnsi="宋体" w:cs="宋体"/>
                <w:sz w:val="24"/>
              </w:rPr>
            </w:pPr>
          </w:p>
        </w:tc>
        <w:tc>
          <w:tcPr>
            <w:tcW w:w="1134" w:type="dxa"/>
            <w:vAlign w:val="center"/>
          </w:tcPr>
          <w:p w14:paraId="438B9ADF">
            <w:pPr>
              <w:snapToGrid w:val="0"/>
              <w:spacing w:line="460" w:lineRule="exact"/>
              <w:jc w:val="center"/>
              <w:rPr>
                <w:rFonts w:ascii="宋体" w:hAnsi="宋体" w:cs="宋体"/>
                <w:sz w:val="24"/>
              </w:rPr>
            </w:pPr>
          </w:p>
        </w:tc>
        <w:tc>
          <w:tcPr>
            <w:tcW w:w="1276" w:type="dxa"/>
            <w:vAlign w:val="center"/>
          </w:tcPr>
          <w:p w14:paraId="5DC12817">
            <w:pPr>
              <w:snapToGrid w:val="0"/>
              <w:spacing w:line="460" w:lineRule="exact"/>
              <w:jc w:val="center"/>
              <w:rPr>
                <w:rFonts w:ascii="宋体" w:hAnsi="宋体" w:cs="宋体"/>
                <w:sz w:val="24"/>
              </w:rPr>
            </w:pPr>
          </w:p>
        </w:tc>
        <w:tc>
          <w:tcPr>
            <w:tcW w:w="1134" w:type="dxa"/>
          </w:tcPr>
          <w:p w14:paraId="562BD458">
            <w:pPr>
              <w:snapToGrid w:val="0"/>
              <w:spacing w:line="460" w:lineRule="exact"/>
              <w:jc w:val="center"/>
              <w:rPr>
                <w:rFonts w:ascii="宋体" w:hAnsi="宋体" w:cs="宋体"/>
                <w:sz w:val="24"/>
              </w:rPr>
            </w:pPr>
          </w:p>
        </w:tc>
        <w:tc>
          <w:tcPr>
            <w:tcW w:w="992" w:type="dxa"/>
            <w:vAlign w:val="center"/>
          </w:tcPr>
          <w:p w14:paraId="6A7E1393">
            <w:pPr>
              <w:snapToGrid w:val="0"/>
              <w:spacing w:line="460" w:lineRule="exact"/>
              <w:jc w:val="center"/>
              <w:rPr>
                <w:rFonts w:ascii="宋体" w:hAnsi="宋体" w:cs="宋体"/>
                <w:sz w:val="24"/>
              </w:rPr>
            </w:pPr>
          </w:p>
        </w:tc>
        <w:tc>
          <w:tcPr>
            <w:tcW w:w="709" w:type="dxa"/>
            <w:vAlign w:val="center"/>
          </w:tcPr>
          <w:p w14:paraId="01C1E5EB">
            <w:pPr>
              <w:snapToGrid w:val="0"/>
              <w:spacing w:line="460" w:lineRule="exact"/>
              <w:jc w:val="center"/>
              <w:rPr>
                <w:rFonts w:ascii="宋体" w:hAnsi="宋体" w:cs="宋体"/>
                <w:sz w:val="24"/>
              </w:rPr>
            </w:pPr>
          </w:p>
        </w:tc>
        <w:tc>
          <w:tcPr>
            <w:tcW w:w="830" w:type="dxa"/>
          </w:tcPr>
          <w:p w14:paraId="069E10FC">
            <w:pPr>
              <w:snapToGrid w:val="0"/>
              <w:spacing w:line="460" w:lineRule="exact"/>
              <w:jc w:val="center"/>
              <w:rPr>
                <w:rFonts w:ascii="宋体" w:hAnsi="宋体" w:cs="宋体"/>
                <w:sz w:val="24"/>
              </w:rPr>
            </w:pPr>
          </w:p>
        </w:tc>
        <w:tc>
          <w:tcPr>
            <w:tcW w:w="1722" w:type="dxa"/>
            <w:vAlign w:val="center"/>
          </w:tcPr>
          <w:p w14:paraId="78FE5841">
            <w:pPr>
              <w:snapToGrid w:val="0"/>
              <w:spacing w:line="460" w:lineRule="exact"/>
              <w:jc w:val="center"/>
              <w:rPr>
                <w:rFonts w:ascii="宋体" w:hAnsi="宋体" w:cs="宋体"/>
                <w:sz w:val="24"/>
              </w:rPr>
            </w:pPr>
          </w:p>
        </w:tc>
        <w:tc>
          <w:tcPr>
            <w:tcW w:w="1276" w:type="dxa"/>
          </w:tcPr>
          <w:p w14:paraId="508CBC19">
            <w:pPr>
              <w:snapToGrid w:val="0"/>
              <w:spacing w:line="460" w:lineRule="exact"/>
              <w:jc w:val="center"/>
              <w:rPr>
                <w:rFonts w:ascii="宋体" w:hAnsi="宋体" w:cs="宋体"/>
                <w:sz w:val="24"/>
              </w:rPr>
            </w:pPr>
          </w:p>
        </w:tc>
      </w:tr>
      <w:tr w14:paraId="1131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7BFA435E">
            <w:pPr>
              <w:snapToGrid w:val="0"/>
              <w:spacing w:line="460" w:lineRule="exact"/>
              <w:jc w:val="center"/>
              <w:rPr>
                <w:rFonts w:ascii="宋体" w:hAnsi="宋体" w:cs="宋体"/>
                <w:sz w:val="24"/>
              </w:rPr>
            </w:pPr>
          </w:p>
        </w:tc>
        <w:tc>
          <w:tcPr>
            <w:tcW w:w="1034" w:type="dxa"/>
            <w:vAlign w:val="center"/>
          </w:tcPr>
          <w:p w14:paraId="4AF763AF">
            <w:pPr>
              <w:snapToGrid w:val="0"/>
              <w:spacing w:line="460" w:lineRule="exact"/>
              <w:jc w:val="center"/>
              <w:rPr>
                <w:rFonts w:ascii="宋体" w:hAnsi="宋体" w:cs="宋体"/>
                <w:sz w:val="24"/>
              </w:rPr>
            </w:pPr>
          </w:p>
        </w:tc>
        <w:tc>
          <w:tcPr>
            <w:tcW w:w="1134" w:type="dxa"/>
            <w:vAlign w:val="center"/>
          </w:tcPr>
          <w:p w14:paraId="0FB81834">
            <w:pPr>
              <w:snapToGrid w:val="0"/>
              <w:spacing w:line="460" w:lineRule="exact"/>
              <w:jc w:val="center"/>
              <w:rPr>
                <w:rFonts w:ascii="宋体" w:hAnsi="宋体" w:cs="宋体"/>
                <w:sz w:val="24"/>
              </w:rPr>
            </w:pPr>
          </w:p>
        </w:tc>
        <w:tc>
          <w:tcPr>
            <w:tcW w:w="1276" w:type="dxa"/>
            <w:vAlign w:val="center"/>
          </w:tcPr>
          <w:p w14:paraId="24853E63">
            <w:pPr>
              <w:snapToGrid w:val="0"/>
              <w:spacing w:line="460" w:lineRule="exact"/>
              <w:jc w:val="center"/>
              <w:rPr>
                <w:rFonts w:ascii="宋体" w:hAnsi="宋体" w:cs="宋体"/>
                <w:sz w:val="24"/>
              </w:rPr>
            </w:pPr>
          </w:p>
        </w:tc>
        <w:tc>
          <w:tcPr>
            <w:tcW w:w="1134" w:type="dxa"/>
          </w:tcPr>
          <w:p w14:paraId="26B717FC">
            <w:pPr>
              <w:snapToGrid w:val="0"/>
              <w:spacing w:line="460" w:lineRule="exact"/>
              <w:jc w:val="center"/>
              <w:rPr>
                <w:rFonts w:ascii="宋体" w:hAnsi="宋体" w:cs="宋体"/>
                <w:sz w:val="24"/>
              </w:rPr>
            </w:pPr>
          </w:p>
        </w:tc>
        <w:tc>
          <w:tcPr>
            <w:tcW w:w="992" w:type="dxa"/>
            <w:vAlign w:val="center"/>
          </w:tcPr>
          <w:p w14:paraId="591FE4FA">
            <w:pPr>
              <w:snapToGrid w:val="0"/>
              <w:spacing w:line="460" w:lineRule="exact"/>
              <w:jc w:val="center"/>
              <w:rPr>
                <w:rFonts w:ascii="宋体" w:hAnsi="宋体" w:cs="宋体"/>
                <w:sz w:val="24"/>
              </w:rPr>
            </w:pPr>
          </w:p>
        </w:tc>
        <w:tc>
          <w:tcPr>
            <w:tcW w:w="709" w:type="dxa"/>
            <w:vAlign w:val="center"/>
          </w:tcPr>
          <w:p w14:paraId="37A04122">
            <w:pPr>
              <w:snapToGrid w:val="0"/>
              <w:spacing w:line="460" w:lineRule="exact"/>
              <w:jc w:val="center"/>
              <w:rPr>
                <w:rFonts w:ascii="宋体" w:hAnsi="宋体" w:cs="宋体"/>
                <w:sz w:val="24"/>
              </w:rPr>
            </w:pPr>
          </w:p>
        </w:tc>
        <w:tc>
          <w:tcPr>
            <w:tcW w:w="830" w:type="dxa"/>
          </w:tcPr>
          <w:p w14:paraId="19EF87ED">
            <w:pPr>
              <w:snapToGrid w:val="0"/>
              <w:spacing w:line="460" w:lineRule="exact"/>
              <w:jc w:val="center"/>
              <w:rPr>
                <w:rFonts w:ascii="宋体" w:hAnsi="宋体" w:cs="宋体"/>
                <w:sz w:val="24"/>
              </w:rPr>
            </w:pPr>
          </w:p>
        </w:tc>
        <w:tc>
          <w:tcPr>
            <w:tcW w:w="1722" w:type="dxa"/>
            <w:vAlign w:val="center"/>
          </w:tcPr>
          <w:p w14:paraId="153E4905">
            <w:pPr>
              <w:snapToGrid w:val="0"/>
              <w:spacing w:line="460" w:lineRule="exact"/>
              <w:jc w:val="center"/>
              <w:rPr>
                <w:rFonts w:ascii="宋体" w:hAnsi="宋体" w:cs="宋体"/>
                <w:sz w:val="24"/>
              </w:rPr>
            </w:pPr>
          </w:p>
        </w:tc>
        <w:tc>
          <w:tcPr>
            <w:tcW w:w="1276" w:type="dxa"/>
          </w:tcPr>
          <w:p w14:paraId="118407F5">
            <w:pPr>
              <w:snapToGrid w:val="0"/>
              <w:spacing w:line="460" w:lineRule="exact"/>
              <w:jc w:val="center"/>
              <w:rPr>
                <w:rFonts w:ascii="宋体" w:hAnsi="宋体" w:cs="宋体"/>
                <w:sz w:val="24"/>
              </w:rPr>
            </w:pPr>
          </w:p>
        </w:tc>
      </w:tr>
      <w:tr w14:paraId="07C7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53CD5878">
            <w:pPr>
              <w:snapToGrid w:val="0"/>
              <w:spacing w:line="460" w:lineRule="exact"/>
              <w:jc w:val="left"/>
              <w:rPr>
                <w:rFonts w:ascii="宋体" w:hAnsi="宋体" w:cs="宋体"/>
                <w:sz w:val="24"/>
              </w:rPr>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ascii="宋体" w:hAnsi="宋体" w:cs="宋体"/>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bl>
    <w:p w14:paraId="774538FE">
      <w:pPr>
        <w:snapToGrid w:val="0"/>
        <w:spacing w:line="460" w:lineRule="exact"/>
        <w:ind w:firstLine="480" w:firstLineChars="200"/>
        <w:rPr>
          <w:rFonts w:ascii="宋体" w:hAnsi="宋体" w:cs="宋体"/>
          <w:sz w:val="24"/>
        </w:rPr>
      </w:pPr>
      <w:r>
        <w:rPr>
          <w:rFonts w:hint="eastAsia" w:ascii="宋体" w:hAnsi="宋体" w:cs="宋体"/>
          <w:sz w:val="24"/>
        </w:rPr>
        <w:t>2.合同合计金额包括设备、随配附件、备品备件、辅助材料、工具、运抵指定交货地点、材料运输及人工搬运费、垃圾清理及排放、保险、现场安装、培训、调试及验收的各种费用、设备接入学校能源物联网设备管理平台和水电预付费管理系统过程中的一切费用、质量保证期内服务、售后服务、人工费、税费及其他所有成本费用的总和，乙方必须自行考虑项目需要的其他设备和材料，合同履行过程中，甲方不再支付合同以外的其他费用。税费因政策等原因发生变化的，由乙方承担。</w:t>
      </w:r>
    </w:p>
    <w:p w14:paraId="35A862A2">
      <w:pPr>
        <w:snapToGrid w:val="0"/>
        <w:spacing w:line="460" w:lineRule="exact"/>
        <w:ind w:firstLine="482" w:firstLineChars="200"/>
        <w:rPr>
          <w:rFonts w:ascii="宋体" w:hAnsi="宋体" w:cs="宋体"/>
          <w:sz w:val="24"/>
        </w:rPr>
      </w:pPr>
      <w:r>
        <w:rPr>
          <w:rFonts w:hint="eastAsia" w:ascii="宋体" w:hAnsi="宋体" w:cs="宋体"/>
          <w:b/>
          <w:sz w:val="24"/>
        </w:rPr>
        <w:t>第二条　质量要求</w:t>
      </w:r>
    </w:p>
    <w:p w14:paraId="17DCAC28">
      <w:pPr>
        <w:snapToGrid w:val="0"/>
        <w:spacing w:line="460" w:lineRule="exact"/>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1.乙方所提供的产品名称、商标品牌、生产厂家、规格型号、技术参数等质量必须与采购文件规定及响应文件承诺相一致。乙方提供的节能和环保产品必须是列入政府采购品目清单的产品。</w:t>
      </w:r>
    </w:p>
    <w:p w14:paraId="07C54311">
      <w:pPr>
        <w:snapToGrid w:val="0"/>
        <w:spacing w:line="460" w:lineRule="exact"/>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2.乙方所提供的货物必须是全新、未使用的原装产品，且在正常安装、使用和保养条件下，其使用寿命期内各项指标均达到采购文件规定或者响应文件承诺的质量要求。</w:t>
      </w:r>
    </w:p>
    <w:p w14:paraId="35AA900F">
      <w:pPr>
        <w:snapToGrid w:val="0"/>
        <w:spacing w:line="460" w:lineRule="exact"/>
        <w:ind w:firstLine="482" w:firstLineChars="200"/>
        <w:rPr>
          <w:rFonts w:ascii="宋体" w:hAnsi="宋体" w:cs="宋体"/>
          <w:sz w:val="24"/>
        </w:rPr>
      </w:pPr>
      <w:r>
        <w:rPr>
          <w:rFonts w:hint="eastAsia" w:ascii="宋体" w:hAnsi="宋体" w:cs="宋体"/>
          <w:b/>
          <w:sz w:val="24"/>
        </w:rPr>
        <w:t>第三条　权利保证</w:t>
      </w:r>
    </w:p>
    <w:p w14:paraId="6B6561B8">
      <w:pPr>
        <w:snapToGrid w:val="0"/>
        <w:spacing w:line="460" w:lineRule="exact"/>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w:t>
      </w:r>
    </w:p>
    <w:p w14:paraId="2B62BA9E">
      <w:pPr>
        <w:snapToGrid w:val="0"/>
        <w:spacing w:line="460" w:lineRule="exact"/>
        <w:ind w:firstLine="480" w:firstLineChars="200"/>
        <w:rPr>
          <w:rFonts w:ascii="宋体" w:hAnsi="宋体" w:cs="宋体"/>
          <w:sz w:val="24"/>
        </w:rPr>
      </w:pPr>
      <w:r>
        <w:rPr>
          <w:rFonts w:hint="eastAsia" w:ascii="宋体" w:hAnsi="宋体" w:cs="宋体"/>
          <w:sz w:val="24"/>
        </w:rPr>
        <w:t>2.乙方应按采购文件规定或者响应文件承诺的时间向甲方提供使用货物的有关技术资料。</w:t>
      </w:r>
    </w:p>
    <w:p w14:paraId="059E1319">
      <w:pPr>
        <w:snapToGrid w:val="0"/>
        <w:spacing w:line="460" w:lineRule="exact"/>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1C4F5570">
      <w:pPr>
        <w:snapToGrid w:val="0"/>
        <w:spacing w:line="460" w:lineRule="exact"/>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w:t>
      </w:r>
    </w:p>
    <w:p w14:paraId="2A8D7BBC">
      <w:pPr>
        <w:snapToGrid w:val="0"/>
        <w:spacing w:line="460" w:lineRule="exact"/>
        <w:ind w:firstLine="482" w:firstLineChars="200"/>
        <w:rPr>
          <w:rFonts w:ascii="宋体" w:hAnsi="宋体" w:cs="宋体"/>
          <w:b/>
          <w:sz w:val="24"/>
        </w:rPr>
      </w:pPr>
      <w:r>
        <w:rPr>
          <w:rFonts w:hint="eastAsia" w:ascii="宋体" w:hAnsi="宋体" w:cs="宋体"/>
          <w:b/>
          <w:sz w:val="24"/>
        </w:rPr>
        <w:t>第四条　包装、运输和签收</w:t>
      </w:r>
    </w:p>
    <w:p w14:paraId="10D0B12B">
      <w:pPr>
        <w:snapToGrid w:val="0"/>
        <w:spacing w:line="460" w:lineRule="exact"/>
        <w:ind w:firstLine="480" w:firstLineChars="200"/>
        <w:rPr>
          <w:rFonts w:ascii="宋体" w:hAnsi="宋体" w:cs="宋体"/>
          <w:sz w:val="24"/>
        </w:rPr>
      </w:pPr>
      <w:r>
        <w:rPr>
          <w:rFonts w:hint="eastAsia" w:ascii="宋体" w:hAnsi="宋体" w:cs="宋体"/>
          <w:sz w:val="24"/>
        </w:rPr>
        <w:t>1.乙方提供的货物均应包装完整，每一包装单元内应附详细的装箱单和质量合格证。</w:t>
      </w:r>
    </w:p>
    <w:p w14:paraId="3129783E">
      <w:pPr>
        <w:pStyle w:val="16"/>
        <w:snapToGrid w:val="0"/>
        <w:spacing w:line="440" w:lineRule="exact"/>
        <w:ind w:firstLine="480" w:firstLineChars="200"/>
        <w:rPr>
          <w:rFonts w:hAnsi="宋体" w:cs="宋体"/>
          <w:sz w:val="24"/>
          <w:szCs w:val="24"/>
        </w:rPr>
      </w:pPr>
      <w:r>
        <w:rPr>
          <w:rFonts w:hint="eastAsia" w:hAnsi="宋体" w:cs="宋体"/>
          <w:sz w:val="24"/>
          <w:szCs w:val="24"/>
        </w:rPr>
        <w:t>2.货物的运输：</w:t>
      </w:r>
      <w:r>
        <w:rPr>
          <w:rFonts w:hAnsi="宋体" w:cs="宋体"/>
          <w:sz w:val="24"/>
          <w:szCs w:val="24"/>
          <w:u w:val="single"/>
        </w:rPr>
        <w:t xml:space="preserve"> 。</w:t>
      </w:r>
    </w:p>
    <w:p w14:paraId="1EF6B027">
      <w:pPr>
        <w:pStyle w:val="16"/>
        <w:snapToGrid w:val="0"/>
        <w:spacing w:line="440" w:lineRule="exact"/>
        <w:ind w:firstLine="480" w:firstLineChars="200"/>
        <w:rPr>
          <w:rFonts w:hAnsi="宋体" w:cs="宋体"/>
          <w:sz w:val="24"/>
          <w:szCs w:val="24"/>
        </w:rPr>
      </w:pPr>
      <w:r>
        <w:rPr>
          <w:rFonts w:hint="eastAsia" w:hAnsi="宋体" w:cs="宋体"/>
          <w:sz w:val="24"/>
          <w:szCs w:val="24"/>
        </w:rPr>
        <w:t>3. 乙方负责货物运输，货物运输合理损耗及计算方法：</w:t>
      </w:r>
      <w:r>
        <w:rPr>
          <w:rFonts w:hint="eastAsia" w:hAnsi="宋体" w:cs="宋体"/>
          <w:sz w:val="24"/>
          <w:szCs w:val="24"/>
          <w:u w:val="single"/>
        </w:rPr>
        <w:t>甲方不接受损耗。</w:t>
      </w:r>
    </w:p>
    <w:p w14:paraId="78D08289">
      <w:pPr>
        <w:pStyle w:val="16"/>
        <w:snapToGrid w:val="0"/>
        <w:spacing w:line="440" w:lineRule="exact"/>
        <w:ind w:firstLine="480" w:firstLineChars="200"/>
        <w:rPr>
          <w:rFonts w:hAnsi="宋体" w:cs="宋体"/>
          <w:sz w:val="24"/>
          <w:szCs w:val="24"/>
        </w:rPr>
      </w:pPr>
      <w:r>
        <w:rPr>
          <w:rFonts w:hAnsi="宋体" w:cs="宋体"/>
          <w:sz w:val="24"/>
          <w:szCs w:val="24"/>
        </w:rPr>
        <w:t>4.</w:t>
      </w:r>
      <w:r>
        <w:rPr>
          <w:rFonts w:hint="eastAsia" w:hAnsi="宋体" w:cs="宋体"/>
          <w:sz w:val="24"/>
          <w:szCs w:val="24"/>
        </w:rPr>
        <w:t>乙方应在货物发运前对其进行满足运输距离、防潮、防震、防锈和防破损装卸等要求包装，以保证货物安全运达甲方指定地点。</w:t>
      </w:r>
    </w:p>
    <w:p w14:paraId="722CAEB6">
      <w:pPr>
        <w:pStyle w:val="16"/>
        <w:snapToGrid w:val="0"/>
        <w:spacing w:line="44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 xml:space="preserve"> 使用说明书（货物属于进口产品的，供货时应同时附上中文使用说明书）、质量检验证明书、随配附件和工具以及清单一并附于货物内。</w:t>
      </w:r>
    </w:p>
    <w:p w14:paraId="37378084">
      <w:pPr>
        <w:pStyle w:val="16"/>
        <w:snapToGrid w:val="0"/>
        <w:spacing w:line="440" w:lineRule="exact"/>
        <w:ind w:firstLine="480" w:firstLineChars="200"/>
        <w:rPr>
          <w:rFonts w:hAnsi="宋体" w:cs="宋体"/>
          <w:sz w:val="24"/>
          <w:szCs w:val="24"/>
        </w:rPr>
      </w:pPr>
      <w:r>
        <w:rPr>
          <w:rFonts w:hAnsi="宋体" w:cs="宋体"/>
          <w:sz w:val="24"/>
          <w:szCs w:val="24"/>
        </w:rPr>
        <w:t>6</w:t>
      </w:r>
      <w:r>
        <w:rPr>
          <w:rFonts w:hint="eastAsia" w:hAnsi="宋体" w:cs="宋体"/>
          <w:sz w:val="24"/>
          <w:szCs w:val="24"/>
        </w:rPr>
        <w:t>.乙方在货物发运手续办理完毕后2</w:t>
      </w:r>
      <w:r>
        <w:rPr>
          <w:rFonts w:hAnsi="宋体" w:cs="宋体"/>
          <w:sz w:val="24"/>
          <w:szCs w:val="24"/>
        </w:rPr>
        <w:t>4</w:t>
      </w:r>
      <w:r>
        <w:rPr>
          <w:rFonts w:hint="eastAsia" w:hAnsi="宋体" w:cs="宋体"/>
          <w:sz w:val="24"/>
          <w:szCs w:val="24"/>
        </w:rPr>
        <w:t>小时内或者货到甲方4</w:t>
      </w:r>
      <w:r>
        <w:rPr>
          <w:rFonts w:hAnsi="宋体" w:cs="宋体"/>
          <w:sz w:val="24"/>
          <w:szCs w:val="24"/>
        </w:rPr>
        <w:t>8</w:t>
      </w:r>
      <w:r>
        <w:rPr>
          <w:rFonts w:hint="eastAsia" w:hAnsi="宋体" w:cs="宋体"/>
          <w:sz w:val="24"/>
          <w:szCs w:val="24"/>
        </w:rPr>
        <w:t>小时前通知甲方，以准备接货。</w:t>
      </w:r>
    </w:p>
    <w:p w14:paraId="21C5BD02">
      <w:pPr>
        <w:pStyle w:val="16"/>
        <w:snapToGrid w:val="0"/>
        <w:spacing w:line="440" w:lineRule="exact"/>
        <w:ind w:firstLine="480" w:firstLineChars="200"/>
        <w:rPr>
          <w:rFonts w:hAnsi="宋体" w:cs="宋体"/>
          <w:sz w:val="24"/>
          <w:szCs w:val="24"/>
        </w:rPr>
      </w:pPr>
      <w:r>
        <w:rPr>
          <w:rFonts w:hAnsi="宋体" w:cs="宋体"/>
          <w:sz w:val="24"/>
          <w:szCs w:val="24"/>
        </w:rPr>
        <w:t>7</w:t>
      </w:r>
      <w:r>
        <w:rPr>
          <w:rFonts w:hint="eastAsia" w:hAnsi="宋体" w:cs="宋体"/>
          <w:sz w:val="24"/>
          <w:szCs w:val="24"/>
        </w:rPr>
        <w:t>.货物在规定的交付期限内由乙方送达甲方指定的地点，乙方同时需通知甲方货物已送达，甲方清点货物后签收，货物签收不作为最终验收合格的依据。</w:t>
      </w:r>
    </w:p>
    <w:p w14:paraId="39F0AE73">
      <w:pPr>
        <w:snapToGrid w:val="0"/>
        <w:spacing w:line="460" w:lineRule="exact"/>
        <w:ind w:firstLine="482" w:firstLineChars="200"/>
        <w:rPr>
          <w:rFonts w:hAnsi="宋体" w:cs="宋体"/>
          <w:b/>
          <w:sz w:val="24"/>
        </w:rPr>
      </w:pPr>
      <w:r>
        <w:rPr>
          <w:rFonts w:hint="eastAsia" w:ascii="宋体" w:hAnsi="宋体" w:cs="宋体"/>
          <w:b/>
          <w:sz w:val="24"/>
        </w:rPr>
        <w:t>第五条　</w:t>
      </w:r>
      <w:r>
        <w:rPr>
          <w:rFonts w:hint="eastAsia" w:hAnsi="宋体" w:cs="宋体"/>
          <w:b/>
          <w:sz w:val="24"/>
        </w:rPr>
        <w:t>安装和培训</w:t>
      </w:r>
    </w:p>
    <w:p w14:paraId="61613882">
      <w:pPr>
        <w:snapToGrid w:val="0"/>
        <w:spacing w:line="460" w:lineRule="exact"/>
        <w:ind w:firstLine="480" w:firstLineChars="200"/>
        <w:rPr>
          <w:rFonts w:ascii="宋体" w:hAnsi="宋体" w:cs="宋体"/>
          <w:sz w:val="24"/>
        </w:rPr>
      </w:pPr>
      <w:r>
        <w:rPr>
          <w:rFonts w:hint="eastAsia" w:ascii="宋体" w:hAnsi="宋体" w:cs="宋体"/>
          <w:sz w:val="24"/>
        </w:rPr>
        <w:t>1.甲方应提供必要安装条件（如场地、电源、水源等）。</w:t>
      </w:r>
    </w:p>
    <w:p w14:paraId="69C1BF0C">
      <w:pPr>
        <w:snapToGrid w:val="0"/>
        <w:spacing w:line="460" w:lineRule="exact"/>
        <w:ind w:firstLine="480" w:firstLineChars="200"/>
        <w:rPr>
          <w:rFonts w:ascii="宋体" w:hAnsi="宋体" w:cs="宋体"/>
          <w:sz w:val="24"/>
          <w:u w:val="single"/>
        </w:rPr>
      </w:pPr>
      <w:r>
        <w:rPr>
          <w:rFonts w:hint="eastAsia" w:ascii="宋体" w:hAnsi="宋体" w:cs="宋体"/>
          <w:sz w:val="24"/>
        </w:rPr>
        <w:t>2.乙方响应文件承诺负责甲方有关人员的培训：</w:t>
      </w:r>
      <w:r>
        <w:rPr>
          <w:rFonts w:hint="eastAsia" w:ascii="宋体" w:hAnsi="宋体" w:cs="宋体"/>
          <w:sz w:val="24"/>
          <w:u w:val="single"/>
        </w:rPr>
        <w:t>根据甲方要求开展。</w:t>
      </w:r>
    </w:p>
    <w:p w14:paraId="48CB17CF">
      <w:pPr>
        <w:snapToGrid w:val="0"/>
        <w:spacing w:line="460" w:lineRule="exact"/>
        <w:ind w:firstLine="480" w:firstLineChars="200"/>
      </w:pPr>
      <w:r>
        <w:rPr>
          <w:rFonts w:hint="eastAsia" w:ascii="宋体" w:hAnsi="宋体" w:cs="宋体"/>
          <w:sz w:val="24"/>
        </w:rPr>
        <w:t>3.培训时间、地点：</w:t>
      </w:r>
      <w:r>
        <w:rPr>
          <w:rFonts w:hint="eastAsia" w:ascii="宋体" w:hAnsi="宋体" w:cs="宋体"/>
          <w:sz w:val="24"/>
          <w:u w:val="single"/>
        </w:rPr>
        <w:t>甲方指定。</w:t>
      </w:r>
    </w:p>
    <w:p w14:paraId="325D41FB">
      <w:pPr>
        <w:snapToGrid w:val="0"/>
        <w:spacing w:line="460" w:lineRule="exact"/>
        <w:ind w:firstLine="482" w:firstLineChars="200"/>
        <w:rPr>
          <w:rFonts w:ascii="宋体" w:hAnsi="宋体" w:cs="宋体"/>
          <w:sz w:val="24"/>
        </w:rPr>
      </w:pPr>
      <w:r>
        <w:rPr>
          <w:rFonts w:hint="eastAsia" w:ascii="宋体" w:hAnsi="宋体" w:cs="宋体"/>
          <w:b/>
          <w:sz w:val="24"/>
        </w:rPr>
        <w:t>第六条　调试、交付和验收</w:t>
      </w:r>
    </w:p>
    <w:p w14:paraId="3EB91599">
      <w:pPr>
        <w:snapToGrid w:val="0"/>
        <w:spacing w:line="460" w:lineRule="exact"/>
        <w:ind w:left="719" w:leftChars="228" w:hanging="240" w:hangingChars="100"/>
        <w:rPr>
          <w:rFonts w:ascii="宋体" w:hAnsi="宋体" w:cs="宋体"/>
          <w:sz w:val="24"/>
          <w:u w:val="single"/>
        </w:rPr>
      </w:pPr>
      <w:r>
        <w:rPr>
          <w:rFonts w:hint="eastAsia" w:ascii="宋体" w:hAnsi="宋体" w:cs="宋体"/>
          <w:sz w:val="24"/>
        </w:rPr>
        <w:t>1.交付时间：国产设备自签订合同之日起</w:t>
      </w:r>
      <w:r>
        <w:rPr>
          <w:rFonts w:ascii="宋体" w:hAnsi="宋体" w:cs="宋体"/>
          <w:sz w:val="24"/>
        </w:rPr>
        <w:t>**</w:t>
      </w:r>
      <w:r>
        <w:rPr>
          <w:rFonts w:hint="eastAsia" w:ascii="宋体" w:hAnsi="宋体" w:cs="宋体"/>
          <w:sz w:val="24"/>
        </w:rPr>
        <w:t>日历天内到货安装调试完成并通过验收。交付地点：</w:t>
      </w:r>
      <w:r>
        <w:rPr>
          <w:rFonts w:hint="eastAsia" w:ascii="宋体" w:hAnsi="宋体" w:cs="宋体"/>
          <w:sz w:val="24"/>
          <w:u w:val="single"/>
        </w:rPr>
        <w:t>甲方指定地点。</w:t>
      </w:r>
    </w:p>
    <w:p w14:paraId="5D7E5922">
      <w:pPr>
        <w:snapToGrid w:val="0"/>
        <w:spacing w:line="460" w:lineRule="exact"/>
        <w:ind w:firstLine="480" w:firstLineChars="200"/>
        <w:rPr>
          <w:rFonts w:ascii="宋体" w:hAnsi="宋体" w:cs="宋体"/>
          <w:sz w:val="24"/>
        </w:rPr>
      </w:pPr>
      <w:r>
        <w:rPr>
          <w:rFonts w:hint="eastAsia" w:ascii="宋体" w:hAnsi="宋体" w:cs="宋体"/>
          <w:sz w:val="24"/>
        </w:rPr>
        <w:t>2.乙方提供不符合采购文件规定或者响应文件承诺的和本合同规定的货物，甲方有权拒绝接受。</w:t>
      </w:r>
    </w:p>
    <w:p w14:paraId="3B11C9B5">
      <w:pPr>
        <w:snapToGrid w:val="0"/>
        <w:spacing w:line="360" w:lineRule="auto"/>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5A3E3FA">
      <w:pPr>
        <w:snapToGrid w:val="0"/>
        <w:spacing w:line="360" w:lineRule="auto"/>
        <w:ind w:firstLine="480" w:firstLineChars="200"/>
        <w:rPr>
          <w:rFonts w:ascii="宋体" w:hAnsi="宋体" w:cs="宋体"/>
          <w:sz w:val="24"/>
        </w:rPr>
      </w:pPr>
      <w:r>
        <w:rPr>
          <w:rFonts w:ascii="宋体" w:hAnsi="宋体"/>
          <w:sz w:val="24"/>
        </w:rPr>
        <w:t>4.</w:t>
      </w:r>
      <w:r>
        <w:rPr>
          <w:rFonts w:hint="eastAsia" w:ascii="宋体" w:hAnsi="宋体" w:cs="宋体"/>
          <w:sz w:val="24"/>
        </w:rPr>
        <w:t>乙方应对产品作出全面检查和对验收文件进行整理，并列出清单，作为甲方验收和使用的技术条件依据，检验的结果应随货物交甲方。</w:t>
      </w:r>
    </w:p>
    <w:p w14:paraId="6B6DBC58">
      <w:pPr>
        <w:pStyle w:val="16"/>
        <w:snapToGrid w:val="0"/>
        <w:spacing w:line="360" w:lineRule="auto"/>
        <w:ind w:firstLine="480" w:firstLineChars="200"/>
        <w:rPr>
          <w:rFonts w:hAnsi="宋体" w:cs="宋体"/>
          <w:sz w:val="24"/>
          <w:szCs w:val="24"/>
        </w:rPr>
      </w:pPr>
      <w:r>
        <w:rPr>
          <w:rFonts w:hAnsi="宋体"/>
          <w:sz w:val="24"/>
          <w:szCs w:val="24"/>
        </w:rPr>
        <w:t>5.</w:t>
      </w: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14:paraId="6BDF6398">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乙方应当在到货并安装、调试完毕后，达到验收条件时以书面形式提请甲方进行验收，甲方应在收到验收请求后</w:t>
      </w:r>
      <w:r>
        <w:rPr>
          <w:rFonts w:ascii="宋体" w:hAnsi="宋体" w:cs="宋体"/>
          <w:sz w:val="24"/>
        </w:rPr>
        <w:t>5</w:t>
      </w:r>
      <w:r>
        <w:rPr>
          <w:rFonts w:hint="eastAsia" w:ascii="宋体" w:hAnsi="宋体" w:cs="宋体"/>
          <w:sz w:val="24"/>
        </w:rPr>
        <w:t>个工作日内组织开展履约验收。验收合格后由甲乙双方签署货物验收单并加盖甲方公章，甲乙双方各执壹份。</w:t>
      </w:r>
    </w:p>
    <w:p w14:paraId="73FCA026">
      <w:pPr>
        <w:pStyle w:val="16"/>
        <w:snapToGrid w:val="0"/>
        <w:spacing w:line="360" w:lineRule="auto"/>
        <w:ind w:firstLine="480" w:firstLineChars="200"/>
        <w:rPr>
          <w:rFonts w:hAnsi="宋体" w:cs="宋体"/>
          <w:sz w:val="24"/>
          <w:szCs w:val="24"/>
        </w:rPr>
      </w:pPr>
      <w:r>
        <w:rPr>
          <w:rFonts w:hAnsi="宋体"/>
          <w:sz w:val="24"/>
          <w:szCs w:val="24"/>
        </w:rPr>
        <w:t>7.</w:t>
      </w:r>
      <w:r>
        <w:rPr>
          <w:rFonts w:hint="eastAsia" w:hAnsi="宋体" w:cs="宋体"/>
          <w:sz w:val="24"/>
          <w:szCs w:val="24"/>
        </w:rPr>
        <w:t>对技术复杂的货物，甲方可请国家认可的专业检测机构参与初步验收及最终验收，并由其出具质量检测报告。</w:t>
      </w:r>
    </w:p>
    <w:p w14:paraId="336908A1">
      <w:pPr>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预验收未通过或者履约验收未通过的，应限期整改或进行退换货处理，整改完成后重新组织履约验收。整改后仍不能通过验收的，依法追究相关责任。</w:t>
      </w:r>
    </w:p>
    <w:p w14:paraId="3D98BB3B">
      <w:pPr>
        <w:snapToGrid w:val="0"/>
        <w:spacing w:line="360" w:lineRule="auto"/>
        <w:ind w:firstLine="480" w:firstLineChars="200"/>
        <w:rPr>
          <w:rFonts w:ascii="宋体" w:hAnsi="宋体" w:cs="宋体"/>
          <w:sz w:val="24"/>
        </w:rPr>
      </w:pPr>
      <w:r>
        <w:rPr>
          <w:rFonts w:ascii="宋体" w:hAnsi="宋体" w:cs="宋体"/>
          <w:sz w:val="24"/>
        </w:rPr>
        <w:t>9.</w:t>
      </w:r>
      <w:r>
        <w:rPr>
          <w:rFonts w:hint="eastAsia" w:ascii="宋体" w:hAnsi="宋体" w:cs="宋体"/>
          <w:sz w:val="24"/>
        </w:rPr>
        <w:t>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27538FCA">
      <w:pPr>
        <w:snapToGrid w:val="0"/>
        <w:spacing w:line="360" w:lineRule="auto"/>
        <w:ind w:firstLine="480" w:firstLineChars="200"/>
        <w:rPr>
          <w:rFonts w:ascii="宋体" w:hAnsi="宋体" w:cs="宋体"/>
          <w:sz w:val="24"/>
          <w:u w:val="single"/>
        </w:rPr>
      </w:pPr>
      <w:r>
        <w:rPr>
          <w:rFonts w:ascii="宋体" w:hAnsi="宋体" w:cs="宋体"/>
          <w:sz w:val="24"/>
        </w:rPr>
        <w:t>10.</w:t>
      </w:r>
      <w:r>
        <w:rPr>
          <w:rFonts w:hint="eastAsia" w:ascii="宋体" w:hAnsi="宋体" w:cs="宋体"/>
          <w:sz w:val="24"/>
        </w:rPr>
        <w:t>甲方对验收有异议的，在验收后</w:t>
      </w:r>
      <w:r>
        <w:rPr>
          <w:rFonts w:ascii="宋体" w:hAnsi="宋体" w:cs="宋体"/>
          <w:sz w:val="24"/>
        </w:rPr>
        <w:t>5</w:t>
      </w:r>
      <w:r>
        <w:rPr>
          <w:rFonts w:hint="eastAsia" w:ascii="宋体" w:hAnsi="宋体" w:cs="宋体"/>
          <w:sz w:val="24"/>
        </w:rPr>
        <w:t>个工作日内以书面形式向乙方提出，乙方应自收到甲方书面异议后</w:t>
      </w:r>
      <w:r>
        <w:rPr>
          <w:rFonts w:ascii="宋体" w:hAnsi="宋体" w:cs="宋体"/>
          <w:sz w:val="24"/>
        </w:rPr>
        <w:t>7</w:t>
      </w:r>
      <w:r>
        <w:rPr>
          <w:rFonts w:hint="eastAsia" w:ascii="宋体" w:hAnsi="宋体" w:cs="宋体"/>
          <w:sz w:val="24"/>
        </w:rPr>
        <w:t>日内及时予以解决。</w:t>
      </w:r>
    </w:p>
    <w:p w14:paraId="4BC00B8E">
      <w:pPr>
        <w:snapToGrid w:val="0"/>
        <w:spacing w:line="360" w:lineRule="auto"/>
        <w:ind w:left="-61" w:firstLine="514"/>
        <w:rPr>
          <w:rFonts w:ascii="宋体" w:hAnsi="宋体" w:cs="宋体"/>
          <w:sz w:val="24"/>
        </w:rPr>
      </w:pPr>
      <w:r>
        <w:rPr>
          <w:rFonts w:ascii="宋体" w:hAnsi="宋体" w:cs="宋体"/>
          <w:sz w:val="24"/>
        </w:rPr>
        <w:t>11.</w:t>
      </w:r>
      <w:r>
        <w:rPr>
          <w:rFonts w:hint="eastAsia" w:ascii="宋体" w:hAnsi="宋体" w:cs="宋体"/>
          <w:sz w:val="24"/>
        </w:rPr>
        <w:t>验收时乙方必须在现场，验收完毕后作出验收结果报告；验收过程所产生的一切费用均由乙方承担。</w:t>
      </w:r>
    </w:p>
    <w:p w14:paraId="2114F474">
      <w:pPr>
        <w:snapToGrid w:val="0"/>
        <w:spacing w:line="360" w:lineRule="auto"/>
        <w:ind w:left="-61" w:firstLine="514"/>
        <w:rPr>
          <w:rFonts w:hAnsi="宋体" w:cs="宋体"/>
          <w:sz w:val="24"/>
        </w:rPr>
      </w:pPr>
      <w:r>
        <w:rPr>
          <w:rFonts w:ascii="宋体" w:hAnsi="宋体" w:cs="宋体"/>
          <w:sz w:val="24"/>
        </w:rPr>
        <w:t>12.</w:t>
      </w:r>
      <w:r>
        <w:rPr>
          <w:rFonts w:hint="eastAsia" w:ascii="宋体" w:hAnsi="宋体" w:cs="宋体"/>
          <w:sz w:val="24"/>
        </w:rPr>
        <w:t>货物在交付甲方前发生的风险均由乙方负责。</w:t>
      </w:r>
    </w:p>
    <w:p w14:paraId="79C476E5">
      <w:pPr>
        <w:pStyle w:val="11"/>
        <w:ind w:firstLine="480" w:firstLineChars="200"/>
      </w:pPr>
      <w:r>
        <w:rPr>
          <w:rFonts w:ascii="宋体" w:hAnsi="宋体" w:cs="宋体"/>
          <w:sz w:val="24"/>
        </w:rPr>
        <w:t>13.</w:t>
      </w:r>
      <w:r>
        <w:rPr>
          <w:rFonts w:hint="eastAsia" w:ascii="宋体" w:hAnsi="宋体" w:cs="宋体"/>
          <w:sz w:val="24"/>
        </w:rPr>
        <w:t>本合同的验收条款与采购需求商务条款中的货物验收条款互为补充。</w:t>
      </w:r>
    </w:p>
    <w:p w14:paraId="218811E4">
      <w:pPr>
        <w:snapToGrid w:val="0"/>
        <w:spacing w:line="360" w:lineRule="auto"/>
        <w:ind w:left="-61" w:firstLine="514"/>
        <w:rPr>
          <w:rFonts w:ascii="宋体" w:hAnsi="宋体" w:cs="宋体"/>
          <w:b/>
          <w:sz w:val="24"/>
        </w:rPr>
      </w:pPr>
      <w:r>
        <w:rPr>
          <w:rFonts w:hint="eastAsia" w:ascii="宋体" w:hAnsi="宋体" w:cs="宋体"/>
          <w:b/>
          <w:sz w:val="24"/>
        </w:rPr>
        <w:t>第七条　付款方式</w:t>
      </w:r>
    </w:p>
    <w:p w14:paraId="69FF1511">
      <w:pPr>
        <w:snapToGrid w:val="0"/>
        <w:spacing w:line="360" w:lineRule="auto"/>
        <w:ind w:left="-61" w:firstLine="514"/>
        <w:rPr>
          <w:rFonts w:ascii="宋体" w:hAnsi="宋体" w:cs="宋体"/>
          <w:sz w:val="24"/>
        </w:rPr>
      </w:pPr>
      <w:r>
        <w:rPr>
          <w:rFonts w:hint="eastAsia" w:ascii="宋体" w:hAnsi="宋体" w:cs="宋体"/>
          <w:sz w:val="24"/>
        </w:rPr>
        <w:t>1.国产设备付款：</w:t>
      </w:r>
      <w:r>
        <w:rPr>
          <w:rFonts w:hint="eastAsia" w:ascii="宋体" w:hAnsi="宋体" w:cs="宋体"/>
          <w:sz w:val="24"/>
          <w:u w:val="single"/>
        </w:rPr>
        <w:t>本项目无预付款；全部货物到场后，大于6000台设备调试正常并验收合格后，可支付货物总价的60%款项；全部安装调试完毕并经验收合格后，</w:t>
      </w:r>
      <w:r>
        <w:rPr>
          <w:rFonts w:hint="eastAsia" w:ascii="宋体" w:hAnsi="宋体" w:cs="宋体"/>
          <w:sz w:val="24"/>
          <w:u w:val="single"/>
          <w:lang w:val="en-US" w:eastAsia="zh-CN"/>
        </w:rPr>
        <w:t>甲方</w:t>
      </w:r>
      <w:r>
        <w:rPr>
          <w:rFonts w:hint="eastAsia" w:ascii="宋体" w:hAnsi="宋体" w:cs="宋体"/>
          <w:sz w:val="24"/>
          <w:u w:val="single"/>
        </w:rPr>
        <w:t>向</w:t>
      </w:r>
      <w:r>
        <w:rPr>
          <w:rFonts w:hint="eastAsia" w:ascii="宋体" w:hAnsi="宋体" w:cs="宋体"/>
          <w:sz w:val="24"/>
          <w:u w:val="single"/>
          <w:lang w:val="en-US" w:eastAsia="zh-CN"/>
        </w:rPr>
        <w:t>乙方</w:t>
      </w:r>
      <w:r>
        <w:rPr>
          <w:rFonts w:hint="eastAsia" w:ascii="宋体" w:hAnsi="宋体" w:cs="宋体"/>
          <w:sz w:val="24"/>
          <w:u w:val="single"/>
        </w:rPr>
        <w:t>支付剩余款项；付款前，</w:t>
      </w:r>
      <w:r>
        <w:rPr>
          <w:rFonts w:hint="eastAsia" w:ascii="宋体" w:hAnsi="宋体" w:cs="宋体"/>
          <w:sz w:val="24"/>
          <w:u w:val="single"/>
          <w:lang w:val="en-US" w:eastAsia="zh-CN"/>
        </w:rPr>
        <w:t>乙方</w:t>
      </w:r>
      <w:r>
        <w:rPr>
          <w:rFonts w:hint="eastAsia" w:ascii="宋体" w:hAnsi="宋体" w:cs="宋体"/>
          <w:sz w:val="24"/>
          <w:u w:val="single"/>
        </w:rPr>
        <w:t>开具等额增值税专用发票给</w:t>
      </w:r>
      <w:r>
        <w:rPr>
          <w:rFonts w:hint="eastAsia" w:ascii="宋体" w:hAnsi="宋体" w:cs="宋体"/>
          <w:sz w:val="24"/>
          <w:u w:val="single"/>
          <w:lang w:val="en-US" w:eastAsia="zh-CN"/>
        </w:rPr>
        <w:t>甲方</w:t>
      </w:r>
      <w:r>
        <w:rPr>
          <w:rFonts w:hint="eastAsia" w:ascii="宋体" w:hAnsi="宋体" w:cs="宋体"/>
          <w:sz w:val="24"/>
          <w:u w:val="single"/>
        </w:rPr>
        <w:t>。</w:t>
      </w:r>
    </w:p>
    <w:p w14:paraId="6A9D3CAA">
      <w:pPr>
        <w:snapToGrid w:val="0"/>
        <w:spacing w:line="460" w:lineRule="exact"/>
        <w:ind w:firstLine="482" w:firstLineChars="200"/>
        <w:rPr>
          <w:rFonts w:ascii="宋体" w:hAnsi="宋体" w:cs="宋体"/>
          <w:b/>
          <w:sz w:val="24"/>
        </w:rPr>
      </w:pPr>
      <w:r>
        <w:rPr>
          <w:rFonts w:hint="eastAsia" w:ascii="宋体" w:hAnsi="宋体" w:cs="宋体"/>
          <w:b/>
          <w:sz w:val="24"/>
        </w:rPr>
        <w:t>第八条　履约保证金</w:t>
      </w:r>
    </w:p>
    <w:p w14:paraId="2D2D3E78">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合同金额的</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w:t>
      </w:r>
      <w:r>
        <w:rPr>
          <w:rFonts w:hint="eastAsia" w:ascii="宋体" w:hAnsi="宋体" w:cs="宋体"/>
          <w:sz w:val="24"/>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乙方在签订合同时交至指定账户（履约保证金缴纳时须备注项目编号及项目名称：</w:t>
      </w:r>
      <w:r>
        <w:rPr>
          <w:rFonts w:hint="eastAsia" w:ascii="宋体" w:hAnsi="宋体" w:cs="宋体"/>
          <w:sz w:val="24"/>
          <w:u w:val="single"/>
        </w:rPr>
        <w:t>GXZC20</w:t>
      </w:r>
      <w:r>
        <w:rPr>
          <w:rFonts w:ascii="宋体" w:hAnsi="宋体" w:cs="宋体"/>
          <w:sz w:val="24"/>
          <w:u w:val="single"/>
        </w:rPr>
        <w:t>**</w:t>
      </w:r>
      <w:r>
        <w:rPr>
          <w:rFonts w:hint="eastAsia" w:ascii="宋体" w:hAnsi="宋体" w:cs="宋体"/>
          <w:sz w:val="24"/>
          <w:u w:val="single"/>
        </w:rPr>
        <w:t>-J1-000</w:t>
      </w:r>
      <w:r>
        <w:rPr>
          <w:rFonts w:ascii="宋体" w:hAnsi="宋体" w:cs="宋体"/>
          <w:sz w:val="24"/>
          <w:u w:val="single"/>
        </w:rPr>
        <w:t>000</w:t>
      </w:r>
      <w:r>
        <w:rPr>
          <w:rFonts w:hint="eastAsia" w:ascii="宋体" w:hAnsi="宋体" w:cs="宋体"/>
          <w:sz w:val="24"/>
          <w:u w:val="single"/>
        </w:rPr>
        <w:t>-****（项目名称 ）</w:t>
      </w:r>
      <w:r>
        <w:rPr>
          <w:rFonts w:hint="eastAsia" w:ascii="宋体" w:hAnsi="宋体" w:cs="宋体"/>
          <w:sz w:val="24"/>
        </w:rPr>
        <w:t>履约保证金。）</w:t>
      </w:r>
    </w:p>
    <w:p w14:paraId="3BC24CF9">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2.履约保证金递交方式：银行转账、电汇和银行出具的保函等非现金方式。由乙方在签订合同时按规定的金额直接缴入以下甲方账户。</w:t>
      </w:r>
    </w:p>
    <w:p w14:paraId="280FBBF5">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货物验收合格后，乙方凭履约保证金缴款凭证、退付意见书到甲方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7EAA7520">
      <w:pPr>
        <w:snapToGrid w:val="0"/>
        <w:spacing w:line="460" w:lineRule="exact"/>
        <w:ind w:firstLine="480" w:firstLineChars="200"/>
        <w:rPr>
          <w:rFonts w:ascii="宋体" w:hAnsi="宋体" w:cs="宋体"/>
          <w:sz w:val="24"/>
        </w:rPr>
      </w:pPr>
      <w:r>
        <w:rPr>
          <w:rFonts w:hint="eastAsia" w:ascii="宋体" w:hAnsi="宋体" w:cs="宋体"/>
          <w:sz w:val="24"/>
        </w:rPr>
        <w:t>4.备注：</w:t>
      </w:r>
    </w:p>
    <w:p w14:paraId="57352B06">
      <w:pPr>
        <w:snapToGrid w:val="0"/>
        <w:spacing w:line="460" w:lineRule="exact"/>
        <w:ind w:firstLine="480" w:firstLineChars="200"/>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2AE83F2E">
      <w:pPr>
        <w:snapToGrid w:val="0"/>
        <w:spacing w:line="460" w:lineRule="exact"/>
        <w:ind w:firstLine="480" w:firstLineChars="200"/>
        <w:rPr>
          <w:rFonts w:ascii="宋体" w:hAnsi="宋体" w:cs="宋体"/>
          <w:sz w:val="24"/>
        </w:rPr>
      </w:pPr>
      <w:r>
        <w:rPr>
          <w:rFonts w:hint="eastAsia" w:ascii="宋体" w:hAnsi="宋体" w:cs="宋体"/>
          <w:sz w:val="24"/>
        </w:rPr>
        <w:t>（2）采用保函的，必须为无条件保函，否则视为无效履约保证金。</w:t>
      </w:r>
    </w:p>
    <w:p w14:paraId="2ACC8DC5">
      <w:pPr>
        <w:snapToGrid w:val="0"/>
        <w:spacing w:line="460" w:lineRule="exact"/>
        <w:ind w:firstLine="482" w:firstLineChars="200"/>
        <w:rPr>
          <w:rFonts w:ascii="宋体" w:hAnsi="宋体" w:cs="宋体"/>
          <w:b/>
          <w:sz w:val="24"/>
        </w:rPr>
      </w:pPr>
      <w:r>
        <w:rPr>
          <w:rFonts w:hint="eastAsia" w:ascii="宋体" w:hAnsi="宋体" w:cs="宋体"/>
          <w:b/>
          <w:sz w:val="24"/>
        </w:rPr>
        <w:t>（3）</w:t>
      </w:r>
      <w:r>
        <w:rPr>
          <w:rFonts w:ascii="宋体" w:hAnsi="宋体" w:cs="宋体"/>
          <w:b/>
          <w:sz w:val="24"/>
        </w:rPr>
        <w:t>履约保证金缴纳时须明确备注项目</w:t>
      </w:r>
      <w:r>
        <w:rPr>
          <w:rFonts w:hint="eastAsia" w:ascii="宋体" w:hAnsi="宋体" w:cs="宋体"/>
          <w:b/>
          <w:sz w:val="24"/>
        </w:rPr>
        <w:t>名称（编号）：</w:t>
      </w:r>
      <w:r>
        <w:rPr>
          <w:rFonts w:ascii="宋体" w:hAnsi="宋体" w:cs="宋体"/>
          <w:b/>
          <w:sz w:val="24"/>
          <w:u w:val="single"/>
        </w:rPr>
        <w:t>*********</w:t>
      </w:r>
      <w:r>
        <w:rPr>
          <w:rFonts w:hint="eastAsia" w:ascii="宋体" w:hAnsi="宋体" w:cs="宋体"/>
          <w:b/>
          <w:sz w:val="24"/>
        </w:rPr>
        <w:t>（</w:t>
      </w:r>
      <w:r>
        <w:rPr>
          <w:rFonts w:ascii="宋体" w:hAnsi="宋体" w:cs="宋体"/>
          <w:b/>
          <w:sz w:val="24"/>
        </w:rPr>
        <w:t>GXZC20</w:t>
      </w:r>
      <w:r>
        <w:rPr>
          <w:rFonts w:hint="eastAsia" w:ascii="宋体" w:hAnsi="宋体" w:cs="宋体"/>
          <w:b/>
          <w:sz w:val="24"/>
        </w:rPr>
        <w:t>**</w:t>
      </w:r>
      <w:r>
        <w:rPr>
          <w:rFonts w:ascii="宋体" w:hAnsi="宋体" w:cs="宋体"/>
          <w:b/>
          <w:sz w:val="24"/>
        </w:rPr>
        <w:t>-</w:t>
      </w:r>
      <w:r>
        <w:rPr>
          <w:rFonts w:hint="eastAsia" w:ascii="宋体" w:hAnsi="宋体" w:cs="宋体"/>
          <w:b/>
          <w:sz w:val="24"/>
        </w:rPr>
        <w:t>J1</w:t>
      </w:r>
      <w:r>
        <w:rPr>
          <w:rFonts w:ascii="宋体" w:hAnsi="宋体" w:cs="宋体"/>
          <w:b/>
          <w:sz w:val="24"/>
        </w:rPr>
        <w:t>-000000-****</w:t>
      </w:r>
      <w:r>
        <w:rPr>
          <w:rFonts w:hint="eastAsia" w:ascii="宋体" w:hAnsi="宋体" w:cs="宋体"/>
          <w:b/>
          <w:sz w:val="24"/>
        </w:rPr>
        <w:t>）履约保证金。。</w:t>
      </w:r>
    </w:p>
    <w:p w14:paraId="0467920A">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14:paraId="145A4A73">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14:paraId="66E6D5D2">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14:paraId="40A5D466">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14:paraId="34D2113E">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14:paraId="79EC363C">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14:paraId="75E99D45">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14:paraId="1E435B7A">
      <w:pPr>
        <w:snapToGrid w:val="0"/>
        <w:spacing w:line="460" w:lineRule="exact"/>
        <w:ind w:firstLine="514"/>
        <w:rPr>
          <w:rFonts w:ascii="宋体" w:hAnsi="宋体" w:cs="宋体"/>
          <w:b/>
          <w:sz w:val="24"/>
        </w:rPr>
      </w:pPr>
      <w:r>
        <w:rPr>
          <w:rFonts w:hint="eastAsia" w:ascii="宋体" w:hAnsi="宋体" w:cs="宋体"/>
          <w:b/>
          <w:sz w:val="24"/>
        </w:rPr>
        <w:t>第九条  税费</w:t>
      </w:r>
    </w:p>
    <w:p w14:paraId="19191118">
      <w:pPr>
        <w:snapToGrid w:val="0"/>
        <w:spacing w:line="460" w:lineRule="exact"/>
        <w:ind w:firstLine="514"/>
        <w:rPr>
          <w:rFonts w:ascii="宋体" w:hAnsi="宋体" w:cs="宋体"/>
          <w:sz w:val="24"/>
        </w:rPr>
      </w:pPr>
      <w:r>
        <w:rPr>
          <w:rFonts w:hint="eastAsia" w:ascii="宋体" w:hAnsi="宋体" w:cs="宋体"/>
          <w:sz w:val="24"/>
        </w:rPr>
        <w:t>本合同执行中相关的一切税费均由乙方负担，合同另有约定的除外。税费因政策等原因发生变化的，由乙方承担。</w:t>
      </w:r>
    </w:p>
    <w:p w14:paraId="71B17AEA">
      <w:pPr>
        <w:snapToGrid w:val="0"/>
        <w:spacing w:line="460" w:lineRule="exact"/>
        <w:ind w:firstLine="514"/>
        <w:rPr>
          <w:rFonts w:ascii="宋体" w:hAnsi="宋体" w:cs="宋体"/>
          <w:sz w:val="24"/>
        </w:rPr>
      </w:pPr>
      <w:r>
        <w:rPr>
          <w:rFonts w:hint="eastAsia" w:ascii="宋体" w:hAnsi="宋体" w:cs="宋体"/>
          <w:b/>
          <w:sz w:val="24"/>
        </w:rPr>
        <w:t>第十条  质量保证、售后服务</w:t>
      </w:r>
    </w:p>
    <w:p w14:paraId="40C561DD">
      <w:pPr>
        <w:snapToGrid w:val="0"/>
        <w:spacing w:line="460" w:lineRule="exact"/>
        <w:ind w:firstLine="480" w:firstLineChars="200"/>
        <w:rPr>
          <w:rFonts w:ascii="宋体" w:hAnsi="宋体" w:cs="宋体"/>
          <w:bCs/>
          <w:kern w:val="0"/>
          <w:sz w:val="24"/>
        </w:rPr>
      </w:pPr>
      <w:r>
        <w:rPr>
          <w:rFonts w:hint="eastAsia" w:hAnsi="宋体" w:cs="宋体"/>
          <w:sz w:val="24"/>
        </w:rPr>
        <w:t>1</w:t>
      </w:r>
      <w:r>
        <w:rPr>
          <w:rFonts w:hint="eastAsia" w:ascii="宋体" w:hAnsi="宋体" w:cs="宋体"/>
          <w:bCs/>
          <w:kern w:val="0"/>
          <w:sz w:val="24"/>
        </w:rPr>
        <w:t>.乙方应按照国家有关法律法规和“三包”规定以及采购文件要求、响应文件承诺和本合同所附的《售后服务承诺》，为甲方提供售后服务。</w:t>
      </w:r>
    </w:p>
    <w:p w14:paraId="6F4822B0">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2.乙方应按采购文件规定的设备和软件性能、技术要求、质量标准向甲方提供未经使用的全新产品。对达不到要求者，根据实际情况，经双方协商，可按以下办法处理：</w:t>
      </w:r>
    </w:p>
    <w:p w14:paraId="3D67BE1D">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（1）更换：由乙方承担所发生的全部费用。</w:t>
      </w:r>
    </w:p>
    <w:p w14:paraId="4FF521E5">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（2）贬值处理：由甲乙双方合议定价。</w:t>
      </w:r>
    </w:p>
    <w:p w14:paraId="0A223359">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（3）退货处理：乙方应退还甲方支付的合同款，同时应承担该货物的直接费用（运输、保险、检验、货款利息及银行手续费等）。</w:t>
      </w:r>
    </w:p>
    <w:p w14:paraId="313E093A">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如果双方不能就上述第（1）、（2）项达成协议，则甲方有权单方选择第（3）项方式。</w:t>
      </w:r>
    </w:p>
    <w:p w14:paraId="5D18990C">
      <w:pPr>
        <w:snapToGrid w:val="0"/>
        <w:spacing w:line="460" w:lineRule="exact"/>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.乙方提供的服务承诺和售后服务及质量保证期责任等其他具体约定事项（见合同附件）。</w:t>
      </w:r>
    </w:p>
    <w:p w14:paraId="13B458A6">
      <w:pPr>
        <w:snapToGrid w:val="0"/>
        <w:spacing w:line="460" w:lineRule="exact"/>
        <w:ind w:firstLine="480" w:firstLineChars="200"/>
        <w:rPr>
          <w:rFonts w:ascii="宋体" w:hAnsi="宋体" w:cs="宋体"/>
          <w:bCs/>
          <w:kern w:val="0"/>
          <w:sz w:val="24"/>
        </w:rPr>
      </w:pPr>
      <w:r>
        <w:rPr>
          <w:rFonts w:hAnsi="宋体" w:cs="宋体"/>
          <w:sz w:val="24"/>
        </w:rPr>
        <w:t>4</w:t>
      </w:r>
      <w:r>
        <w:rPr>
          <w:rFonts w:hint="eastAsia" w:ascii="宋体" w:hAnsi="宋体" w:cs="宋体"/>
          <w:bCs/>
          <w:kern w:val="0"/>
          <w:sz w:val="24"/>
        </w:rPr>
        <w:t>.乙方除承担运输、安装、调试、验收与培训等义务外，还将为甲方提供技术支持，包括质量保证期外的技术指导。</w:t>
      </w:r>
    </w:p>
    <w:p w14:paraId="08B99261">
      <w:pPr>
        <w:snapToGrid w:val="0"/>
        <w:spacing w:line="460" w:lineRule="exact"/>
        <w:ind w:firstLine="480" w:firstLineChars="200"/>
        <w:rPr>
          <w:rFonts w:ascii="宋体" w:hAnsi="宋体" w:cs="宋体"/>
          <w:bCs/>
          <w:kern w:val="0"/>
          <w:sz w:val="24"/>
        </w:rPr>
      </w:pPr>
      <w:r>
        <w:rPr>
          <w:rFonts w:hAnsi="宋体" w:cs="宋体"/>
          <w:sz w:val="24"/>
        </w:rPr>
        <w:t>5</w:t>
      </w:r>
      <w:r>
        <w:rPr>
          <w:rFonts w:hint="eastAsia" w:ascii="宋体" w:hAnsi="宋体" w:cs="宋体"/>
          <w:bCs/>
          <w:kern w:val="0"/>
          <w:sz w:val="24"/>
        </w:rPr>
        <w:t>.在质保期内，乙方应对货物出现的质量及安全问题负责处理解决并承担一切费用。</w:t>
      </w:r>
    </w:p>
    <w:p w14:paraId="52313DF2">
      <w:pPr>
        <w:snapToGrid w:val="0"/>
        <w:spacing w:line="460" w:lineRule="exact"/>
        <w:ind w:firstLine="480" w:firstLineChars="200"/>
        <w:rPr>
          <w:rFonts w:ascii="宋体" w:hAnsi="宋体" w:cs="宋体"/>
          <w:bCs/>
          <w:kern w:val="0"/>
          <w:sz w:val="24"/>
        </w:rPr>
      </w:pPr>
      <w:r>
        <w:rPr>
          <w:rFonts w:hAnsi="宋体" w:cs="宋体"/>
          <w:sz w:val="24"/>
        </w:rPr>
        <w:t>6</w:t>
      </w:r>
      <w:r>
        <w:rPr>
          <w:rFonts w:hint="eastAsia" w:ascii="宋体" w:hAnsi="宋体" w:cs="宋体"/>
          <w:bCs/>
          <w:kern w:val="0"/>
          <w:sz w:val="24"/>
        </w:rPr>
        <w:t>.超过质量保证期的机器设备，终身维修，维修时只收部件成本费。</w:t>
      </w:r>
    </w:p>
    <w:p w14:paraId="46225B49">
      <w:pPr>
        <w:snapToGrid w:val="0"/>
        <w:spacing w:line="460" w:lineRule="exact"/>
        <w:ind w:firstLine="480" w:firstLineChars="200"/>
        <w:rPr>
          <w:rFonts w:ascii="宋体" w:hAnsi="宋体" w:cs="宋体"/>
          <w:sz w:val="24"/>
        </w:rPr>
      </w:pPr>
      <w:r>
        <w:rPr>
          <w:rFonts w:hAnsi="宋体" w:cs="宋体"/>
          <w:sz w:val="24"/>
        </w:rPr>
        <w:t>7</w:t>
      </w:r>
      <w:r>
        <w:rPr>
          <w:rFonts w:hint="eastAsia" w:ascii="宋体" w:hAnsi="宋体" w:cs="宋体"/>
          <w:bCs/>
          <w:kern w:val="0"/>
          <w:sz w:val="24"/>
        </w:rPr>
        <w:t>.货物质量保证期：</w:t>
      </w:r>
      <w:r>
        <w:rPr>
          <w:rFonts w:hint="eastAsia" w:ascii="宋体" w:hAnsi="宋体" w:cs="宋体"/>
          <w:sz w:val="24"/>
          <w:u w:val="single"/>
        </w:rPr>
        <w:t>按国家有关产品“三包”规定执行“三包”，质量保证期不少于</w:t>
      </w:r>
      <w:r>
        <w:rPr>
          <w:rFonts w:ascii="宋体" w:hAnsi="宋体" w:cs="宋体"/>
          <w:sz w:val="24"/>
          <w:u w:val="single"/>
        </w:rPr>
        <w:t>*</w:t>
      </w:r>
      <w:r>
        <w:rPr>
          <w:rFonts w:hint="eastAsia" w:ascii="宋体" w:hAnsi="宋体" w:cs="宋体"/>
          <w:sz w:val="24"/>
          <w:u w:val="single"/>
        </w:rPr>
        <w:t>年（质量保证期自货物验收合格之日起计。分项货物或配置有明确要求的按分项要求；生产厂家承诺的</w:t>
      </w:r>
      <w:r>
        <w:rPr>
          <w:rFonts w:hint="eastAsia" w:ascii="宋体" w:hAnsi="宋体" w:cs="宋体"/>
          <w:bCs/>
          <w:kern w:val="0"/>
          <w:sz w:val="24"/>
          <w:u w:val="single"/>
        </w:rPr>
        <w:t>质量保证期</w:t>
      </w:r>
      <w:r>
        <w:rPr>
          <w:rFonts w:hint="eastAsia" w:ascii="宋体" w:hAnsi="宋体" w:cs="宋体"/>
          <w:sz w:val="24"/>
          <w:u w:val="single"/>
        </w:rPr>
        <w:t>更长的按生产厂家的承诺；</w:t>
      </w:r>
      <w:r>
        <w:rPr>
          <w:rFonts w:hint="eastAsia" w:ascii="宋体" w:hAnsi="宋体" w:cs="宋体"/>
          <w:bCs/>
          <w:kern w:val="0"/>
          <w:sz w:val="24"/>
          <w:u w:val="single"/>
        </w:rPr>
        <w:t>乙方响应文件承诺更优的，以乙方响应文件承诺为准</w:t>
      </w:r>
      <w:r>
        <w:rPr>
          <w:rFonts w:hint="eastAsia" w:ascii="宋体" w:hAnsi="宋体" w:cs="宋体"/>
          <w:sz w:val="24"/>
          <w:u w:val="single"/>
        </w:rPr>
        <w:t>）</w:t>
      </w:r>
      <w:r>
        <w:rPr>
          <w:rFonts w:hint="eastAsia" w:ascii="宋体" w:hAnsi="宋体" w:cs="宋体"/>
          <w:bCs/>
          <w:kern w:val="0"/>
          <w:sz w:val="24"/>
          <w:u w:val="single"/>
        </w:rPr>
        <w:t>。</w:t>
      </w:r>
    </w:p>
    <w:p w14:paraId="2F14C85A">
      <w:pPr>
        <w:snapToGrid w:val="0"/>
        <w:spacing w:line="460" w:lineRule="exact"/>
        <w:ind w:firstLine="482" w:firstLineChars="200"/>
        <w:rPr>
          <w:rFonts w:ascii="宋体" w:hAnsi="宋体" w:cs="宋体"/>
          <w:b/>
          <w:sz w:val="24"/>
        </w:rPr>
      </w:pPr>
      <w:r>
        <w:rPr>
          <w:rFonts w:hint="eastAsia" w:ascii="宋体" w:hAnsi="宋体" w:cs="宋体"/>
          <w:b/>
          <w:sz w:val="24"/>
        </w:rPr>
        <w:t>第十一条　违约责任</w:t>
      </w:r>
    </w:p>
    <w:p w14:paraId="4B56ED73">
      <w:pPr>
        <w:pStyle w:val="16"/>
        <w:snapToGrid w:val="0"/>
        <w:spacing w:line="460" w:lineRule="exact"/>
        <w:ind w:firstLine="470" w:firstLineChars="196"/>
        <w:rPr>
          <w:rFonts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60E03CED">
      <w:pPr>
        <w:pStyle w:val="16"/>
        <w:snapToGrid w:val="0"/>
        <w:spacing w:line="460" w:lineRule="exact"/>
        <w:ind w:firstLine="470" w:firstLineChars="196"/>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14:paraId="158E3C5F">
      <w:pPr>
        <w:pStyle w:val="16"/>
        <w:snapToGrid w:val="0"/>
        <w:spacing w:line="460" w:lineRule="exact"/>
        <w:ind w:firstLine="470" w:firstLineChars="196"/>
        <w:rPr>
          <w:rFonts w:hAnsi="宋体" w:cs="宋体"/>
          <w:sz w:val="24"/>
          <w:szCs w:val="24"/>
        </w:rPr>
      </w:pPr>
      <w:r>
        <w:rPr>
          <w:rFonts w:hint="eastAsia" w:hAnsi="宋体" w:cs="宋体"/>
          <w:sz w:val="24"/>
          <w:szCs w:val="24"/>
        </w:rPr>
        <w:t>3.因包装、运输引起的货物损坏，按质量不合格处理。</w:t>
      </w:r>
    </w:p>
    <w:p w14:paraId="0CAECE0C">
      <w:pPr>
        <w:pStyle w:val="16"/>
        <w:snapToGrid w:val="0"/>
        <w:spacing w:line="460" w:lineRule="exact"/>
        <w:ind w:firstLine="470" w:firstLineChars="196"/>
        <w:rPr>
          <w:rFonts w:hAnsi="宋体" w:cs="宋体"/>
          <w:sz w:val="24"/>
          <w:szCs w:val="24"/>
        </w:rPr>
      </w:pPr>
      <w:r>
        <w:rPr>
          <w:rFonts w:hint="eastAsia" w:hAnsi="宋体" w:cs="宋体"/>
          <w:sz w:val="24"/>
          <w:szCs w:val="24"/>
        </w:rPr>
        <w:t>4.合同一方不履行合同义务、履行合同义务不符合约定或者违反合同项下所作保证的，应向对方承担继续履行、采取修理、更换、退货等补救措施或者赔偿损失等违约责任。</w:t>
      </w:r>
    </w:p>
    <w:p w14:paraId="29236B6B">
      <w:pPr>
        <w:pStyle w:val="16"/>
        <w:snapToGrid w:val="0"/>
        <w:spacing w:line="460" w:lineRule="exact"/>
        <w:ind w:firstLine="470" w:firstLineChars="196"/>
        <w:rPr>
          <w:rFonts w:hAnsi="宋体" w:cs="宋体"/>
          <w:sz w:val="24"/>
          <w:szCs w:val="24"/>
        </w:rPr>
      </w:pPr>
      <w:r>
        <w:rPr>
          <w:rFonts w:hint="eastAsia" w:hAnsi="宋体" w:cs="宋体"/>
          <w:sz w:val="24"/>
          <w:szCs w:val="24"/>
        </w:rPr>
        <w:t>5.乙方未能按时交付货物的，应向甲方支付迟延交付违约金。迟延交付违约金的计算方法如下：</w:t>
      </w:r>
    </w:p>
    <w:p w14:paraId="4EDC9F2B">
      <w:pPr>
        <w:pStyle w:val="16"/>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日，每日迟延交付违约金为合同总价的 1.5‰；</w:t>
      </w:r>
    </w:p>
    <w:p w14:paraId="00D3106A">
      <w:pPr>
        <w:pStyle w:val="16"/>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到第6</w:t>
      </w:r>
      <w:r>
        <w:rPr>
          <w:rFonts w:hAnsi="宋体" w:cs="宋体"/>
          <w:sz w:val="24"/>
          <w:szCs w:val="24"/>
        </w:rPr>
        <w:t>0</w:t>
      </w:r>
      <w:r>
        <w:rPr>
          <w:rFonts w:hint="eastAsia" w:hAnsi="宋体" w:cs="宋体"/>
          <w:sz w:val="24"/>
          <w:szCs w:val="24"/>
        </w:rPr>
        <w:t>日，每日迟延交付违约金为合同总价的 3‰；</w:t>
      </w:r>
    </w:p>
    <w:p w14:paraId="3C29532D">
      <w:pPr>
        <w:pStyle w:val="16"/>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日起，每日迟延交付违约金为合同总价的5‰。</w:t>
      </w:r>
    </w:p>
    <w:p w14:paraId="1868C6AF">
      <w:pPr>
        <w:pStyle w:val="16"/>
        <w:snapToGrid w:val="0"/>
        <w:spacing w:line="460" w:lineRule="exact"/>
        <w:ind w:firstLine="470" w:firstLineChars="196"/>
        <w:rPr>
          <w:rFonts w:hAnsi="宋体" w:cs="宋体"/>
          <w:sz w:val="24"/>
          <w:szCs w:val="24"/>
        </w:rPr>
      </w:pPr>
      <w:r>
        <w:rPr>
          <w:rFonts w:hint="eastAsia" w:hAnsi="宋体" w:cs="宋体"/>
          <w:sz w:val="24"/>
          <w:szCs w:val="24"/>
        </w:rPr>
        <w:t>（4）迟延交付违约金的总额不得超过合同总价的30%。迟延交付违约金的支付不能免除乙方继续交付相关合同货物的义务，但如迟延交付必然导致合同货物安装、调试、验收等工作推迟的，相关工作应相应顺延。</w:t>
      </w:r>
    </w:p>
    <w:p w14:paraId="069AE4A5">
      <w:pPr>
        <w:pStyle w:val="16"/>
        <w:snapToGrid w:val="0"/>
        <w:spacing w:line="460" w:lineRule="exact"/>
        <w:ind w:firstLine="470" w:firstLineChars="196"/>
        <w:rPr>
          <w:rFonts w:hAnsi="宋体" w:cs="宋体"/>
          <w:sz w:val="24"/>
          <w:szCs w:val="24"/>
        </w:rPr>
      </w:pPr>
      <w:r>
        <w:rPr>
          <w:rFonts w:hint="eastAsia" w:hAnsi="宋体" w:cs="宋体"/>
          <w:sz w:val="24"/>
          <w:szCs w:val="24"/>
        </w:rPr>
        <w:t>6.甲方未能按合同约定支付合同价款的，应向乙方支付延迟付款违约金。迟延付款违约金的计算方法如下：</w:t>
      </w:r>
    </w:p>
    <w:p w14:paraId="7F4242D6">
      <w:pPr>
        <w:pStyle w:val="16"/>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日，每日迟延付款违约金为迟延付款金额的1.5‰；</w:t>
      </w:r>
    </w:p>
    <w:p w14:paraId="2C0B1516">
      <w:pPr>
        <w:pStyle w:val="16"/>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日到第60日，每日迟延付款违约金为迟延付款金额的3‰；</w:t>
      </w:r>
    </w:p>
    <w:p w14:paraId="4034C4E2">
      <w:pPr>
        <w:pStyle w:val="16"/>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日起，每日迟延付款违约金为迟延付款金额的 5‰。迟延付款违约金的总额不得超过迟延付款金额的30% 。</w:t>
      </w:r>
    </w:p>
    <w:p w14:paraId="4371EE6A">
      <w:pPr>
        <w:pStyle w:val="16"/>
        <w:snapToGrid w:val="0"/>
        <w:spacing w:line="460" w:lineRule="exact"/>
        <w:ind w:firstLine="470" w:firstLineChars="196"/>
        <w:rPr>
          <w:rFonts w:hAnsi="宋体" w:cs="宋体"/>
          <w:sz w:val="24"/>
          <w:szCs w:val="24"/>
        </w:rPr>
      </w:pPr>
      <w:r>
        <w:rPr>
          <w:rFonts w:hint="eastAsia" w:hAnsi="宋体" w:cs="宋体"/>
          <w:sz w:val="24"/>
          <w:szCs w:val="24"/>
        </w:rPr>
        <w:t>7.乙方未按本合同和响应文件承诺提供售后服务的，乙方应按本合同总价的5%向甲方支付违约金。</w:t>
      </w:r>
    </w:p>
    <w:p w14:paraId="04D429F5">
      <w:pPr>
        <w:pStyle w:val="16"/>
        <w:snapToGrid w:val="0"/>
        <w:spacing w:line="440" w:lineRule="exact"/>
        <w:ind w:firstLine="480" w:firstLineChars="200"/>
        <w:rPr>
          <w:rFonts w:cs="宋体"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乙方违约，甲方对本合同享有单方解除权。</w:t>
      </w:r>
    </w:p>
    <w:p w14:paraId="5A5A607D">
      <w:pPr>
        <w:pStyle w:val="16"/>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.因某一方</w:t>
      </w:r>
      <w:r>
        <w:rPr>
          <w:rFonts w:hint="eastAsia" w:asciiTheme="minorEastAsia" w:hAnsiTheme="minorEastAsia" w:eastAsiaTheme="minorEastAsia"/>
          <w:bCs/>
          <w:sz w:val="24"/>
          <w:shd w:val="clear" w:color="auto" w:fill="FFFFFF"/>
        </w:rPr>
        <w:t>单方面</w:t>
      </w:r>
      <w:r>
        <w:rPr>
          <w:rFonts w:hint="eastAsia" w:cs="宋体" w:asciiTheme="minorEastAsia" w:hAnsiTheme="minorEastAsia" w:eastAsiaTheme="minorEastAsia"/>
          <w:sz w:val="24"/>
          <w:szCs w:val="24"/>
        </w:rPr>
        <w:t>原因导致变更、中止或者终止</w:t>
      </w:r>
      <w:bookmarkStart w:id="35" w:name="_Hlk123747227"/>
      <w:r>
        <w:rPr>
          <w:rFonts w:hint="eastAsia" w:asciiTheme="minorEastAsia" w:hAnsiTheme="minorEastAsia" w:eastAsiaTheme="minorEastAsia"/>
          <w:bCs/>
          <w:sz w:val="24"/>
          <w:shd w:val="clear" w:color="auto" w:fill="FFFFFF"/>
        </w:rPr>
        <w:t>本</w:t>
      </w:r>
      <w:bookmarkEnd w:id="35"/>
      <w:r>
        <w:rPr>
          <w:rFonts w:hint="eastAsia" w:cs="宋体" w:asciiTheme="minorEastAsia" w:hAnsiTheme="minorEastAsia" w:eastAsiaTheme="minorEastAsia"/>
          <w:sz w:val="24"/>
          <w:szCs w:val="24"/>
        </w:rPr>
        <w:t>合同的，该方应当对另一方</w:t>
      </w:r>
      <w:r>
        <w:rPr>
          <w:rFonts w:hint="eastAsia" w:asciiTheme="minorEastAsia" w:hAnsiTheme="minorEastAsia" w:eastAsiaTheme="minorEastAsia"/>
          <w:bCs/>
          <w:sz w:val="24"/>
          <w:shd w:val="clear" w:color="auto" w:fill="FFFFFF"/>
        </w:rPr>
        <w:t>因此</w:t>
      </w:r>
      <w:r>
        <w:rPr>
          <w:rFonts w:hint="eastAsia" w:cs="宋体" w:asciiTheme="minorEastAsia" w:hAnsiTheme="minorEastAsia" w:eastAsiaTheme="minorEastAsia"/>
          <w:sz w:val="24"/>
          <w:szCs w:val="24"/>
        </w:rPr>
        <w:t>受到的损失予以赔偿或者补偿。</w:t>
      </w:r>
    </w:p>
    <w:p w14:paraId="583475FF">
      <w:pPr>
        <w:pStyle w:val="16"/>
        <w:snapToGrid w:val="0"/>
        <w:spacing w:line="440" w:lineRule="exact"/>
        <w:ind w:firstLine="480" w:firstLineChars="200"/>
        <w:rPr>
          <w:rFonts w:hAnsi="宋体" w:cs="宋体"/>
          <w:sz w:val="24"/>
          <w:szCs w:val="24"/>
        </w:rPr>
      </w:pPr>
      <w:r>
        <w:rPr>
          <w:rFonts w:hAnsi="宋体" w:cs="宋体"/>
          <w:sz w:val="24"/>
          <w:szCs w:val="24"/>
        </w:rPr>
        <w:t>10</w:t>
      </w:r>
      <w:r>
        <w:rPr>
          <w:rFonts w:hint="eastAsia" w:hAnsi="宋体" w:cs="宋体"/>
          <w:sz w:val="24"/>
          <w:szCs w:val="24"/>
        </w:rPr>
        <w:t>.乙方提供的货物在质量保证期内，因设计、工艺或者材料的缺陷和其它质量原因造成的问题，由乙方负责，费用从余款或者履约保证金中扣除，不足另补。</w:t>
      </w:r>
    </w:p>
    <w:p w14:paraId="6F9FA8A0">
      <w:pPr>
        <w:pStyle w:val="16"/>
        <w:snapToGrid w:val="0"/>
        <w:spacing w:line="44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1</w:t>
      </w:r>
      <w:r>
        <w:rPr>
          <w:rFonts w:hint="eastAsia" w:hAnsi="宋体" w:cs="宋体"/>
          <w:sz w:val="24"/>
          <w:szCs w:val="24"/>
        </w:rPr>
        <w:t>.甲乙双方有其他违约行为的，由违约方向对方支付违约货款额的5%，违约货款额的5%不足以赔偿经济损失的，须按实际损失作出赔偿</w:t>
      </w:r>
      <w:r>
        <w:rPr>
          <w:rFonts w:hint="eastAsia" w:hAnsi="宋体" w:cs="宋体"/>
          <w:sz w:val="24"/>
          <w:szCs w:val="24"/>
          <w:lang w:eastAsia="zh-CN"/>
        </w:rPr>
        <w:t>；</w:t>
      </w:r>
      <w:r>
        <w:rPr>
          <w:rFonts w:hint="eastAsia" w:hAnsi="宋体" w:cs="宋体"/>
          <w:sz w:val="24"/>
          <w:szCs w:val="24"/>
        </w:rPr>
        <w:t>若双方通过诉讼解决合同纠纷，败诉方还应承担胜诉方在诉讼期间支出的相关费用（包括但不限于诉讼费、律师费、诉讼期间差旅费、鉴定费、执行费、保全费、保全保险费等）</w:t>
      </w:r>
    </w:p>
    <w:p w14:paraId="5B14FF07">
      <w:pPr>
        <w:pStyle w:val="16"/>
        <w:snapToGrid w:val="0"/>
        <w:spacing w:line="440" w:lineRule="exact"/>
        <w:ind w:firstLine="470" w:firstLineChars="196"/>
        <w:rPr>
          <w:rFonts w:hAnsi="宋体" w:cs="宋体"/>
          <w:sz w:val="24"/>
          <w:szCs w:val="24"/>
        </w:rPr>
      </w:pPr>
      <w:r>
        <w:rPr>
          <w:rFonts w:hint="eastAsia" w:hAnsi="宋体" w:cs="宋体"/>
          <w:sz w:val="24"/>
          <w:szCs w:val="24"/>
        </w:rPr>
        <w:t>1</w:t>
      </w:r>
      <w:r>
        <w:rPr>
          <w:rFonts w:hAnsi="宋体" w:cs="宋体"/>
          <w:sz w:val="24"/>
          <w:szCs w:val="24"/>
        </w:rPr>
        <w:t>2</w:t>
      </w:r>
      <w:r>
        <w:rPr>
          <w:rFonts w:hint="eastAsia" w:hAnsi="宋体" w:cs="宋体"/>
          <w:sz w:val="24"/>
          <w:szCs w:val="24"/>
        </w:rPr>
        <w:t>.其他违约责任按《中华人民共和国民法典》处理。</w:t>
      </w:r>
    </w:p>
    <w:p w14:paraId="4F88A7F4">
      <w:pPr>
        <w:pStyle w:val="16"/>
        <w:snapToGrid w:val="0"/>
        <w:spacing w:line="460" w:lineRule="exact"/>
        <w:ind w:firstLine="472" w:firstLineChars="196"/>
        <w:rPr>
          <w:rFonts w:hAnsi="宋体" w:cs="宋体"/>
          <w:b/>
          <w:bCs/>
          <w:sz w:val="24"/>
          <w:szCs w:val="24"/>
        </w:rPr>
      </w:pPr>
      <w:r>
        <w:rPr>
          <w:rFonts w:hint="eastAsia" w:hAnsi="宋体" w:cs="宋体"/>
          <w:b/>
          <w:bCs/>
          <w:sz w:val="24"/>
          <w:szCs w:val="24"/>
        </w:rPr>
        <w:t>第十二条  不可抗力事件处理</w:t>
      </w:r>
    </w:p>
    <w:p w14:paraId="48A01182">
      <w:pPr>
        <w:pStyle w:val="16"/>
        <w:snapToGrid w:val="0"/>
        <w:spacing w:line="460" w:lineRule="exact"/>
        <w:ind w:firstLine="470" w:firstLineChars="196"/>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14:paraId="3FCC8836">
      <w:pPr>
        <w:pStyle w:val="16"/>
        <w:snapToGrid w:val="0"/>
        <w:spacing w:line="460" w:lineRule="exact"/>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14:paraId="24924D3F">
      <w:pPr>
        <w:snapToGrid w:val="0"/>
        <w:spacing w:line="460" w:lineRule="exact"/>
        <w:ind w:firstLine="480" w:firstLineChars="200"/>
        <w:rPr>
          <w:rFonts w:ascii="宋体" w:hAnsi="宋体" w:cs="宋体"/>
          <w:sz w:val="24"/>
        </w:rPr>
      </w:pPr>
      <w:r>
        <w:rPr>
          <w:rFonts w:hint="eastAsia" w:ascii="宋体" w:hAnsi="宋体" w:cs="宋体"/>
          <w:sz w:val="24"/>
        </w:rPr>
        <w:t>3.不可抗力事件延续</w:t>
      </w:r>
      <w:r>
        <w:rPr>
          <w:rFonts w:ascii="宋体" w:hAnsi="宋体" w:cs="宋体"/>
          <w:sz w:val="24"/>
        </w:rPr>
        <w:t>60</w:t>
      </w:r>
      <w:r>
        <w:rPr>
          <w:rFonts w:hint="eastAsia" w:ascii="宋体" w:hAnsi="宋体" w:cs="宋体"/>
          <w:sz w:val="24"/>
        </w:rPr>
        <w:t>天以上，双方应通过友好协商，确定是否继续履行合同。</w:t>
      </w:r>
    </w:p>
    <w:p w14:paraId="1BAA2442">
      <w:pPr>
        <w:snapToGrid w:val="0"/>
        <w:spacing w:line="460" w:lineRule="exact"/>
        <w:ind w:firstLine="482" w:firstLineChars="200"/>
        <w:rPr>
          <w:rFonts w:ascii="宋体" w:hAnsi="宋体" w:cs="宋体"/>
          <w:sz w:val="24"/>
        </w:rPr>
      </w:pPr>
      <w:r>
        <w:rPr>
          <w:rFonts w:hint="eastAsia" w:ascii="宋体" w:hAnsi="宋体" w:cs="宋体"/>
          <w:b/>
          <w:sz w:val="24"/>
        </w:rPr>
        <w:t>第十三条  合同争议解决</w:t>
      </w:r>
    </w:p>
    <w:p w14:paraId="693DBE8F">
      <w:pPr>
        <w:snapToGrid w:val="0"/>
        <w:spacing w:line="460" w:lineRule="exact"/>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14:paraId="00C451D7">
      <w:pPr>
        <w:snapToGrid w:val="0"/>
        <w:spacing w:line="460" w:lineRule="exact"/>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2.因履行本合同引起的或者与本合同有关的争议，甲乙双方应首先通过友好协商解决，如果协商不能解决，任何一方可向甲方所在地有管辖权的人民法院提起诉讼。</w:t>
      </w:r>
    </w:p>
    <w:p w14:paraId="06844913">
      <w:pPr>
        <w:snapToGrid w:val="0"/>
        <w:spacing w:line="460" w:lineRule="exact"/>
        <w:ind w:firstLine="514"/>
        <w:rPr>
          <w:rFonts w:ascii="宋体" w:hAnsi="宋体" w:cs="宋体"/>
          <w:sz w:val="24"/>
        </w:rPr>
      </w:pPr>
      <w:r>
        <w:rPr>
          <w:rFonts w:hint="eastAsia" w:ascii="宋体" w:hAnsi="宋体" w:cs="宋体"/>
          <w:sz w:val="24"/>
        </w:rPr>
        <w:t>3.诉讼期间，本合同无争议部分须继续履行。</w:t>
      </w:r>
    </w:p>
    <w:p w14:paraId="1BF41893">
      <w:pPr>
        <w:pStyle w:val="16"/>
        <w:snapToGrid w:val="0"/>
        <w:spacing w:line="460" w:lineRule="exact"/>
        <w:ind w:firstLine="472" w:firstLineChars="196"/>
        <w:rPr>
          <w:rFonts w:hAnsi="宋体" w:cs="宋体"/>
          <w:b/>
          <w:sz w:val="24"/>
          <w:szCs w:val="24"/>
        </w:rPr>
      </w:pPr>
      <w:r>
        <w:rPr>
          <w:rFonts w:hint="eastAsia" w:hAnsi="宋体" w:cs="宋体"/>
          <w:b/>
          <w:sz w:val="24"/>
          <w:szCs w:val="24"/>
        </w:rPr>
        <w:t>第十四条  合同生效及其他</w:t>
      </w:r>
    </w:p>
    <w:p w14:paraId="7E5F86FD">
      <w:pPr>
        <w:pStyle w:val="16"/>
        <w:snapToGrid w:val="0"/>
        <w:spacing w:line="460" w:lineRule="exact"/>
        <w:ind w:firstLine="480" w:firstLineChars="200"/>
        <w:rPr>
          <w:rFonts w:hAnsi="宋体" w:cs="宋体"/>
          <w:kern w:val="2"/>
          <w:sz w:val="24"/>
          <w:szCs w:val="24"/>
        </w:rPr>
      </w:pPr>
      <w:r>
        <w:rPr>
          <w:rFonts w:hint="eastAsia" w:hAnsi="宋体" w:cs="宋体"/>
          <w:kern w:val="2"/>
          <w:sz w:val="24"/>
          <w:szCs w:val="24"/>
        </w:rPr>
        <w:t>1.合同自双方法定代表人或者委托代理人签字并加盖单位公章或合同专用章之日起生效（委托代理人签字的须后附授权委托书，格式自拟）。</w:t>
      </w:r>
    </w:p>
    <w:p w14:paraId="31CA92AE">
      <w:pPr>
        <w:pStyle w:val="16"/>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14:paraId="4369FBB2">
      <w:pPr>
        <w:pStyle w:val="16"/>
        <w:snapToGrid w:val="0"/>
        <w:spacing w:line="460" w:lineRule="exact"/>
        <w:ind w:firstLine="480" w:firstLineChars="200"/>
        <w:rPr>
          <w:rFonts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53E9B760">
      <w:pPr>
        <w:snapToGrid w:val="0"/>
        <w:spacing w:line="460" w:lineRule="exact"/>
        <w:ind w:firstLine="482" w:firstLineChars="200"/>
        <w:rPr>
          <w:rFonts w:ascii="宋体" w:hAnsi="宋体" w:cs="宋体"/>
          <w:b/>
          <w:sz w:val="24"/>
        </w:rPr>
      </w:pPr>
      <w:r>
        <w:rPr>
          <w:rFonts w:hint="eastAsia" w:ascii="宋体" w:hAnsi="宋体" w:cs="宋体"/>
          <w:b/>
          <w:sz w:val="24"/>
        </w:rPr>
        <w:t>第十五条　合同的变更、终止与转让</w:t>
      </w:r>
    </w:p>
    <w:p w14:paraId="482CC44D">
      <w:pPr>
        <w:snapToGrid w:val="0"/>
        <w:spacing w:line="460" w:lineRule="exact"/>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7873A36C">
      <w:pPr>
        <w:snapToGrid w:val="0"/>
        <w:spacing w:line="460" w:lineRule="exact"/>
        <w:ind w:firstLine="514"/>
        <w:rPr>
          <w:rFonts w:ascii="宋体" w:hAnsi="宋体" w:cs="宋体"/>
          <w:sz w:val="24"/>
        </w:rPr>
      </w:pPr>
      <w:r>
        <w:rPr>
          <w:rFonts w:hint="eastAsia" w:ascii="宋体" w:hAnsi="宋体" w:cs="宋体"/>
          <w:sz w:val="24"/>
        </w:rPr>
        <w:t>2.乙方不得擅自转让其应履行的合同义务。</w:t>
      </w:r>
    </w:p>
    <w:p w14:paraId="07516431">
      <w:pPr>
        <w:pStyle w:val="16"/>
        <w:snapToGrid w:val="0"/>
        <w:spacing w:line="460" w:lineRule="exact"/>
        <w:ind w:firstLine="472" w:firstLineChars="196"/>
        <w:rPr>
          <w:rFonts w:hAnsi="宋体" w:cs="宋体"/>
          <w:sz w:val="24"/>
          <w:szCs w:val="24"/>
        </w:rPr>
      </w:pPr>
      <w:r>
        <w:rPr>
          <w:rFonts w:hint="eastAsia" w:hAnsi="宋体" w:cs="宋体"/>
          <w:b/>
          <w:sz w:val="24"/>
          <w:szCs w:val="24"/>
        </w:rPr>
        <w:t>第十六条　</w:t>
      </w:r>
      <w:r>
        <w:rPr>
          <w:rFonts w:hint="eastAsia" w:hAnsi="宋体" w:cs="宋体"/>
          <w:spacing w:val="-2"/>
          <w:sz w:val="24"/>
          <w:szCs w:val="24"/>
        </w:rPr>
        <w:t>本</w:t>
      </w:r>
      <w:r>
        <w:rPr>
          <w:rFonts w:hint="eastAsia" w:hAnsi="宋体" w:cs="宋体"/>
          <w:sz w:val="24"/>
          <w:szCs w:val="24"/>
        </w:rPr>
        <w:t>合同书</w:t>
      </w:r>
      <w:r>
        <w:rPr>
          <w:rFonts w:hint="eastAsia" w:hAnsi="宋体" w:cs="宋体"/>
          <w:spacing w:val="-2"/>
          <w:sz w:val="24"/>
          <w:szCs w:val="24"/>
        </w:rPr>
        <w:t>与</w:t>
      </w:r>
      <w:r>
        <w:rPr>
          <w:rFonts w:hint="eastAsia" w:hAnsi="宋体" w:cs="宋体"/>
          <w:sz w:val="24"/>
          <w:szCs w:val="24"/>
        </w:rPr>
        <w:t>下</w:t>
      </w:r>
      <w:r>
        <w:rPr>
          <w:rFonts w:hint="eastAsia" w:hAnsi="宋体" w:cs="宋体"/>
          <w:spacing w:val="-2"/>
          <w:sz w:val="24"/>
          <w:szCs w:val="24"/>
        </w:rPr>
        <w:t>列</w:t>
      </w:r>
      <w:r>
        <w:rPr>
          <w:rFonts w:hint="eastAsia" w:hAnsi="宋体" w:cs="宋体"/>
          <w:sz w:val="24"/>
          <w:szCs w:val="24"/>
        </w:rPr>
        <w:t>文</w:t>
      </w:r>
      <w:r>
        <w:rPr>
          <w:rFonts w:hint="eastAsia" w:hAnsi="宋体" w:cs="宋体"/>
          <w:spacing w:val="-2"/>
          <w:sz w:val="24"/>
          <w:szCs w:val="24"/>
        </w:rPr>
        <w:t>件一</w:t>
      </w:r>
      <w:r>
        <w:rPr>
          <w:rFonts w:hint="eastAsia" w:hAnsi="宋体" w:cs="宋体"/>
          <w:sz w:val="24"/>
          <w:szCs w:val="24"/>
        </w:rPr>
        <w:t>起构</w:t>
      </w:r>
      <w:r>
        <w:rPr>
          <w:rFonts w:hint="eastAsia" w:hAnsi="宋体" w:cs="宋体"/>
          <w:spacing w:val="-2"/>
          <w:sz w:val="24"/>
          <w:szCs w:val="24"/>
        </w:rPr>
        <w:t>成</w:t>
      </w:r>
      <w:r>
        <w:rPr>
          <w:rFonts w:hint="eastAsia" w:hAnsi="宋体" w:cs="宋体"/>
          <w:sz w:val="24"/>
          <w:szCs w:val="24"/>
        </w:rPr>
        <w:t>合</w:t>
      </w:r>
      <w:r>
        <w:rPr>
          <w:rFonts w:hint="eastAsia" w:hAnsi="宋体" w:cs="宋体"/>
          <w:spacing w:val="-2"/>
          <w:sz w:val="24"/>
          <w:szCs w:val="24"/>
        </w:rPr>
        <w:t>同</w:t>
      </w:r>
      <w:r>
        <w:rPr>
          <w:rFonts w:hint="eastAsia" w:hAnsi="宋体" w:cs="宋体"/>
          <w:sz w:val="24"/>
          <w:szCs w:val="24"/>
        </w:rPr>
        <w:t>文</w:t>
      </w:r>
      <w:r>
        <w:rPr>
          <w:rFonts w:hint="eastAsia" w:hAnsi="宋体" w:cs="宋体"/>
          <w:spacing w:val="-2"/>
          <w:sz w:val="24"/>
          <w:szCs w:val="24"/>
        </w:rPr>
        <w:t>件</w:t>
      </w:r>
    </w:p>
    <w:p w14:paraId="587D6C50">
      <w:pPr>
        <w:pStyle w:val="16"/>
        <w:snapToGrid w:val="0"/>
        <w:spacing w:line="460" w:lineRule="exact"/>
        <w:ind w:firstLine="470" w:firstLineChars="196"/>
        <w:rPr>
          <w:rFonts w:hAnsi="宋体" w:cs="宋体"/>
          <w:sz w:val="24"/>
          <w:szCs w:val="24"/>
        </w:rPr>
      </w:pPr>
      <w:r>
        <w:rPr>
          <w:rFonts w:hint="eastAsia" w:hAnsi="宋体" w:cs="宋体"/>
          <w:sz w:val="24"/>
          <w:szCs w:val="24"/>
        </w:rPr>
        <w:t>1.成交通知书</w:t>
      </w:r>
    </w:p>
    <w:p w14:paraId="5EB121F6">
      <w:pPr>
        <w:pStyle w:val="16"/>
        <w:snapToGrid w:val="0"/>
        <w:spacing w:line="460" w:lineRule="exact"/>
        <w:ind w:firstLine="470" w:firstLineChars="196"/>
        <w:rPr>
          <w:rFonts w:hAnsi="宋体" w:cs="宋体"/>
          <w:sz w:val="24"/>
          <w:szCs w:val="24"/>
        </w:rPr>
      </w:pPr>
      <w:r>
        <w:rPr>
          <w:rFonts w:hint="eastAsia" w:hAnsi="宋体" w:cs="宋体"/>
          <w:sz w:val="24"/>
          <w:szCs w:val="24"/>
        </w:rPr>
        <w:t>2.采购需求</w:t>
      </w:r>
    </w:p>
    <w:p w14:paraId="4C70BF98">
      <w:pPr>
        <w:pStyle w:val="16"/>
        <w:snapToGrid w:val="0"/>
        <w:spacing w:line="460" w:lineRule="exact"/>
        <w:ind w:firstLine="470" w:firstLineChars="196"/>
        <w:rPr>
          <w:rFonts w:hAnsi="宋体" w:cs="宋体"/>
          <w:sz w:val="24"/>
          <w:szCs w:val="24"/>
        </w:rPr>
      </w:pPr>
      <w:r>
        <w:rPr>
          <w:rFonts w:hint="eastAsia" w:hAnsi="宋体" w:cs="宋体"/>
          <w:sz w:val="24"/>
          <w:szCs w:val="24"/>
        </w:rPr>
        <w:t>3.</w:t>
      </w:r>
      <w:r>
        <w:rPr>
          <w:rFonts w:hint="eastAsia" w:hAnsi="宋体" w:cs="宋体"/>
          <w:sz w:val="24"/>
        </w:rPr>
        <w:t>参与竞争性谈判</w:t>
      </w:r>
      <w:r>
        <w:rPr>
          <w:rFonts w:hint="eastAsia" w:hAnsi="宋体" w:cs="宋体"/>
          <w:sz w:val="24"/>
          <w:szCs w:val="24"/>
        </w:rPr>
        <w:t>声明函</w:t>
      </w:r>
    </w:p>
    <w:p w14:paraId="1C731345">
      <w:pPr>
        <w:pStyle w:val="16"/>
        <w:snapToGrid w:val="0"/>
        <w:spacing w:line="460" w:lineRule="exact"/>
        <w:ind w:firstLine="470" w:firstLineChars="196"/>
        <w:rPr>
          <w:rFonts w:hAnsi="宋体" w:cs="宋体"/>
          <w:sz w:val="24"/>
          <w:szCs w:val="24"/>
        </w:rPr>
      </w:pPr>
      <w:r>
        <w:rPr>
          <w:rFonts w:hint="eastAsia" w:hAnsi="宋体" w:cs="宋体"/>
          <w:sz w:val="24"/>
          <w:szCs w:val="24"/>
        </w:rPr>
        <w:t>4.</w:t>
      </w:r>
      <w:r>
        <w:rPr>
          <w:rFonts w:hint="eastAsia" w:hAnsi="宋体" w:cs="宋体"/>
          <w:sz w:val="24"/>
        </w:rPr>
        <w:t>竞争性谈判</w:t>
      </w:r>
      <w:r>
        <w:rPr>
          <w:rFonts w:hint="eastAsia" w:hAnsi="宋体" w:cs="宋体"/>
          <w:sz w:val="24"/>
          <w:szCs w:val="24"/>
        </w:rPr>
        <w:t>报价表及货物配置清单</w:t>
      </w:r>
    </w:p>
    <w:p w14:paraId="05B70ADF">
      <w:pPr>
        <w:pStyle w:val="16"/>
        <w:snapToGrid w:val="0"/>
        <w:spacing w:line="460" w:lineRule="exact"/>
        <w:ind w:firstLine="470" w:firstLineChars="196"/>
        <w:rPr>
          <w:rFonts w:hAnsi="宋体" w:cs="宋体"/>
          <w:sz w:val="24"/>
          <w:szCs w:val="24"/>
        </w:rPr>
      </w:pPr>
      <w:r>
        <w:rPr>
          <w:rFonts w:hint="eastAsia" w:hAnsi="宋体" w:cs="宋体"/>
          <w:sz w:val="24"/>
          <w:szCs w:val="24"/>
        </w:rPr>
        <w:t>5.商务要求偏离表和技术要求偏离表</w:t>
      </w:r>
    </w:p>
    <w:p w14:paraId="5A28C774">
      <w:pPr>
        <w:pStyle w:val="16"/>
        <w:snapToGrid w:val="0"/>
        <w:spacing w:line="460" w:lineRule="exact"/>
        <w:ind w:firstLine="470" w:firstLineChars="196"/>
        <w:rPr>
          <w:rFonts w:hAnsi="宋体" w:cs="宋体"/>
          <w:sz w:val="24"/>
          <w:szCs w:val="24"/>
        </w:rPr>
      </w:pPr>
      <w:r>
        <w:rPr>
          <w:rFonts w:hint="eastAsia" w:hAnsi="宋体" w:cs="宋体"/>
          <w:sz w:val="24"/>
          <w:szCs w:val="24"/>
        </w:rPr>
        <w:t>6.售后服务承诺</w:t>
      </w:r>
    </w:p>
    <w:p w14:paraId="6978A10D">
      <w:pPr>
        <w:pStyle w:val="16"/>
        <w:snapToGrid w:val="0"/>
        <w:spacing w:line="460" w:lineRule="exact"/>
        <w:ind w:firstLine="470" w:firstLineChars="196"/>
        <w:rPr>
          <w:rFonts w:hAnsi="宋体" w:cs="宋体"/>
          <w:sz w:val="24"/>
          <w:szCs w:val="24"/>
        </w:rPr>
      </w:pPr>
      <w:r>
        <w:rPr>
          <w:rFonts w:hint="eastAsia" w:hAnsi="宋体" w:cs="宋体"/>
          <w:sz w:val="24"/>
          <w:szCs w:val="24"/>
        </w:rPr>
        <w:t>7.其他合同文件</w:t>
      </w:r>
    </w:p>
    <w:p w14:paraId="53C76FD9">
      <w:pPr>
        <w:pStyle w:val="16"/>
        <w:snapToGrid w:val="0"/>
        <w:spacing w:line="460" w:lineRule="exact"/>
        <w:ind w:firstLine="470" w:firstLineChars="196"/>
        <w:rPr>
          <w:rFonts w:hAnsi="宋体" w:cs="宋体"/>
          <w:sz w:val="24"/>
          <w:szCs w:val="24"/>
        </w:rPr>
      </w:pPr>
      <w:r>
        <w:rPr>
          <w:rFonts w:hint="eastAsia" w:hAnsi="宋体" w:cs="宋体"/>
          <w:sz w:val="24"/>
          <w:szCs w:val="24"/>
        </w:rPr>
        <w:t>上述合同文件互相补充和解释。如果合同文件之间存在矛盾或者不一致之处，以上述文件的排列顺序在先者为准。</w:t>
      </w:r>
    </w:p>
    <w:p w14:paraId="251AC8E7">
      <w:pPr>
        <w:pStyle w:val="16"/>
        <w:snapToGrid w:val="0"/>
        <w:spacing w:line="460" w:lineRule="exact"/>
        <w:ind w:firstLine="472" w:firstLineChars="196"/>
        <w:rPr>
          <w:rFonts w:hAnsi="宋体" w:cs="宋体"/>
          <w:sz w:val="24"/>
        </w:rPr>
      </w:pPr>
      <w:r>
        <w:rPr>
          <w:rFonts w:hint="eastAsia" w:hAnsi="宋体" w:cs="宋体"/>
          <w:b/>
          <w:sz w:val="24"/>
        </w:rPr>
        <w:t>第十七条　</w:t>
      </w:r>
      <w:r>
        <w:rPr>
          <w:rFonts w:hint="eastAsia" w:hAnsi="宋体" w:cs="宋体"/>
          <w:sz w:val="24"/>
          <w:szCs w:val="24"/>
        </w:rPr>
        <w:t>本合同一式柒份，具有同等法律效力，甲方伍份，乙方壹份，采购代理机构壹份。</w:t>
      </w:r>
    </w:p>
    <w:p w14:paraId="55AAB222">
      <w:pPr>
        <w:pStyle w:val="16"/>
        <w:snapToGrid w:val="0"/>
        <w:spacing w:line="460" w:lineRule="exact"/>
        <w:ind w:firstLine="470" w:firstLineChars="196"/>
        <w:rPr>
          <w:rFonts w:hAnsi="宋体" w:cs="宋体"/>
          <w:sz w:val="24"/>
          <w:szCs w:val="24"/>
        </w:rPr>
      </w:pPr>
      <w:r>
        <w:rPr>
          <w:rFonts w:hint="eastAsia" w:hAnsi="宋体" w:cs="宋体"/>
          <w:sz w:val="24"/>
          <w:szCs w:val="24"/>
        </w:rPr>
        <w:t>（以下无正文）</w:t>
      </w:r>
    </w:p>
    <w:p w14:paraId="69AE32D1">
      <w:pPr>
        <w:pStyle w:val="16"/>
        <w:snapToGrid w:val="0"/>
        <w:spacing w:line="460" w:lineRule="exact"/>
        <w:ind w:firstLine="470" w:firstLineChars="196"/>
        <w:rPr>
          <w:rFonts w:hAnsi="宋体" w:cs="宋体"/>
          <w:sz w:val="24"/>
        </w:rPr>
      </w:pPr>
    </w:p>
    <w:bookmarkEnd w:id="34"/>
    <w:tbl>
      <w:tblPr>
        <w:tblStyle w:val="2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2F79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5AE05C82">
            <w:pPr>
              <w:snapToGrid w:val="0"/>
              <w:spacing w:line="460" w:lineRule="exact"/>
              <w:rPr>
                <w:rFonts w:ascii="宋体" w:hAnsi="宋体" w:cs="宋体"/>
                <w:sz w:val="24"/>
              </w:rPr>
            </w:pPr>
            <w:r>
              <w:rPr>
                <w:rFonts w:hint="eastAsia" w:ascii="宋体" w:hAnsi="宋体" w:cs="宋体"/>
                <w:sz w:val="24"/>
              </w:rPr>
              <w:t xml:space="preserve">甲方（章）           </w:t>
            </w:r>
          </w:p>
          <w:p w14:paraId="6C49C63C">
            <w:pPr>
              <w:snapToGrid w:val="0"/>
              <w:spacing w:line="460" w:lineRule="exact"/>
              <w:jc w:val="center"/>
              <w:rPr>
                <w:rFonts w:ascii="宋体" w:hAnsi="宋体" w:cs="宋体"/>
                <w:sz w:val="24"/>
              </w:rPr>
            </w:pPr>
            <w:r>
              <w:rPr>
                <w:rFonts w:hint="eastAsia" w:ascii="宋体" w:hAnsi="宋体" w:cs="宋体"/>
                <w:sz w:val="24"/>
              </w:rPr>
              <w:t>广西大学</w:t>
            </w:r>
          </w:p>
          <w:p w14:paraId="6546D1EC">
            <w:pPr>
              <w:snapToGrid w:val="0"/>
              <w:spacing w:line="460" w:lineRule="exact"/>
              <w:ind w:firstLine="1080" w:firstLineChars="450"/>
              <w:jc w:val="right"/>
              <w:rPr>
                <w:rFonts w:ascii="宋体" w:hAnsi="宋体" w:cs="宋体"/>
                <w:sz w:val="24"/>
              </w:rPr>
            </w:pPr>
            <w:r>
              <w:rPr>
                <w:rFonts w:hint="eastAsia" w:ascii="宋体" w:hAnsi="宋体" w:cs="宋体"/>
                <w:sz w:val="24"/>
              </w:rPr>
              <w:t>年   月   日</w:t>
            </w:r>
          </w:p>
        </w:tc>
        <w:tc>
          <w:tcPr>
            <w:tcW w:w="4360" w:type="dxa"/>
            <w:vAlign w:val="center"/>
          </w:tcPr>
          <w:p w14:paraId="68F03AC0">
            <w:pPr>
              <w:snapToGrid w:val="0"/>
              <w:spacing w:line="460" w:lineRule="exact"/>
              <w:rPr>
                <w:rFonts w:ascii="宋体" w:hAnsi="宋体" w:cs="宋体"/>
                <w:sz w:val="24"/>
              </w:rPr>
            </w:pPr>
            <w:r>
              <w:rPr>
                <w:rFonts w:hint="eastAsia" w:ascii="宋体" w:hAnsi="宋体" w:cs="宋体"/>
                <w:sz w:val="24"/>
              </w:rPr>
              <w:t xml:space="preserve">乙方（章）              </w:t>
            </w:r>
          </w:p>
          <w:p w14:paraId="630AC6CB">
            <w:pPr>
              <w:snapToGrid w:val="0"/>
              <w:spacing w:line="460" w:lineRule="exact"/>
              <w:jc w:val="right"/>
              <w:rPr>
                <w:rFonts w:ascii="宋体" w:hAnsi="宋体" w:cs="宋体"/>
                <w:sz w:val="24"/>
              </w:rPr>
            </w:pPr>
            <w:r>
              <w:rPr>
                <w:rFonts w:hint="eastAsia" w:ascii="宋体" w:hAnsi="宋体" w:cs="宋体"/>
                <w:sz w:val="24"/>
              </w:rPr>
              <w:t xml:space="preserve"> 年   月   日</w:t>
            </w:r>
          </w:p>
        </w:tc>
      </w:tr>
      <w:tr w14:paraId="43B1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58D6867D">
            <w:pPr>
              <w:snapToGrid w:val="0"/>
              <w:spacing w:line="460" w:lineRule="exact"/>
              <w:rPr>
                <w:rFonts w:ascii="宋体" w:hAnsi="宋体" w:cs="宋体"/>
                <w:sz w:val="24"/>
              </w:rPr>
            </w:pPr>
            <w:r>
              <w:rPr>
                <w:rFonts w:hint="eastAsia" w:ascii="宋体" w:hAnsi="宋体" w:cs="宋体"/>
                <w:sz w:val="24"/>
              </w:rPr>
              <w:t>单位地址：广西壮族自治区南宁市大学东路100号</w:t>
            </w:r>
          </w:p>
        </w:tc>
        <w:tc>
          <w:tcPr>
            <w:tcW w:w="4360" w:type="dxa"/>
            <w:vAlign w:val="center"/>
          </w:tcPr>
          <w:p w14:paraId="38F254EF">
            <w:pPr>
              <w:pStyle w:val="23"/>
              <w:widowControl/>
              <w:spacing w:line="460" w:lineRule="exact"/>
              <w:rPr>
                <w:rFonts w:ascii="宋体" w:hAnsi="宋体" w:cs="宋体"/>
              </w:rPr>
            </w:pPr>
            <w:r>
              <w:rPr>
                <w:rFonts w:hint="eastAsia" w:ascii="宋体" w:hAnsi="宋体" w:cs="宋体"/>
              </w:rPr>
              <w:t>单位地址：</w:t>
            </w:r>
          </w:p>
        </w:tc>
      </w:tr>
      <w:tr w14:paraId="3B72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7D5B3851">
            <w:pPr>
              <w:snapToGrid w:val="0"/>
              <w:spacing w:line="460" w:lineRule="exact"/>
              <w:rPr>
                <w:rFonts w:ascii="宋体" w:hAnsi="宋体" w:cs="宋体"/>
                <w:sz w:val="24"/>
              </w:rPr>
            </w:pPr>
            <w:r>
              <w:rPr>
                <w:rFonts w:hint="eastAsia" w:ascii="宋体" w:hAnsi="宋体" w:cs="宋体"/>
                <w:sz w:val="24"/>
              </w:rPr>
              <w:t>法定代表人（签字）：</w:t>
            </w:r>
          </w:p>
        </w:tc>
        <w:tc>
          <w:tcPr>
            <w:tcW w:w="4360" w:type="dxa"/>
            <w:vAlign w:val="center"/>
          </w:tcPr>
          <w:p w14:paraId="2F8C7BB4">
            <w:pPr>
              <w:snapToGrid w:val="0"/>
              <w:spacing w:line="460" w:lineRule="exact"/>
              <w:rPr>
                <w:rFonts w:ascii="宋体" w:hAnsi="宋体" w:cs="宋体"/>
                <w:sz w:val="24"/>
              </w:rPr>
            </w:pPr>
            <w:r>
              <w:rPr>
                <w:rFonts w:hint="eastAsia" w:ascii="宋体" w:hAnsi="宋体" w:cs="宋体"/>
                <w:sz w:val="24"/>
              </w:rPr>
              <w:t>法定代表人（签字）：</w:t>
            </w:r>
          </w:p>
        </w:tc>
      </w:tr>
      <w:tr w14:paraId="5B03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32CCE52D">
            <w:pPr>
              <w:snapToGrid w:val="0"/>
              <w:spacing w:line="460" w:lineRule="exact"/>
              <w:rPr>
                <w:rFonts w:ascii="宋体" w:hAnsi="宋体" w:cs="宋体"/>
                <w:sz w:val="24"/>
              </w:rPr>
            </w:pPr>
            <w:r>
              <w:rPr>
                <w:rFonts w:hint="eastAsia" w:ascii="宋体" w:hAnsi="宋体" w:cs="宋体"/>
                <w:sz w:val="24"/>
              </w:rPr>
              <w:t>委托代理人（签字）：</w:t>
            </w:r>
          </w:p>
        </w:tc>
        <w:tc>
          <w:tcPr>
            <w:tcW w:w="4360" w:type="dxa"/>
            <w:vAlign w:val="center"/>
          </w:tcPr>
          <w:p w14:paraId="7980BDF2">
            <w:pPr>
              <w:snapToGrid w:val="0"/>
              <w:spacing w:line="460" w:lineRule="exact"/>
              <w:rPr>
                <w:rFonts w:ascii="宋体" w:hAnsi="宋体" w:cs="宋体"/>
                <w:sz w:val="24"/>
              </w:rPr>
            </w:pPr>
            <w:r>
              <w:rPr>
                <w:rFonts w:hint="eastAsia" w:ascii="宋体" w:hAnsi="宋体" w:cs="宋体"/>
                <w:sz w:val="24"/>
              </w:rPr>
              <w:t>委托代理人（签字）：</w:t>
            </w:r>
          </w:p>
        </w:tc>
      </w:tr>
      <w:tr w14:paraId="7F2C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3E08E7F6">
            <w:pPr>
              <w:snapToGrid w:val="0"/>
              <w:spacing w:line="460" w:lineRule="exact"/>
              <w:rPr>
                <w:rFonts w:ascii="宋体" w:hAnsi="宋体" w:cs="宋体"/>
                <w:sz w:val="24"/>
              </w:rPr>
            </w:pPr>
            <w:r>
              <w:rPr>
                <w:rFonts w:hint="eastAsia" w:ascii="宋体" w:hAnsi="宋体" w:cs="宋体"/>
                <w:sz w:val="24"/>
              </w:rPr>
              <w:t>电话：</w:t>
            </w:r>
            <w:r>
              <w:rPr>
                <w:rFonts w:ascii="宋体" w:hAnsi="宋体" w:cs="宋体"/>
                <w:sz w:val="24"/>
              </w:rPr>
              <w:t>0771-*******</w:t>
            </w:r>
          </w:p>
        </w:tc>
        <w:tc>
          <w:tcPr>
            <w:tcW w:w="4360" w:type="dxa"/>
            <w:vAlign w:val="center"/>
          </w:tcPr>
          <w:p w14:paraId="76B7AB1F">
            <w:pPr>
              <w:widowControl/>
              <w:spacing w:line="460" w:lineRule="exact"/>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lang w:bidi="ar"/>
              </w:rPr>
              <w:t xml:space="preserve"> </w:t>
            </w:r>
          </w:p>
        </w:tc>
      </w:tr>
      <w:tr w14:paraId="4AB0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700A428C">
            <w:pPr>
              <w:snapToGrid w:val="0"/>
              <w:spacing w:line="460" w:lineRule="exact"/>
              <w:rPr>
                <w:rFonts w:ascii="宋体" w:hAnsi="宋体" w:cs="宋体"/>
                <w:kern w:val="0"/>
                <w:sz w:val="24"/>
              </w:rPr>
            </w:pPr>
            <w:r>
              <w:rPr>
                <w:rFonts w:hint="eastAsia" w:ascii="宋体" w:hAnsi="宋体" w:cs="宋体"/>
                <w:kern w:val="0"/>
                <w:sz w:val="24"/>
              </w:rPr>
              <w:t>电子邮箱：gxdxsbk@163.com</w:t>
            </w:r>
          </w:p>
        </w:tc>
        <w:tc>
          <w:tcPr>
            <w:tcW w:w="4360" w:type="dxa"/>
            <w:vAlign w:val="center"/>
          </w:tcPr>
          <w:p w14:paraId="54A7F6B6">
            <w:pPr>
              <w:snapToGrid w:val="0"/>
              <w:spacing w:line="460" w:lineRule="exact"/>
              <w:rPr>
                <w:rFonts w:ascii="宋体" w:hAnsi="宋体" w:cs="宋体"/>
                <w:kern w:val="0"/>
                <w:sz w:val="24"/>
              </w:rPr>
            </w:pPr>
            <w:r>
              <w:rPr>
                <w:rFonts w:hint="eastAsia" w:ascii="宋体" w:hAnsi="宋体" w:cs="宋体"/>
                <w:kern w:val="0"/>
                <w:sz w:val="24"/>
              </w:rPr>
              <w:t>电子邮箱：</w:t>
            </w:r>
          </w:p>
        </w:tc>
      </w:tr>
      <w:tr w14:paraId="102B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6EA0BFE6">
            <w:pPr>
              <w:snapToGrid w:val="0"/>
              <w:spacing w:line="460" w:lineRule="exact"/>
              <w:rPr>
                <w:rFonts w:ascii="宋体" w:hAnsi="宋体" w:cs="宋体"/>
                <w:kern w:val="0"/>
                <w:sz w:val="24"/>
              </w:rPr>
            </w:pPr>
            <w:r>
              <w:rPr>
                <w:rFonts w:hint="eastAsia" w:ascii="宋体" w:hAnsi="宋体" w:cs="宋体"/>
                <w:kern w:val="0"/>
                <w:sz w:val="24"/>
              </w:rPr>
              <w:t>开户银行：中国银行广西南宁市西大支行</w:t>
            </w:r>
          </w:p>
        </w:tc>
        <w:tc>
          <w:tcPr>
            <w:tcW w:w="4360" w:type="dxa"/>
            <w:vAlign w:val="center"/>
          </w:tcPr>
          <w:p w14:paraId="27EED344">
            <w:pPr>
              <w:widowControl/>
              <w:spacing w:line="460" w:lineRule="exact"/>
              <w:jc w:val="left"/>
              <w:rPr>
                <w:rFonts w:ascii="宋体" w:hAnsi="宋体" w:cs="宋体"/>
                <w:kern w:val="0"/>
                <w:sz w:val="24"/>
              </w:rPr>
            </w:pPr>
            <w:r>
              <w:rPr>
                <w:rFonts w:hint="eastAsia" w:ascii="宋体" w:hAnsi="宋体" w:cs="宋体"/>
                <w:kern w:val="0"/>
                <w:sz w:val="24"/>
              </w:rPr>
              <w:t>开户银行：</w:t>
            </w:r>
          </w:p>
        </w:tc>
      </w:tr>
      <w:tr w14:paraId="2A1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751F0BFF">
            <w:pPr>
              <w:pStyle w:val="23"/>
              <w:widowControl/>
              <w:rPr>
                <w:rFonts w:ascii="宋体" w:hAnsi="宋体" w:cs="宋体"/>
              </w:rPr>
            </w:pPr>
            <w:r>
              <w:rPr>
                <w:rFonts w:hint="eastAsia" w:ascii="宋体" w:hAnsi="宋体" w:cs="宋体"/>
              </w:rPr>
              <w:t>账号：6184 5748 4938</w:t>
            </w:r>
          </w:p>
        </w:tc>
        <w:tc>
          <w:tcPr>
            <w:tcW w:w="4360" w:type="dxa"/>
            <w:vAlign w:val="center"/>
          </w:tcPr>
          <w:p w14:paraId="431C2701">
            <w:pPr>
              <w:widowControl/>
              <w:spacing w:line="460" w:lineRule="exact"/>
              <w:jc w:val="left"/>
              <w:rPr>
                <w:rFonts w:ascii="宋体" w:hAnsi="宋体" w:cs="宋体"/>
              </w:rPr>
            </w:pPr>
            <w:r>
              <w:rPr>
                <w:rFonts w:hint="eastAsia" w:ascii="宋体" w:hAnsi="宋体" w:cs="宋体"/>
              </w:rPr>
              <w:t>账号：</w:t>
            </w:r>
          </w:p>
        </w:tc>
      </w:tr>
      <w:tr w14:paraId="754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6EB08733">
            <w:pPr>
              <w:pStyle w:val="23"/>
              <w:widowControl/>
              <w:rPr>
                <w:rFonts w:ascii="宋体" w:hAnsi="宋体" w:cs="宋体"/>
              </w:rPr>
            </w:pPr>
            <w:r>
              <w:rPr>
                <w:rFonts w:hint="eastAsia" w:ascii="宋体" w:hAnsi="宋体" w:cs="宋体"/>
              </w:rPr>
              <w:t>邮政编码：530004</w:t>
            </w:r>
          </w:p>
        </w:tc>
        <w:tc>
          <w:tcPr>
            <w:tcW w:w="4360" w:type="dxa"/>
            <w:vAlign w:val="center"/>
          </w:tcPr>
          <w:p w14:paraId="053FA28C">
            <w:pPr>
              <w:widowControl/>
              <w:spacing w:line="460" w:lineRule="exact"/>
              <w:jc w:val="left"/>
              <w:rPr>
                <w:rFonts w:ascii="宋体" w:hAnsi="宋体" w:cs="宋体"/>
                <w:kern w:val="0"/>
                <w:sz w:val="24"/>
              </w:rPr>
            </w:pPr>
            <w:r>
              <w:rPr>
                <w:rFonts w:hint="eastAsia" w:ascii="宋体" w:hAnsi="宋体" w:cs="宋体"/>
                <w:kern w:val="0"/>
                <w:sz w:val="24"/>
              </w:rPr>
              <w:t>邮政编码：</w:t>
            </w:r>
          </w:p>
        </w:tc>
      </w:tr>
    </w:tbl>
    <w:p w14:paraId="6CB1A8CF">
      <w:pPr>
        <w:spacing w:line="460" w:lineRule="exact"/>
        <w:rPr>
          <w:rFonts w:ascii="宋体" w:hAnsi="宋体" w:cs="宋体"/>
          <w:b/>
          <w:bCs/>
          <w:kern w:val="0"/>
          <w:sz w:val="24"/>
        </w:rPr>
      </w:pPr>
      <w:r>
        <w:rPr>
          <w:rFonts w:hint="eastAsia" w:ascii="宋体" w:hAnsi="宋体" w:cs="宋体"/>
          <w:b/>
          <w:bCs/>
          <w:kern w:val="0"/>
          <w:sz w:val="24"/>
        </w:rPr>
        <w:br w:type="page"/>
      </w:r>
    </w:p>
    <w:p w14:paraId="76A6089A">
      <w:pPr>
        <w:jc w:val="center"/>
        <w:rPr>
          <w:rFonts w:ascii="宋体" w:hAnsi="宋体" w:cs="宋体"/>
          <w:sz w:val="32"/>
          <w:szCs w:val="32"/>
        </w:rPr>
      </w:pPr>
      <w:r>
        <w:rPr>
          <w:rFonts w:hint="eastAsia" w:ascii="宋体" w:hAnsi="宋体" w:cs="宋体"/>
          <w:b/>
          <w:bCs/>
          <w:kern w:val="0"/>
          <w:sz w:val="32"/>
          <w:szCs w:val="32"/>
        </w:rPr>
        <w:t>广西大学采购项目履约保证金退付意见书</w:t>
      </w:r>
    </w:p>
    <w:p w14:paraId="5AA50271">
      <w:pPr>
        <w:snapToGrid w:val="0"/>
        <w:spacing w:line="400" w:lineRule="exact"/>
        <w:jc w:val="center"/>
        <w:rPr>
          <w:rFonts w:ascii="宋体" w:hAnsi="宋体" w:cs="宋体"/>
          <w:b/>
          <w:sz w:val="24"/>
        </w:rPr>
      </w:pPr>
    </w:p>
    <w:tbl>
      <w:tblPr>
        <w:tblStyle w:val="26"/>
        <w:tblW w:w="89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174"/>
      </w:tblGrid>
      <w:tr w14:paraId="788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vMerge w:val="restart"/>
            <w:vAlign w:val="center"/>
          </w:tcPr>
          <w:p w14:paraId="414817B2">
            <w:pPr>
              <w:jc w:val="center"/>
              <w:rPr>
                <w:rFonts w:ascii="宋体" w:hAnsi="宋体"/>
                <w:sz w:val="24"/>
              </w:rPr>
            </w:pPr>
            <w:r>
              <w:rPr>
                <w:rFonts w:hint="eastAsia" w:ascii="宋体" w:hAnsi="宋体"/>
                <w:sz w:val="24"/>
              </w:rPr>
              <w:t>供应商申请</w:t>
            </w:r>
          </w:p>
        </w:tc>
        <w:tc>
          <w:tcPr>
            <w:tcW w:w="7174" w:type="dxa"/>
            <w:vAlign w:val="center"/>
          </w:tcPr>
          <w:p w14:paraId="05C1D7D7">
            <w:pPr>
              <w:rPr>
                <w:rFonts w:ascii="宋体" w:hAnsi="宋体"/>
                <w:sz w:val="24"/>
              </w:rPr>
            </w:pPr>
            <w:r>
              <w:rPr>
                <w:rFonts w:hint="eastAsia" w:ascii="宋体" w:hAnsi="宋体"/>
                <w:sz w:val="24"/>
              </w:rPr>
              <w:t>项目名称：</w:t>
            </w:r>
          </w:p>
        </w:tc>
      </w:tr>
      <w:tr w14:paraId="06EB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30" w:type="dxa"/>
            <w:vMerge w:val="continue"/>
          </w:tcPr>
          <w:p w14:paraId="314E7C44">
            <w:pPr>
              <w:rPr>
                <w:rFonts w:ascii="宋体" w:hAnsi="宋体"/>
                <w:sz w:val="24"/>
              </w:rPr>
            </w:pPr>
          </w:p>
        </w:tc>
        <w:tc>
          <w:tcPr>
            <w:tcW w:w="7174" w:type="dxa"/>
            <w:vAlign w:val="center"/>
          </w:tcPr>
          <w:p w14:paraId="2B0200F7">
            <w:pPr>
              <w:rPr>
                <w:rFonts w:ascii="宋体" w:hAnsi="宋体"/>
                <w:sz w:val="24"/>
              </w:rPr>
            </w:pPr>
            <w:r>
              <w:rPr>
                <w:rFonts w:hint="eastAsia" w:ascii="宋体" w:hAnsi="宋体"/>
                <w:sz w:val="24"/>
              </w:rPr>
              <w:t>合同编号：</w:t>
            </w:r>
          </w:p>
        </w:tc>
      </w:tr>
      <w:tr w14:paraId="5EEC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730" w:type="dxa"/>
            <w:vMerge w:val="continue"/>
          </w:tcPr>
          <w:p w14:paraId="1E9ABE80">
            <w:pPr>
              <w:rPr>
                <w:rFonts w:ascii="宋体" w:hAnsi="宋体"/>
                <w:sz w:val="24"/>
              </w:rPr>
            </w:pPr>
          </w:p>
        </w:tc>
        <w:tc>
          <w:tcPr>
            <w:tcW w:w="7174" w:type="dxa"/>
          </w:tcPr>
          <w:p w14:paraId="318B09EB">
            <w:pPr>
              <w:rPr>
                <w:rFonts w:ascii="宋体" w:hAnsi="宋体"/>
                <w:sz w:val="24"/>
              </w:rPr>
            </w:pPr>
          </w:p>
          <w:p w14:paraId="3E0858E8">
            <w:pPr>
              <w:ind w:firstLine="600" w:firstLineChars="250"/>
              <w:rPr>
                <w:rFonts w:ascii="宋体" w:hAnsi="宋体"/>
                <w:sz w:val="24"/>
              </w:rPr>
            </w:pPr>
            <w:r>
              <w:rPr>
                <w:rFonts w:hint="eastAsia" w:ascii="宋体" w:hAnsi="宋体"/>
                <w:sz w:val="24"/>
              </w:rPr>
              <w:t>该项目已于   年    月   日按合同要求履约完成。根据合同规定，可将履约保证金（大写）人民币</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ascii="宋体" w:hAnsi="宋体"/>
                <w:sz w:val="24"/>
                <w:u w:val="single"/>
              </w:rPr>
              <w:t>.00</w:t>
            </w:r>
            <w:r>
              <w:rPr>
                <w:rFonts w:hint="eastAsia" w:ascii="宋体" w:hAnsi="宋体"/>
                <w:sz w:val="24"/>
              </w:rPr>
              <w:t>退付到达以下帐户：</w:t>
            </w:r>
          </w:p>
          <w:p w14:paraId="6147A2A2">
            <w:pPr>
              <w:rPr>
                <w:rFonts w:ascii="宋体" w:hAnsi="宋体"/>
                <w:sz w:val="24"/>
              </w:rPr>
            </w:pPr>
          </w:p>
          <w:p w14:paraId="1436FF57">
            <w:pPr>
              <w:spacing w:line="420" w:lineRule="exact"/>
              <w:rPr>
                <w:rFonts w:ascii="宋体" w:hAnsi="宋体"/>
                <w:sz w:val="24"/>
              </w:rPr>
            </w:pPr>
            <w:r>
              <w:rPr>
                <w:rFonts w:hint="eastAsia" w:ascii="宋体" w:hAnsi="宋体"/>
                <w:sz w:val="24"/>
              </w:rPr>
              <w:t>单位名称：</w:t>
            </w:r>
          </w:p>
          <w:p w14:paraId="1CEE61F5">
            <w:pPr>
              <w:spacing w:line="420" w:lineRule="exact"/>
              <w:rPr>
                <w:rFonts w:ascii="宋体" w:hAnsi="宋体"/>
                <w:sz w:val="24"/>
              </w:rPr>
            </w:pPr>
            <w:r>
              <w:rPr>
                <w:rFonts w:hint="eastAsia" w:ascii="宋体" w:hAnsi="宋体"/>
                <w:sz w:val="24"/>
              </w:rPr>
              <w:t>开户银行：</w:t>
            </w:r>
          </w:p>
          <w:p w14:paraId="0030B412">
            <w:pPr>
              <w:spacing w:line="420" w:lineRule="exact"/>
              <w:rPr>
                <w:rFonts w:ascii="宋体" w:hAnsi="宋体"/>
                <w:sz w:val="24"/>
              </w:rPr>
            </w:pPr>
            <w:r>
              <w:rPr>
                <w:rFonts w:hint="eastAsia" w:ascii="宋体" w:hAnsi="宋体"/>
                <w:sz w:val="24"/>
              </w:rPr>
              <w:t>银行帐号：</w:t>
            </w:r>
          </w:p>
          <w:p w14:paraId="6778D5A0">
            <w:pPr>
              <w:rPr>
                <w:rFonts w:ascii="宋体" w:hAnsi="宋体"/>
                <w:sz w:val="24"/>
              </w:rPr>
            </w:pPr>
          </w:p>
          <w:p w14:paraId="21A85915">
            <w:pPr>
              <w:spacing w:line="420" w:lineRule="exact"/>
              <w:rPr>
                <w:rFonts w:ascii="宋体" w:hAnsi="宋体"/>
                <w:sz w:val="24"/>
              </w:rPr>
            </w:pPr>
            <w:r>
              <w:rPr>
                <w:rFonts w:hint="eastAsia" w:ascii="宋体" w:hAnsi="宋体"/>
                <w:sz w:val="24"/>
              </w:rPr>
              <w:t>联系人：</w:t>
            </w:r>
          </w:p>
          <w:p w14:paraId="526E4974">
            <w:pPr>
              <w:spacing w:line="420" w:lineRule="exact"/>
              <w:rPr>
                <w:rFonts w:ascii="宋体" w:hAnsi="宋体"/>
                <w:sz w:val="24"/>
              </w:rPr>
            </w:pPr>
            <w:r>
              <w:rPr>
                <w:rFonts w:hint="eastAsia" w:ascii="宋体" w:hAnsi="宋体"/>
                <w:sz w:val="24"/>
              </w:rPr>
              <w:t>联系电话：</w:t>
            </w:r>
          </w:p>
          <w:p w14:paraId="6C04C446">
            <w:pPr>
              <w:rPr>
                <w:rFonts w:ascii="宋体" w:hAnsi="宋体"/>
                <w:sz w:val="24"/>
              </w:rPr>
            </w:pPr>
          </w:p>
          <w:p w14:paraId="0DEAA92B">
            <w:pPr>
              <w:spacing w:line="420" w:lineRule="exact"/>
              <w:rPr>
                <w:rFonts w:ascii="宋体" w:hAnsi="宋体"/>
                <w:sz w:val="24"/>
                <w:u w:val="single"/>
              </w:rPr>
            </w:pPr>
            <w:r>
              <w:rPr>
                <w:rFonts w:hint="eastAsia" w:ascii="宋体" w:hAnsi="宋体"/>
                <w:sz w:val="24"/>
              </w:rPr>
              <w:t xml:space="preserve">                                 供应商（签章）：</w:t>
            </w:r>
          </w:p>
          <w:p w14:paraId="7E689449">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D0DA12B">
            <w:pPr>
              <w:rPr>
                <w:rFonts w:ascii="宋体" w:hAnsi="宋体"/>
                <w:sz w:val="24"/>
              </w:rPr>
            </w:pPr>
          </w:p>
        </w:tc>
      </w:tr>
      <w:tr w14:paraId="7E3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730" w:type="dxa"/>
            <w:vAlign w:val="center"/>
          </w:tcPr>
          <w:p w14:paraId="00780A14">
            <w:pPr>
              <w:jc w:val="center"/>
              <w:rPr>
                <w:rFonts w:ascii="宋体" w:hAnsi="宋体"/>
                <w:sz w:val="24"/>
              </w:rPr>
            </w:pPr>
            <w:r>
              <w:rPr>
                <w:rFonts w:hint="eastAsia" w:ascii="宋体" w:hAnsi="宋体"/>
                <w:sz w:val="24"/>
              </w:rPr>
              <w:t>使用单位</w:t>
            </w:r>
          </w:p>
          <w:p w14:paraId="13834AF7">
            <w:pPr>
              <w:jc w:val="center"/>
              <w:rPr>
                <w:rFonts w:ascii="宋体" w:hAnsi="宋体"/>
                <w:sz w:val="24"/>
              </w:rPr>
            </w:pPr>
            <w:r>
              <w:rPr>
                <w:rFonts w:hint="eastAsia" w:ascii="宋体" w:hAnsi="宋体"/>
                <w:sz w:val="24"/>
              </w:rPr>
              <w:t>意见</w:t>
            </w:r>
          </w:p>
        </w:tc>
        <w:tc>
          <w:tcPr>
            <w:tcW w:w="7174" w:type="dxa"/>
          </w:tcPr>
          <w:p w14:paraId="2EDF9576">
            <w:pPr>
              <w:rPr>
                <w:rFonts w:ascii="宋体" w:hAnsi="宋体"/>
                <w:sz w:val="24"/>
              </w:rPr>
            </w:pPr>
            <w:r>
              <w:rPr>
                <w:rFonts w:hint="eastAsia" w:ascii="宋体" w:hAnsi="宋体"/>
                <w:sz w:val="24"/>
              </w:rPr>
              <w:t>（退付意见：是否同意退付履约保证金）</w:t>
            </w:r>
          </w:p>
          <w:p w14:paraId="52759E64">
            <w:pPr>
              <w:spacing w:line="420" w:lineRule="exact"/>
              <w:rPr>
                <w:rFonts w:ascii="宋体" w:hAnsi="宋体"/>
                <w:sz w:val="24"/>
              </w:rPr>
            </w:pPr>
          </w:p>
          <w:p w14:paraId="054A49F5">
            <w:pPr>
              <w:spacing w:line="420" w:lineRule="exact"/>
              <w:rPr>
                <w:rFonts w:ascii="宋体" w:hAnsi="宋体"/>
                <w:sz w:val="24"/>
              </w:rPr>
            </w:pPr>
            <w:r>
              <w:rPr>
                <w:rFonts w:hint="eastAsia" w:ascii="宋体" w:hAnsi="宋体"/>
                <w:sz w:val="24"/>
              </w:rPr>
              <w:t>项目负责人意见：</w:t>
            </w:r>
          </w:p>
          <w:p w14:paraId="0E03F780">
            <w:pPr>
              <w:spacing w:line="420" w:lineRule="exact"/>
              <w:rPr>
                <w:rFonts w:ascii="宋体" w:hAnsi="宋体"/>
                <w:sz w:val="24"/>
              </w:rPr>
            </w:pPr>
          </w:p>
          <w:p w14:paraId="45E1CFC9">
            <w:pPr>
              <w:spacing w:line="420" w:lineRule="exact"/>
              <w:rPr>
                <w:rFonts w:ascii="宋体" w:hAnsi="宋体"/>
                <w:sz w:val="24"/>
              </w:rPr>
            </w:pPr>
            <w:r>
              <w:rPr>
                <w:rFonts w:hint="eastAsia" w:ascii="宋体" w:hAnsi="宋体"/>
                <w:sz w:val="24"/>
              </w:rPr>
              <w:t>联系人：</w:t>
            </w:r>
          </w:p>
          <w:p w14:paraId="493AA584">
            <w:pPr>
              <w:spacing w:line="420" w:lineRule="exact"/>
              <w:rPr>
                <w:rFonts w:ascii="宋体" w:hAnsi="宋体"/>
                <w:sz w:val="24"/>
              </w:rPr>
            </w:pPr>
            <w:r>
              <w:rPr>
                <w:rFonts w:hint="eastAsia" w:ascii="宋体" w:hAnsi="宋体"/>
                <w:sz w:val="24"/>
              </w:rPr>
              <w:t>联系电话：</w:t>
            </w:r>
          </w:p>
          <w:p w14:paraId="69ECA5BF">
            <w:pPr>
              <w:rPr>
                <w:rFonts w:ascii="宋体" w:hAnsi="宋体"/>
                <w:sz w:val="24"/>
              </w:rPr>
            </w:pPr>
          </w:p>
          <w:p w14:paraId="369F86B3">
            <w:pPr>
              <w:rPr>
                <w:rFonts w:ascii="宋体" w:hAnsi="宋体"/>
                <w:sz w:val="24"/>
                <w:u w:val="single"/>
              </w:rPr>
            </w:pPr>
            <w:r>
              <w:rPr>
                <w:rFonts w:hint="eastAsia" w:ascii="宋体" w:hAnsi="宋体"/>
                <w:sz w:val="24"/>
              </w:rPr>
              <w:t xml:space="preserve">                                   单位（签章）：</w:t>
            </w:r>
          </w:p>
          <w:p w14:paraId="20FF539A">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34DB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730" w:type="dxa"/>
            <w:vAlign w:val="center"/>
          </w:tcPr>
          <w:p w14:paraId="1D5CABC9">
            <w:pPr>
              <w:jc w:val="center"/>
              <w:rPr>
                <w:rFonts w:ascii="宋体" w:hAnsi="宋体"/>
                <w:sz w:val="24"/>
              </w:rPr>
            </w:pPr>
            <w:r>
              <w:rPr>
                <w:rFonts w:hint="eastAsia" w:ascii="宋体" w:hAnsi="宋体"/>
                <w:sz w:val="24"/>
              </w:rPr>
              <w:t>国有资产与实验室管理处（招标与采购管理中心）意见</w:t>
            </w:r>
          </w:p>
        </w:tc>
        <w:tc>
          <w:tcPr>
            <w:tcW w:w="7174" w:type="dxa"/>
          </w:tcPr>
          <w:p w14:paraId="07370E46">
            <w:pPr>
              <w:rPr>
                <w:rFonts w:ascii="宋体" w:hAnsi="宋体"/>
                <w:sz w:val="24"/>
              </w:rPr>
            </w:pPr>
          </w:p>
          <w:p w14:paraId="662B3525">
            <w:pPr>
              <w:rPr>
                <w:rFonts w:ascii="宋体" w:hAnsi="宋体"/>
                <w:sz w:val="24"/>
              </w:rPr>
            </w:pPr>
          </w:p>
          <w:p w14:paraId="22A2C29B">
            <w:pPr>
              <w:rPr>
                <w:rFonts w:ascii="宋体" w:hAnsi="宋体"/>
                <w:sz w:val="24"/>
              </w:rPr>
            </w:pPr>
          </w:p>
          <w:p w14:paraId="591078F1">
            <w:pPr>
              <w:rPr>
                <w:rFonts w:ascii="宋体" w:hAnsi="宋体"/>
                <w:sz w:val="24"/>
              </w:rPr>
            </w:pPr>
          </w:p>
          <w:p w14:paraId="67FC9E13">
            <w:pPr>
              <w:rPr>
                <w:rFonts w:ascii="宋体" w:hAnsi="宋体"/>
                <w:sz w:val="24"/>
              </w:rPr>
            </w:pPr>
            <w:r>
              <w:rPr>
                <w:rFonts w:hint="eastAsia" w:ascii="宋体" w:hAnsi="宋体"/>
                <w:sz w:val="24"/>
              </w:rPr>
              <w:t xml:space="preserve">                                       </w:t>
            </w:r>
          </w:p>
          <w:p w14:paraId="614927A6">
            <w:pPr>
              <w:rPr>
                <w:rFonts w:ascii="宋体" w:hAnsi="宋体"/>
                <w:sz w:val="24"/>
              </w:rPr>
            </w:pPr>
          </w:p>
          <w:p w14:paraId="4E8308F5">
            <w:pPr>
              <w:ind w:firstLine="4080" w:firstLineChars="1700"/>
              <w:rPr>
                <w:rFonts w:ascii="宋体" w:hAnsi="宋体"/>
                <w:sz w:val="24"/>
              </w:rPr>
            </w:pPr>
            <w:r>
              <w:rPr>
                <w:rFonts w:hint="eastAsia" w:ascii="宋体" w:hAnsi="宋体"/>
                <w:sz w:val="24"/>
              </w:rPr>
              <w:t>单位（签章）：</w:t>
            </w:r>
          </w:p>
          <w:p w14:paraId="13FB904C">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57BC136C">
      <w:pPr>
        <w:pStyle w:val="2"/>
      </w:pPr>
    </w:p>
    <w:sectPr>
      <w:footerReference r:id="rId9" w:type="first"/>
      <w:pgSz w:w="11905" w:h="16838"/>
      <w:pgMar w:top="1417" w:right="1417" w:bottom="1417" w:left="1417" w:header="850" w:footer="992"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14E5">
    <w:pPr>
      <w:pStyle w:val="2"/>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27</w:t>
    </w:r>
    <w:r>
      <w:fldChar w:fldCharType="end"/>
    </w:r>
  </w:p>
  <w:p w14:paraId="1B118C5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3FA5">
    <w:pPr>
      <w:pStyle w:val="2"/>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14:paraId="726AAB9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5CBB">
    <w:pPr>
      <w:pStyle w:val="2"/>
      <w:jc w:val="center"/>
    </w:pPr>
    <w:r>
      <w:fldChar w:fldCharType="begin"/>
    </w:r>
    <w:r>
      <w:instrText xml:space="preserve"> PAGE   \* MERGEFORMAT </w:instrText>
    </w:r>
    <w:r>
      <w:fldChar w:fldCharType="separate"/>
    </w:r>
    <w:r>
      <w:rPr>
        <w:lang w:val="zh-CN"/>
      </w:rPr>
      <w:t>28</w:t>
    </w:r>
    <w:r>
      <w:fldChar w:fldCharType="end"/>
    </w:r>
  </w:p>
  <w:p w14:paraId="4A6B5EA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55A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C7121">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5CC7121">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269D">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03515">
                          <w:pPr>
                            <w:pStyle w:val="2"/>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14:paraId="42F03515">
                    <w:pPr>
                      <w:pStyle w:val="2"/>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5451">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097D">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9AB1F"/>
    <w:multiLevelType w:val="singleLevel"/>
    <w:tmpl w:val="2D49AB1F"/>
    <w:lvl w:ilvl="0" w:tentative="0">
      <w:start w:val="1"/>
      <w:numFmt w:val="decimal"/>
      <w:lvlText w:val="%1."/>
      <w:lvlJc w:val="left"/>
      <w:pPr>
        <w:tabs>
          <w:tab w:val="left" w:pos="312"/>
        </w:tabs>
      </w:pPr>
    </w:lvl>
  </w:abstractNum>
  <w:abstractNum w:abstractNumId="1">
    <w:nsid w:val="61BF1AE8"/>
    <w:multiLevelType w:val="multilevel"/>
    <w:tmpl w:val="61BF1AE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YmNhODQxOWNkODc0ZjYxNTI4MThkY2UxMGM3NzYifQ=="/>
  </w:docVars>
  <w:rsids>
    <w:rsidRoot w:val="00F34B14"/>
    <w:rsid w:val="00000672"/>
    <w:rsid w:val="00001799"/>
    <w:rsid w:val="000022D9"/>
    <w:rsid w:val="00002D29"/>
    <w:rsid w:val="000040C5"/>
    <w:rsid w:val="000045C6"/>
    <w:rsid w:val="00004A8A"/>
    <w:rsid w:val="0000574C"/>
    <w:rsid w:val="00005B07"/>
    <w:rsid w:val="00005E55"/>
    <w:rsid w:val="00005FDF"/>
    <w:rsid w:val="00006586"/>
    <w:rsid w:val="000065BA"/>
    <w:rsid w:val="0001045D"/>
    <w:rsid w:val="00010D39"/>
    <w:rsid w:val="000112BB"/>
    <w:rsid w:val="0001149B"/>
    <w:rsid w:val="0001172C"/>
    <w:rsid w:val="00012854"/>
    <w:rsid w:val="00012E50"/>
    <w:rsid w:val="00012EA6"/>
    <w:rsid w:val="000139DC"/>
    <w:rsid w:val="00013D8C"/>
    <w:rsid w:val="00013DFE"/>
    <w:rsid w:val="00013F03"/>
    <w:rsid w:val="000141EA"/>
    <w:rsid w:val="00014385"/>
    <w:rsid w:val="00014D2F"/>
    <w:rsid w:val="000159F6"/>
    <w:rsid w:val="00016960"/>
    <w:rsid w:val="00017396"/>
    <w:rsid w:val="000177DB"/>
    <w:rsid w:val="00020227"/>
    <w:rsid w:val="000203E4"/>
    <w:rsid w:val="00020455"/>
    <w:rsid w:val="00020CCE"/>
    <w:rsid w:val="00022731"/>
    <w:rsid w:val="00022792"/>
    <w:rsid w:val="00022A07"/>
    <w:rsid w:val="000242CE"/>
    <w:rsid w:val="00025382"/>
    <w:rsid w:val="00025636"/>
    <w:rsid w:val="00025E36"/>
    <w:rsid w:val="00026627"/>
    <w:rsid w:val="00026886"/>
    <w:rsid w:val="0002793A"/>
    <w:rsid w:val="00030496"/>
    <w:rsid w:val="000329E0"/>
    <w:rsid w:val="000333A0"/>
    <w:rsid w:val="00034060"/>
    <w:rsid w:val="000352E9"/>
    <w:rsid w:val="00036A07"/>
    <w:rsid w:val="00036E33"/>
    <w:rsid w:val="00036FAD"/>
    <w:rsid w:val="00037363"/>
    <w:rsid w:val="00037E2D"/>
    <w:rsid w:val="00040571"/>
    <w:rsid w:val="0004156E"/>
    <w:rsid w:val="00041597"/>
    <w:rsid w:val="00041800"/>
    <w:rsid w:val="0004440C"/>
    <w:rsid w:val="00045880"/>
    <w:rsid w:val="000462CB"/>
    <w:rsid w:val="00046B5E"/>
    <w:rsid w:val="0004783A"/>
    <w:rsid w:val="000509D9"/>
    <w:rsid w:val="0005398D"/>
    <w:rsid w:val="000552A6"/>
    <w:rsid w:val="00055D41"/>
    <w:rsid w:val="000569C7"/>
    <w:rsid w:val="00057CEC"/>
    <w:rsid w:val="00060DCE"/>
    <w:rsid w:val="00061A5A"/>
    <w:rsid w:val="000623B4"/>
    <w:rsid w:val="000634A3"/>
    <w:rsid w:val="000634A7"/>
    <w:rsid w:val="00063E85"/>
    <w:rsid w:val="00063F81"/>
    <w:rsid w:val="00064847"/>
    <w:rsid w:val="0006484B"/>
    <w:rsid w:val="000673E2"/>
    <w:rsid w:val="000703B6"/>
    <w:rsid w:val="000711E4"/>
    <w:rsid w:val="000719F9"/>
    <w:rsid w:val="0007228C"/>
    <w:rsid w:val="000722D1"/>
    <w:rsid w:val="00072AED"/>
    <w:rsid w:val="00073F47"/>
    <w:rsid w:val="00075B7E"/>
    <w:rsid w:val="00077C70"/>
    <w:rsid w:val="00080B57"/>
    <w:rsid w:val="00081BA3"/>
    <w:rsid w:val="00081D2E"/>
    <w:rsid w:val="00081E30"/>
    <w:rsid w:val="0008267B"/>
    <w:rsid w:val="00082D02"/>
    <w:rsid w:val="000833E9"/>
    <w:rsid w:val="00083B91"/>
    <w:rsid w:val="0008520B"/>
    <w:rsid w:val="000871B8"/>
    <w:rsid w:val="00087DB6"/>
    <w:rsid w:val="000913BE"/>
    <w:rsid w:val="000918F8"/>
    <w:rsid w:val="00092442"/>
    <w:rsid w:val="00094183"/>
    <w:rsid w:val="00095233"/>
    <w:rsid w:val="0009588E"/>
    <w:rsid w:val="000959EE"/>
    <w:rsid w:val="00095B51"/>
    <w:rsid w:val="00097DA0"/>
    <w:rsid w:val="000A0D6B"/>
    <w:rsid w:val="000A1389"/>
    <w:rsid w:val="000A166E"/>
    <w:rsid w:val="000A2B0E"/>
    <w:rsid w:val="000A398F"/>
    <w:rsid w:val="000A509C"/>
    <w:rsid w:val="000A5516"/>
    <w:rsid w:val="000A6007"/>
    <w:rsid w:val="000A6458"/>
    <w:rsid w:val="000A65A6"/>
    <w:rsid w:val="000A7275"/>
    <w:rsid w:val="000A7A12"/>
    <w:rsid w:val="000A7CA5"/>
    <w:rsid w:val="000B039A"/>
    <w:rsid w:val="000B1801"/>
    <w:rsid w:val="000B1D0C"/>
    <w:rsid w:val="000B2D03"/>
    <w:rsid w:val="000B3815"/>
    <w:rsid w:val="000B3C7B"/>
    <w:rsid w:val="000B5B24"/>
    <w:rsid w:val="000B6C95"/>
    <w:rsid w:val="000C06D3"/>
    <w:rsid w:val="000C0C58"/>
    <w:rsid w:val="000C1679"/>
    <w:rsid w:val="000C2F89"/>
    <w:rsid w:val="000C30BB"/>
    <w:rsid w:val="000C366E"/>
    <w:rsid w:val="000C3B94"/>
    <w:rsid w:val="000C4635"/>
    <w:rsid w:val="000C548E"/>
    <w:rsid w:val="000C5698"/>
    <w:rsid w:val="000C5775"/>
    <w:rsid w:val="000C6DE4"/>
    <w:rsid w:val="000C716B"/>
    <w:rsid w:val="000C7C12"/>
    <w:rsid w:val="000D01EB"/>
    <w:rsid w:val="000D056E"/>
    <w:rsid w:val="000D0675"/>
    <w:rsid w:val="000D0A89"/>
    <w:rsid w:val="000D1389"/>
    <w:rsid w:val="000D1798"/>
    <w:rsid w:val="000D1A2A"/>
    <w:rsid w:val="000D1A53"/>
    <w:rsid w:val="000D2626"/>
    <w:rsid w:val="000D2B7D"/>
    <w:rsid w:val="000D4A06"/>
    <w:rsid w:val="000D6DCD"/>
    <w:rsid w:val="000D73DD"/>
    <w:rsid w:val="000D7D9B"/>
    <w:rsid w:val="000E18E2"/>
    <w:rsid w:val="000E28AB"/>
    <w:rsid w:val="000E28C1"/>
    <w:rsid w:val="000E2E3E"/>
    <w:rsid w:val="000E33C5"/>
    <w:rsid w:val="000E3583"/>
    <w:rsid w:val="000E3AF0"/>
    <w:rsid w:val="000E3D53"/>
    <w:rsid w:val="000E4E04"/>
    <w:rsid w:val="000E684C"/>
    <w:rsid w:val="000E6EC9"/>
    <w:rsid w:val="000E70B4"/>
    <w:rsid w:val="000F06FC"/>
    <w:rsid w:val="000F0742"/>
    <w:rsid w:val="000F3281"/>
    <w:rsid w:val="000F3733"/>
    <w:rsid w:val="000F4D88"/>
    <w:rsid w:val="000F4FC9"/>
    <w:rsid w:val="000F64AA"/>
    <w:rsid w:val="000F7AF4"/>
    <w:rsid w:val="000F7C33"/>
    <w:rsid w:val="000F7F0C"/>
    <w:rsid w:val="00100246"/>
    <w:rsid w:val="001004D6"/>
    <w:rsid w:val="00100D90"/>
    <w:rsid w:val="00102309"/>
    <w:rsid w:val="00102ECA"/>
    <w:rsid w:val="00103918"/>
    <w:rsid w:val="00104889"/>
    <w:rsid w:val="00104897"/>
    <w:rsid w:val="00104D7E"/>
    <w:rsid w:val="00104EDE"/>
    <w:rsid w:val="00105AA1"/>
    <w:rsid w:val="00105FAC"/>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378B"/>
    <w:rsid w:val="00123B26"/>
    <w:rsid w:val="00125004"/>
    <w:rsid w:val="001263B8"/>
    <w:rsid w:val="00126763"/>
    <w:rsid w:val="00130217"/>
    <w:rsid w:val="00130783"/>
    <w:rsid w:val="00130990"/>
    <w:rsid w:val="001312CB"/>
    <w:rsid w:val="00132B47"/>
    <w:rsid w:val="00132E64"/>
    <w:rsid w:val="00134816"/>
    <w:rsid w:val="001351CB"/>
    <w:rsid w:val="001359A2"/>
    <w:rsid w:val="00135E37"/>
    <w:rsid w:val="00136020"/>
    <w:rsid w:val="00136445"/>
    <w:rsid w:val="0013746E"/>
    <w:rsid w:val="001374F3"/>
    <w:rsid w:val="00140132"/>
    <w:rsid w:val="00141C9C"/>
    <w:rsid w:val="00142668"/>
    <w:rsid w:val="001434BE"/>
    <w:rsid w:val="00144275"/>
    <w:rsid w:val="0014479F"/>
    <w:rsid w:val="001452B4"/>
    <w:rsid w:val="00146EC6"/>
    <w:rsid w:val="001478D2"/>
    <w:rsid w:val="00151C48"/>
    <w:rsid w:val="00152A87"/>
    <w:rsid w:val="00154486"/>
    <w:rsid w:val="00154663"/>
    <w:rsid w:val="00156D0E"/>
    <w:rsid w:val="00156DD9"/>
    <w:rsid w:val="0016086E"/>
    <w:rsid w:val="00160D0C"/>
    <w:rsid w:val="00161172"/>
    <w:rsid w:val="0016139E"/>
    <w:rsid w:val="00161E65"/>
    <w:rsid w:val="00162597"/>
    <w:rsid w:val="001629AF"/>
    <w:rsid w:val="00162C1D"/>
    <w:rsid w:val="001633A3"/>
    <w:rsid w:val="0016428A"/>
    <w:rsid w:val="001647C9"/>
    <w:rsid w:val="00164837"/>
    <w:rsid w:val="001661A3"/>
    <w:rsid w:val="0016782B"/>
    <w:rsid w:val="00170B05"/>
    <w:rsid w:val="00173256"/>
    <w:rsid w:val="001733E1"/>
    <w:rsid w:val="00173F74"/>
    <w:rsid w:val="00175086"/>
    <w:rsid w:val="00175BA6"/>
    <w:rsid w:val="0017617F"/>
    <w:rsid w:val="00176CA7"/>
    <w:rsid w:val="001778C5"/>
    <w:rsid w:val="00177E56"/>
    <w:rsid w:val="00177F0A"/>
    <w:rsid w:val="00183852"/>
    <w:rsid w:val="00185617"/>
    <w:rsid w:val="00186ADE"/>
    <w:rsid w:val="00187F35"/>
    <w:rsid w:val="0019171E"/>
    <w:rsid w:val="0019220F"/>
    <w:rsid w:val="001928B1"/>
    <w:rsid w:val="00194ED5"/>
    <w:rsid w:val="00195424"/>
    <w:rsid w:val="001955FF"/>
    <w:rsid w:val="0019692F"/>
    <w:rsid w:val="00197EDD"/>
    <w:rsid w:val="00197F70"/>
    <w:rsid w:val="001A02B3"/>
    <w:rsid w:val="001A0322"/>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38B0"/>
    <w:rsid w:val="001C4287"/>
    <w:rsid w:val="001C4479"/>
    <w:rsid w:val="001C76B7"/>
    <w:rsid w:val="001C76FB"/>
    <w:rsid w:val="001D1165"/>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1F33"/>
    <w:rsid w:val="001E2B9F"/>
    <w:rsid w:val="001E30C0"/>
    <w:rsid w:val="001E3221"/>
    <w:rsid w:val="001E33BA"/>
    <w:rsid w:val="001E49F2"/>
    <w:rsid w:val="001E4A8D"/>
    <w:rsid w:val="001E5A94"/>
    <w:rsid w:val="001E7648"/>
    <w:rsid w:val="001F127B"/>
    <w:rsid w:val="001F15A8"/>
    <w:rsid w:val="001F2A2E"/>
    <w:rsid w:val="001F3B72"/>
    <w:rsid w:val="001F3C63"/>
    <w:rsid w:val="001F4460"/>
    <w:rsid w:val="001F5DAF"/>
    <w:rsid w:val="001F637C"/>
    <w:rsid w:val="001F6B6C"/>
    <w:rsid w:val="001F711A"/>
    <w:rsid w:val="001F75B0"/>
    <w:rsid w:val="001F7686"/>
    <w:rsid w:val="0020035F"/>
    <w:rsid w:val="0020072B"/>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7BD"/>
    <w:rsid w:val="00217861"/>
    <w:rsid w:val="0022054D"/>
    <w:rsid w:val="00220949"/>
    <w:rsid w:val="002225FA"/>
    <w:rsid w:val="0022413B"/>
    <w:rsid w:val="00224DE1"/>
    <w:rsid w:val="002255B2"/>
    <w:rsid w:val="00225664"/>
    <w:rsid w:val="00226463"/>
    <w:rsid w:val="002269DC"/>
    <w:rsid w:val="00227F2D"/>
    <w:rsid w:val="00231851"/>
    <w:rsid w:val="002319FB"/>
    <w:rsid w:val="00231B89"/>
    <w:rsid w:val="00231B8E"/>
    <w:rsid w:val="002324D4"/>
    <w:rsid w:val="00233727"/>
    <w:rsid w:val="002355BE"/>
    <w:rsid w:val="00236D82"/>
    <w:rsid w:val="00236DE9"/>
    <w:rsid w:val="00237D5A"/>
    <w:rsid w:val="00241300"/>
    <w:rsid w:val="00241D3C"/>
    <w:rsid w:val="002439AB"/>
    <w:rsid w:val="002442F6"/>
    <w:rsid w:val="002450D5"/>
    <w:rsid w:val="00245587"/>
    <w:rsid w:val="002458A7"/>
    <w:rsid w:val="00245F2B"/>
    <w:rsid w:val="00246F95"/>
    <w:rsid w:val="0024703E"/>
    <w:rsid w:val="00247676"/>
    <w:rsid w:val="00247F3A"/>
    <w:rsid w:val="00250122"/>
    <w:rsid w:val="00250755"/>
    <w:rsid w:val="00250AE3"/>
    <w:rsid w:val="00251C4A"/>
    <w:rsid w:val="0025271C"/>
    <w:rsid w:val="00252A91"/>
    <w:rsid w:val="00252C5C"/>
    <w:rsid w:val="002533CD"/>
    <w:rsid w:val="002544C1"/>
    <w:rsid w:val="00254EAB"/>
    <w:rsid w:val="002557AF"/>
    <w:rsid w:val="00256474"/>
    <w:rsid w:val="002566B1"/>
    <w:rsid w:val="002575E3"/>
    <w:rsid w:val="002603C1"/>
    <w:rsid w:val="002609A1"/>
    <w:rsid w:val="002612B1"/>
    <w:rsid w:val="0026327C"/>
    <w:rsid w:val="0026488F"/>
    <w:rsid w:val="00265484"/>
    <w:rsid w:val="00265600"/>
    <w:rsid w:val="00266165"/>
    <w:rsid w:val="0026782A"/>
    <w:rsid w:val="002708B3"/>
    <w:rsid w:val="0027125E"/>
    <w:rsid w:val="00271767"/>
    <w:rsid w:val="002719C1"/>
    <w:rsid w:val="00272293"/>
    <w:rsid w:val="002723C8"/>
    <w:rsid w:val="00273379"/>
    <w:rsid w:val="00273CBE"/>
    <w:rsid w:val="00277F24"/>
    <w:rsid w:val="00280240"/>
    <w:rsid w:val="002802D7"/>
    <w:rsid w:val="0028232C"/>
    <w:rsid w:val="002827F1"/>
    <w:rsid w:val="00282EC3"/>
    <w:rsid w:val="002835B0"/>
    <w:rsid w:val="0028407E"/>
    <w:rsid w:val="0028410F"/>
    <w:rsid w:val="002854BF"/>
    <w:rsid w:val="00286603"/>
    <w:rsid w:val="00286A98"/>
    <w:rsid w:val="00286FB5"/>
    <w:rsid w:val="00287763"/>
    <w:rsid w:val="00290606"/>
    <w:rsid w:val="00290F9D"/>
    <w:rsid w:val="002918A7"/>
    <w:rsid w:val="00291D6D"/>
    <w:rsid w:val="00291FF1"/>
    <w:rsid w:val="002923F6"/>
    <w:rsid w:val="00293361"/>
    <w:rsid w:val="00293BAA"/>
    <w:rsid w:val="00294AE8"/>
    <w:rsid w:val="00295137"/>
    <w:rsid w:val="00295287"/>
    <w:rsid w:val="002952B1"/>
    <w:rsid w:val="00295D11"/>
    <w:rsid w:val="00295FA0"/>
    <w:rsid w:val="00297626"/>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6FA5"/>
    <w:rsid w:val="002B7169"/>
    <w:rsid w:val="002C0C1C"/>
    <w:rsid w:val="002C0F5A"/>
    <w:rsid w:val="002C184E"/>
    <w:rsid w:val="002C28F5"/>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D7AB7"/>
    <w:rsid w:val="002E109C"/>
    <w:rsid w:val="002E115E"/>
    <w:rsid w:val="002E131F"/>
    <w:rsid w:val="002E1439"/>
    <w:rsid w:val="002E193E"/>
    <w:rsid w:val="002E1D76"/>
    <w:rsid w:val="002E243C"/>
    <w:rsid w:val="002E26C4"/>
    <w:rsid w:val="002E30B3"/>
    <w:rsid w:val="002E33E9"/>
    <w:rsid w:val="002E4B37"/>
    <w:rsid w:val="002E4BF9"/>
    <w:rsid w:val="002E6F5B"/>
    <w:rsid w:val="002F16DD"/>
    <w:rsid w:val="002F199D"/>
    <w:rsid w:val="002F23B2"/>
    <w:rsid w:val="002F2558"/>
    <w:rsid w:val="002F4084"/>
    <w:rsid w:val="002F4672"/>
    <w:rsid w:val="002F4A08"/>
    <w:rsid w:val="002F4ADB"/>
    <w:rsid w:val="002F531E"/>
    <w:rsid w:val="002F5ACC"/>
    <w:rsid w:val="002F6C2C"/>
    <w:rsid w:val="002F704B"/>
    <w:rsid w:val="002F72C3"/>
    <w:rsid w:val="002F768C"/>
    <w:rsid w:val="002F7D1E"/>
    <w:rsid w:val="00301839"/>
    <w:rsid w:val="00301A68"/>
    <w:rsid w:val="003026AF"/>
    <w:rsid w:val="00302929"/>
    <w:rsid w:val="00302F0F"/>
    <w:rsid w:val="00303243"/>
    <w:rsid w:val="00303BCC"/>
    <w:rsid w:val="00303F2B"/>
    <w:rsid w:val="00303F8D"/>
    <w:rsid w:val="00304541"/>
    <w:rsid w:val="00304580"/>
    <w:rsid w:val="0030586A"/>
    <w:rsid w:val="003074C5"/>
    <w:rsid w:val="00307A3C"/>
    <w:rsid w:val="00307AF8"/>
    <w:rsid w:val="00307FA4"/>
    <w:rsid w:val="00310CC1"/>
    <w:rsid w:val="00313026"/>
    <w:rsid w:val="00313213"/>
    <w:rsid w:val="00313C14"/>
    <w:rsid w:val="0031421F"/>
    <w:rsid w:val="00314B31"/>
    <w:rsid w:val="00314B36"/>
    <w:rsid w:val="00315158"/>
    <w:rsid w:val="00315346"/>
    <w:rsid w:val="00315A65"/>
    <w:rsid w:val="00316E85"/>
    <w:rsid w:val="00317BA7"/>
    <w:rsid w:val="00320BE2"/>
    <w:rsid w:val="00321886"/>
    <w:rsid w:val="00321902"/>
    <w:rsid w:val="003221C0"/>
    <w:rsid w:val="00323694"/>
    <w:rsid w:val="00324D63"/>
    <w:rsid w:val="003255AF"/>
    <w:rsid w:val="003256EB"/>
    <w:rsid w:val="003259DB"/>
    <w:rsid w:val="00325F20"/>
    <w:rsid w:val="00326039"/>
    <w:rsid w:val="003267F2"/>
    <w:rsid w:val="003300EA"/>
    <w:rsid w:val="00331A48"/>
    <w:rsid w:val="003330C9"/>
    <w:rsid w:val="0033364C"/>
    <w:rsid w:val="00334415"/>
    <w:rsid w:val="00335460"/>
    <w:rsid w:val="0033591B"/>
    <w:rsid w:val="0033691E"/>
    <w:rsid w:val="00336AE7"/>
    <w:rsid w:val="00336CCB"/>
    <w:rsid w:val="0033745F"/>
    <w:rsid w:val="00337631"/>
    <w:rsid w:val="00337F44"/>
    <w:rsid w:val="003401AC"/>
    <w:rsid w:val="003411D1"/>
    <w:rsid w:val="003416BA"/>
    <w:rsid w:val="00341BD6"/>
    <w:rsid w:val="00342A8A"/>
    <w:rsid w:val="00342F99"/>
    <w:rsid w:val="0034339D"/>
    <w:rsid w:val="00344726"/>
    <w:rsid w:val="003454A4"/>
    <w:rsid w:val="00345988"/>
    <w:rsid w:val="00350E6C"/>
    <w:rsid w:val="003518A6"/>
    <w:rsid w:val="00351E7F"/>
    <w:rsid w:val="003526FD"/>
    <w:rsid w:val="00352953"/>
    <w:rsid w:val="00354062"/>
    <w:rsid w:val="003542B0"/>
    <w:rsid w:val="00355C0D"/>
    <w:rsid w:val="0035622C"/>
    <w:rsid w:val="003566A9"/>
    <w:rsid w:val="00356988"/>
    <w:rsid w:val="00356B20"/>
    <w:rsid w:val="00357128"/>
    <w:rsid w:val="0035755E"/>
    <w:rsid w:val="00357A80"/>
    <w:rsid w:val="00361B8B"/>
    <w:rsid w:val="00363F39"/>
    <w:rsid w:val="003643C6"/>
    <w:rsid w:val="00364AB0"/>
    <w:rsid w:val="00365A6E"/>
    <w:rsid w:val="003664B8"/>
    <w:rsid w:val="003667B0"/>
    <w:rsid w:val="003667DD"/>
    <w:rsid w:val="00366842"/>
    <w:rsid w:val="00366B48"/>
    <w:rsid w:val="00367764"/>
    <w:rsid w:val="00370316"/>
    <w:rsid w:val="00370DC7"/>
    <w:rsid w:val="0037156C"/>
    <w:rsid w:val="00371CBD"/>
    <w:rsid w:val="00373CBE"/>
    <w:rsid w:val="003740CC"/>
    <w:rsid w:val="0037435E"/>
    <w:rsid w:val="00374E79"/>
    <w:rsid w:val="00375388"/>
    <w:rsid w:val="00375B7E"/>
    <w:rsid w:val="00375FB9"/>
    <w:rsid w:val="00376851"/>
    <w:rsid w:val="00376FA2"/>
    <w:rsid w:val="00377A3B"/>
    <w:rsid w:val="00377E3C"/>
    <w:rsid w:val="00380B5C"/>
    <w:rsid w:val="00380BBE"/>
    <w:rsid w:val="00381D70"/>
    <w:rsid w:val="00382128"/>
    <w:rsid w:val="0038235E"/>
    <w:rsid w:val="003829D0"/>
    <w:rsid w:val="00382FBA"/>
    <w:rsid w:val="003835DD"/>
    <w:rsid w:val="0038444F"/>
    <w:rsid w:val="00384E83"/>
    <w:rsid w:val="00385C34"/>
    <w:rsid w:val="00386B36"/>
    <w:rsid w:val="00387051"/>
    <w:rsid w:val="00387ECF"/>
    <w:rsid w:val="0039021B"/>
    <w:rsid w:val="00390429"/>
    <w:rsid w:val="00391298"/>
    <w:rsid w:val="0039327C"/>
    <w:rsid w:val="003933A2"/>
    <w:rsid w:val="0039366C"/>
    <w:rsid w:val="003938F3"/>
    <w:rsid w:val="00393C4B"/>
    <w:rsid w:val="00393DE7"/>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659"/>
    <w:rsid w:val="003B7733"/>
    <w:rsid w:val="003B7BC8"/>
    <w:rsid w:val="003C0166"/>
    <w:rsid w:val="003C21AA"/>
    <w:rsid w:val="003C2B79"/>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114"/>
    <w:rsid w:val="003E285E"/>
    <w:rsid w:val="003E3300"/>
    <w:rsid w:val="003E5B89"/>
    <w:rsid w:val="003E6340"/>
    <w:rsid w:val="003E65AC"/>
    <w:rsid w:val="003E6948"/>
    <w:rsid w:val="003E6E24"/>
    <w:rsid w:val="003E72B9"/>
    <w:rsid w:val="003E755C"/>
    <w:rsid w:val="003E7ED4"/>
    <w:rsid w:val="003F0E52"/>
    <w:rsid w:val="003F0EF2"/>
    <w:rsid w:val="003F0F6B"/>
    <w:rsid w:val="003F1F40"/>
    <w:rsid w:val="003F1FE3"/>
    <w:rsid w:val="003F3865"/>
    <w:rsid w:val="003F3A0A"/>
    <w:rsid w:val="003F4632"/>
    <w:rsid w:val="003F47BA"/>
    <w:rsid w:val="003F5DA1"/>
    <w:rsid w:val="003F651E"/>
    <w:rsid w:val="003F6617"/>
    <w:rsid w:val="0040063B"/>
    <w:rsid w:val="00401070"/>
    <w:rsid w:val="004013C0"/>
    <w:rsid w:val="00402332"/>
    <w:rsid w:val="004025C2"/>
    <w:rsid w:val="00403E55"/>
    <w:rsid w:val="00404532"/>
    <w:rsid w:val="00404681"/>
    <w:rsid w:val="0040496D"/>
    <w:rsid w:val="00405010"/>
    <w:rsid w:val="0040595A"/>
    <w:rsid w:val="00406923"/>
    <w:rsid w:val="0040713A"/>
    <w:rsid w:val="0040763D"/>
    <w:rsid w:val="004105B0"/>
    <w:rsid w:val="00410DC1"/>
    <w:rsid w:val="00410EC5"/>
    <w:rsid w:val="00411B1F"/>
    <w:rsid w:val="004133A8"/>
    <w:rsid w:val="00413821"/>
    <w:rsid w:val="00413D43"/>
    <w:rsid w:val="004141A3"/>
    <w:rsid w:val="004143E9"/>
    <w:rsid w:val="00414909"/>
    <w:rsid w:val="00415E66"/>
    <w:rsid w:val="00416112"/>
    <w:rsid w:val="00416DF0"/>
    <w:rsid w:val="00417AE0"/>
    <w:rsid w:val="00417BAA"/>
    <w:rsid w:val="00420BA9"/>
    <w:rsid w:val="00420D7A"/>
    <w:rsid w:val="00420D9E"/>
    <w:rsid w:val="004223DE"/>
    <w:rsid w:val="00422718"/>
    <w:rsid w:val="0042293E"/>
    <w:rsid w:val="00422A10"/>
    <w:rsid w:val="00424D17"/>
    <w:rsid w:val="00425DFD"/>
    <w:rsid w:val="004263A3"/>
    <w:rsid w:val="00426903"/>
    <w:rsid w:val="00427713"/>
    <w:rsid w:val="00427CCC"/>
    <w:rsid w:val="00427D54"/>
    <w:rsid w:val="00427DB8"/>
    <w:rsid w:val="0043013A"/>
    <w:rsid w:val="00430421"/>
    <w:rsid w:val="00430B4F"/>
    <w:rsid w:val="004314B1"/>
    <w:rsid w:val="00431AD0"/>
    <w:rsid w:val="00431E65"/>
    <w:rsid w:val="00432589"/>
    <w:rsid w:val="00432A94"/>
    <w:rsid w:val="00433827"/>
    <w:rsid w:val="00435041"/>
    <w:rsid w:val="004360C8"/>
    <w:rsid w:val="0044006B"/>
    <w:rsid w:val="0044033F"/>
    <w:rsid w:val="00440630"/>
    <w:rsid w:val="00441123"/>
    <w:rsid w:val="0044127B"/>
    <w:rsid w:val="00441705"/>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6F2B"/>
    <w:rsid w:val="004578EB"/>
    <w:rsid w:val="00460303"/>
    <w:rsid w:val="00460697"/>
    <w:rsid w:val="004609AB"/>
    <w:rsid w:val="0046247F"/>
    <w:rsid w:val="00462593"/>
    <w:rsid w:val="00465EEF"/>
    <w:rsid w:val="00466D03"/>
    <w:rsid w:val="0046711B"/>
    <w:rsid w:val="00467312"/>
    <w:rsid w:val="00471156"/>
    <w:rsid w:val="00472429"/>
    <w:rsid w:val="004725E5"/>
    <w:rsid w:val="004726FE"/>
    <w:rsid w:val="00472751"/>
    <w:rsid w:val="00473128"/>
    <w:rsid w:val="0047470A"/>
    <w:rsid w:val="00475078"/>
    <w:rsid w:val="00475226"/>
    <w:rsid w:val="004777F1"/>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51C8"/>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29E3"/>
    <w:rsid w:val="004B35DF"/>
    <w:rsid w:val="004B3627"/>
    <w:rsid w:val="004B3F3A"/>
    <w:rsid w:val="004B4779"/>
    <w:rsid w:val="004B4922"/>
    <w:rsid w:val="004B57DF"/>
    <w:rsid w:val="004C0238"/>
    <w:rsid w:val="004C03A0"/>
    <w:rsid w:val="004C2138"/>
    <w:rsid w:val="004C2ED0"/>
    <w:rsid w:val="004C32D4"/>
    <w:rsid w:val="004C3940"/>
    <w:rsid w:val="004C51FD"/>
    <w:rsid w:val="004C65A8"/>
    <w:rsid w:val="004C786C"/>
    <w:rsid w:val="004C7963"/>
    <w:rsid w:val="004D2314"/>
    <w:rsid w:val="004D2F63"/>
    <w:rsid w:val="004D35BA"/>
    <w:rsid w:val="004D45B8"/>
    <w:rsid w:val="004D4701"/>
    <w:rsid w:val="004D47C7"/>
    <w:rsid w:val="004D618D"/>
    <w:rsid w:val="004D6202"/>
    <w:rsid w:val="004D62A9"/>
    <w:rsid w:val="004D6FC3"/>
    <w:rsid w:val="004D7476"/>
    <w:rsid w:val="004E0306"/>
    <w:rsid w:val="004E0572"/>
    <w:rsid w:val="004E0C97"/>
    <w:rsid w:val="004E25A8"/>
    <w:rsid w:val="004E2AA0"/>
    <w:rsid w:val="004E3930"/>
    <w:rsid w:val="004E3ED9"/>
    <w:rsid w:val="004E5866"/>
    <w:rsid w:val="004E6097"/>
    <w:rsid w:val="004E61EF"/>
    <w:rsid w:val="004E6772"/>
    <w:rsid w:val="004E76A7"/>
    <w:rsid w:val="004E7736"/>
    <w:rsid w:val="004E7B03"/>
    <w:rsid w:val="004F0064"/>
    <w:rsid w:val="004F069F"/>
    <w:rsid w:val="004F06AC"/>
    <w:rsid w:val="004F1AE6"/>
    <w:rsid w:val="004F243F"/>
    <w:rsid w:val="004F3E0C"/>
    <w:rsid w:val="004F6929"/>
    <w:rsid w:val="004F6A2D"/>
    <w:rsid w:val="004F7160"/>
    <w:rsid w:val="00500258"/>
    <w:rsid w:val="0050175E"/>
    <w:rsid w:val="00501A99"/>
    <w:rsid w:val="00502569"/>
    <w:rsid w:val="00502CF3"/>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5FB2"/>
    <w:rsid w:val="0051608F"/>
    <w:rsid w:val="005165E9"/>
    <w:rsid w:val="005210F7"/>
    <w:rsid w:val="00521753"/>
    <w:rsid w:val="00521A44"/>
    <w:rsid w:val="00521D16"/>
    <w:rsid w:val="005222BE"/>
    <w:rsid w:val="005224EE"/>
    <w:rsid w:val="00523BB1"/>
    <w:rsid w:val="005242CF"/>
    <w:rsid w:val="00524401"/>
    <w:rsid w:val="0052451A"/>
    <w:rsid w:val="00524737"/>
    <w:rsid w:val="005253E7"/>
    <w:rsid w:val="005258DF"/>
    <w:rsid w:val="00526265"/>
    <w:rsid w:val="0052652D"/>
    <w:rsid w:val="0052655D"/>
    <w:rsid w:val="005265E0"/>
    <w:rsid w:val="00526930"/>
    <w:rsid w:val="00526BC3"/>
    <w:rsid w:val="00530F9E"/>
    <w:rsid w:val="00531A72"/>
    <w:rsid w:val="0053274E"/>
    <w:rsid w:val="0053358A"/>
    <w:rsid w:val="00534668"/>
    <w:rsid w:val="00534D38"/>
    <w:rsid w:val="00534DDD"/>
    <w:rsid w:val="00535291"/>
    <w:rsid w:val="00535A94"/>
    <w:rsid w:val="00537874"/>
    <w:rsid w:val="00537909"/>
    <w:rsid w:val="00540204"/>
    <w:rsid w:val="00540578"/>
    <w:rsid w:val="005407D2"/>
    <w:rsid w:val="00540808"/>
    <w:rsid w:val="0054080E"/>
    <w:rsid w:val="005408B4"/>
    <w:rsid w:val="00540EA1"/>
    <w:rsid w:val="005423B1"/>
    <w:rsid w:val="0054358E"/>
    <w:rsid w:val="00543AF4"/>
    <w:rsid w:val="00544191"/>
    <w:rsid w:val="00544F39"/>
    <w:rsid w:val="00547EFB"/>
    <w:rsid w:val="005531DF"/>
    <w:rsid w:val="00553874"/>
    <w:rsid w:val="00553ACC"/>
    <w:rsid w:val="00554AD8"/>
    <w:rsid w:val="00554F78"/>
    <w:rsid w:val="005556A5"/>
    <w:rsid w:val="005561F0"/>
    <w:rsid w:val="00556BF7"/>
    <w:rsid w:val="00560838"/>
    <w:rsid w:val="00560DB5"/>
    <w:rsid w:val="00562149"/>
    <w:rsid w:val="005630D8"/>
    <w:rsid w:val="00563FFD"/>
    <w:rsid w:val="00565855"/>
    <w:rsid w:val="005677CE"/>
    <w:rsid w:val="00567B5D"/>
    <w:rsid w:val="00570445"/>
    <w:rsid w:val="00572E9A"/>
    <w:rsid w:val="00573733"/>
    <w:rsid w:val="005739F5"/>
    <w:rsid w:val="00574064"/>
    <w:rsid w:val="00574554"/>
    <w:rsid w:val="00576089"/>
    <w:rsid w:val="005764B1"/>
    <w:rsid w:val="00576A0D"/>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2B6"/>
    <w:rsid w:val="005A3341"/>
    <w:rsid w:val="005A46EC"/>
    <w:rsid w:val="005A47AA"/>
    <w:rsid w:val="005A4847"/>
    <w:rsid w:val="005A494F"/>
    <w:rsid w:val="005B0160"/>
    <w:rsid w:val="005B0185"/>
    <w:rsid w:val="005B07EC"/>
    <w:rsid w:val="005B09D8"/>
    <w:rsid w:val="005B24F3"/>
    <w:rsid w:val="005B28A1"/>
    <w:rsid w:val="005B2B11"/>
    <w:rsid w:val="005B2E00"/>
    <w:rsid w:val="005B370E"/>
    <w:rsid w:val="005B4DA3"/>
    <w:rsid w:val="005B5B71"/>
    <w:rsid w:val="005B5BEE"/>
    <w:rsid w:val="005B7784"/>
    <w:rsid w:val="005B77D2"/>
    <w:rsid w:val="005C019B"/>
    <w:rsid w:val="005C144E"/>
    <w:rsid w:val="005C1625"/>
    <w:rsid w:val="005C2D0A"/>
    <w:rsid w:val="005C30F5"/>
    <w:rsid w:val="005C357E"/>
    <w:rsid w:val="005C3604"/>
    <w:rsid w:val="005C51A5"/>
    <w:rsid w:val="005C5403"/>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3711"/>
    <w:rsid w:val="005E3AF9"/>
    <w:rsid w:val="005E5099"/>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2EA4"/>
    <w:rsid w:val="00603EFD"/>
    <w:rsid w:val="006041DF"/>
    <w:rsid w:val="0060475B"/>
    <w:rsid w:val="00604FB6"/>
    <w:rsid w:val="00604FD6"/>
    <w:rsid w:val="00605387"/>
    <w:rsid w:val="00606302"/>
    <w:rsid w:val="006072EF"/>
    <w:rsid w:val="006076FD"/>
    <w:rsid w:val="00607BA3"/>
    <w:rsid w:val="00610CAA"/>
    <w:rsid w:val="0061143F"/>
    <w:rsid w:val="006114D8"/>
    <w:rsid w:val="00611585"/>
    <w:rsid w:val="00612931"/>
    <w:rsid w:val="00613601"/>
    <w:rsid w:val="00613791"/>
    <w:rsid w:val="00613AAB"/>
    <w:rsid w:val="006148C7"/>
    <w:rsid w:val="006150D6"/>
    <w:rsid w:val="006166A3"/>
    <w:rsid w:val="00617EEE"/>
    <w:rsid w:val="006210FE"/>
    <w:rsid w:val="00622811"/>
    <w:rsid w:val="00622894"/>
    <w:rsid w:val="00622BB7"/>
    <w:rsid w:val="00622F3B"/>
    <w:rsid w:val="00623130"/>
    <w:rsid w:val="00623389"/>
    <w:rsid w:val="0062352A"/>
    <w:rsid w:val="00625E45"/>
    <w:rsid w:val="006265C4"/>
    <w:rsid w:val="00626DB1"/>
    <w:rsid w:val="00627383"/>
    <w:rsid w:val="00627733"/>
    <w:rsid w:val="006301BB"/>
    <w:rsid w:val="00632605"/>
    <w:rsid w:val="00633F8D"/>
    <w:rsid w:val="006341EF"/>
    <w:rsid w:val="00634BED"/>
    <w:rsid w:val="00635A4A"/>
    <w:rsid w:val="00635F1C"/>
    <w:rsid w:val="00635FB9"/>
    <w:rsid w:val="00636765"/>
    <w:rsid w:val="00637774"/>
    <w:rsid w:val="0064024C"/>
    <w:rsid w:val="00640291"/>
    <w:rsid w:val="00641FAC"/>
    <w:rsid w:val="0064262E"/>
    <w:rsid w:val="006432A5"/>
    <w:rsid w:val="00643664"/>
    <w:rsid w:val="00643CAA"/>
    <w:rsid w:val="0064448B"/>
    <w:rsid w:val="00652137"/>
    <w:rsid w:val="00652680"/>
    <w:rsid w:val="00652A09"/>
    <w:rsid w:val="006530A1"/>
    <w:rsid w:val="0065371D"/>
    <w:rsid w:val="00653CDE"/>
    <w:rsid w:val="006540B4"/>
    <w:rsid w:val="0065636A"/>
    <w:rsid w:val="00656C3C"/>
    <w:rsid w:val="00657003"/>
    <w:rsid w:val="00657126"/>
    <w:rsid w:val="006572C1"/>
    <w:rsid w:val="00660238"/>
    <w:rsid w:val="006602EF"/>
    <w:rsid w:val="00661277"/>
    <w:rsid w:val="006616FE"/>
    <w:rsid w:val="00661717"/>
    <w:rsid w:val="006619D1"/>
    <w:rsid w:val="006628AD"/>
    <w:rsid w:val="00663FEA"/>
    <w:rsid w:val="00664253"/>
    <w:rsid w:val="00664803"/>
    <w:rsid w:val="006661A4"/>
    <w:rsid w:val="006670E0"/>
    <w:rsid w:val="00667532"/>
    <w:rsid w:val="006704FD"/>
    <w:rsid w:val="00670F3A"/>
    <w:rsid w:val="006715E6"/>
    <w:rsid w:val="0067294B"/>
    <w:rsid w:val="00673AA4"/>
    <w:rsid w:val="00674066"/>
    <w:rsid w:val="00674187"/>
    <w:rsid w:val="0067508F"/>
    <w:rsid w:val="00675349"/>
    <w:rsid w:val="00675E7E"/>
    <w:rsid w:val="0068051E"/>
    <w:rsid w:val="00680B9D"/>
    <w:rsid w:val="00681F13"/>
    <w:rsid w:val="0068231C"/>
    <w:rsid w:val="00682344"/>
    <w:rsid w:val="00682E78"/>
    <w:rsid w:val="00682F28"/>
    <w:rsid w:val="00684842"/>
    <w:rsid w:val="00685BD6"/>
    <w:rsid w:val="00686433"/>
    <w:rsid w:val="006878A6"/>
    <w:rsid w:val="00690437"/>
    <w:rsid w:val="00690E65"/>
    <w:rsid w:val="0069188E"/>
    <w:rsid w:val="00691974"/>
    <w:rsid w:val="00691A3F"/>
    <w:rsid w:val="00692CE6"/>
    <w:rsid w:val="00692DA8"/>
    <w:rsid w:val="00693B6C"/>
    <w:rsid w:val="006942AE"/>
    <w:rsid w:val="0069483C"/>
    <w:rsid w:val="00695421"/>
    <w:rsid w:val="00695AE4"/>
    <w:rsid w:val="00696D4B"/>
    <w:rsid w:val="006977A8"/>
    <w:rsid w:val="00697BD3"/>
    <w:rsid w:val="00697DFA"/>
    <w:rsid w:val="006A10F3"/>
    <w:rsid w:val="006A16D5"/>
    <w:rsid w:val="006A1772"/>
    <w:rsid w:val="006A1780"/>
    <w:rsid w:val="006A25A5"/>
    <w:rsid w:val="006A2790"/>
    <w:rsid w:val="006A3CEC"/>
    <w:rsid w:val="006A3F75"/>
    <w:rsid w:val="006A4838"/>
    <w:rsid w:val="006A4FB3"/>
    <w:rsid w:val="006A5A3E"/>
    <w:rsid w:val="006A5BAB"/>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0FCC"/>
    <w:rsid w:val="006C15BB"/>
    <w:rsid w:val="006C2D83"/>
    <w:rsid w:val="006C32F4"/>
    <w:rsid w:val="006C3382"/>
    <w:rsid w:val="006C3C54"/>
    <w:rsid w:val="006C40F4"/>
    <w:rsid w:val="006C427B"/>
    <w:rsid w:val="006C4F9F"/>
    <w:rsid w:val="006C5019"/>
    <w:rsid w:val="006C5778"/>
    <w:rsid w:val="006C61AB"/>
    <w:rsid w:val="006C650D"/>
    <w:rsid w:val="006C686A"/>
    <w:rsid w:val="006C7479"/>
    <w:rsid w:val="006C748D"/>
    <w:rsid w:val="006D0C1D"/>
    <w:rsid w:val="006D0CE1"/>
    <w:rsid w:val="006D2004"/>
    <w:rsid w:val="006D2A8C"/>
    <w:rsid w:val="006D2E9D"/>
    <w:rsid w:val="006D32EB"/>
    <w:rsid w:val="006D4C1E"/>
    <w:rsid w:val="006D4C42"/>
    <w:rsid w:val="006D5809"/>
    <w:rsid w:val="006D630A"/>
    <w:rsid w:val="006D668D"/>
    <w:rsid w:val="006D7363"/>
    <w:rsid w:val="006D74F2"/>
    <w:rsid w:val="006E04C8"/>
    <w:rsid w:val="006E061F"/>
    <w:rsid w:val="006E0712"/>
    <w:rsid w:val="006E0754"/>
    <w:rsid w:val="006E2668"/>
    <w:rsid w:val="006E2D39"/>
    <w:rsid w:val="006E32B0"/>
    <w:rsid w:val="006E36D8"/>
    <w:rsid w:val="006E396A"/>
    <w:rsid w:val="006E3A73"/>
    <w:rsid w:val="006E5825"/>
    <w:rsid w:val="006E5DD8"/>
    <w:rsid w:val="006E5EA1"/>
    <w:rsid w:val="006E6A4C"/>
    <w:rsid w:val="006E7ABC"/>
    <w:rsid w:val="006F0760"/>
    <w:rsid w:val="006F0FF1"/>
    <w:rsid w:val="006F11E2"/>
    <w:rsid w:val="006F12F5"/>
    <w:rsid w:val="006F2574"/>
    <w:rsid w:val="006F3231"/>
    <w:rsid w:val="006F3582"/>
    <w:rsid w:val="006F3DE3"/>
    <w:rsid w:val="006F4C05"/>
    <w:rsid w:val="006F511F"/>
    <w:rsid w:val="006F61D8"/>
    <w:rsid w:val="006F62B7"/>
    <w:rsid w:val="006F70BC"/>
    <w:rsid w:val="006F713A"/>
    <w:rsid w:val="006F76BF"/>
    <w:rsid w:val="006F7C48"/>
    <w:rsid w:val="00705161"/>
    <w:rsid w:val="007066A4"/>
    <w:rsid w:val="00706F37"/>
    <w:rsid w:val="00707D09"/>
    <w:rsid w:val="00710760"/>
    <w:rsid w:val="0071209F"/>
    <w:rsid w:val="007125A2"/>
    <w:rsid w:val="00713F79"/>
    <w:rsid w:val="007148A8"/>
    <w:rsid w:val="00715A9B"/>
    <w:rsid w:val="00716125"/>
    <w:rsid w:val="00716C9F"/>
    <w:rsid w:val="007171E0"/>
    <w:rsid w:val="0071740B"/>
    <w:rsid w:val="00717C40"/>
    <w:rsid w:val="0072033C"/>
    <w:rsid w:val="00720B1B"/>
    <w:rsid w:val="00721062"/>
    <w:rsid w:val="00721A4E"/>
    <w:rsid w:val="00721E5D"/>
    <w:rsid w:val="007229D4"/>
    <w:rsid w:val="007230F8"/>
    <w:rsid w:val="007233F4"/>
    <w:rsid w:val="00723646"/>
    <w:rsid w:val="00724044"/>
    <w:rsid w:val="007244E1"/>
    <w:rsid w:val="007248D3"/>
    <w:rsid w:val="00725137"/>
    <w:rsid w:val="00725C63"/>
    <w:rsid w:val="007263ED"/>
    <w:rsid w:val="0072653B"/>
    <w:rsid w:val="00726C9E"/>
    <w:rsid w:val="00727A43"/>
    <w:rsid w:val="00727FF2"/>
    <w:rsid w:val="007323E0"/>
    <w:rsid w:val="007324ED"/>
    <w:rsid w:val="00733791"/>
    <w:rsid w:val="00733857"/>
    <w:rsid w:val="00733D63"/>
    <w:rsid w:val="00733DE2"/>
    <w:rsid w:val="00734328"/>
    <w:rsid w:val="007346E7"/>
    <w:rsid w:val="007352EA"/>
    <w:rsid w:val="00736032"/>
    <w:rsid w:val="007364E5"/>
    <w:rsid w:val="0073792F"/>
    <w:rsid w:val="00737C48"/>
    <w:rsid w:val="007409CA"/>
    <w:rsid w:val="00740DA6"/>
    <w:rsid w:val="00741A0E"/>
    <w:rsid w:val="00741D1E"/>
    <w:rsid w:val="00741EE2"/>
    <w:rsid w:val="00742367"/>
    <w:rsid w:val="00742EAA"/>
    <w:rsid w:val="00743818"/>
    <w:rsid w:val="007439E2"/>
    <w:rsid w:val="00743E9C"/>
    <w:rsid w:val="007441FB"/>
    <w:rsid w:val="00744517"/>
    <w:rsid w:val="00744810"/>
    <w:rsid w:val="00747079"/>
    <w:rsid w:val="00747DD4"/>
    <w:rsid w:val="00747DE2"/>
    <w:rsid w:val="007504BF"/>
    <w:rsid w:val="007506CD"/>
    <w:rsid w:val="007525DB"/>
    <w:rsid w:val="0075267F"/>
    <w:rsid w:val="007526EC"/>
    <w:rsid w:val="0075310C"/>
    <w:rsid w:val="00753347"/>
    <w:rsid w:val="00753C48"/>
    <w:rsid w:val="007545C1"/>
    <w:rsid w:val="00754C97"/>
    <w:rsid w:val="00754FE4"/>
    <w:rsid w:val="00755538"/>
    <w:rsid w:val="00755971"/>
    <w:rsid w:val="00756236"/>
    <w:rsid w:val="00756271"/>
    <w:rsid w:val="00756521"/>
    <w:rsid w:val="00756AB7"/>
    <w:rsid w:val="0075745C"/>
    <w:rsid w:val="00760477"/>
    <w:rsid w:val="007615CE"/>
    <w:rsid w:val="00761AF4"/>
    <w:rsid w:val="00762071"/>
    <w:rsid w:val="007623FB"/>
    <w:rsid w:val="0076376A"/>
    <w:rsid w:val="0076500F"/>
    <w:rsid w:val="0076504E"/>
    <w:rsid w:val="00765D24"/>
    <w:rsid w:val="00765E6A"/>
    <w:rsid w:val="007664E0"/>
    <w:rsid w:val="0076796E"/>
    <w:rsid w:val="00767EA0"/>
    <w:rsid w:val="0077068F"/>
    <w:rsid w:val="007711EA"/>
    <w:rsid w:val="00771870"/>
    <w:rsid w:val="0077408D"/>
    <w:rsid w:val="007741CF"/>
    <w:rsid w:val="00774270"/>
    <w:rsid w:val="00775679"/>
    <w:rsid w:val="00775803"/>
    <w:rsid w:val="007761F1"/>
    <w:rsid w:val="00777B32"/>
    <w:rsid w:val="0078051E"/>
    <w:rsid w:val="00781FDD"/>
    <w:rsid w:val="00782A9F"/>
    <w:rsid w:val="0078508A"/>
    <w:rsid w:val="00786D5C"/>
    <w:rsid w:val="00786E96"/>
    <w:rsid w:val="00787F93"/>
    <w:rsid w:val="00790684"/>
    <w:rsid w:val="007907CA"/>
    <w:rsid w:val="00791170"/>
    <w:rsid w:val="00791E6D"/>
    <w:rsid w:val="007928DC"/>
    <w:rsid w:val="00792CB3"/>
    <w:rsid w:val="00792E53"/>
    <w:rsid w:val="007933DF"/>
    <w:rsid w:val="0079384D"/>
    <w:rsid w:val="007939CC"/>
    <w:rsid w:val="00796FB8"/>
    <w:rsid w:val="007A11C2"/>
    <w:rsid w:val="007A2367"/>
    <w:rsid w:val="007A41BF"/>
    <w:rsid w:val="007A490A"/>
    <w:rsid w:val="007A581D"/>
    <w:rsid w:val="007A7B95"/>
    <w:rsid w:val="007B0297"/>
    <w:rsid w:val="007B0F53"/>
    <w:rsid w:val="007B1DD8"/>
    <w:rsid w:val="007B21AE"/>
    <w:rsid w:val="007B2570"/>
    <w:rsid w:val="007B2C31"/>
    <w:rsid w:val="007B3113"/>
    <w:rsid w:val="007B3304"/>
    <w:rsid w:val="007B332B"/>
    <w:rsid w:val="007B394D"/>
    <w:rsid w:val="007B53FA"/>
    <w:rsid w:val="007B6423"/>
    <w:rsid w:val="007B7490"/>
    <w:rsid w:val="007B774A"/>
    <w:rsid w:val="007C0525"/>
    <w:rsid w:val="007C0B56"/>
    <w:rsid w:val="007C13F7"/>
    <w:rsid w:val="007C218D"/>
    <w:rsid w:val="007C2D28"/>
    <w:rsid w:val="007C3E22"/>
    <w:rsid w:val="007C67C6"/>
    <w:rsid w:val="007C707A"/>
    <w:rsid w:val="007C7E59"/>
    <w:rsid w:val="007D0A39"/>
    <w:rsid w:val="007D0B91"/>
    <w:rsid w:val="007D1452"/>
    <w:rsid w:val="007D1E29"/>
    <w:rsid w:val="007D460C"/>
    <w:rsid w:val="007D484A"/>
    <w:rsid w:val="007D4AD3"/>
    <w:rsid w:val="007D4C8D"/>
    <w:rsid w:val="007D5D19"/>
    <w:rsid w:val="007D5FDC"/>
    <w:rsid w:val="007D6D68"/>
    <w:rsid w:val="007E01DA"/>
    <w:rsid w:val="007E0ADB"/>
    <w:rsid w:val="007E1603"/>
    <w:rsid w:val="007E2E85"/>
    <w:rsid w:val="007E32DA"/>
    <w:rsid w:val="007E3896"/>
    <w:rsid w:val="007E3FFB"/>
    <w:rsid w:val="007E4998"/>
    <w:rsid w:val="007E4A9C"/>
    <w:rsid w:val="007E4B2B"/>
    <w:rsid w:val="007E6914"/>
    <w:rsid w:val="007E7F78"/>
    <w:rsid w:val="007F0C8B"/>
    <w:rsid w:val="007F1517"/>
    <w:rsid w:val="007F1D44"/>
    <w:rsid w:val="007F23A5"/>
    <w:rsid w:val="007F2C13"/>
    <w:rsid w:val="007F2CEC"/>
    <w:rsid w:val="007F4949"/>
    <w:rsid w:val="007F55DE"/>
    <w:rsid w:val="007F5605"/>
    <w:rsid w:val="007F6147"/>
    <w:rsid w:val="007F78FF"/>
    <w:rsid w:val="00800F6C"/>
    <w:rsid w:val="008025BE"/>
    <w:rsid w:val="0080381C"/>
    <w:rsid w:val="00804C86"/>
    <w:rsid w:val="008051FC"/>
    <w:rsid w:val="008055A9"/>
    <w:rsid w:val="008070EB"/>
    <w:rsid w:val="00807376"/>
    <w:rsid w:val="00810B0E"/>
    <w:rsid w:val="00810B14"/>
    <w:rsid w:val="00810E8E"/>
    <w:rsid w:val="0081142D"/>
    <w:rsid w:val="00812462"/>
    <w:rsid w:val="008126E2"/>
    <w:rsid w:val="008133A5"/>
    <w:rsid w:val="0081481D"/>
    <w:rsid w:val="00814BE8"/>
    <w:rsid w:val="00814F6E"/>
    <w:rsid w:val="0081565F"/>
    <w:rsid w:val="00815B84"/>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1758"/>
    <w:rsid w:val="00831977"/>
    <w:rsid w:val="0083279F"/>
    <w:rsid w:val="00833B7F"/>
    <w:rsid w:val="00834906"/>
    <w:rsid w:val="00835A99"/>
    <w:rsid w:val="00836075"/>
    <w:rsid w:val="00836417"/>
    <w:rsid w:val="008377F7"/>
    <w:rsid w:val="008411F9"/>
    <w:rsid w:val="008413AB"/>
    <w:rsid w:val="00842D10"/>
    <w:rsid w:val="0084322B"/>
    <w:rsid w:val="00843B93"/>
    <w:rsid w:val="00843C08"/>
    <w:rsid w:val="00843F81"/>
    <w:rsid w:val="00844087"/>
    <w:rsid w:val="0084519E"/>
    <w:rsid w:val="00846370"/>
    <w:rsid w:val="00847C2B"/>
    <w:rsid w:val="00851256"/>
    <w:rsid w:val="00851A7C"/>
    <w:rsid w:val="00852438"/>
    <w:rsid w:val="0085270D"/>
    <w:rsid w:val="008532BF"/>
    <w:rsid w:val="00853BF4"/>
    <w:rsid w:val="00854294"/>
    <w:rsid w:val="008555FB"/>
    <w:rsid w:val="0085788B"/>
    <w:rsid w:val="00857941"/>
    <w:rsid w:val="00857A9E"/>
    <w:rsid w:val="00857DE2"/>
    <w:rsid w:val="00863E7D"/>
    <w:rsid w:val="0086407F"/>
    <w:rsid w:val="00864548"/>
    <w:rsid w:val="00864D9C"/>
    <w:rsid w:val="00864E79"/>
    <w:rsid w:val="00866111"/>
    <w:rsid w:val="0086661F"/>
    <w:rsid w:val="00866A0D"/>
    <w:rsid w:val="00866DB5"/>
    <w:rsid w:val="0086784E"/>
    <w:rsid w:val="00867AF1"/>
    <w:rsid w:val="00870EE1"/>
    <w:rsid w:val="008720B3"/>
    <w:rsid w:val="00872118"/>
    <w:rsid w:val="008727CE"/>
    <w:rsid w:val="00872827"/>
    <w:rsid w:val="00872A32"/>
    <w:rsid w:val="00874ECA"/>
    <w:rsid w:val="00875D0E"/>
    <w:rsid w:val="00876EAE"/>
    <w:rsid w:val="00880F95"/>
    <w:rsid w:val="00881F68"/>
    <w:rsid w:val="00882B44"/>
    <w:rsid w:val="00882FE5"/>
    <w:rsid w:val="00886138"/>
    <w:rsid w:val="00886E66"/>
    <w:rsid w:val="008871B0"/>
    <w:rsid w:val="008912F5"/>
    <w:rsid w:val="008915A7"/>
    <w:rsid w:val="008918EB"/>
    <w:rsid w:val="0089217C"/>
    <w:rsid w:val="008928A1"/>
    <w:rsid w:val="00893671"/>
    <w:rsid w:val="00895838"/>
    <w:rsid w:val="00895A72"/>
    <w:rsid w:val="00895CDF"/>
    <w:rsid w:val="008968C7"/>
    <w:rsid w:val="00896AFD"/>
    <w:rsid w:val="00897A55"/>
    <w:rsid w:val="008A0154"/>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7CB"/>
    <w:rsid w:val="008B6A63"/>
    <w:rsid w:val="008B6AFE"/>
    <w:rsid w:val="008B6B83"/>
    <w:rsid w:val="008B7034"/>
    <w:rsid w:val="008B7227"/>
    <w:rsid w:val="008C03DD"/>
    <w:rsid w:val="008C191C"/>
    <w:rsid w:val="008C1DA4"/>
    <w:rsid w:val="008C2CD5"/>
    <w:rsid w:val="008C2E29"/>
    <w:rsid w:val="008C32B7"/>
    <w:rsid w:val="008C360C"/>
    <w:rsid w:val="008C3618"/>
    <w:rsid w:val="008C3F20"/>
    <w:rsid w:val="008C43AD"/>
    <w:rsid w:val="008C4B6C"/>
    <w:rsid w:val="008C59FB"/>
    <w:rsid w:val="008C619E"/>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238C"/>
    <w:rsid w:val="008D566C"/>
    <w:rsid w:val="008D58D9"/>
    <w:rsid w:val="008D64F5"/>
    <w:rsid w:val="008D66EA"/>
    <w:rsid w:val="008D6E59"/>
    <w:rsid w:val="008D6F92"/>
    <w:rsid w:val="008D7155"/>
    <w:rsid w:val="008D7DE4"/>
    <w:rsid w:val="008E09B3"/>
    <w:rsid w:val="008E141A"/>
    <w:rsid w:val="008E1A44"/>
    <w:rsid w:val="008E28E6"/>
    <w:rsid w:val="008E2B60"/>
    <w:rsid w:val="008E3232"/>
    <w:rsid w:val="008E3674"/>
    <w:rsid w:val="008E3B6C"/>
    <w:rsid w:val="008E41A8"/>
    <w:rsid w:val="008E688C"/>
    <w:rsid w:val="008E68BB"/>
    <w:rsid w:val="008E6C9B"/>
    <w:rsid w:val="008E77D4"/>
    <w:rsid w:val="008F0981"/>
    <w:rsid w:val="008F0AFD"/>
    <w:rsid w:val="008F1287"/>
    <w:rsid w:val="008F17B2"/>
    <w:rsid w:val="008F28EE"/>
    <w:rsid w:val="008F357B"/>
    <w:rsid w:val="008F44CA"/>
    <w:rsid w:val="008F49B9"/>
    <w:rsid w:val="008F49D3"/>
    <w:rsid w:val="008F5081"/>
    <w:rsid w:val="008F6519"/>
    <w:rsid w:val="008F68DC"/>
    <w:rsid w:val="008F7012"/>
    <w:rsid w:val="008F7B17"/>
    <w:rsid w:val="00900042"/>
    <w:rsid w:val="0090034B"/>
    <w:rsid w:val="00902623"/>
    <w:rsid w:val="00902890"/>
    <w:rsid w:val="00904778"/>
    <w:rsid w:val="00904BE4"/>
    <w:rsid w:val="0090504A"/>
    <w:rsid w:val="00905D7E"/>
    <w:rsid w:val="009063B7"/>
    <w:rsid w:val="00907037"/>
    <w:rsid w:val="0091160A"/>
    <w:rsid w:val="00912838"/>
    <w:rsid w:val="00913258"/>
    <w:rsid w:val="00913883"/>
    <w:rsid w:val="0091564D"/>
    <w:rsid w:val="009156DA"/>
    <w:rsid w:val="00915CF3"/>
    <w:rsid w:val="00916BC5"/>
    <w:rsid w:val="0091726A"/>
    <w:rsid w:val="00920184"/>
    <w:rsid w:val="00920EA4"/>
    <w:rsid w:val="00921792"/>
    <w:rsid w:val="00921BEA"/>
    <w:rsid w:val="00922DB0"/>
    <w:rsid w:val="00923998"/>
    <w:rsid w:val="00923DB4"/>
    <w:rsid w:val="0092430E"/>
    <w:rsid w:val="0092625F"/>
    <w:rsid w:val="009268A9"/>
    <w:rsid w:val="00927B37"/>
    <w:rsid w:val="009301B2"/>
    <w:rsid w:val="0093065F"/>
    <w:rsid w:val="00931215"/>
    <w:rsid w:val="009313DD"/>
    <w:rsid w:val="00931BDE"/>
    <w:rsid w:val="009321B1"/>
    <w:rsid w:val="00932ED7"/>
    <w:rsid w:val="0093357E"/>
    <w:rsid w:val="0093422D"/>
    <w:rsid w:val="00934DD7"/>
    <w:rsid w:val="009369A9"/>
    <w:rsid w:val="00936CF7"/>
    <w:rsid w:val="00937201"/>
    <w:rsid w:val="0093734A"/>
    <w:rsid w:val="00937783"/>
    <w:rsid w:val="009377C3"/>
    <w:rsid w:val="00937D89"/>
    <w:rsid w:val="00940515"/>
    <w:rsid w:val="0094059D"/>
    <w:rsid w:val="009409B4"/>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233"/>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D00"/>
    <w:rsid w:val="00962EB1"/>
    <w:rsid w:val="0096612A"/>
    <w:rsid w:val="00966522"/>
    <w:rsid w:val="00967D3F"/>
    <w:rsid w:val="00967E78"/>
    <w:rsid w:val="00970D7E"/>
    <w:rsid w:val="00970F18"/>
    <w:rsid w:val="00971CF1"/>
    <w:rsid w:val="009721E9"/>
    <w:rsid w:val="00972A58"/>
    <w:rsid w:val="00973772"/>
    <w:rsid w:val="0097451E"/>
    <w:rsid w:val="00975598"/>
    <w:rsid w:val="00975E1E"/>
    <w:rsid w:val="00975E70"/>
    <w:rsid w:val="00977B8F"/>
    <w:rsid w:val="00977CD6"/>
    <w:rsid w:val="00980162"/>
    <w:rsid w:val="00981D18"/>
    <w:rsid w:val="00982481"/>
    <w:rsid w:val="00982D26"/>
    <w:rsid w:val="0098330E"/>
    <w:rsid w:val="00983CB2"/>
    <w:rsid w:val="009849E9"/>
    <w:rsid w:val="00987812"/>
    <w:rsid w:val="00990225"/>
    <w:rsid w:val="00990DF5"/>
    <w:rsid w:val="00991622"/>
    <w:rsid w:val="0099244B"/>
    <w:rsid w:val="009947B6"/>
    <w:rsid w:val="00995150"/>
    <w:rsid w:val="009957F3"/>
    <w:rsid w:val="00995D67"/>
    <w:rsid w:val="009970BF"/>
    <w:rsid w:val="009A013B"/>
    <w:rsid w:val="009A02F4"/>
    <w:rsid w:val="009A044D"/>
    <w:rsid w:val="009A1F12"/>
    <w:rsid w:val="009A2494"/>
    <w:rsid w:val="009A26CA"/>
    <w:rsid w:val="009A36F2"/>
    <w:rsid w:val="009A47CC"/>
    <w:rsid w:val="009A5749"/>
    <w:rsid w:val="009A57D0"/>
    <w:rsid w:val="009A6559"/>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2B6"/>
    <w:rsid w:val="009C7547"/>
    <w:rsid w:val="009D1678"/>
    <w:rsid w:val="009D1693"/>
    <w:rsid w:val="009D1C49"/>
    <w:rsid w:val="009D2721"/>
    <w:rsid w:val="009D2F60"/>
    <w:rsid w:val="009D3299"/>
    <w:rsid w:val="009D338C"/>
    <w:rsid w:val="009D3D0D"/>
    <w:rsid w:val="009D4944"/>
    <w:rsid w:val="009D5BAC"/>
    <w:rsid w:val="009D64BD"/>
    <w:rsid w:val="009D7B2F"/>
    <w:rsid w:val="009D7B6C"/>
    <w:rsid w:val="009D7F83"/>
    <w:rsid w:val="009E0D0A"/>
    <w:rsid w:val="009E0D1A"/>
    <w:rsid w:val="009E153F"/>
    <w:rsid w:val="009E2D6C"/>
    <w:rsid w:val="009E388B"/>
    <w:rsid w:val="009E393E"/>
    <w:rsid w:val="009E444E"/>
    <w:rsid w:val="009E45AF"/>
    <w:rsid w:val="009E4968"/>
    <w:rsid w:val="009E52F1"/>
    <w:rsid w:val="009E663C"/>
    <w:rsid w:val="009E6BB1"/>
    <w:rsid w:val="009F0092"/>
    <w:rsid w:val="009F0CD9"/>
    <w:rsid w:val="009F1A79"/>
    <w:rsid w:val="009F1F57"/>
    <w:rsid w:val="009F2E26"/>
    <w:rsid w:val="009F4FCF"/>
    <w:rsid w:val="009F5DE2"/>
    <w:rsid w:val="009F65F4"/>
    <w:rsid w:val="009F676B"/>
    <w:rsid w:val="009F6A30"/>
    <w:rsid w:val="009F74FE"/>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080F"/>
    <w:rsid w:val="00A11042"/>
    <w:rsid w:val="00A133D8"/>
    <w:rsid w:val="00A14E97"/>
    <w:rsid w:val="00A17A9D"/>
    <w:rsid w:val="00A20069"/>
    <w:rsid w:val="00A20280"/>
    <w:rsid w:val="00A2163F"/>
    <w:rsid w:val="00A2244D"/>
    <w:rsid w:val="00A2253D"/>
    <w:rsid w:val="00A22AEC"/>
    <w:rsid w:val="00A2418A"/>
    <w:rsid w:val="00A247B8"/>
    <w:rsid w:val="00A24D39"/>
    <w:rsid w:val="00A24D8F"/>
    <w:rsid w:val="00A25B8B"/>
    <w:rsid w:val="00A269C3"/>
    <w:rsid w:val="00A26ECA"/>
    <w:rsid w:val="00A27374"/>
    <w:rsid w:val="00A309F1"/>
    <w:rsid w:val="00A30F68"/>
    <w:rsid w:val="00A317A5"/>
    <w:rsid w:val="00A324C1"/>
    <w:rsid w:val="00A337DB"/>
    <w:rsid w:val="00A3467F"/>
    <w:rsid w:val="00A34D34"/>
    <w:rsid w:val="00A3551A"/>
    <w:rsid w:val="00A373F4"/>
    <w:rsid w:val="00A376E8"/>
    <w:rsid w:val="00A37E69"/>
    <w:rsid w:val="00A37F8E"/>
    <w:rsid w:val="00A40979"/>
    <w:rsid w:val="00A41737"/>
    <w:rsid w:val="00A42B8F"/>
    <w:rsid w:val="00A43254"/>
    <w:rsid w:val="00A43896"/>
    <w:rsid w:val="00A43A26"/>
    <w:rsid w:val="00A447A0"/>
    <w:rsid w:val="00A457B2"/>
    <w:rsid w:val="00A459F5"/>
    <w:rsid w:val="00A45FC0"/>
    <w:rsid w:val="00A46B32"/>
    <w:rsid w:val="00A46EB8"/>
    <w:rsid w:val="00A478D2"/>
    <w:rsid w:val="00A47ECC"/>
    <w:rsid w:val="00A5008C"/>
    <w:rsid w:val="00A50171"/>
    <w:rsid w:val="00A5102E"/>
    <w:rsid w:val="00A51083"/>
    <w:rsid w:val="00A5132E"/>
    <w:rsid w:val="00A51533"/>
    <w:rsid w:val="00A51A4D"/>
    <w:rsid w:val="00A51E68"/>
    <w:rsid w:val="00A52F3B"/>
    <w:rsid w:val="00A531D4"/>
    <w:rsid w:val="00A55ACD"/>
    <w:rsid w:val="00A55CFA"/>
    <w:rsid w:val="00A5613B"/>
    <w:rsid w:val="00A575B8"/>
    <w:rsid w:val="00A647B1"/>
    <w:rsid w:val="00A64DEF"/>
    <w:rsid w:val="00A64F9E"/>
    <w:rsid w:val="00A657E1"/>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27C"/>
    <w:rsid w:val="00A76BC9"/>
    <w:rsid w:val="00A77566"/>
    <w:rsid w:val="00A77956"/>
    <w:rsid w:val="00A80563"/>
    <w:rsid w:val="00A8311C"/>
    <w:rsid w:val="00A84BC8"/>
    <w:rsid w:val="00A84C5F"/>
    <w:rsid w:val="00A85D91"/>
    <w:rsid w:val="00A86973"/>
    <w:rsid w:val="00A8721F"/>
    <w:rsid w:val="00A8740B"/>
    <w:rsid w:val="00A87519"/>
    <w:rsid w:val="00A905A2"/>
    <w:rsid w:val="00A920D1"/>
    <w:rsid w:val="00A9246D"/>
    <w:rsid w:val="00A93644"/>
    <w:rsid w:val="00A93BD0"/>
    <w:rsid w:val="00A944A1"/>
    <w:rsid w:val="00A95D69"/>
    <w:rsid w:val="00A97122"/>
    <w:rsid w:val="00A975A4"/>
    <w:rsid w:val="00A977B3"/>
    <w:rsid w:val="00A97DC8"/>
    <w:rsid w:val="00AA1418"/>
    <w:rsid w:val="00AA2001"/>
    <w:rsid w:val="00AA2B5C"/>
    <w:rsid w:val="00AA4E59"/>
    <w:rsid w:val="00AA5328"/>
    <w:rsid w:val="00AA5393"/>
    <w:rsid w:val="00AA63D4"/>
    <w:rsid w:val="00AA6767"/>
    <w:rsid w:val="00AA790B"/>
    <w:rsid w:val="00AB03FD"/>
    <w:rsid w:val="00AB1412"/>
    <w:rsid w:val="00AB38CB"/>
    <w:rsid w:val="00AB3BEC"/>
    <w:rsid w:val="00AB44E4"/>
    <w:rsid w:val="00AB4AEB"/>
    <w:rsid w:val="00AB5352"/>
    <w:rsid w:val="00AB56AE"/>
    <w:rsid w:val="00AB62D5"/>
    <w:rsid w:val="00AB65B5"/>
    <w:rsid w:val="00AB6DCD"/>
    <w:rsid w:val="00AB6EE0"/>
    <w:rsid w:val="00AB7579"/>
    <w:rsid w:val="00AC2DFD"/>
    <w:rsid w:val="00AC352D"/>
    <w:rsid w:val="00AC40B7"/>
    <w:rsid w:val="00AC5122"/>
    <w:rsid w:val="00AC531F"/>
    <w:rsid w:val="00AC6121"/>
    <w:rsid w:val="00AC626D"/>
    <w:rsid w:val="00AC64BF"/>
    <w:rsid w:val="00AC6CB1"/>
    <w:rsid w:val="00AC79DA"/>
    <w:rsid w:val="00AD0091"/>
    <w:rsid w:val="00AD0843"/>
    <w:rsid w:val="00AD23D8"/>
    <w:rsid w:val="00AD23EF"/>
    <w:rsid w:val="00AD2F0F"/>
    <w:rsid w:val="00AD307B"/>
    <w:rsid w:val="00AD31F9"/>
    <w:rsid w:val="00AD41B3"/>
    <w:rsid w:val="00AD456B"/>
    <w:rsid w:val="00AD4B31"/>
    <w:rsid w:val="00AD4C48"/>
    <w:rsid w:val="00AD57AF"/>
    <w:rsid w:val="00AD6267"/>
    <w:rsid w:val="00AD6292"/>
    <w:rsid w:val="00AD7317"/>
    <w:rsid w:val="00AD754C"/>
    <w:rsid w:val="00AE01A8"/>
    <w:rsid w:val="00AE069F"/>
    <w:rsid w:val="00AE0789"/>
    <w:rsid w:val="00AE0CBD"/>
    <w:rsid w:val="00AE123A"/>
    <w:rsid w:val="00AE1A1E"/>
    <w:rsid w:val="00AE2591"/>
    <w:rsid w:val="00AE28A7"/>
    <w:rsid w:val="00AE33A6"/>
    <w:rsid w:val="00AE36D5"/>
    <w:rsid w:val="00AE3715"/>
    <w:rsid w:val="00AE3729"/>
    <w:rsid w:val="00AE55B2"/>
    <w:rsid w:val="00AE5C6A"/>
    <w:rsid w:val="00AE65F7"/>
    <w:rsid w:val="00AE7280"/>
    <w:rsid w:val="00AF033A"/>
    <w:rsid w:val="00AF1699"/>
    <w:rsid w:val="00AF3896"/>
    <w:rsid w:val="00AF3CEE"/>
    <w:rsid w:val="00AF5706"/>
    <w:rsid w:val="00AF6479"/>
    <w:rsid w:val="00AF6C33"/>
    <w:rsid w:val="00B0098A"/>
    <w:rsid w:val="00B00A5F"/>
    <w:rsid w:val="00B0225F"/>
    <w:rsid w:val="00B029B8"/>
    <w:rsid w:val="00B02F60"/>
    <w:rsid w:val="00B032B8"/>
    <w:rsid w:val="00B03ABB"/>
    <w:rsid w:val="00B04B46"/>
    <w:rsid w:val="00B05050"/>
    <w:rsid w:val="00B0534D"/>
    <w:rsid w:val="00B06368"/>
    <w:rsid w:val="00B06FC6"/>
    <w:rsid w:val="00B07163"/>
    <w:rsid w:val="00B07429"/>
    <w:rsid w:val="00B11847"/>
    <w:rsid w:val="00B12DF9"/>
    <w:rsid w:val="00B12FE6"/>
    <w:rsid w:val="00B1303F"/>
    <w:rsid w:val="00B1364A"/>
    <w:rsid w:val="00B13D3C"/>
    <w:rsid w:val="00B1525C"/>
    <w:rsid w:val="00B16715"/>
    <w:rsid w:val="00B17910"/>
    <w:rsid w:val="00B2041B"/>
    <w:rsid w:val="00B20F18"/>
    <w:rsid w:val="00B21516"/>
    <w:rsid w:val="00B22CE0"/>
    <w:rsid w:val="00B23738"/>
    <w:rsid w:val="00B23BEF"/>
    <w:rsid w:val="00B247BB"/>
    <w:rsid w:val="00B25C11"/>
    <w:rsid w:val="00B25EDF"/>
    <w:rsid w:val="00B25EE6"/>
    <w:rsid w:val="00B27BC0"/>
    <w:rsid w:val="00B3115A"/>
    <w:rsid w:val="00B31A5C"/>
    <w:rsid w:val="00B33C19"/>
    <w:rsid w:val="00B33F84"/>
    <w:rsid w:val="00B3433E"/>
    <w:rsid w:val="00B34861"/>
    <w:rsid w:val="00B34B77"/>
    <w:rsid w:val="00B363BD"/>
    <w:rsid w:val="00B36844"/>
    <w:rsid w:val="00B369F7"/>
    <w:rsid w:val="00B36A99"/>
    <w:rsid w:val="00B37537"/>
    <w:rsid w:val="00B41B81"/>
    <w:rsid w:val="00B42980"/>
    <w:rsid w:val="00B434B2"/>
    <w:rsid w:val="00B434C7"/>
    <w:rsid w:val="00B43580"/>
    <w:rsid w:val="00B43D45"/>
    <w:rsid w:val="00B44771"/>
    <w:rsid w:val="00B4650E"/>
    <w:rsid w:val="00B468F2"/>
    <w:rsid w:val="00B46B45"/>
    <w:rsid w:val="00B46D3D"/>
    <w:rsid w:val="00B46F6B"/>
    <w:rsid w:val="00B47286"/>
    <w:rsid w:val="00B47894"/>
    <w:rsid w:val="00B47DDE"/>
    <w:rsid w:val="00B50234"/>
    <w:rsid w:val="00B51BF4"/>
    <w:rsid w:val="00B51F4B"/>
    <w:rsid w:val="00B52C68"/>
    <w:rsid w:val="00B542FE"/>
    <w:rsid w:val="00B551CE"/>
    <w:rsid w:val="00B55A1B"/>
    <w:rsid w:val="00B561DB"/>
    <w:rsid w:val="00B57494"/>
    <w:rsid w:val="00B61DCE"/>
    <w:rsid w:val="00B62188"/>
    <w:rsid w:val="00B62467"/>
    <w:rsid w:val="00B62F79"/>
    <w:rsid w:val="00B62F82"/>
    <w:rsid w:val="00B648FA"/>
    <w:rsid w:val="00B662FF"/>
    <w:rsid w:val="00B708C2"/>
    <w:rsid w:val="00B72C80"/>
    <w:rsid w:val="00B730B4"/>
    <w:rsid w:val="00B74340"/>
    <w:rsid w:val="00B744E0"/>
    <w:rsid w:val="00B7481A"/>
    <w:rsid w:val="00B74F2F"/>
    <w:rsid w:val="00B756FB"/>
    <w:rsid w:val="00B762CA"/>
    <w:rsid w:val="00B769BC"/>
    <w:rsid w:val="00B77349"/>
    <w:rsid w:val="00B7761E"/>
    <w:rsid w:val="00B80A37"/>
    <w:rsid w:val="00B80A3D"/>
    <w:rsid w:val="00B81902"/>
    <w:rsid w:val="00B823E0"/>
    <w:rsid w:val="00B82B78"/>
    <w:rsid w:val="00B84662"/>
    <w:rsid w:val="00B85402"/>
    <w:rsid w:val="00B864A3"/>
    <w:rsid w:val="00B86C2A"/>
    <w:rsid w:val="00B877F1"/>
    <w:rsid w:val="00B902A5"/>
    <w:rsid w:val="00B90420"/>
    <w:rsid w:val="00B913E4"/>
    <w:rsid w:val="00B91DB9"/>
    <w:rsid w:val="00B93487"/>
    <w:rsid w:val="00B93A82"/>
    <w:rsid w:val="00B93EFE"/>
    <w:rsid w:val="00B94956"/>
    <w:rsid w:val="00B94C7F"/>
    <w:rsid w:val="00B956B5"/>
    <w:rsid w:val="00B95C3A"/>
    <w:rsid w:val="00B95FCE"/>
    <w:rsid w:val="00BA0D44"/>
    <w:rsid w:val="00BA0E26"/>
    <w:rsid w:val="00BA31BF"/>
    <w:rsid w:val="00BA3EBF"/>
    <w:rsid w:val="00BA43FC"/>
    <w:rsid w:val="00BA478B"/>
    <w:rsid w:val="00BA5224"/>
    <w:rsid w:val="00BA70B3"/>
    <w:rsid w:val="00BA7B27"/>
    <w:rsid w:val="00BA7E3B"/>
    <w:rsid w:val="00BB079C"/>
    <w:rsid w:val="00BB0AEA"/>
    <w:rsid w:val="00BB2B56"/>
    <w:rsid w:val="00BB39C1"/>
    <w:rsid w:val="00BB4901"/>
    <w:rsid w:val="00BB5D16"/>
    <w:rsid w:val="00BB6180"/>
    <w:rsid w:val="00BB69E6"/>
    <w:rsid w:val="00BB7D2A"/>
    <w:rsid w:val="00BC0760"/>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C49"/>
    <w:rsid w:val="00C0508D"/>
    <w:rsid w:val="00C058AF"/>
    <w:rsid w:val="00C11AAA"/>
    <w:rsid w:val="00C124C1"/>
    <w:rsid w:val="00C128AE"/>
    <w:rsid w:val="00C1300C"/>
    <w:rsid w:val="00C136D6"/>
    <w:rsid w:val="00C13ACC"/>
    <w:rsid w:val="00C13D5B"/>
    <w:rsid w:val="00C16047"/>
    <w:rsid w:val="00C17AE2"/>
    <w:rsid w:val="00C20F27"/>
    <w:rsid w:val="00C214D1"/>
    <w:rsid w:val="00C215CF"/>
    <w:rsid w:val="00C223F8"/>
    <w:rsid w:val="00C2244B"/>
    <w:rsid w:val="00C22B0D"/>
    <w:rsid w:val="00C22F55"/>
    <w:rsid w:val="00C240C1"/>
    <w:rsid w:val="00C250D0"/>
    <w:rsid w:val="00C252AC"/>
    <w:rsid w:val="00C255AB"/>
    <w:rsid w:val="00C264F0"/>
    <w:rsid w:val="00C270D7"/>
    <w:rsid w:val="00C27214"/>
    <w:rsid w:val="00C27597"/>
    <w:rsid w:val="00C30382"/>
    <w:rsid w:val="00C30D6F"/>
    <w:rsid w:val="00C31063"/>
    <w:rsid w:val="00C31B7E"/>
    <w:rsid w:val="00C32217"/>
    <w:rsid w:val="00C3242A"/>
    <w:rsid w:val="00C32AE2"/>
    <w:rsid w:val="00C33201"/>
    <w:rsid w:val="00C332C4"/>
    <w:rsid w:val="00C33C3C"/>
    <w:rsid w:val="00C35857"/>
    <w:rsid w:val="00C360B3"/>
    <w:rsid w:val="00C3679B"/>
    <w:rsid w:val="00C36E63"/>
    <w:rsid w:val="00C37027"/>
    <w:rsid w:val="00C3778D"/>
    <w:rsid w:val="00C405A3"/>
    <w:rsid w:val="00C40B70"/>
    <w:rsid w:val="00C42752"/>
    <w:rsid w:val="00C42973"/>
    <w:rsid w:val="00C44F9C"/>
    <w:rsid w:val="00C4730E"/>
    <w:rsid w:val="00C47ED3"/>
    <w:rsid w:val="00C5019C"/>
    <w:rsid w:val="00C5034F"/>
    <w:rsid w:val="00C52479"/>
    <w:rsid w:val="00C5291F"/>
    <w:rsid w:val="00C52C59"/>
    <w:rsid w:val="00C5349E"/>
    <w:rsid w:val="00C5354B"/>
    <w:rsid w:val="00C54467"/>
    <w:rsid w:val="00C54D3D"/>
    <w:rsid w:val="00C55116"/>
    <w:rsid w:val="00C55A30"/>
    <w:rsid w:val="00C57C58"/>
    <w:rsid w:val="00C6028F"/>
    <w:rsid w:val="00C6046F"/>
    <w:rsid w:val="00C608F1"/>
    <w:rsid w:val="00C631E1"/>
    <w:rsid w:val="00C637E8"/>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4FDF"/>
    <w:rsid w:val="00C85209"/>
    <w:rsid w:val="00C8618F"/>
    <w:rsid w:val="00C90372"/>
    <w:rsid w:val="00C9041F"/>
    <w:rsid w:val="00C90AD1"/>
    <w:rsid w:val="00C9138F"/>
    <w:rsid w:val="00C91A45"/>
    <w:rsid w:val="00C91ED2"/>
    <w:rsid w:val="00C91FB4"/>
    <w:rsid w:val="00C95745"/>
    <w:rsid w:val="00C962E3"/>
    <w:rsid w:val="00C965BD"/>
    <w:rsid w:val="00C97997"/>
    <w:rsid w:val="00CA08FE"/>
    <w:rsid w:val="00CA0FAC"/>
    <w:rsid w:val="00CA25C0"/>
    <w:rsid w:val="00CA2697"/>
    <w:rsid w:val="00CA3451"/>
    <w:rsid w:val="00CA4948"/>
    <w:rsid w:val="00CA52F9"/>
    <w:rsid w:val="00CA568B"/>
    <w:rsid w:val="00CA74D4"/>
    <w:rsid w:val="00CA7500"/>
    <w:rsid w:val="00CB1239"/>
    <w:rsid w:val="00CB178B"/>
    <w:rsid w:val="00CB19FE"/>
    <w:rsid w:val="00CB23C2"/>
    <w:rsid w:val="00CB304C"/>
    <w:rsid w:val="00CB53E8"/>
    <w:rsid w:val="00CB593E"/>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33D"/>
    <w:rsid w:val="00CD29D4"/>
    <w:rsid w:val="00CD38F5"/>
    <w:rsid w:val="00CD3ABE"/>
    <w:rsid w:val="00CD400F"/>
    <w:rsid w:val="00CD437E"/>
    <w:rsid w:val="00CD572E"/>
    <w:rsid w:val="00CD5A89"/>
    <w:rsid w:val="00CD5DAD"/>
    <w:rsid w:val="00CD72C5"/>
    <w:rsid w:val="00CD77A2"/>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31C0"/>
    <w:rsid w:val="00CF3839"/>
    <w:rsid w:val="00CF55F9"/>
    <w:rsid w:val="00CF56F1"/>
    <w:rsid w:val="00CF59DF"/>
    <w:rsid w:val="00CF71A6"/>
    <w:rsid w:val="00CF7495"/>
    <w:rsid w:val="00CF7671"/>
    <w:rsid w:val="00CF7729"/>
    <w:rsid w:val="00D01CF9"/>
    <w:rsid w:val="00D0334D"/>
    <w:rsid w:val="00D0374D"/>
    <w:rsid w:val="00D05A76"/>
    <w:rsid w:val="00D075F8"/>
    <w:rsid w:val="00D0790C"/>
    <w:rsid w:val="00D07F1D"/>
    <w:rsid w:val="00D10558"/>
    <w:rsid w:val="00D1203E"/>
    <w:rsid w:val="00D12886"/>
    <w:rsid w:val="00D13D03"/>
    <w:rsid w:val="00D13E70"/>
    <w:rsid w:val="00D140B5"/>
    <w:rsid w:val="00D16136"/>
    <w:rsid w:val="00D16C58"/>
    <w:rsid w:val="00D17019"/>
    <w:rsid w:val="00D170C1"/>
    <w:rsid w:val="00D21168"/>
    <w:rsid w:val="00D235C8"/>
    <w:rsid w:val="00D2438C"/>
    <w:rsid w:val="00D25264"/>
    <w:rsid w:val="00D25DFA"/>
    <w:rsid w:val="00D26C3F"/>
    <w:rsid w:val="00D27185"/>
    <w:rsid w:val="00D278A6"/>
    <w:rsid w:val="00D27C40"/>
    <w:rsid w:val="00D31E78"/>
    <w:rsid w:val="00D32B84"/>
    <w:rsid w:val="00D337AE"/>
    <w:rsid w:val="00D33AB3"/>
    <w:rsid w:val="00D33F24"/>
    <w:rsid w:val="00D346B7"/>
    <w:rsid w:val="00D346B8"/>
    <w:rsid w:val="00D35AC8"/>
    <w:rsid w:val="00D35D34"/>
    <w:rsid w:val="00D36F87"/>
    <w:rsid w:val="00D37E4E"/>
    <w:rsid w:val="00D426F4"/>
    <w:rsid w:val="00D42E6C"/>
    <w:rsid w:val="00D43218"/>
    <w:rsid w:val="00D43B80"/>
    <w:rsid w:val="00D44236"/>
    <w:rsid w:val="00D442B9"/>
    <w:rsid w:val="00D45B1E"/>
    <w:rsid w:val="00D45BA4"/>
    <w:rsid w:val="00D46CA8"/>
    <w:rsid w:val="00D46E77"/>
    <w:rsid w:val="00D471AF"/>
    <w:rsid w:val="00D4724F"/>
    <w:rsid w:val="00D50519"/>
    <w:rsid w:val="00D516A5"/>
    <w:rsid w:val="00D5264C"/>
    <w:rsid w:val="00D5289A"/>
    <w:rsid w:val="00D537FE"/>
    <w:rsid w:val="00D538F0"/>
    <w:rsid w:val="00D54A6A"/>
    <w:rsid w:val="00D54BF8"/>
    <w:rsid w:val="00D54D7C"/>
    <w:rsid w:val="00D55951"/>
    <w:rsid w:val="00D56316"/>
    <w:rsid w:val="00D572BE"/>
    <w:rsid w:val="00D57EB6"/>
    <w:rsid w:val="00D60ED7"/>
    <w:rsid w:val="00D62B20"/>
    <w:rsid w:val="00D63586"/>
    <w:rsid w:val="00D664BF"/>
    <w:rsid w:val="00D66D8B"/>
    <w:rsid w:val="00D72A1C"/>
    <w:rsid w:val="00D73580"/>
    <w:rsid w:val="00D73802"/>
    <w:rsid w:val="00D73868"/>
    <w:rsid w:val="00D73C2C"/>
    <w:rsid w:val="00D73D52"/>
    <w:rsid w:val="00D742A0"/>
    <w:rsid w:val="00D745E7"/>
    <w:rsid w:val="00D75FF0"/>
    <w:rsid w:val="00D77495"/>
    <w:rsid w:val="00D774ED"/>
    <w:rsid w:val="00D7778F"/>
    <w:rsid w:val="00D777F6"/>
    <w:rsid w:val="00D77F88"/>
    <w:rsid w:val="00D8044C"/>
    <w:rsid w:val="00D81EAA"/>
    <w:rsid w:val="00D8259F"/>
    <w:rsid w:val="00D825F2"/>
    <w:rsid w:val="00D828B1"/>
    <w:rsid w:val="00D84461"/>
    <w:rsid w:val="00D84F27"/>
    <w:rsid w:val="00D850D4"/>
    <w:rsid w:val="00D862D1"/>
    <w:rsid w:val="00D873C6"/>
    <w:rsid w:val="00D907BD"/>
    <w:rsid w:val="00D91027"/>
    <w:rsid w:val="00D937E0"/>
    <w:rsid w:val="00D94C7D"/>
    <w:rsid w:val="00D94CA4"/>
    <w:rsid w:val="00D94FB4"/>
    <w:rsid w:val="00D95E99"/>
    <w:rsid w:val="00DA098C"/>
    <w:rsid w:val="00DA0BF8"/>
    <w:rsid w:val="00DA0FFB"/>
    <w:rsid w:val="00DA1A3A"/>
    <w:rsid w:val="00DA2C65"/>
    <w:rsid w:val="00DA395D"/>
    <w:rsid w:val="00DA3A34"/>
    <w:rsid w:val="00DA44EB"/>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C7B22"/>
    <w:rsid w:val="00DD132B"/>
    <w:rsid w:val="00DD1725"/>
    <w:rsid w:val="00DD21B9"/>
    <w:rsid w:val="00DD2427"/>
    <w:rsid w:val="00DD2A18"/>
    <w:rsid w:val="00DD377A"/>
    <w:rsid w:val="00DD3ECA"/>
    <w:rsid w:val="00DD5AB3"/>
    <w:rsid w:val="00DD5B1A"/>
    <w:rsid w:val="00DD61E8"/>
    <w:rsid w:val="00DD62C0"/>
    <w:rsid w:val="00DD6773"/>
    <w:rsid w:val="00DD7859"/>
    <w:rsid w:val="00DE03AC"/>
    <w:rsid w:val="00DE0A1D"/>
    <w:rsid w:val="00DE15B2"/>
    <w:rsid w:val="00DE1826"/>
    <w:rsid w:val="00DE1A9A"/>
    <w:rsid w:val="00DE23B5"/>
    <w:rsid w:val="00DE2494"/>
    <w:rsid w:val="00DE3D2C"/>
    <w:rsid w:val="00DE43D0"/>
    <w:rsid w:val="00DE5E82"/>
    <w:rsid w:val="00DE5FA6"/>
    <w:rsid w:val="00DE6494"/>
    <w:rsid w:val="00DE6AA1"/>
    <w:rsid w:val="00DE6C57"/>
    <w:rsid w:val="00DE74D7"/>
    <w:rsid w:val="00DE7DCC"/>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3E9"/>
    <w:rsid w:val="00E046A9"/>
    <w:rsid w:val="00E04C0F"/>
    <w:rsid w:val="00E0570B"/>
    <w:rsid w:val="00E057B2"/>
    <w:rsid w:val="00E05996"/>
    <w:rsid w:val="00E10B87"/>
    <w:rsid w:val="00E1478B"/>
    <w:rsid w:val="00E14FAC"/>
    <w:rsid w:val="00E15007"/>
    <w:rsid w:val="00E16EC7"/>
    <w:rsid w:val="00E1714F"/>
    <w:rsid w:val="00E2026B"/>
    <w:rsid w:val="00E21576"/>
    <w:rsid w:val="00E219CE"/>
    <w:rsid w:val="00E21CAB"/>
    <w:rsid w:val="00E21E23"/>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36F0C"/>
    <w:rsid w:val="00E370FE"/>
    <w:rsid w:val="00E405F1"/>
    <w:rsid w:val="00E43054"/>
    <w:rsid w:val="00E434C4"/>
    <w:rsid w:val="00E44FE4"/>
    <w:rsid w:val="00E453FC"/>
    <w:rsid w:val="00E45D30"/>
    <w:rsid w:val="00E46013"/>
    <w:rsid w:val="00E4654B"/>
    <w:rsid w:val="00E477C3"/>
    <w:rsid w:val="00E50148"/>
    <w:rsid w:val="00E5048D"/>
    <w:rsid w:val="00E504BB"/>
    <w:rsid w:val="00E50AC4"/>
    <w:rsid w:val="00E50E2C"/>
    <w:rsid w:val="00E51077"/>
    <w:rsid w:val="00E5132D"/>
    <w:rsid w:val="00E51741"/>
    <w:rsid w:val="00E51E16"/>
    <w:rsid w:val="00E52051"/>
    <w:rsid w:val="00E52151"/>
    <w:rsid w:val="00E53730"/>
    <w:rsid w:val="00E53C46"/>
    <w:rsid w:val="00E54511"/>
    <w:rsid w:val="00E55DC3"/>
    <w:rsid w:val="00E55E88"/>
    <w:rsid w:val="00E57577"/>
    <w:rsid w:val="00E601DE"/>
    <w:rsid w:val="00E62043"/>
    <w:rsid w:val="00E626B9"/>
    <w:rsid w:val="00E627C9"/>
    <w:rsid w:val="00E630F3"/>
    <w:rsid w:val="00E64E10"/>
    <w:rsid w:val="00E650E0"/>
    <w:rsid w:val="00E65198"/>
    <w:rsid w:val="00E66086"/>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2FBC"/>
    <w:rsid w:val="00E8395F"/>
    <w:rsid w:val="00E8473F"/>
    <w:rsid w:val="00E84795"/>
    <w:rsid w:val="00E84DD1"/>
    <w:rsid w:val="00E85E41"/>
    <w:rsid w:val="00E85EA1"/>
    <w:rsid w:val="00E91044"/>
    <w:rsid w:val="00E910D3"/>
    <w:rsid w:val="00E923CF"/>
    <w:rsid w:val="00E9335F"/>
    <w:rsid w:val="00E95111"/>
    <w:rsid w:val="00E9760C"/>
    <w:rsid w:val="00EA048D"/>
    <w:rsid w:val="00EA061E"/>
    <w:rsid w:val="00EA08DE"/>
    <w:rsid w:val="00EA14C8"/>
    <w:rsid w:val="00EA19D3"/>
    <w:rsid w:val="00EA2296"/>
    <w:rsid w:val="00EA2C8D"/>
    <w:rsid w:val="00EA6649"/>
    <w:rsid w:val="00EB05D0"/>
    <w:rsid w:val="00EB07C5"/>
    <w:rsid w:val="00EB1D49"/>
    <w:rsid w:val="00EB42DD"/>
    <w:rsid w:val="00EB4DC8"/>
    <w:rsid w:val="00EB536B"/>
    <w:rsid w:val="00EB559F"/>
    <w:rsid w:val="00EB5F3D"/>
    <w:rsid w:val="00EB6900"/>
    <w:rsid w:val="00EB6EC2"/>
    <w:rsid w:val="00EC1CEB"/>
    <w:rsid w:val="00EC21A7"/>
    <w:rsid w:val="00EC268C"/>
    <w:rsid w:val="00EC3747"/>
    <w:rsid w:val="00EC3753"/>
    <w:rsid w:val="00EC3CB8"/>
    <w:rsid w:val="00EC3D46"/>
    <w:rsid w:val="00EC4E71"/>
    <w:rsid w:val="00EC6667"/>
    <w:rsid w:val="00EC783E"/>
    <w:rsid w:val="00ED0019"/>
    <w:rsid w:val="00ED0365"/>
    <w:rsid w:val="00ED0865"/>
    <w:rsid w:val="00ED094F"/>
    <w:rsid w:val="00ED16B6"/>
    <w:rsid w:val="00ED1C60"/>
    <w:rsid w:val="00ED2EB9"/>
    <w:rsid w:val="00ED4469"/>
    <w:rsid w:val="00ED5F23"/>
    <w:rsid w:val="00ED675F"/>
    <w:rsid w:val="00ED6DC0"/>
    <w:rsid w:val="00ED79CE"/>
    <w:rsid w:val="00ED7A7A"/>
    <w:rsid w:val="00EE038C"/>
    <w:rsid w:val="00EE040B"/>
    <w:rsid w:val="00EE168A"/>
    <w:rsid w:val="00EE47C5"/>
    <w:rsid w:val="00EE490C"/>
    <w:rsid w:val="00EE613B"/>
    <w:rsid w:val="00EE65D6"/>
    <w:rsid w:val="00EE7D60"/>
    <w:rsid w:val="00EE7E17"/>
    <w:rsid w:val="00EF2C8E"/>
    <w:rsid w:val="00EF3174"/>
    <w:rsid w:val="00EF3303"/>
    <w:rsid w:val="00EF37AB"/>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267E"/>
    <w:rsid w:val="00F02686"/>
    <w:rsid w:val="00F03D99"/>
    <w:rsid w:val="00F0459B"/>
    <w:rsid w:val="00F04E15"/>
    <w:rsid w:val="00F05DF3"/>
    <w:rsid w:val="00F0641B"/>
    <w:rsid w:val="00F069EA"/>
    <w:rsid w:val="00F07B6E"/>
    <w:rsid w:val="00F07DF8"/>
    <w:rsid w:val="00F11461"/>
    <w:rsid w:val="00F11675"/>
    <w:rsid w:val="00F1182D"/>
    <w:rsid w:val="00F12557"/>
    <w:rsid w:val="00F12D4D"/>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B17"/>
    <w:rsid w:val="00F40CCA"/>
    <w:rsid w:val="00F41521"/>
    <w:rsid w:val="00F42D97"/>
    <w:rsid w:val="00F43F09"/>
    <w:rsid w:val="00F45A72"/>
    <w:rsid w:val="00F46723"/>
    <w:rsid w:val="00F46EB9"/>
    <w:rsid w:val="00F50016"/>
    <w:rsid w:val="00F50647"/>
    <w:rsid w:val="00F5118A"/>
    <w:rsid w:val="00F5165C"/>
    <w:rsid w:val="00F51A21"/>
    <w:rsid w:val="00F5276E"/>
    <w:rsid w:val="00F529F9"/>
    <w:rsid w:val="00F52E9F"/>
    <w:rsid w:val="00F53304"/>
    <w:rsid w:val="00F53D37"/>
    <w:rsid w:val="00F53D40"/>
    <w:rsid w:val="00F545ED"/>
    <w:rsid w:val="00F5687F"/>
    <w:rsid w:val="00F56FA5"/>
    <w:rsid w:val="00F5727D"/>
    <w:rsid w:val="00F575C7"/>
    <w:rsid w:val="00F60305"/>
    <w:rsid w:val="00F61B12"/>
    <w:rsid w:val="00F620C5"/>
    <w:rsid w:val="00F62398"/>
    <w:rsid w:val="00F626C5"/>
    <w:rsid w:val="00F631E8"/>
    <w:rsid w:val="00F63223"/>
    <w:rsid w:val="00F63264"/>
    <w:rsid w:val="00F6379E"/>
    <w:rsid w:val="00F676EC"/>
    <w:rsid w:val="00F70799"/>
    <w:rsid w:val="00F70906"/>
    <w:rsid w:val="00F70A8B"/>
    <w:rsid w:val="00F724FB"/>
    <w:rsid w:val="00F72578"/>
    <w:rsid w:val="00F72A26"/>
    <w:rsid w:val="00F733C3"/>
    <w:rsid w:val="00F756DD"/>
    <w:rsid w:val="00F75DB3"/>
    <w:rsid w:val="00F77C37"/>
    <w:rsid w:val="00F80047"/>
    <w:rsid w:val="00F8104D"/>
    <w:rsid w:val="00F81587"/>
    <w:rsid w:val="00F82571"/>
    <w:rsid w:val="00F83706"/>
    <w:rsid w:val="00F85258"/>
    <w:rsid w:val="00F85B72"/>
    <w:rsid w:val="00F8766F"/>
    <w:rsid w:val="00F9104C"/>
    <w:rsid w:val="00F91082"/>
    <w:rsid w:val="00F91A9A"/>
    <w:rsid w:val="00F920A7"/>
    <w:rsid w:val="00F93ABB"/>
    <w:rsid w:val="00F94D79"/>
    <w:rsid w:val="00F971DD"/>
    <w:rsid w:val="00F975D3"/>
    <w:rsid w:val="00FA118A"/>
    <w:rsid w:val="00FA11CD"/>
    <w:rsid w:val="00FA1B7E"/>
    <w:rsid w:val="00FA31C7"/>
    <w:rsid w:val="00FA472D"/>
    <w:rsid w:val="00FA7254"/>
    <w:rsid w:val="00FB0214"/>
    <w:rsid w:val="00FB080C"/>
    <w:rsid w:val="00FB18F6"/>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6590"/>
    <w:rsid w:val="00FC7523"/>
    <w:rsid w:val="00FC75AC"/>
    <w:rsid w:val="00FC75CB"/>
    <w:rsid w:val="00FD01BF"/>
    <w:rsid w:val="00FD0525"/>
    <w:rsid w:val="00FD0D4F"/>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7F8"/>
    <w:rsid w:val="00FF78E5"/>
    <w:rsid w:val="01DF6ED8"/>
    <w:rsid w:val="020220CB"/>
    <w:rsid w:val="02511F9D"/>
    <w:rsid w:val="02AB4E64"/>
    <w:rsid w:val="03056ED3"/>
    <w:rsid w:val="0334104D"/>
    <w:rsid w:val="034E5B8A"/>
    <w:rsid w:val="03A314B8"/>
    <w:rsid w:val="03D82B98"/>
    <w:rsid w:val="03F83E8B"/>
    <w:rsid w:val="05B257EC"/>
    <w:rsid w:val="06AE10AC"/>
    <w:rsid w:val="07AB1DBE"/>
    <w:rsid w:val="07B72767"/>
    <w:rsid w:val="07F94015"/>
    <w:rsid w:val="08077E72"/>
    <w:rsid w:val="09AB1EA0"/>
    <w:rsid w:val="09CC2AAC"/>
    <w:rsid w:val="09D820EE"/>
    <w:rsid w:val="0A130357"/>
    <w:rsid w:val="0A652D3E"/>
    <w:rsid w:val="0B0A4571"/>
    <w:rsid w:val="0B3A48F0"/>
    <w:rsid w:val="0BEB139D"/>
    <w:rsid w:val="0BF64F69"/>
    <w:rsid w:val="0C5C56D6"/>
    <w:rsid w:val="0C92213C"/>
    <w:rsid w:val="0CBA2804"/>
    <w:rsid w:val="0D3B1B72"/>
    <w:rsid w:val="0D4F221D"/>
    <w:rsid w:val="0D84032B"/>
    <w:rsid w:val="0DD52D43"/>
    <w:rsid w:val="0E121122"/>
    <w:rsid w:val="0F011985"/>
    <w:rsid w:val="0F4F4353"/>
    <w:rsid w:val="0FDC6CEF"/>
    <w:rsid w:val="10A27F31"/>
    <w:rsid w:val="10CA487C"/>
    <w:rsid w:val="11927058"/>
    <w:rsid w:val="12133FB0"/>
    <w:rsid w:val="12176643"/>
    <w:rsid w:val="12510966"/>
    <w:rsid w:val="12A055F5"/>
    <w:rsid w:val="12A5223C"/>
    <w:rsid w:val="12A604D9"/>
    <w:rsid w:val="130D4243"/>
    <w:rsid w:val="1387148A"/>
    <w:rsid w:val="13AF4F03"/>
    <w:rsid w:val="145E6EE8"/>
    <w:rsid w:val="14736E66"/>
    <w:rsid w:val="148937C0"/>
    <w:rsid w:val="149B6AC2"/>
    <w:rsid w:val="15264037"/>
    <w:rsid w:val="15293653"/>
    <w:rsid w:val="1534169A"/>
    <w:rsid w:val="15C03E03"/>
    <w:rsid w:val="162A25EB"/>
    <w:rsid w:val="16964761"/>
    <w:rsid w:val="16FD2A55"/>
    <w:rsid w:val="17366761"/>
    <w:rsid w:val="177C01F0"/>
    <w:rsid w:val="17CE6630"/>
    <w:rsid w:val="19304EC9"/>
    <w:rsid w:val="19820BA0"/>
    <w:rsid w:val="1AFA16D5"/>
    <w:rsid w:val="1B4F19F8"/>
    <w:rsid w:val="1BD92184"/>
    <w:rsid w:val="1C5170A2"/>
    <w:rsid w:val="1CD22F7D"/>
    <w:rsid w:val="1D23361F"/>
    <w:rsid w:val="1D4061A8"/>
    <w:rsid w:val="1E4A2E9F"/>
    <w:rsid w:val="1E9B4F4B"/>
    <w:rsid w:val="1EEE23EF"/>
    <w:rsid w:val="1F063325"/>
    <w:rsid w:val="1FA2402F"/>
    <w:rsid w:val="1FBC5DF5"/>
    <w:rsid w:val="1FC55574"/>
    <w:rsid w:val="203D099C"/>
    <w:rsid w:val="20781442"/>
    <w:rsid w:val="21B83F86"/>
    <w:rsid w:val="21E55E66"/>
    <w:rsid w:val="221178A8"/>
    <w:rsid w:val="221213CF"/>
    <w:rsid w:val="22327A92"/>
    <w:rsid w:val="22501E48"/>
    <w:rsid w:val="22965435"/>
    <w:rsid w:val="22BD6F35"/>
    <w:rsid w:val="231D53A2"/>
    <w:rsid w:val="234D7E19"/>
    <w:rsid w:val="23B7504C"/>
    <w:rsid w:val="24571307"/>
    <w:rsid w:val="24BA2984"/>
    <w:rsid w:val="25126E09"/>
    <w:rsid w:val="25246333"/>
    <w:rsid w:val="255152A8"/>
    <w:rsid w:val="25C14636"/>
    <w:rsid w:val="26446DE3"/>
    <w:rsid w:val="264D165B"/>
    <w:rsid w:val="265F3538"/>
    <w:rsid w:val="26835926"/>
    <w:rsid w:val="26CD1617"/>
    <w:rsid w:val="26D7699F"/>
    <w:rsid w:val="27234AD7"/>
    <w:rsid w:val="274A5E17"/>
    <w:rsid w:val="279A2132"/>
    <w:rsid w:val="284D08E4"/>
    <w:rsid w:val="2912495F"/>
    <w:rsid w:val="29531C35"/>
    <w:rsid w:val="29E17ECF"/>
    <w:rsid w:val="2A2D3BAD"/>
    <w:rsid w:val="2A5A691B"/>
    <w:rsid w:val="2A6B4A25"/>
    <w:rsid w:val="2B09065E"/>
    <w:rsid w:val="2B774624"/>
    <w:rsid w:val="2C7A72BE"/>
    <w:rsid w:val="2CE1294E"/>
    <w:rsid w:val="2D2D11F0"/>
    <w:rsid w:val="2D36293A"/>
    <w:rsid w:val="2E3777C8"/>
    <w:rsid w:val="2EEB5D26"/>
    <w:rsid w:val="2F013AAD"/>
    <w:rsid w:val="2F401D3C"/>
    <w:rsid w:val="2F436F36"/>
    <w:rsid w:val="2F70241B"/>
    <w:rsid w:val="2FA95C88"/>
    <w:rsid w:val="3041370F"/>
    <w:rsid w:val="308D3B08"/>
    <w:rsid w:val="30F06C49"/>
    <w:rsid w:val="31083A05"/>
    <w:rsid w:val="3180356E"/>
    <w:rsid w:val="32453A27"/>
    <w:rsid w:val="3263064A"/>
    <w:rsid w:val="32AC0C06"/>
    <w:rsid w:val="33FA1CBC"/>
    <w:rsid w:val="340B7A01"/>
    <w:rsid w:val="342866FA"/>
    <w:rsid w:val="34CA3F9D"/>
    <w:rsid w:val="35304278"/>
    <w:rsid w:val="3537750C"/>
    <w:rsid w:val="3537798C"/>
    <w:rsid w:val="357F7ED5"/>
    <w:rsid w:val="35C13FC9"/>
    <w:rsid w:val="362E6D87"/>
    <w:rsid w:val="364257B6"/>
    <w:rsid w:val="367B3D86"/>
    <w:rsid w:val="36F834D1"/>
    <w:rsid w:val="374264D3"/>
    <w:rsid w:val="37C1661D"/>
    <w:rsid w:val="37DB7874"/>
    <w:rsid w:val="37E961A0"/>
    <w:rsid w:val="37EA5922"/>
    <w:rsid w:val="3809405A"/>
    <w:rsid w:val="38276B93"/>
    <w:rsid w:val="388F7B77"/>
    <w:rsid w:val="394D4A84"/>
    <w:rsid w:val="3A0B64A7"/>
    <w:rsid w:val="3A4A48F1"/>
    <w:rsid w:val="3A7038BB"/>
    <w:rsid w:val="3AF74C02"/>
    <w:rsid w:val="3BC6658C"/>
    <w:rsid w:val="3C0059A5"/>
    <w:rsid w:val="3C134E78"/>
    <w:rsid w:val="3C301B5F"/>
    <w:rsid w:val="3C3E15E3"/>
    <w:rsid w:val="3CAB1AFC"/>
    <w:rsid w:val="3D05582A"/>
    <w:rsid w:val="3DF6345D"/>
    <w:rsid w:val="3EE13701"/>
    <w:rsid w:val="3EFA9C1A"/>
    <w:rsid w:val="3F1A4BB3"/>
    <w:rsid w:val="40192BA6"/>
    <w:rsid w:val="409C1193"/>
    <w:rsid w:val="42550A18"/>
    <w:rsid w:val="425600A9"/>
    <w:rsid w:val="42D114D2"/>
    <w:rsid w:val="42F473A1"/>
    <w:rsid w:val="432D04A7"/>
    <w:rsid w:val="441E62C0"/>
    <w:rsid w:val="44274ACD"/>
    <w:rsid w:val="45811C7C"/>
    <w:rsid w:val="45AA78B4"/>
    <w:rsid w:val="468B3EFB"/>
    <w:rsid w:val="46F851C7"/>
    <w:rsid w:val="46F9547C"/>
    <w:rsid w:val="470A6193"/>
    <w:rsid w:val="47AA339A"/>
    <w:rsid w:val="47DC4F5C"/>
    <w:rsid w:val="48A04659"/>
    <w:rsid w:val="48B40671"/>
    <w:rsid w:val="499B5738"/>
    <w:rsid w:val="499F244D"/>
    <w:rsid w:val="49E634D1"/>
    <w:rsid w:val="4A8F58C2"/>
    <w:rsid w:val="4AF96BC7"/>
    <w:rsid w:val="4B842132"/>
    <w:rsid w:val="4BFB4050"/>
    <w:rsid w:val="4CEF36E2"/>
    <w:rsid w:val="4D3B1120"/>
    <w:rsid w:val="4DAF4CC1"/>
    <w:rsid w:val="4E676345"/>
    <w:rsid w:val="4EE911C5"/>
    <w:rsid w:val="4F372FFB"/>
    <w:rsid w:val="4FA76FA4"/>
    <w:rsid w:val="4FB217F8"/>
    <w:rsid w:val="5044725D"/>
    <w:rsid w:val="513F391C"/>
    <w:rsid w:val="51564E44"/>
    <w:rsid w:val="518A5153"/>
    <w:rsid w:val="52282C57"/>
    <w:rsid w:val="52C10D75"/>
    <w:rsid w:val="53C125EB"/>
    <w:rsid w:val="54C53DC5"/>
    <w:rsid w:val="550C4BD7"/>
    <w:rsid w:val="55572986"/>
    <w:rsid w:val="55A14ACC"/>
    <w:rsid w:val="562B20BF"/>
    <w:rsid w:val="56D04C17"/>
    <w:rsid w:val="5884764A"/>
    <w:rsid w:val="5A3D4CF5"/>
    <w:rsid w:val="5A957D93"/>
    <w:rsid w:val="5AD727F9"/>
    <w:rsid w:val="5AFD311B"/>
    <w:rsid w:val="5B3760D9"/>
    <w:rsid w:val="5B86261A"/>
    <w:rsid w:val="5BE014E5"/>
    <w:rsid w:val="5BEC760C"/>
    <w:rsid w:val="5E1B2389"/>
    <w:rsid w:val="5EC1512D"/>
    <w:rsid w:val="5F12674D"/>
    <w:rsid w:val="5F80710D"/>
    <w:rsid w:val="5FDF74DA"/>
    <w:rsid w:val="606007BB"/>
    <w:rsid w:val="60A7347D"/>
    <w:rsid w:val="60AC7F66"/>
    <w:rsid w:val="618835DC"/>
    <w:rsid w:val="61BF10D9"/>
    <w:rsid w:val="629F7BDB"/>
    <w:rsid w:val="631928DF"/>
    <w:rsid w:val="640C7C21"/>
    <w:rsid w:val="64E45EF7"/>
    <w:rsid w:val="655A9E13"/>
    <w:rsid w:val="66401FD5"/>
    <w:rsid w:val="66A575B3"/>
    <w:rsid w:val="66A57729"/>
    <w:rsid w:val="670F748C"/>
    <w:rsid w:val="6736338C"/>
    <w:rsid w:val="677435B2"/>
    <w:rsid w:val="67EF75F1"/>
    <w:rsid w:val="681C76FB"/>
    <w:rsid w:val="68774BE5"/>
    <w:rsid w:val="68B87030"/>
    <w:rsid w:val="69124F16"/>
    <w:rsid w:val="69C64B0E"/>
    <w:rsid w:val="69CD5C14"/>
    <w:rsid w:val="69CF0D33"/>
    <w:rsid w:val="6AB24495"/>
    <w:rsid w:val="6B0646BE"/>
    <w:rsid w:val="6B9946B3"/>
    <w:rsid w:val="6C310D11"/>
    <w:rsid w:val="6C414B4C"/>
    <w:rsid w:val="6C921AAA"/>
    <w:rsid w:val="6D1837C6"/>
    <w:rsid w:val="6DE76850"/>
    <w:rsid w:val="6E336FB7"/>
    <w:rsid w:val="6E3B7F3B"/>
    <w:rsid w:val="6E9A1018"/>
    <w:rsid w:val="6FB20BD4"/>
    <w:rsid w:val="6FBA59BE"/>
    <w:rsid w:val="70296B3E"/>
    <w:rsid w:val="705900E8"/>
    <w:rsid w:val="70611204"/>
    <w:rsid w:val="70E56655"/>
    <w:rsid w:val="70F17BCE"/>
    <w:rsid w:val="7234593E"/>
    <w:rsid w:val="72983CD3"/>
    <w:rsid w:val="72EF4CB6"/>
    <w:rsid w:val="743B2F14"/>
    <w:rsid w:val="746A24BE"/>
    <w:rsid w:val="749F1040"/>
    <w:rsid w:val="74FA2C30"/>
    <w:rsid w:val="76250197"/>
    <w:rsid w:val="76BC49EB"/>
    <w:rsid w:val="77000DA2"/>
    <w:rsid w:val="77075DE4"/>
    <w:rsid w:val="781E69D1"/>
    <w:rsid w:val="78340059"/>
    <w:rsid w:val="79BE1CAB"/>
    <w:rsid w:val="7ADD0453"/>
    <w:rsid w:val="7AF46346"/>
    <w:rsid w:val="7B0F5EBF"/>
    <w:rsid w:val="7B130FB9"/>
    <w:rsid w:val="7BDE0625"/>
    <w:rsid w:val="7BF64EDE"/>
    <w:rsid w:val="7C400C1E"/>
    <w:rsid w:val="7C6C6CCE"/>
    <w:rsid w:val="7C773348"/>
    <w:rsid w:val="7C8932DF"/>
    <w:rsid w:val="7CB0484C"/>
    <w:rsid w:val="7D422E99"/>
    <w:rsid w:val="7DD11708"/>
    <w:rsid w:val="7DD83ECB"/>
    <w:rsid w:val="7DF46F4A"/>
    <w:rsid w:val="7E3D4C74"/>
    <w:rsid w:val="7E5570D2"/>
    <w:rsid w:val="7E6C0EF6"/>
    <w:rsid w:val="7EBC46EA"/>
    <w:rsid w:val="7EC167BD"/>
    <w:rsid w:val="7FCA72CB"/>
    <w:rsid w:val="7FCB062D"/>
    <w:rsid w:val="7FF82C26"/>
    <w:rsid w:val="EF6DC4F0"/>
    <w:rsid w:val="FFF6D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35"/>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2"/>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9">
    <w:name w:val="annotation text"/>
    <w:basedOn w:val="1"/>
    <w:link w:val="36"/>
    <w:qFormat/>
    <w:uiPriority w:val="0"/>
    <w:pPr>
      <w:jc w:val="left"/>
    </w:pPr>
  </w:style>
  <w:style w:type="paragraph" w:styleId="10">
    <w:name w:val="Body Text 3"/>
    <w:basedOn w:val="1"/>
    <w:link w:val="37"/>
    <w:unhideWhenUsed/>
    <w:qFormat/>
    <w:uiPriority w:val="99"/>
    <w:pPr>
      <w:spacing w:after="120"/>
    </w:pPr>
    <w:rPr>
      <w:sz w:val="16"/>
      <w:szCs w:val="16"/>
    </w:rPr>
  </w:style>
  <w:style w:type="paragraph" w:styleId="11">
    <w:name w:val="Body Text"/>
    <w:basedOn w:val="1"/>
    <w:next w:val="12"/>
    <w:link w:val="38"/>
    <w:unhideWhenUsed/>
    <w:qFormat/>
    <w:uiPriority w:val="0"/>
    <w:pPr>
      <w:spacing w:after="120"/>
    </w:pPr>
  </w:style>
  <w:style w:type="paragraph" w:styleId="12">
    <w:name w:val="Body Text First Indent"/>
    <w:basedOn w:val="11"/>
    <w:next w:val="1"/>
    <w:qFormat/>
    <w:uiPriority w:val="0"/>
    <w:pPr>
      <w:ind w:firstLine="420" w:firstLineChars="100"/>
    </w:pPr>
  </w:style>
  <w:style w:type="paragraph" w:styleId="13">
    <w:name w:val="Body Text Indent"/>
    <w:basedOn w:val="1"/>
    <w:link w:val="39"/>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6">
    <w:name w:val="Plain Text"/>
    <w:basedOn w:val="1"/>
    <w:link w:val="40"/>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23">
    <w:name w:val="Normal (Web)"/>
    <w:basedOn w:val="1"/>
    <w:unhideWhenUsed/>
    <w:qFormat/>
    <w:uiPriority w:val="99"/>
    <w:rPr>
      <w:rFonts w:ascii="Calibri" w:hAnsi="Calibri"/>
      <w:kern w:val="0"/>
      <w:sz w:val="24"/>
    </w:rPr>
  </w:style>
  <w:style w:type="paragraph" w:styleId="24">
    <w:name w:val="annotation subject"/>
    <w:basedOn w:val="9"/>
    <w:next w:val="9"/>
    <w:link w:val="44"/>
    <w:qFormat/>
    <w:uiPriority w:val="99"/>
    <w:rPr>
      <w:b/>
      <w:bCs/>
    </w:rPr>
  </w:style>
  <w:style w:type="paragraph" w:styleId="25">
    <w:name w:val="Body Text First Indent 2"/>
    <w:basedOn w:val="13"/>
    <w:next w:val="1"/>
    <w:qFormat/>
    <w:uiPriority w:val="0"/>
    <w:pPr>
      <w:spacing w:after="120"/>
      <w:ind w:left="420" w:leftChars="200" w:firstLine="420" w:firstLineChars="200"/>
    </w:pPr>
    <w:rPr>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page number"/>
    <w:qFormat/>
    <w:uiPriority w:val="0"/>
  </w:style>
  <w:style w:type="character" w:styleId="30">
    <w:name w:val="Hyperlink"/>
    <w:unhideWhenUsed/>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标题 1 Char"/>
    <w:link w:val="3"/>
    <w:qFormat/>
    <w:uiPriority w:val="0"/>
    <w:rPr>
      <w:b/>
      <w:bCs/>
      <w:kern w:val="44"/>
      <w:sz w:val="44"/>
      <w:szCs w:val="44"/>
    </w:rPr>
  </w:style>
  <w:style w:type="character" w:customStyle="1" w:styleId="34">
    <w:name w:val="标题 2 Char"/>
    <w:link w:val="4"/>
    <w:qFormat/>
    <w:uiPriority w:val="9"/>
    <w:rPr>
      <w:rFonts w:ascii="Cambria" w:hAnsi="Cambria" w:eastAsia="宋体" w:cs="Times New Roman"/>
      <w:b/>
      <w:bCs/>
      <w:kern w:val="2"/>
      <w:sz w:val="32"/>
      <w:szCs w:val="32"/>
    </w:rPr>
  </w:style>
  <w:style w:type="character" w:customStyle="1" w:styleId="35">
    <w:name w:val="标题 5 Char"/>
    <w:link w:val="6"/>
    <w:semiHidden/>
    <w:qFormat/>
    <w:uiPriority w:val="9"/>
    <w:rPr>
      <w:rFonts w:ascii="Times New Roman" w:hAnsi="Times New Roman"/>
      <w:b/>
      <w:bCs/>
      <w:kern w:val="2"/>
      <w:sz w:val="28"/>
      <w:szCs w:val="28"/>
    </w:rPr>
  </w:style>
  <w:style w:type="character" w:customStyle="1" w:styleId="36">
    <w:name w:val="批注文字 Char"/>
    <w:link w:val="9"/>
    <w:qFormat/>
    <w:uiPriority w:val="0"/>
    <w:rPr>
      <w:rFonts w:ascii="Times New Roman" w:hAnsi="Times New Roman"/>
      <w:kern w:val="2"/>
      <w:sz w:val="21"/>
      <w:szCs w:val="24"/>
    </w:rPr>
  </w:style>
  <w:style w:type="character" w:customStyle="1" w:styleId="37">
    <w:name w:val="正文文本 3 Char"/>
    <w:link w:val="10"/>
    <w:semiHidden/>
    <w:qFormat/>
    <w:uiPriority w:val="99"/>
    <w:rPr>
      <w:rFonts w:ascii="Times New Roman" w:hAnsi="Times New Roman"/>
      <w:kern w:val="2"/>
      <w:sz w:val="16"/>
      <w:szCs w:val="16"/>
    </w:rPr>
  </w:style>
  <w:style w:type="character" w:customStyle="1" w:styleId="38">
    <w:name w:val="正文文本 Char"/>
    <w:link w:val="11"/>
    <w:qFormat/>
    <w:uiPriority w:val="0"/>
    <w:rPr>
      <w:rFonts w:ascii="Times New Roman" w:hAnsi="Times New Roman"/>
      <w:kern w:val="2"/>
      <w:sz w:val="21"/>
      <w:szCs w:val="24"/>
    </w:rPr>
  </w:style>
  <w:style w:type="character" w:customStyle="1" w:styleId="39">
    <w:name w:val="正文文本缩进 Char"/>
    <w:link w:val="13"/>
    <w:qFormat/>
    <w:uiPriority w:val="0"/>
    <w:rPr>
      <w:rFonts w:ascii="仿宋_GB2312" w:hAnsi="Times New Roman" w:eastAsia="仿宋_GB2312" w:cs="Times New Roman"/>
      <w:sz w:val="32"/>
      <w:szCs w:val="20"/>
    </w:rPr>
  </w:style>
  <w:style w:type="character" w:customStyle="1" w:styleId="40">
    <w:name w:val="纯文本 Char"/>
    <w:link w:val="16"/>
    <w:qFormat/>
    <w:uiPriority w:val="0"/>
    <w:rPr>
      <w:rFonts w:ascii="宋体" w:hAnsi="Courier New" w:eastAsia="宋体" w:cs="Courier New"/>
      <w:szCs w:val="21"/>
    </w:rPr>
  </w:style>
  <w:style w:type="character" w:customStyle="1" w:styleId="41">
    <w:name w:val="日期 Char"/>
    <w:link w:val="17"/>
    <w:semiHidden/>
    <w:qFormat/>
    <w:uiPriority w:val="99"/>
    <w:rPr>
      <w:rFonts w:ascii="Times New Roman" w:hAnsi="Times New Roman"/>
      <w:kern w:val="2"/>
      <w:sz w:val="21"/>
      <w:szCs w:val="24"/>
    </w:rPr>
  </w:style>
  <w:style w:type="character" w:customStyle="1" w:styleId="42">
    <w:name w:val="页脚 Char1"/>
    <w:link w:val="2"/>
    <w:qFormat/>
    <w:uiPriority w:val="99"/>
    <w:rPr>
      <w:sz w:val="18"/>
      <w:szCs w:val="18"/>
    </w:rPr>
  </w:style>
  <w:style w:type="character" w:customStyle="1" w:styleId="43">
    <w:name w:val="页眉 Char"/>
    <w:link w:val="19"/>
    <w:qFormat/>
    <w:uiPriority w:val="99"/>
    <w:rPr>
      <w:sz w:val="18"/>
      <w:szCs w:val="18"/>
    </w:rPr>
  </w:style>
  <w:style w:type="character" w:customStyle="1" w:styleId="44">
    <w:name w:val="批注主题 Char"/>
    <w:link w:val="24"/>
    <w:qFormat/>
    <w:uiPriority w:val="99"/>
    <w:rPr>
      <w:rFonts w:ascii="Times New Roman" w:hAnsi="Times New Roman"/>
      <w:b/>
      <w:bCs/>
      <w:kern w:val="2"/>
      <w:sz w:val="21"/>
      <w:szCs w:val="24"/>
    </w:rPr>
  </w:style>
  <w:style w:type="character" w:customStyle="1" w:styleId="45">
    <w:name w:val="正文文本缩进 字符1"/>
    <w:qFormat/>
    <w:uiPriority w:val="0"/>
    <w:rPr>
      <w:rFonts w:ascii="仿宋_GB2312" w:hAnsi="Times New Roman" w:eastAsia="仿宋_GB2312" w:cs="Times New Roman"/>
      <w:sz w:val="32"/>
      <w:szCs w:val="20"/>
    </w:rPr>
  </w:style>
  <w:style w:type="character" w:customStyle="1" w:styleId="46">
    <w:name w:val="apple-style-span"/>
    <w:qFormat/>
    <w:uiPriority w:val="0"/>
  </w:style>
  <w:style w:type="character" w:customStyle="1" w:styleId="47">
    <w:name w:val="标题 1 字符"/>
    <w:qFormat/>
    <w:uiPriority w:val="9"/>
    <w:rPr>
      <w:b/>
      <w:bCs/>
      <w:kern w:val="44"/>
      <w:sz w:val="44"/>
      <w:szCs w:val="44"/>
    </w:rPr>
  </w:style>
  <w:style w:type="character" w:customStyle="1" w:styleId="48">
    <w:name w:val="textcontents"/>
    <w:qFormat/>
    <w:uiPriority w:val="0"/>
  </w:style>
  <w:style w:type="character" w:customStyle="1" w:styleId="49">
    <w:name w:val="纯文本 字符1"/>
    <w:qFormat/>
    <w:uiPriority w:val="0"/>
    <w:rPr>
      <w:rFonts w:ascii="宋体" w:hAnsi="Courier New"/>
    </w:rPr>
  </w:style>
  <w:style w:type="character" w:customStyle="1" w:styleId="50">
    <w:name w:val="批注文字 字符1"/>
    <w:qFormat/>
    <w:uiPriority w:val="0"/>
    <w:rPr>
      <w:kern w:val="2"/>
      <w:sz w:val="21"/>
      <w:szCs w:val="24"/>
    </w:rPr>
  </w:style>
  <w:style w:type="character" w:customStyle="1" w:styleId="51">
    <w:name w:val="纯文本 字符2"/>
    <w:qFormat/>
    <w:uiPriority w:val="0"/>
    <w:rPr>
      <w:rFonts w:ascii="宋体" w:hAnsi="Courier New" w:eastAsia="宋体" w:cs="Courier New"/>
      <w:szCs w:val="21"/>
    </w:rPr>
  </w:style>
  <w:style w:type="character" w:customStyle="1" w:styleId="52">
    <w:name w:val="页脚 Char"/>
    <w:qFormat/>
    <w:uiPriority w:val="99"/>
    <w:rPr>
      <w:lang w:eastAsia="zh-CN"/>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paragraph" w:customStyle="1" w:styleId="5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5">
    <w:name w:val="列出段落1"/>
    <w:basedOn w:val="1"/>
    <w:qFormat/>
    <w:uiPriority w:val="34"/>
    <w:pPr>
      <w:ind w:firstLine="420" w:firstLineChars="200"/>
    </w:pPr>
  </w:style>
  <w:style w:type="paragraph" w:customStyle="1" w:styleId="56">
    <w:name w:val="Table Paragraph"/>
    <w:basedOn w:val="1"/>
    <w:qFormat/>
    <w:uiPriority w:val="1"/>
    <w:pPr>
      <w:jc w:val="left"/>
    </w:pPr>
    <w:rPr>
      <w:rFonts w:ascii="Calibri" w:hAnsi="Calibri"/>
      <w:kern w:val="0"/>
      <w:sz w:val="22"/>
      <w:szCs w:val="22"/>
      <w:lang w:eastAsia="en-US"/>
    </w:rPr>
  </w:style>
  <w:style w:type="character" w:customStyle="1" w:styleId="57">
    <w:name w:val="批注文字 Char1"/>
    <w:qFormat/>
    <w:uiPriority w:val="0"/>
    <w:rPr>
      <w:rFonts w:ascii="Times New Roman" w:hAnsi="Times New Roman"/>
      <w:kern w:val="2"/>
      <w:sz w:val="21"/>
      <w:szCs w:val="24"/>
    </w:rPr>
  </w:style>
  <w:style w:type="character" w:customStyle="1" w:styleId="58">
    <w:name w:val="批注文字 字符2"/>
    <w:qFormat/>
    <w:uiPriority w:val="0"/>
    <w:rPr>
      <w:rFonts w:ascii="Times New Roman" w:hAnsi="Times New Roman"/>
      <w:kern w:val="2"/>
      <w:sz w:val="21"/>
      <w:szCs w:val="24"/>
    </w:rPr>
  </w:style>
  <w:style w:type="character" w:customStyle="1" w:styleId="59">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0">
    <w:name w:val="纯文本 Char1"/>
    <w:qFormat/>
    <w:uiPriority w:val="0"/>
    <w:rPr>
      <w:rFonts w:ascii="宋体" w:hAnsi="Courier New" w:eastAsia="宋体" w:cs="Courier New"/>
      <w:szCs w:val="21"/>
    </w:rPr>
  </w:style>
  <w:style w:type="character" w:customStyle="1" w:styleId="61">
    <w:name w:val="批注文字 Char2"/>
    <w:qFormat/>
    <w:uiPriority w:val="0"/>
    <w:rPr>
      <w:rFonts w:ascii="Times New Roman" w:hAnsi="Times New Roman"/>
      <w:kern w:val="2"/>
      <w:sz w:val="21"/>
      <w:szCs w:val="24"/>
    </w:rPr>
  </w:style>
  <w:style w:type="character" w:customStyle="1" w:styleId="62">
    <w:name w:val="font11"/>
    <w:basedOn w:val="28"/>
    <w:qFormat/>
    <w:uiPriority w:val="0"/>
    <w:rPr>
      <w:rFonts w:hint="eastAsia" w:ascii="宋体" w:hAnsi="宋体" w:eastAsia="宋体" w:cs="宋体"/>
      <w:color w:val="000000"/>
      <w:sz w:val="20"/>
      <w:szCs w:val="20"/>
      <w:u w:val="none"/>
    </w:rPr>
  </w:style>
  <w:style w:type="character" w:customStyle="1" w:styleId="63">
    <w:name w:val="font41"/>
    <w:qFormat/>
    <w:uiPriority w:val="0"/>
    <w:rPr>
      <w:rFonts w:ascii="宋体" w:hAnsi="宋体" w:eastAsia="宋体" w:cs="宋体"/>
      <w:color w:val="000000"/>
      <w:sz w:val="20"/>
      <w:szCs w:val="20"/>
      <w:u w:val="none"/>
    </w:rPr>
  </w:style>
  <w:style w:type="character" w:customStyle="1" w:styleId="64">
    <w:name w:val="font31"/>
    <w:qFormat/>
    <w:uiPriority w:val="0"/>
    <w:rPr>
      <w:rFonts w:ascii="方正书宋_GBK" w:hAnsi="方正书宋_GBK" w:eastAsia="方正书宋_GBK" w:cs="方正书宋_GBK"/>
      <w:color w:val="000000"/>
      <w:sz w:val="21"/>
      <w:szCs w:val="21"/>
      <w:u w:val="none"/>
    </w:rPr>
  </w:style>
  <w:style w:type="character" w:customStyle="1" w:styleId="65">
    <w:name w:val="font61"/>
    <w:basedOn w:val="28"/>
    <w:qFormat/>
    <w:uiPriority w:val="0"/>
    <w:rPr>
      <w:rFonts w:hint="default" w:ascii="Times New Roman" w:hAnsi="Times New Roman" w:cs="Times New Roman"/>
      <w:color w:val="000000"/>
      <w:sz w:val="21"/>
      <w:szCs w:val="21"/>
      <w:u w:val="none"/>
    </w:rPr>
  </w:style>
  <w:style w:type="character" w:customStyle="1" w:styleId="66">
    <w:name w:val="font71"/>
    <w:basedOn w:val="28"/>
    <w:qFormat/>
    <w:uiPriority w:val="0"/>
    <w:rPr>
      <w:rFonts w:hint="eastAsia" w:ascii="宋体" w:hAnsi="宋体" w:eastAsia="宋体" w:cs="宋体"/>
      <w:b/>
      <w:bCs/>
      <w:color w:val="000000"/>
      <w:sz w:val="18"/>
      <w:szCs w:val="18"/>
      <w:u w:val="none"/>
    </w:rPr>
  </w:style>
  <w:style w:type="character" w:customStyle="1" w:styleId="67">
    <w:name w:val="font81"/>
    <w:basedOn w:val="28"/>
    <w:qFormat/>
    <w:uiPriority w:val="0"/>
    <w:rPr>
      <w:rFonts w:hint="eastAsia" w:ascii="宋体" w:hAnsi="宋体" w:eastAsia="宋体" w:cs="宋体"/>
      <w:color w:val="000000"/>
      <w:sz w:val="18"/>
      <w:szCs w:val="18"/>
      <w:u w:val="none"/>
    </w:rPr>
  </w:style>
  <w:style w:type="character" w:customStyle="1" w:styleId="68">
    <w:name w:val="font01"/>
    <w:basedOn w:val="28"/>
    <w:qFormat/>
    <w:uiPriority w:val="0"/>
    <w:rPr>
      <w:rFonts w:hint="default" w:ascii="Arial" w:hAnsi="Arial" w:cs="Arial"/>
      <w:color w:val="000000"/>
      <w:sz w:val="18"/>
      <w:szCs w:val="18"/>
      <w:u w:val="none"/>
    </w:rPr>
  </w:style>
  <w:style w:type="character" w:customStyle="1" w:styleId="69">
    <w:name w:val="font91"/>
    <w:basedOn w:val="28"/>
    <w:qFormat/>
    <w:uiPriority w:val="0"/>
    <w:rPr>
      <w:rFonts w:hint="eastAsia" w:ascii="宋体" w:hAnsi="宋体" w:eastAsia="宋体" w:cs="宋体"/>
      <w:color w:val="000000"/>
      <w:sz w:val="18"/>
      <w:szCs w:val="18"/>
      <w:u w:val="none"/>
    </w:rPr>
  </w:style>
  <w:style w:type="character" w:customStyle="1" w:styleId="70">
    <w:name w:val="font51"/>
    <w:qFormat/>
    <w:uiPriority w:val="0"/>
    <w:rPr>
      <w:rFonts w:hint="default" w:ascii="Times New Roman" w:hAnsi="Times New Roman" w:cs="Times New Roman"/>
      <w:b/>
      <w:color w:val="000000"/>
      <w:sz w:val="18"/>
      <w:szCs w:val="18"/>
      <w:u w:val="none"/>
    </w:rPr>
  </w:style>
  <w:style w:type="paragraph" w:styleId="71">
    <w:name w:val="List Paragraph"/>
    <w:basedOn w:val="1"/>
    <w:qFormat/>
    <w:uiPriority w:val="34"/>
    <w:pPr>
      <w:ind w:firstLine="420" w:firstLineChars="200"/>
    </w:pPr>
  </w:style>
  <w:style w:type="paragraph" w:customStyle="1" w:styleId="7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3">
    <w:name w:val="Title1"/>
    <w:basedOn w:val="1"/>
    <w:next w:val="1"/>
    <w:qFormat/>
    <w:uiPriority w:val="0"/>
    <w:pPr>
      <w:jc w:val="center"/>
      <w:outlineLvl w:val="0"/>
    </w:pPr>
    <w:rPr>
      <w:rFonts w:ascii="Calibri Light" w:hAnsi="Calibri Light" w:eastAsia="Arial Unicode MS"/>
      <w:b/>
    </w:rPr>
  </w:style>
  <w:style w:type="paragraph" w:customStyle="1" w:styleId="7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88</Pages>
  <Words>26822</Words>
  <Characters>28866</Characters>
  <Lines>415</Lines>
  <Paragraphs>116</Paragraphs>
  <TotalTime>64</TotalTime>
  <ScaleCrop>false</ScaleCrop>
  <LinksUpToDate>false</LinksUpToDate>
  <CharactersWithSpaces>29236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2025-04-07T01:11:00Z</dcterms:created>
  <dc:creator>KWZB</dc:creator>
  <cp:lastModifiedBy>苏秀露</cp:lastModifiedBy>
  <cp:lastPrinted>2020-04-03T00:20:00Z</cp:lastPrinted>
  <dcterms:modified xsi:type="dcterms:W3CDTF">2025-06-23T10:00:00Z</dcterms:modified>
  <dc:title>竞争性谈判文件规范</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A496154A1A1845A488AF57BBCF218E81_13</vt:lpwstr>
  </property>
  <property fmtid="{D5CDD505-2E9C-101B-9397-08002B2CF9AE}" pid="4" name="KSOTemplateDocerSaveRecord">
    <vt:lpwstr>eyJoZGlkIjoiYjJhOTQyOTNkMmNjZjdlY2U1N2RlYjk2MDc5OWM2N2QiLCJ1c2VySWQiOiIxOTk1Njc3NDkifQ==</vt:lpwstr>
  </property>
</Properties>
</file>