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135B">
      <w:pPr>
        <w:rPr>
          <w:rFonts w:hint="eastAsia" w:ascii="宋体" w:hAnsi="宋体" w:eastAsia="宋体"/>
          <w:b/>
          <w:color w:val="000000"/>
          <w:sz w:val="52"/>
          <w:szCs w:val="52"/>
          <w:highlight w:val="none"/>
          <w:lang w:eastAsia="zh-CN"/>
        </w:rPr>
      </w:pPr>
      <w:r>
        <w:rPr>
          <w:rFonts w:hint="eastAsia" w:ascii="宋体" w:hAnsi="宋体" w:eastAsia="宋体"/>
          <w:b/>
          <w:color w:val="000000"/>
          <w:sz w:val="52"/>
          <w:szCs w:val="52"/>
          <w:highlight w:val="none"/>
          <w:lang w:eastAsia="zh-CN"/>
        </w:rPr>
        <w:drawing>
          <wp:inline distT="0" distB="0" distL="114300" distR="114300">
            <wp:extent cx="6182360" cy="7616190"/>
            <wp:effectExtent l="0" t="0" r="8890" b="3810"/>
            <wp:docPr id="2" name="图片 2" descr="3份-磋商文件封面-广西艺术学院相思湖校区消防管道维修改造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份-磋商文件封面-广西艺术学院相思湖校区消防管道维修改造项目_01"/>
                    <pic:cNvPicPr>
                      <a:picLocks noChangeAspect="1"/>
                    </pic:cNvPicPr>
                  </pic:nvPicPr>
                  <pic:blipFill>
                    <a:blip r:embed="rId6"/>
                    <a:stretch>
                      <a:fillRect/>
                    </a:stretch>
                  </pic:blipFill>
                  <pic:spPr>
                    <a:xfrm>
                      <a:off x="0" y="0"/>
                      <a:ext cx="6182360" cy="7616190"/>
                    </a:xfrm>
                    <a:prstGeom prst="rect">
                      <a:avLst/>
                    </a:prstGeom>
                  </pic:spPr>
                </pic:pic>
              </a:graphicData>
            </a:graphic>
          </wp:inline>
        </w:drawing>
      </w:r>
      <w:r>
        <w:rPr>
          <w:rFonts w:hint="eastAsia" w:ascii="宋体" w:hAnsi="宋体" w:eastAsia="宋体"/>
          <w:b/>
          <w:color w:val="000000"/>
          <w:sz w:val="52"/>
          <w:szCs w:val="52"/>
          <w:highlight w:val="none"/>
        </w:rPr>
        <w:br w:type="page"/>
      </w:r>
    </w:p>
    <w:p w14:paraId="0624E100">
      <w:pPr>
        <w:spacing w:line="480" w:lineRule="auto"/>
        <w:jc w:val="center"/>
        <w:rPr>
          <w:rFonts w:ascii="宋体" w:hAnsi="宋体" w:eastAsia="宋体"/>
          <w:b/>
          <w:color w:val="000000"/>
          <w:sz w:val="52"/>
          <w:szCs w:val="52"/>
          <w:highlight w:val="none"/>
        </w:rPr>
      </w:pPr>
      <w:r>
        <w:rPr>
          <w:rFonts w:hint="eastAsia" w:ascii="宋体" w:hAnsi="宋体" w:eastAsia="宋体"/>
          <w:b/>
          <w:color w:val="000000"/>
          <w:sz w:val="52"/>
          <w:szCs w:val="52"/>
          <w:highlight w:val="none"/>
        </w:rPr>
        <w:t>广西壮族自治区政府采购</w:t>
      </w:r>
    </w:p>
    <w:p w14:paraId="2864754E">
      <w:pPr>
        <w:spacing w:line="480" w:lineRule="auto"/>
        <w:jc w:val="center"/>
        <w:rPr>
          <w:rFonts w:ascii="宋体" w:hAnsi="宋体" w:eastAsia="宋体"/>
          <w:b/>
          <w:color w:val="000000"/>
          <w:sz w:val="84"/>
          <w:szCs w:val="84"/>
          <w:highlight w:val="none"/>
        </w:rPr>
      </w:pPr>
    </w:p>
    <w:p w14:paraId="475F559E">
      <w:pPr>
        <w:spacing w:line="480" w:lineRule="auto"/>
        <w:jc w:val="center"/>
        <w:rPr>
          <w:rFonts w:ascii="宋体" w:hAnsi="宋体" w:eastAsia="宋体"/>
          <w:b/>
          <w:color w:val="000000"/>
          <w:sz w:val="84"/>
          <w:szCs w:val="84"/>
          <w:highlight w:val="none"/>
        </w:rPr>
      </w:pPr>
      <w:r>
        <w:rPr>
          <w:rFonts w:hint="eastAsia" w:ascii="宋体" w:hAnsi="宋体" w:eastAsia="宋体"/>
          <w:b/>
          <w:color w:val="000000"/>
          <w:sz w:val="84"/>
          <w:szCs w:val="84"/>
          <w:highlight w:val="none"/>
        </w:rPr>
        <w:t>竞争性磋商文件</w:t>
      </w:r>
    </w:p>
    <w:p w14:paraId="7624205D">
      <w:pPr>
        <w:spacing w:line="480" w:lineRule="auto"/>
        <w:jc w:val="center"/>
        <w:rPr>
          <w:rFonts w:ascii="宋体" w:hAnsi="宋体" w:eastAsia="宋体"/>
          <w:b/>
          <w:color w:val="000000"/>
          <w:sz w:val="52"/>
          <w:szCs w:val="52"/>
          <w:highlight w:val="none"/>
        </w:rPr>
      </w:pPr>
      <w:r>
        <w:rPr>
          <w:rFonts w:hint="eastAsia" w:ascii="宋体" w:hAnsi="宋体" w:eastAsia="宋体"/>
          <w:b/>
          <w:color w:val="000000"/>
          <w:sz w:val="52"/>
          <w:szCs w:val="52"/>
          <w:highlight w:val="none"/>
        </w:rPr>
        <w:t>（工程类）</w:t>
      </w:r>
    </w:p>
    <w:p w14:paraId="33638A6D">
      <w:pPr>
        <w:spacing w:line="480" w:lineRule="auto"/>
        <w:jc w:val="center"/>
        <w:rPr>
          <w:rFonts w:ascii="宋体" w:hAnsi="宋体" w:eastAsia="宋体"/>
          <w:b/>
          <w:color w:val="000000"/>
          <w:sz w:val="52"/>
          <w:szCs w:val="52"/>
          <w:highlight w:val="none"/>
        </w:rPr>
      </w:pPr>
    </w:p>
    <w:p w14:paraId="730DE3AA">
      <w:pPr>
        <w:spacing w:line="480" w:lineRule="auto"/>
        <w:jc w:val="center"/>
        <w:rPr>
          <w:rFonts w:ascii="宋体" w:hAnsi="宋体" w:eastAsia="宋体"/>
          <w:color w:val="000000"/>
          <w:szCs w:val="21"/>
          <w:highlight w:val="none"/>
        </w:rPr>
      </w:pPr>
      <w:r>
        <w:rPr>
          <w:rFonts w:hint="eastAsia" w:ascii="宋体" w:hAnsi="宋体" w:eastAsia="宋体"/>
          <w:color w:val="000000"/>
          <w:szCs w:val="21"/>
          <w:highlight w:val="none"/>
        </w:rPr>
        <w:t>（全流程电子化评标）</w:t>
      </w:r>
    </w:p>
    <w:p w14:paraId="6DAD82B3">
      <w:pPr>
        <w:spacing w:line="480" w:lineRule="auto"/>
        <w:jc w:val="center"/>
        <w:rPr>
          <w:rFonts w:ascii="宋体" w:hAnsi="宋体" w:eastAsia="宋体"/>
          <w:b/>
          <w:color w:val="000000"/>
          <w:szCs w:val="21"/>
          <w:highlight w:val="none"/>
        </w:rPr>
      </w:pPr>
    </w:p>
    <w:p w14:paraId="070048B2">
      <w:pPr>
        <w:spacing w:line="480" w:lineRule="auto"/>
        <w:jc w:val="center"/>
        <w:rPr>
          <w:rFonts w:ascii="宋体" w:hAnsi="宋体" w:eastAsia="宋体"/>
          <w:b/>
          <w:color w:val="000000"/>
          <w:szCs w:val="21"/>
          <w:highlight w:val="none"/>
        </w:rPr>
      </w:pPr>
    </w:p>
    <w:p w14:paraId="54374FF3">
      <w:pPr>
        <w:spacing w:line="480" w:lineRule="auto"/>
        <w:ind w:left="2699" w:leftChars="568" w:hanging="1506" w:hangingChars="500"/>
        <w:rPr>
          <w:rFonts w:ascii="仿宋" w:hAnsi="仿宋" w:eastAsia="仿宋"/>
          <w:b/>
          <w:color w:val="000000"/>
          <w:sz w:val="30"/>
          <w:szCs w:val="30"/>
          <w:highlight w:val="none"/>
        </w:rPr>
      </w:pPr>
      <w:r>
        <w:rPr>
          <w:rFonts w:hint="eastAsia" w:ascii="仿宋" w:hAnsi="仿宋" w:eastAsia="仿宋"/>
          <w:b/>
          <w:color w:val="000000"/>
          <w:sz w:val="30"/>
          <w:szCs w:val="30"/>
          <w:highlight w:val="none"/>
        </w:rPr>
        <w:t>项目名称：</w:t>
      </w:r>
      <w:r>
        <w:rPr>
          <w:rFonts w:hint="eastAsia" w:ascii="仿宋" w:hAnsi="仿宋" w:eastAsia="仿宋"/>
          <w:b/>
          <w:color w:val="000000"/>
          <w:sz w:val="30"/>
          <w:szCs w:val="30"/>
          <w:highlight w:val="none"/>
          <w:lang w:eastAsia="zh-CN"/>
        </w:rPr>
        <w:t>广西艺术学院相思湖校区消防管道维修改造项目</w:t>
      </w:r>
    </w:p>
    <w:p w14:paraId="54D1D471">
      <w:pPr>
        <w:spacing w:line="480" w:lineRule="auto"/>
        <w:ind w:firstLine="1205" w:firstLineChars="400"/>
        <w:rPr>
          <w:rFonts w:ascii="仿宋" w:hAnsi="仿宋" w:eastAsia="仿宋"/>
          <w:b/>
          <w:color w:val="000000"/>
          <w:sz w:val="30"/>
          <w:szCs w:val="30"/>
          <w:highlight w:val="none"/>
        </w:rPr>
      </w:pPr>
      <w:r>
        <w:rPr>
          <w:rFonts w:hint="eastAsia" w:ascii="仿宋" w:hAnsi="仿宋" w:eastAsia="仿宋"/>
          <w:b/>
          <w:color w:val="000000"/>
          <w:sz w:val="30"/>
          <w:szCs w:val="30"/>
          <w:highlight w:val="none"/>
        </w:rPr>
        <w:t>项目编号：GXZC2025-C2-002707-GXZX</w:t>
      </w:r>
    </w:p>
    <w:p w14:paraId="51234017">
      <w:pPr>
        <w:spacing w:line="480" w:lineRule="auto"/>
        <w:ind w:firstLine="1205" w:firstLineChars="400"/>
        <w:rPr>
          <w:rFonts w:hint="eastAsia" w:ascii="仿宋" w:hAnsi="仿宋" w:eastAsia="仿宋"/>
          <w:b/>
          <w:color w:val="000000"/>
          <w:sz w:val="30"/>
          <w:szCs w:val="30"/>
          <w:highlight w:val="none"/>
          <w:lang w:eastAsia="zh-CN"/>
        </w:rPr>
      </w:pPr>
      <w:r>
        <w:rPr>
          <w:rFonts w:hint="eastAsia" w:ascii="仿宋" w:hAnsi="仿宋" w:eastAsia="仿宋"/>
          <w:b/>
          <w:color w:val="000000"/>
          <w:sz w:val="30"/>
          <w:szCs w:val="30"/>
          <w:highlight w:val="none"/>
        </w:rPr>
        <w:t>采购人：</w:t>
      </w:r>
      <w:r>
        <w:rPr>
          <w:rFonts w:hint="eastAsia" w:ascii="仿宋" w:hAnsi="仿宋" w:eastAsia="仿宋"/>
          <w:b/>
          <w:color w:val="000000"/>
          <w:sz w:val="30"/>
          <w:szCs w:val="30"/>
          <w:highlight w:val="none"/>
          <w:lang w:eastAsia="zh-CN"/>
        </w:rPr>
        <w:t>广西艺术学院</w:t>
      </w:r>
    </w:p>
    <w:p w14:paraId="68DE113C">
      <w:pPr>
        <w:spacing w:line="480" w:lineRule="auto"/>
        <w:ind w:firstLine="1205" w:firstLineChars="400"/>
        <w:rPr>
          <w:rFonts w:hint="eastAsia" w:ascii="仿宋" w:hAnsi="仿宋" w:eastAsia="仿宋"/>
          <w:b/>
          <w:color w:val="000000"/>
          <w:sz w:val="30"/>
          <w:szCs w:val="30"/>
          <w:highlight w:val="none"/>
        </w:rPr>
      </w:pPr>
      <w:r>
        <w:rPr>
          <w:rFonts w:hint="eastAsia" w:ascii="仿宋" w:hAnsi="仿宋" w:eastAsia="仿宋"/>
          <w:b/>
          <w:color w:val="000000"/>
          <w:sz w:val="30"/>
          <w:szCs w:val="30"/>
          <w:highlight w:val="none"/>
        </w:rPr>
        <w:t>采购代理机构：广西中信恒泰工程顾问有限公司</w:t>
      </w:r>
    </w:p>
    <w:p w14:paraId="342A4B18">
      <w:pPr>
        <w:spacing w:line="480" w:lineRule="auto"/>
        <w:ind w:firstLine="1205" w:firstLineChars="400"/>
        <w:rPr>
          <w:rFonts w:hint="eastAsia" w:ascii="仿宋" w:hAnsi="仿宋" w:eastAsia="仿宋"/>
          <w:b/>
          <w:color w:val="000000"/>
          <w:sz w:val="30"/>
          <w:szCs w:val="30"/>
          <w:highlight w:val="none"/>
          <w:lang w:eastAsia="zh-CN"/>
        </w:rPr>
      </w:pPr>
    </w:p>
    <w:p w14:paraId="49AAC766">
      <w:pPr>
        <w:spacing w:line="480" w:lineRule="auto"/>
        <w:jc w:val="center"/>
        <w:rPr>
          <w:rFonts w:ascii="宋体" w:hAnsi="宋体" w:eastAsia="宋体"/>
          <w:b/>
          <w:color w:val="000000"/>
          <w:szCs w:val="21"/>
          <w:highlight w:val="none"/>
        </w:rPr>
      </w:pPr>
    </w:p>
    <w:p w14:paraId="026FC482">
      <w:pPr>
        <w:spacing w:line="480" w:lineRule="auto"/>
        <w:jc w:val="center"/>
        <w:rPr>
          <w:rFonts w:ascii="仿宋" w:hAnsi="仿宋" w:eastAsia="仿宋"/>
          <w:b/>
          <w:color w:val="000000"/>
          <w:sz w:val="30"/>
          <w:szCs w:val="30"/>
          <w:highlight w:val="none"/>
        </w:rPr>
      </w:pPr>
      <w:r>
        <w:rPr>
          <w:rFonts w:hint="eastAsia" w:ascii="仿宋" w:hAnsi="仿宋" w:eastAsia="仿宋"/>
          <w:b/>
          <w:color w:val="000000"/>
          <w:sz w:val="30"/>
          <w:szCs w:val="30"/>
          <w:highlight w:val="none"/>
        </w:rPr>
        <w:t>202</w:t>
      </w:r>
      <w:r>
        <w:rPr>
          <w:rFonts w:ascii="仿宋" w:hAnsi="仿宋" w:eastAsia="仿宋"/>
          <w:b/>
          <w:color w:val="000000"/>
          <w:sz w:val="30"/>
          <w:szCs w:val="30"/>
          <w:highlight w:val="none"/>
        </w:rPr>
        <w:t>5</w:t>
      </w:r>
      <w:r>
        <w:rPr>
          <w:rFonts w:hint="eastAsia" w:ascii="仿宋" w:hAnsi="仿宋" w:eastAsia="仿宋"/>
          <w:b/>
          <w:color w:val="000000"/>
          <w:sz w:val="30"/>
          <w:szCs w:val="30"/>
          <w:highlight w:val="none"/>
        </w:rPr>
        <w:t>年</w:t>
      </w:r>
      <w:r>
        <w:rPr>
          <w:rFonts w:hint="eastAsia" w:ascii="仿宋" w:hAnsi="仿宋" w:eastAsia="仿宋"/>
          <w:b/>
          <w:color w:val="000000"/>
          <w:sz w:val="30"/>
          <w:szCs w:val="30"/>
          <w:highlight w:val="none"/>
          <w:u w:val="single"/>
          <w:lang w:val="en-US" w:eastAsia="zh-CN"/>
        </w:rPr>
        <w:t>9</w:t>
      </w:r>
      <w:r>
        <w:rPr>
          <w:rFonts w:hint="eastAsia" w:ascii="仿宋" w:hAnsi="仿宋" w:eastAsia="仿宋"/>
          <w:b/>
          <w:color w:val="000000"/>
          <w:sz w:val="30"/>
          <w:szCs w:val="30"/>
          <w:highlight w:val="none"/>
        </w:rPr>
        <w:t>月</w:t>
      </w:r>
      <w:r>
        <w:rPr>
          <w:rFonts w:hint="eastAsia" w:ascii="仿宋" w:hAnsi="仿宋" w:eastAsia="仿宋"/>
          <w:b/>
          <w:color w:val="000000"/>
          <w:sz w:val="30"/>
          <w:szCs w:val="30"/>
          <w:highlight w:val="none"/>
          <w:u w:val="single"/>
          <w:lang w:val="en-US" w:eastAsia="zh-CN"/>
        </w:rPr>
        <w:t>9</w:t>
      </w:r>
      <w:r>
        <w:rPr>
          <w:rFonts w:hint="eastAsia" w:ascii="仿宋" w:hAnsi="仿宋" w:eastAsia="仿宋"/>
          <w:b/>
          <w:color w:val="000000"/>
          <w:sz w:val="30"/>
          <w:szCs w:val="30"/>
          <w:highlight w:val="none"/>
        </w:rPr>
        <w:t>日</w:t>
      </w:r>
    </w:p>
    <w:p w14:paraId="046F74F9">
      <w:pPr>
        <w:rPr>
          <w:rFonts w:hint="eastAsia"/>
        </w:rPr>
      </w:pPr>
    </w:p>
    <w:p w14:paraId="3BAADB18">
      <w:pPr>
        <w:rPr>
          <w:rFonts w:hint="eastAsia" w:ascii="宋体" w:hAnsi="宋体" w:eastAsia="宋体"/>
          <w:b/>
          <w:color w:val="000000" w:themeColor="text1"/>
          <w:sz w:val="52"/>
          <w:szCs w:val="52"/>
          <w:highlight w:val="none"/>
          <w:lang w:eastAsia="zh-CN"/>
          <w14:textFill>
            <w14:solidFill>
              <w14:schemeClr w14:val="tx1"/>
            </w14:solidFill>
          </w14:textFill>
        </w:rPr>
      </w:pPr>
      <w:r>
        <w:rPr>
          <w:rFonts w:hint="eastAsia" w:ascii="宋体" w:hAnsi="宋体" w:eastAsia="宋体"/>
          <w:b/>
          <w:color w:val="000000" w:themeColor="text1"/>
          <w:sz w:val="52"/>
          <w:szCs w:val="52"/>
          <w:highlight w:val="none"/>
          <w14:textFill>
            <w14:solidFill>
              <w14:schemeClr w14:val="tx1"/>
            </w14:solidFill>
          </w14:textFill>
        </w:rPr>
        <w:br w:type="page"/>
      </w:r>
    </w:p>
    <w:p w14:paraId="7D73568E">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4CCC8E54">
      <w:pPr>
        <w:spacing w:line="300" w:lineRule="auto"/>
        <w:jc w:val="center"/>
        <w:rPr>
          <w:rFonts w:ascii="宋体" w:hAnsi="宋体" w:eastAsia="宋体"/>
          <w:b/>
          <w:color w:val="000000" w:themeColor="text1"/>
          <w:sz w:val="44"/>
          <w:szCs w:val="44"/>
          <w:highlight w:val="none"/>
          <w14:textFill>
            <w14:solidFill>
              <w14:schemeClr w14:val="tx1"/>
            </w14:solidFill>
          </w14:textFill>
        </w:rPr>
      </w:pPr>
      <w:r>
        <w:rPr>
          <w:rFonts w:hint="eastAsia" w:ascii="宋体" w:hAnsi="宋体" w:eastAsia="宋体"/>
          <w:b/>
          <w:color w:val="000000" w:themeColor="text1"/>
          <w:sz w:val="44"/>
          <w:szCs w:val="44"/>
          <w:highlight w:val="none"/>
          <w14:textFill>
            <w14:solidFill>
              <w14:schemeClr w14:val="tx1"/>
            </w14:solidFill>
          </w14:textFill>
        </w:rPr>
        <w:t>目录</w:t>
      </w:r>
    </w:p>
    <w:p w14:paraId="5E7D1963">
      <w:pPr>
        <w:spacing w:line="360" w:lineRule="auto"/>
        <w:rPr>
          <w:rFonts w:ascii="宋体" w:hAnsi="宋体" w:eastAsia="宋体"/>
          <w:color w:val="000000" w:themeColor="text1"/>
          <w:sz w:val="24"/>
          <w:szCs w:val="24"/>
          <w:highlight w:val="none"/>
          <w14:textFill>
            <w14:solidFill>
              <w14:schemeClr w14:val="tx1"/>
            </w14:solidFill>
          </w14:textFill>
        </w:rPr>
      </w:pPr>
    </w:p>
    <w:p w14:paraId="190E1ADB">
      <w:pPr>
        <w:pStyle w:val="2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TOC \o "1-3"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竞争性磋商公告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p>
    <w:p w14:paraId="77F8F9D7">
      <w:pPr>
        <w:pStyle w:val="28"/>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第二</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p>
    <w:p w14:paraId="5F23FEDE">
      <w:pPr>
        <w:pStyle w:val="33"/>
        <w:tabs>
          <w:tab w:val="right" w:leader="dot" w:pos="935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p>
    <w:p w14:paraId="1CB27E35">
      <w:pPr>
        <w:pStyle w:val="33"/>
        <w:tabs>
          <w:tab w:val="right" w:leader="dot" w:pos="935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二、供应商须知正文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p>
    <w:p w14:paraId="77ECA363">
      <w:pPr>
        <w:pStyle w:val="20"/>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szCs w:val="28"/>
          <w:highlight w:val="none"/>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p>
    <w:p w14:paraId="2F98B1D1">
      <w:pPr>
        <w:pStyle w:val="20"/>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szCs w:val="28"/>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p>
    <w:p w14:paraId="06E6C1CC">
      <w:pPr>
        <w:pStyle w:val="20"/>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szCs w:val="28"/>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p>
    <w:p w14:paraId="07B3CF0F">
      <w:pPr>
        <w:pStyle w:val="20"/>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szCs w:val="28"/>
          <w:highlight w:val="none"/>
          <w14:textFill>
            <w14:solidFill>
              <w14:schemeClr w14:val="tx1"/>
            </w14:solidFill>
          </w14:textFill>
        </w:rPr>
        <w:t>（四）评审及磋商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p>
    <w:p w14:paraId="6E01171D">
      <w:pPr>
        <w:pStyle w:val="28"/>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第三</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p>
    <w:p w14:paraId="29FD94FD">
      <w:pPr>
        <w:pStyle w:val="28"/>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第四</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评审程序、评审方法和评审标准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p>
    <w:p w14:paraId="6C6B928D">
      <w:pPr>
        <w:pStyle w:val="33"/>
        <w:tabs>
          <w:tab w:val="right" w:leader="dot" w:pos="935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一、评审程序和评审方法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p>
    <w:p w14:paraId="2E0478B0">
      <w:pPr>
        <w:pStyle w:val="33"/>
        <w:tabs>
          <w:tab w:val="right" w:leader="dot" w:pos="935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p>
    <w:p w14:paraId="11B96873">
      <w:pPr>
        <w:pStyle w:val="28"/>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第五</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工程量清单、图纸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p>
    <w:p w14:paraId="12DC1178">
      <w:pPr>
        <w:pStyle w:val="28"/>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第六</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p>
    <w:p w14:paraId="4DC1BED0">
      <w:pPr>
        <w:pStyle w:val="33"/>
        <w:tabs>
          <w:tab w:val="right" w:leader="dot" w:pos="935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一、资格证明文件格式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p>
    <w:p w14:paraId="191DB135">
      <w:pPr>
        <w:pStyle w:val="33"/>
        <w:tabs>
          <w:tab w:val="right" w:leader="dot" w:pos="935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p>
    <w:p w14:paraId="0186B69A">
      <w:pPr>
        <w:pStyle w:val="33"/>
        <w:tabs>
          <w:tab w:val="right" w:leader="dot" w:pos="935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三、商务技术文件格式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p>
    <w:p w14:paraId="1BA96D06">
      <w:pPr>
        <w:pStyle w:val="28"/>
        <w:tabs>
          <w:tab w:val="right" w:leader="dot" w:pos="935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第七</w:t>
      </w:r>
      <w:r>
        <w:rPr>
          <w:rFonts w:hint="eastAsia" w:ascii="宋体" w:hAnsi="宋体" w:eastAsia="宋体"/>
          <w:color w:val="000000" w:themeColor="text1"/>
          <w:spacing w:val="100"/>
          <w:highlight w:val="none"/>
          <w14:textFill>
            <w14:solidFill>
              <w14:schemeClr w14:val="tx1"/>
            </w14:solidFill>
          </w14:textFill>
        </w:rPr>
        <w:t>章</w:t>
      </w:r>
      <w:r>
        <w:rPr>
          <w:rFonts w:hint="eastAsia"/>
          <w:color w:val="000000" w:themeColor="text1"/>
          <w:highlight w:val="none"/>
          <w14:textFill>
            <w14:solidFill>
              <w14:schemeClr w14:val="tx1"/>
            </w14:solidFill>
          </w14:textFill>
        </w:rPr>
        <w:t>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p>
    <w:p w14:paraId="2F41F454">
      <w:pPr>
        <w:pStyle w:val="33"/>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szCs w:val="30"/>
          <w:highlight w:val="none"/>
          <w14:textFill>
            <w14:solidFill>
              <w14:schemeClr w14:val="tx1"/>
            </w14:solidFill>
          </w14:textFill>
        </w:rPr>
        <w:t>第一部分</w:t>
      </w:r>
      <w:r>
        <w:rPr>
          <w:rFonts w:ascii="宋体" w:hAnsi="宋体" w:eastAsia="宋体"/>
          <w:color w:val="000000" w:themeColor="text1"/>
          <w:szCs w:val="30"/>
          <w:highlight w:val="none"/>
          <w14:textFill>
            <w14:solidFill>
              <w14:schemeClr w14:val="tx1"/>
            </w14:solidFill>
          </w14:textFill>
        </w:rPr>
        <w:t xml:space="preserve"> </w:t>
      </w:r>
      <w:r>
        <w:rPr>
          <w:rFonts w:hint="eastAsia" w:ascii="宋体" w:hAnsi="宋体" w:eastAsia="宋体"/>
          <w:color w:val="000000" w:themeColor="text1"/>
          <w:szCs w:val="30"/>
          <w:highlight w:val="none"/>
          <w14:textFill>
            <w14:solidFill>
              <w14:schemeClr w14:val="tx1"/>
            </w14:solidFill>
          </w14:textFill>
        </w:rPr>
        <w:t>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p>
    <w:p w14:paraId="5C053BB4">
      <w:pPr>
        <w:pStyle w:val="33"/>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szCs w:val="30"/>
          <w:highlight w:val="none"/>
          <w14:textFill>
            <w14:solidFill>
              <w14:schemeClr w14:val="tx1"/>
            </w14:solidFill>
          </w14:textFill>
        </w:rPr>
        <w:t>第二部分 通用合同条款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p>
    <w:p w14:paraId="7AF68DFC">
      <w:pPr>
        <w:pStyle w:val="33"/>
        <w:tabs>
          <w:tab w:val="right" w:leader="dot" w:pos="9354"/>
        </w:tabs>
        <w:rPr>
          <w:color w:val="000000" w:themeColor="text1"/>
          <w:highlight w:val="none"/>
          <w14:textFill>
            <w14:solidFill>
              <w14:schemeClr w14:val="tx1"/>
            </w14:solidFill>
          </w14:textFill>
        </w:rPr>
      </w:pPr>
      <w:r>
        <w:rPr>
          <w:rFonts w:hint="eastAsia" w:ascii="宋体" w:hAnsi="宋体" w:eastAsia="宋体"/>
          <w:color w:val="000000" w:themeColor="text1"/>
          <w:szCs w:val="30"/>
          <w:highlight w:val="none"/>
          <w14:textFill>
            <w14:solidFill>
              <w14:schemeClr w14:val="tx1"/>
            </w14:solidFill>
          </w14:textFill>
        </w:rPr>
        <w:t>第三部分 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p>
    <w:p w14:paraId="64006706">
      <w:pPr>
        <w:pStyle w:val="28"/>
        <w:tabs>
          <w:tab w:val="right" w:leader="dot" w:pos="935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第八</w:t>
      </w:r>
      <w:r>
        <w:rPr>
          <w:rFonts w:hint="eastAsia" w:ascii="宋体" w:hAnsi="宋体" w:eastAsia="宋体"/>
          <w:color w:val="000000" w:themeColor="text1"/>
          <w:spacing w:val="100"/>
          <w:highlight w:val="none"/>
          <w14:textFill>
            <w14:solidFill>
              <w14:schemeClr w14:val="tx1"/>
            </w14:solidFill>
          </w14:textFill>
        </w:rPr>
        <w:t>章</w:t>
      </w:r>
      <w:r>
        <w:rPr>
          <w:rFonts w:hint="eastAsia"/>
          <w:color w:val="000000" w:themeColor="text1"/>
          <w:highlight w:val="none"/>
          <w14:textFill>
            <w14:solidFill>
              <w14:schemeClr w14:val="tx1"/>
            </w14:solidFill>
          </w14:textFill>
        </w:rPr>
        <w:t>质疑、投诉材料格式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150</w:t>
      </w:r>
      <w:r>
        <w:rPr>
          <w:color w:val="000000" w:themeColor="text1"/>
          <w:highlight w:val="none"/>
          <w14:textFill>
            <w14:solidFill>
              <w14:schemeClr w14:val="tx1"/>
            </w14:solidFill>
          </w14:textFill>
        </w:rPr>
        <w:fldChar w:fldCharType="end"/>
      </w:r>
    </w:p>
    <w:p w14:paraId="168463ED">
      <w:pPr>
        <w:pStyle w:val="28"/>
        <w:tabs>
          <w:tab w:val="right" w:leader="dot" w:pos="9344"/>
        </w:tabs>
        <w:spacing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end"/>
      </w:r>
    </w:p>
    <w:p w14:paraId="6FFA310B">
      <w:pPr>
        <w:spacing w:line="360" w:lineRule="auto"/>
        <w:rPr>
          <w:rFonts w:ascii="宋体" w:hAnsi="宋体" w:eastAsia="宋体"/>
          <w:color w:val="000000" w:themeColor="text1"/>
          <w:szCs w:val="21"/>
          <w:highlight w:val="none"/>
          <w14:textFill>
            <w14:solidFill>
              <w14:schemeClr w14:val="tx1"/>
            </w14:solidFill>
          </w14:textFill>
        </w:rPr>
        <w:sectPr>
          <w:footerReference r:id="rId3" w:type="default"/>
          <w:pgSz w:w="11906" w:h="16838"/>
          <w:pgMar w:top="1440" w:right="1080" w:bottom="1440" w:left="1080" w:header="851" w:footer="992" w:gutter="0"/>
          <w:pgNumType w:start="1"/>
          <w:cols w:space="425" w:num="1"/>
          <w:docGrid w:type="lines" w:linePitch="312" w:charSpace="0"/>
        </w:sectPr>
      </w:pPr>
    </w:p>
    <w:p w14:paraId="6C386ACE">
      <w:pPr>
        <w:pStyle w:val="2"/>
        <w:jc w:val="center"/>
        <w:rPr>
          <w:rFonts w:ascii="宋体" w:hAnsi="宋体" w:eastAsia="宋体"/>
          <w:color w:val="000000" w:themeColor="text1"/>
          <w:highlight w:val="none"/>
          <w14:textFill>
            <w14:solidFill>
              <w14:schemeClr w14:val="tx1"/>
            </w14:solidFill>
          </w14:textFill>
        </w:rPr>
      </w:pPr>
      <w:bookmarkStart w:id="0" w:name="_Toc3660"/>
      <w:r>
        <w:rPr>
          <w:rFonts w:hint="eastAsia" w:ascii="宋体" w:hAnsi="宋体" w:eastAsia="宋体"/>
          <w:color w:val="000000" w:themeColor="text1"/>
          <w:highlight w:val="none"/>
          <w14:textFill>
            <w14:solidFill>
              <w14:schemeClr w14:val="tx1"/>
            </w14:solidFill>
          </w14:textFill>
        </w:rPr>
        <w:t>第一</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竞争性磋商公告</w:t>
      </w:r>
      <w:bookmarkEnd w:id="0"/>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6136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4B664BC2">
            <w:pPr>
              <w:spacing w:line="360" w:lineRule="auto"/>
              <w:ind w:firstLine="422" w:firstLineChars="20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项目概况：</w:t>
            </w:r>
          </w:p>
          <w:p w14:paraId="2E75331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广西艺术学院相思湖校区消防管道维修改造项目</w:t>
            </w:r>
            <w:r>
              <w:rPr>
                <w:rFonts w:hint="eastAsia" w:ascii="宋体" w:hAnsi="宋体"/>
                <w:color w:val="000000" w:themeColor="text1"/>
                <w:szCs w:val="21"/>
                <w:highlight w:val="none"/>
                <w14:textFill>
                  <w14:solidFill>
                    <w14:schemeClr w14:val="tx1"/>
                  </w14:solidFill>
                </w14:textFill>
              </w:rPr>
              <w:t>采购项目的潜在供应商应在广西政府采购云平台（https：//www.gcy.zfcg.gxzf.gov.cn/）获取采购文件，并于</w:t>
            </w:r>
            <w:bookmarkStart w:id="1" w:name="OLE_LINK7"/>
            <w:bookmarkStart w:id="2" w:name="OLE_LINK8"/>
            <w:r>
              <w:rPr>
                <w:rFonts w:hint="eastAsia" w:ascii="宋体" w:hAnsi="宋体"/>
                <w:color w:val="000000" w:themeColor="text1"/>
                <w:szCs w:val="21"/>
                <w:highlight w:val="none"/>
                <w14:textFill>
                  <w14:solidFill>
                    <w14:schemeClr w14:val="tx1"/>
                  </w14:solidFill>
                </w14:textFill>
              </w:rPr>
              <w:t>202</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09</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日</w:t>
            </w:r>
            <w:bookmarkEnd w:id="1"/>
            <w:bookmarkEnd w:id="2"/>
            <w:r>
              <w:rPr>
                <w:rFonts w:hint="eastAsia" w:ascii="宋体" w:hAnsi="宋体"/>
                <w:color w:val="000000" w:themeColor="text1"/>
                <w:szCs w:val="21"/>
                <w:highlight w:val="none"/>
                <w:lang w:val="en-US" w:eastAsia="zh-CN"/>
                <w14:textFill>
                  <w14:solidFill>
                    <w14:schemeClr w14:val="tx1"/>
                  </w14:solidFill>
                </w14:textFill>
              </w:rPr>
              <w:t>9</w:t>
            </w:r>
            <w:r>
              <w:rPr>
                <w:rFonts w:ascii="宋体" w:hAnsi="宋体"/>
                <w:color w:val="000000" w:themeColor="text1"/>
                <w:szCs w:val="21"/>
                <w:highlight w:val="none"/>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（北京时间）前提交响应文件。</w:t>
            </w:r>
          </w:p>
        </w:tc>
      </w:tr>
    </w:tbl>
    <w:p w14:paraId="03D8611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一、项目基本情况</w:t>
      </w:r>
    </w:p>
    <w:p w14:paraId="3B0B87FA">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GXZC2025-C2-002707-GXZX</w:t>
      </w:r>
    </w:p>
    <w:p w14:paraId="0E61C13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广西艺术学院相思湖校区消防管道维修改造项目</w:t>
      </w:r>
    </w:p>
    <w:p w14:paraId="573DB9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采购方式：竞争性磋商</w:t>
      </w:r>
    </w:p>
    <w:p w14:paraId="75F9233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预算总金额（元）：</w:t>
      </w:r>
      <w:r>
        <w:rPr>
          <w:rFonts w:hint="eastAsia" w:ascii="宋体" w:hAnsi="宋体" w:eastAsia="宋体"/>
          <w:color w:val="000000" w:themeColor="text1"/>
          <w:szCs w:val="21"/>
          <w:highlight w:val="none"/>
          <w:lang w:eastAsia="zh-CN"/>
          <w14:textFill>
            <w14:solidFill>
              <w14:schemeClr w14:val="tx1"/>
            </w14:solidFill>
          </w14:textFill>
        </w:rPr>
        <w:t>1786333.05</w:t>
      </w:r>
      <w:r>
        <w:rPr>
          <w:rFonts w:ascii="宋体" w:hAnsi="宋体" w:eastAsia="宋体"/>
          <w:color w:val="000000" w:themeColor="text1"/>
          <w:szCs w:val="21"/>
          <w:highlight w:val="none"/>
          <w14:textFill>
            <w14:solidFill>
              <w14:schemeClr w14:val="tx1"/>
            </w14:solidFill>
          </w14:textFill>
        </w:rPr>
        <w:t>元</w:t>
      </w:r>
    </w:p>
    <w:p w14:paraId="71C8FA0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最高限价（如有）：</w:t>
      </w:r>
      <w:r>
        <w:rPr>
          <w:rFonts w:hint="eastAsia" w:ascii="宋体" w:hAnsi="宋体" w:eastAsia="宋体"/>
          <w:color w:val="000000" w:themeColor="text1"/>
          <w:szCs w:val="21"/>
          <w:highlight w:val="none"/>
          <w:lang w:eastAsia="zh-CN"/>
          <w14:textFill>
            <w14:solidFill>
              <w14:schemeClr w14:val="tx1"/>
            </w14:solidFill>
          </w14:textFill>
        </w:rPr>
        <w:t>1786333.05</w:t>
      </w:r>
      <w:r>
        <w:rPr>
          <w:rFonts w:ascii="宋体" w:hAnsi="宋体" w:eastAsia="宋体"/>
          <w:color w:val="000000" w:themeColor="text1"/>
          <w:szCs w:val="21"/>
          <w:highlight w:val="none"/>
          <w14:textFill>
            <w14:solidFill>
              <w14:schemeClr w14:val="tx1"/>
            </w14:solidFill>
          </w14:textFill>
        </w:rPr>
        <w:t>元</w:t>
      </w:r>
    </w:p>
    <w:p w14:paraId="462DB5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项目建设规模及主要建设内容：</w:t>
      </w:r>
      <w:bookmarkStart w:id="3" w:name="OLE_LINK24"/>
      <w:bookmarkStart w:id="4" w:name="OLE_LINK23"/>
      <w:r>
        <w:rPr>
          <w:rFonts w:hint="eastAsia" w:ascii="宋体" w:hAnsi="宋体"/>
          <w:color w:val="000000" w:themeColor="text1"/>
          <w:szCs w:val="21"/>
          <w:highlight w:val="none"/>
          <w:lang w:eastAsia="zh-CN"/>
          <w14:textFill>
            <w14:solidFill>
              <w14:schemeClr w14:val="tx1"/>
            </w14:solidFill>
          </w14:textFill>
        </w:rPr>
        <w:t>广西艺术学院相思湖校区消防管道维修改造项目</w:t>
      </w:r>
      <w:r>
        <w:rPr>
          <w:rFonts w:hint="eastAsia" w:ascii="宋体" w:hAnsi="宋体" w:eastAsia="宋体"/>
          <w:color w:val="000000" w:themeColor="text1"/>
          <w:szCs w:val="21"/>
          <w:highlight w:val="none"/>
          <w14:textFill>
            <w14:solidFill>
              <w14:schemeClr w14:val="tx1"/>
            </w14:solidFill>
          </w14:textFill>
        </w:rPr>
        <w:t>施工内容：</w:t>
      </w:r>
      <w:r>
        <w:rPr>
          <w:rFonts w:hint="eastAsia" w:ascii="宋体" w:hAnsi="宋体" w:eastAsia="宋体"/>
          <w:color w:val="000000" w:themeColor="text1"/>
          <w:szCs w:val="21"/>
          <w:highlight w:val="none"/>
          <w:lang w:val="en-US" w:eastAsia="zh-CN"/>
          <w14:textFill>
            <w14:solidFill>
              <w14:schemeClr w14:val="tx1"/>
            </w14:solidFill>
          </w14:textFill>
        </w:rPr>
        <w:t>拆除工程、明装敷设工程、系统测试与调试、防腐与标识</w:t>
      </w:r>
      <w:r>
        <w:rPr>
          <w:rFonts w:hint="eastAsia" w:ascii="宋体" w:hAnsi="宋体" w:eastAsia="宋体"/>
          <w:color w:val="000000" w:themeColor="text1"/>
          <w:szCs w:val="21"/>
          <w:highlight w:val="none"/>
          <w14:textFill>
            <w14:solidFill>
              <w14:schemeClr w14:val="tx1"/>
            </w14:solidFill>
          </w14:textFill>
        </w:rPr>
        <w:t>等施工图纸</w:t>
      </w:r>
      <w:r>
        <w:rPr>
          <w:rFonts w:hint="eastAsia" w:ascii="宋体" w:hAnsi="宋体" w:eastAsia="宋体"/>
          <w:color w:val="000000" w:themeColor="text1"/>
          <w:szCs w:val="21"/>
          <w:highlight w:val="none"/>
          <w:lang w:val="en-US" w:eastAsia="zh-CN"/>
          <w14:textFill>
            <w14:solidFill>
              <w14:schemeClr w14:val="tx1"/>
            </w14:solidFill>
          </w14:textFill>
        </w:rPr>
        <w:t>及工程量清单</w:t>
      </w:r>
      <w:r>
        <w:rPr>
          <w:rFonts w:hint="eastAsia" w:ascii="宋体" w:hAnsi="宋体" w:eastAsia="宋体"/>
          <w:color w:val="000000" w:themeColor="text1"/>
          <w:szCs w:val="21"/>
          <w:highlight w:val="none"/>
          <w14:textFill>
            <w14:solidFill>
              <w14:schemeClr w14:val="tx1"/>
            </w14:solidFill>
          </w14:textFill>
        </w:rPr>
        <w:t>所包含内容。</w:t>
      </w:r>
      <w:bookmarkEnd w:id="3"/>
      <w:bookmarkEnd w:id="4"/>
      <w:r>
        <w:rPr>
          <w:rFonts w:hint="eastAsia" w:ascii="宋体" w:hAnsi="宋体" w:eastAsia="宋体"/>
          <w:color w:val="000000" w:themeColor="text1"/>
          <w:szCs w:val="21"/>
          <w:highlight w:val="none"/>
          <w14:textFill>
            <w14:solidFill>
              <w14:schemeClr w14:val="tx1"/>
            </w14:solidFill>
          </w14:textFill>
        </w:rPr>
        <w:t>具体详见采购文件“第三章采购需求”</w:t>
      </w:r>
      <w:r>
        <w:rPr>
          <w:rFonts w:hint="eastAsia" w:ascii="宋体" w:hAnsi="宋体" w:eastAsia="宋体"/>
          <w:color w:val="000000" w:themeColor="text1"/>
          <w:szCs w:val="21"/>
          <w:highlight w:val="none"/>
          <w:lang w:val="en-US" w:eastAsia="zh-CN"/>
          <w14:textFill>
            <w14:solidFill>
              <w14:schemeClr w14:val="tx1"/>
            </w14:solidFill>
          </w14:textFill>
        </w:rPr>
        <w:t>的</w:t>
      </w:r>
      <w:r>
        <w:rPr>
          <w:rFonts w:hint="eastAsia" w:ascii="宋体" w:hAnsi="宋体" w:eastAsia="宋体"/>
          <w:color w:val="000000" w:themeColor="text1"/>
          <w:szCs w:val="21"/>
          <w:highlight w:val="none"/>
          <w14:textFill>
            <w14:solidFill>
              <w14:schemeClr w14:val="tx1"/>
            </w14:solidFill>
          </w14:textFill>
        </w:rPr>
        <w:t>要求。</w:t>
      </w:r>
    </w:p>
    <w:p w14:paraId="6292A4B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合同履约期限：施工工期：</w:t>
      </w:r>
      <w:r>
        <w:rPr>
          <w:rFonts w:hint="eastAsia" w:ascii="宋体" w:hAnsi="宋体" w:eastAsia="宋体"/>
          <w:color w:val="000000" w:themeColor="text1"/>
          <w:szCs w:val="21"/>
          <w:highlight w:val="none"/>
          <w:lang w:eastAsia="zh-CN"/>
          <w14:textFill>
            <w14:solidFill>
              <w14:schemeClr w14:val="tx1"/>
            </w14:solidFill>
          </w14:textFill>
        </w:rPr>
        <w:t>60日历天</w:t>
      </w:r>
      <w:r>
        <w:rPr>
          <w:rFonts w:hint="eastAsia" w:ascii="宋体" w:hAnsi="宋体" w:eastAsia="宋体"/>
          <w:color w:val="000000" w:themeColor="text1"/>
          <w:szCs w:val="21"/>
          <w:highlight w:val="none"/>
          <w14:textFill>
            <w14:solidFill>
              <w14:schemeClr w14:val="tx1"/>
            </w14:solidFill>
          </w14:textFill>
        </w:rPr>
        <w:t>。</w:t>
      </w:r>
    </w:p>
    <w:p w14:paraId="2EC6FA9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本标项（否）接受联合体投标。</w:t>
      </w:r>
    </w:p>
    <w:p w14:paraId="22877BF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二、申请人的资格要求</w:t>
      </w:r>
    </w:p>
    <w:p w14:paraId="42AAC2A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1.满足《中华人民共和国政府采购法》第二十二条规定；</w:t>
      </w:r>
    </w:p>
    <w:p w14:paraId="2BF9CB3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2.落实政府采购政策需满足的资格要求：</w:t>
      </w:r>
      <w:r>
        <w:rPr>
          <w:rFonts w:hint="eastAsia"/>
          <w:color w:val="000000" w:themeColor="text1"/>
          <w:highlight w:val="none"/>
          <w:lang w:eastAsia="zh-CN"/>
          <w14:textFill>
            <w14:solidFill>
              <w14:schemeClr w14:val="tx1"/>
            </w14:solidFill>
          </w14:textFill>
        </w:rPr>
        <w:t>无</w:t>
      </w:r>
      <w:r>
        <w:rPr>
          <w:rFonts w:hint="eastAsia" w:ascii="宋体" w:hAnsi="宋体" w:eastAsia="宋体"/>
          <w:color w:val="000000" w:themeColor="text1"/>
          <w:szCs w:val="21"/>
          <w:highlight w:val="none"/>
          <w14:textFill>
            <w14:solidFill>
              <w14:schemeClr w14:val="tx1"/>
            </w14:solidFill>
          </w14:textFill>
        </w:rPr>
        <w:t>。</w:t>
      </w:r>
    </w:p>
    <w:p w14:paraId="28F6F62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3.本项目的特定资格要求：</w:t>
      </w:r>
    </w:p>
    <w:p w14:paraId="3BDCC6F8">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（1）供应商具有有效的</w:t>
      </w:r>
      <w:r>
        <w:rPr>
          <w:rFonts w:hint="eastAsia" w:ascii="宋体" w:hAnsi="宋体" w:cs="Arial"/>
          <w:color w:val="000000" w:themeColor="text1"/>
          <w:szCs w:val="21"/>
          <w:highlight w:val="none"/>
          <w14:textFill>
            <w14:solidFill>
              <w14:schemeClr w14:val="tx1"/>
            </w14:solidFill>
          </w14:textFill>
        </w:rPr>
        <w:t>消防设施工程专业承包二级或以上资质</w:t>
      </w:r>
      <w:r>
        <w:rPr>
          <w:rFonts w:hint="eastAsia" w:ascii="宋体" w:hAnsi="宋体" w:eastAsia="宋体"/>
          <w:color w:val="000000" w:themeColor="text1"/>
          <w:szCs w:val="21"/>
          <w:highlight w:val="none"/>
          <w14:textFill>
            <w14:solidFill>
              <w14:schemeClr w14:val="tx1"/>
            </w14:solidFill>
          </w14:textFill>
        </w:rPr>
        <w:t>，同时具备有效的省级及以上建设行政主管部门颁发的安全生产许可证，并在人员、设备、资金等方面具备相应的施工能力。</w:t>
      </w:r>
    </w:p>
    <w:p w14:paraId="3C8D0965">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（2）拟投入本项目的项目经理须具备</w:t>
      </w:r>
      <w:r>
        <w:rPr>
          <w:rFonts w:hint="eastAsia" w:ascii="宋体" w:hAnsi="宋体" w:cs="Arial"/>
          <w:color w:val="000000" w:themeColor="text1"/>
          <w:szCs w:val="21"/>
          <w:highlight w:val="none"/>
          <w14:textFill>
            <w14:solidFill>
              <w14:schemeClr w14:val="tx1"/>
            </w14:solidFill>
          </w14:textFill>
        </w:rPr>
        <w:t>机电工程专业二级</w:t>
      </w:r>
      <w:r>
        <w:rPr>
          <w:rFonts w:hint="eastAsia" w:ascii="宋体" w:hAnsi="宋体" w:eastAsia="宋体"/>
          <w:color w:val="000000" w:themeColor="text1"/>
          <w:szCs w:val="21"/>
          <w:highlight w:val="none"/>
          <w14:textFill>
            <w14:solidFill>
              <w14:schemeClr w14:val="tx1"/>
            </w14:solidFill>
          </w14:textFill>
        </w:rPr>
        <w:t>（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19614414">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（3）拟投入本项目的专职安全生产管理人员须具备有效的安全生产考核合格证书（C类）。</w:t>
      </w:r>
    </w:p>
    <w:p w14:paraId="3931823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三、获取采购文件</w:t>
      </w:r>
    </w:p>
    <w:p w14:paraId="3B5E579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时间：202</w:t>
      </w:r>
      <w:r>
        <w:rPr>
          <w:rFonts w:ascii="宋体" w:hAnsi="宋体" w:eastAsia="宋体"/>
          <w:color w:val="000000" w:themeColor="text1"/>
          <w:szCs w:val="21"/>
          <w:highlight w:val="none"/>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09</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09</w:t>
      </w:r>
      <w:r>
        <w:rPr>
          <w:rFonts w:hint="eastAsia" w:ascii="宋体" w:hAnsi="宋体" w:eastAsia="宋体"/>
          <w:color w:val="000000" w:themeColor="text1"/>
          <w:szCs w:val="21"/>
          <w:highlight w:val="none"/>
          <w14:textFill>
            <w14:solidFill>
              <w14:schemeClr w14:val="tx1"/>
            </w14:solidFill>
          </w14:textFill>
        </w:rPr>
        <w:t>日至202</w:t>
      </w:r>
      <w:r>
        <w:rPr>
          <w:rFonts w:ascii="宋体" w:hAnsi="宋体" w:eastAsia="宋体"/>
          <w:color w:val="000000" w:themeColor="text1"/>
          <w:szCs w:val="21"/>
          <w:highlight w:val="none"/>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09</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16</w:t>
      </w:r>
      <w:r>
        <w:rPr>
          <w:rFonts w:hint="eastAsia" w:ascii="宋体" w:hAnsi="宋体" w:eastAsia="宋体"/>
          <w:color w:val="000000" w:themeColor="text1"/>
          <w:szCs w:val="21"/>
          <w:highlight w:val="none"/>
          <w14:textFill>
            <w14:solidFill>
              <w14:schemeClr w14:val="tx1"/>
            </w14:solidFill>
          </w14:textFill>
        </w:rPr>
        <w:t>日，每天上午00：00至11：59，下午12：00至23：59（北京时间，法定节假日除外）</w:t>
      </w:r>
    </w:p>
    <w:p w14:paraId="2D544A1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地点（网址）：广西政府采购云平台（https：//www.gcy.zfcg.gxzf.gov.cn/）</w:t>
      </w:r>
    </w:p>
    <w:p w14:paraId="15AB8B0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方式：网上下载。本项目不提供纸质文件，潜在供应商可自行在广西政府采购云平台（https：//www.gcy.zfcg.gxzf.gov.cn/）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14:paraId="7101859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售价（元）：0</w:t>
      </w:r>
    </w:p>
    <w:p w14:paraId="626F3AA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四、响应文件提交</w:t>
      </w:r>
    </w:p>
    <w:p w14:paraId="602A5DC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截止时间：202</w:t>
      </w:r>
      <w:r>
        <w:rPr>
          <w:rFonts w:ascii="宋体" w:hAnsi="宋体" w:eastAsia="宋体"/>
          <w:color w:val="000000" w:themeColor="text1"/>
          <w:szCs w:val="21"/>
          <w:highlight w:val="none"/>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09</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22</w:t>
      </w:r>
      <w:r>
        <w:rPr>
          <w:rFonts w:hint="eastAsia" w:ascii="宋体" w:hAnsi="宋体" w:eastAsia="宋体"/>
          <w:color w:val="000000" w:themeColor="text1"/>
          <w:szCs w:val="21"/>
          <w:highlight w:val="none"/>
          <w14:textFill>
            <w14:solidFill>
              <w14:schemeClr w14:val="tx1"/>
            </w14:solidFill>
          </w14:textFill>
        </w:rPr>
        <w:t>日</w:t>
      </w:r>
      <w:r>
        <w:rPr>
          <w:rFonts w:hint="eastAsia" w:ascii="宋体" w:hAnsi="宋体" w:eastAsia="宋体"/>
          <w:color w:val="000000" w:themeColor="text1"/>
          <w:szCs w:val="21"/>
          <w:highlight w:val="none"/>
          <w:lang w:val="en-US" w:eastAsia="zh-CN"/>
          <w14:textFill>
            <w14:solidFill>
              <w14:schemeClr w14:val="tx1"/>
            </w14:solidFill>
          </w14:textFill>
        </w:rPr>
        <w:t>9</w:t>
      </w:r>
      <w:r>
        <w:rPr>
          <w:rFonts w:hint="eastAsia" w:ascii="宋体" w:hAnsi="宋体" w:eastAsia="宋体"/>
          <w:color w:val="000000" w:themeColor="text1"/>
          <w:szCs w:val="21"/>
          <w:highlight w:val="none"/>
          <w14:textFill>
            <w14:solidFill>
              <w14:schemeClr w14:val="tx1"/>
            </w14:solidFill>
          </w14:textFill>
        </w:rPr>
        <w:t>：</w:t>
      </w:r>
      <w:r>
        <w:rPr>
          <w:rFonts w:ascii="宋体" w:hAnsi="宋体" w:eastAsia="宋体"/>
          <w:color w:val="000000" w:themeColor="text1"/>
          <w:szCs w:val="21"/>
          <w:highlight w:val="none"/>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0（北京时间）</w:t>
      </w:r>
    </w:p>
    <w:p w14:paraId="545D7DB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地点（网址）：广西政府采购云平台（https：//www.gcy.zfcg.gxzf.gov.cn/）</w:t>
      </w:r>
    </w:p>
    <w:p w14:paraId="21AC426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五、开启</w:t>
      </w:r>
    </w:p>
    <w:p w14:paraId="687B2A8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开启时间：202</w:t>
      </w:r>
      <w:r>
        <w:rPr>
          <w:rFonts w:ascii="宋体" w:hAnsi="宋体" w:eastAsia="宋体"/>
          <w:color w:val="000000" w:themeColor="text1"/>
          <w:szCs w:val="21"/>
          <w:highlight w:val="none"/>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09</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22</w:t>
      </w:r>
      <w:r>
        <w:rPr>
          <w:rFonts w:hint="eastAsia" w:ascii="宋体" w:hAnsi="宋体" w:eastAsia="宋体"/>
          <w:color w:val="000000" w:themeColor="text1"/>
          <w:szCs w:val="21"/>
          <w:highlight w:val="none"/>
          <w14:textFill>
            <w14:solidFill>
              <w14:schemeClr w14:val="tx1"/>
            </w14:solidFill>
          </w14:textFill>
        </w:rPr>
        <w:t>日</w:t>
      </w:r>
      <w:r>
        <w:rPr>
          <w:rFonts w:hint="eastAsia" w:ascii="宋体" w:hAnsi="宋体" w:eastAsia="宋体"/>
          <w:color w:val="000000" w:themeColor="text1"/>
          <w:szCs w:val="21"/>
          <w:highlight w:val="none"/>
          <w:lang w:val="en-US" w:eastAsia="zh-CN"/>
          <w14:textFill>
            <w14:solidFill>
              <w14:schemeClr w14:val="tx1"/>
            </w14:solidFill>
          </w14:textFill>
        </w:rPr>
        <w:t>9</w:t>
      </w:r>
      <w:r>
        <w:rPr>
          <w:rFonts w:hint="eastAsia" w:ascii="宋体" w:hAnsi="宋体" w:eastAsia="宋体"/>
          <w:color w:val="000000" w:themeColor="text1"/>
          <w:szCs w:val="21"/>
          <w:highlight w:val="none"/>
          <w14:textFill>
            <w14:solidFill>
              <w14:schemeClr w14:val="tx1"/>
            </w14:solidFill>
          </w14:textFill>
        </w:rPr>
        <w:t>：</w:t>
      </w:r>
      <w:r>
        <w:rPr>
          <w:rFonts w:ascii="宋体" w:hAnsi="宋体" w:eastAsia="宋体"/>
          <w:color w:val="000000" w:themeColor="text1"/>
          <w:szCs w:val="21"/>
          <w:highlight w:val="none"/>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0（北京时间）</w:t>
      </w:r>
    </w:p>
    <w:p w14:paraId="581A513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地点（网址）：广西政府采购云平台（https：//www.gcy.zfcg.gxzf.gov.cn/）</w:t>
      </w:r>
    </w:p>
    <w:p w14:paraId="04AB316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六、公告期限</w:t>
      </w:r>
    </w:p>
    <w:p w14:paraId="369234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自本公告发布之日起</w:t>
      </w:r>
      <w:r>
        <w:rPr>
          <w:rFonts w:ascii="宋体" w:hAnsi="宋体" w:eastAsia="宋体"/>
          <w:color w:val="000000" w:themeColor="text1"/>
          <w:szCs w:val="21"/>
          <w:highlight w:val="none"/>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个工作日。</w:t>
      </w:r>
    </w:p>
    <w:p w14:paraId="21E679F5">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七、其他补充事宜</w:t>
      </w:r>
    </w:p>
    <w:p w14:paraId="21E166A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网上查询地址：中国政府采购网（www.ccgp.gov.cn）、广西政府采购网（http：//zfcg.gxzf.gov.cn）。</w:t>
      </w:r>
    </w:p>
    <w:p w14:paraId="5F2CB6F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2.磋商保证金：人民币</w:t>
      </w:r>
      <w:r>
        <w:rPr>
          <w:rFonts w:hint="eastAsia" w:ascii="宋体" w:hAnsi="宋体" w:eastAsia="宋体"/>
          <w:color w:val="000000" w:themeColor="text1"/>
          <w:szCs w:val="21"/>
          <w:highlight w:val="none"/>
          <w:lang w:val="en-US" w:eastAsia="zh-CN"/>
          <w14:textFill>
            <w14:solidFill>
              <w14:schemeClr w14:val="tx1"/>
            </w14:solidFill>
          </w14:textFill>
        </w:rPr>
        <w:t>壹万柒仟元整</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17000.00</w:t>
      </w:r>
      <w:r>
        <w:rPr>
          <w:rFonts w:hint="eastAsia" w:ascii="宋体" w:hAnsi="宋体" w:eastAsia="宋体"/>
          <w:color w:val="000000" w:themeColor="text1"/>
          <w:szCs w:val="21"/>
          <w:highlight w:val="none"/>
          <w14:textFill>
            <w14:solidFill>
              <w14:schemeClr w14:val="tx1"/>
            </w14:solidFill>
          </w14:textFill>
        </w:rPr>
        <w:t>元）。</w:t>
      </w:r>
    </w:p>
    <w:p w14:paraId="517308F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3.本项目需要落实的政府采购政策：</w:t>
      </w:r>
    </w:p>
    <w:p w14:paraId="452B447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（1）政府采购促进中小企业发展；</w:t>
      </w:r>
    </w:p>
    <w:p w14:paraId="27EE828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（2）政府采购支持采用本国产品的政策；</w:t>
      </w:r>
    </w:p>
    <w:p w14:paraId="0412C4E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r>
        <w:rPr>
          <w:rFonts w:ascii="宋体" w:hAnsi="宋体" w:eastAsia="宋体"/>
          <w:color w:val="000000" w:themeColor="text1"/>
          <w:szCs w:val="21"/>
          <w:highlight w:val="none"/>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）强制采购节能产品；优先采购节能产品、环境标志产品；</w:t>
      </w:r>
    </w:p>
    <w:p w14:paraId="5F185A1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r>
        <w:rPr>
          <w:rFonts w:ascii="宋体" w:hAnsi="宋体" w:eastAsia="宋体"/>
          <w:color w:val="000000" w:themeColor="text1"/>
          <w:szCs w:val="21"/>
          <w:highlight w:val="none"/>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）政府采购促进残疾人就业政策；</w:t>
      </w:r>
    </w:p>
    <w:p w14:paraId="4444D01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r>
        <w:rPr>
          <w:rFonts w:ascii="宋体" w:hAnsi="宋体" w:eastAsia="宋体"/>
          <w:color w:val="000000" w:themeColor="text1"/>
          <w:szCs w:val="21"/>
          <w:highlight w:val="none"/>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）政府采购支持监狱企业发展。</w:t>
      </w:r>
    </w:p>
    <w:p w14:paraId="15D0A96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0FE95E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1C88F9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6</w:t>
      </w:r>
      <w:r>
        <w:rPr>
          <w:rFonts w:hint="eastAsia" w:ascii="宋体" w:hAnsi="宋体" w:eastAsia="宋体"/>
          <w:color w:val="000000" w:themeColor="text1"/>
          <w:szCs w:val="21"/>
          <w:highlight w:val="none"/>
          <w14:textFill>
            <w14:solidFill>
              <w14:schemeClr w14:val="tx1"/>
            </w14:solidFill>
          </w14:textFill>
        </w:rPr>
        <w:t>.供应商竞标注意事项</w:t>
      </w:r>
    </w:p>
    <w:p w14:paraId="463945D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本项目为全流程电子化采购项目，通过广西政府采购云平台（https：//www.gcy.zfcg.gxzf.gov.cn/）实行在线电子竞争性磋商，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1E38E7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（2）未进行网上注册并办理数字证书（CA认证）的供应商将无法参与本项目政府采购活动，潜在供应商应当在首次响应文件提交截止时间前，完成电子交易平台上的CA数字证书办理及响应文件的提交。</w:t>
      </w:r>
    </w:p>
    <w:p w14:paraId="0819D60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CA证书在线解密：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62340D7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注：1）为确保网上操作合法、有效和安全，请供应商确保在电子竞争性磋商过程中能够对相关数据电文进行加密和使用电子签章，妥善保管CA数字证书并使用有效的CA数字证书参与整个采购活动。</w:t>
      </w:r>
    </w:p>
    <w:p w14:paraId="01F5D9BD">
      <w:pPr>
        <w:spacing w:line="360" w:lineRule="auto"/>
        <w:ind w:firstLine="840" w:firstLineChars="4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FAEE80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0408092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7</w:t>
      </w:r>
      <w:r>
        <w:rPr>
          <w:rFonts w:hint="eastAsia" w:ascii="宋体" w:hAnsi="宋体" w:eastAsia="宋体"/>
          <w:color w:val="000000" w:themeColor="text1"/>
          <w:szCs w:val="21"/>
          <w:highlight w:val="none"/>
          <w14:textFill>
            <w14:solidFill>
              <w14:schemeClr w14:val="tx1"/>
            </w14:solidFill>
          </w14:textFill>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01853CC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8</w:t>
      </w:r>
      <w:r>
        <w:rPr>
          <w:rFonts w:hint="eastAsia" w:ascii="宋体" w:hAnsi="宋体" w:eastAsia="宋体"/>
          <w:color w:val="000000" w:themeColor="text1"/>
          <w:szCs w:val="21"/>
          <w:highlight w:val="none"/>
          <w14:textFill>
            <w14:solidFill>
              <w14:schemeClr w14:val="tx1"/>
            </w14:solidFill>
          </w14:textFill>
        </w:rPr>
        <w:t>.采购意向公开链接：https://zfcg.gxzf.gov.cn/luban/detail?parentId=66601&amp;articleId=ann_MEEAP3MC+1A9qhIQSprCHdD5ndTMr3NGt5TILBJnhQo=&amp;utm=app-announcement-front.5cc075f2.0.0.d60a5020637c11f0aa41f3eb7ba3d8f2</w:t>
      </w:r>
    </w:p>
    <w:p w14:paraId="4353AE8D">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八、凡对本次采购提出询问，请按以下方式联系</w:t>
      </w:r>
    </w:p>
    <w:p w14:paraId="7C5C367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1.采购人信息</w:t>
      </w:r>
    </w:p>
    <w:p w14:paraId="78A1FB2B">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名称：</w:t>
      </w:r>
      <w:r>
        <w:rPr>
          <w:rFonts w:hint="eastAsia" w:ascii="宋体" w:hAnsi="宋体" w:eastAsia="宋体"/>
          <w:color w:val="000000" w:themeColor="text1"/>
          <w:szCs w:val="21"/>
          <w:highlight w:val="none"/>
          <w:lang w:eastAsia="zh-CN"/>
          <w14:textFill>
            <w14:solidFill>
              <w14:schemeClr w14:val="tx1"/>
            </w14:solidFill>
          </w14:textFill>
        </w:rPr>
        <w:t>广西艺术学院</w:t>
      </w:r>
    </w:p>
    <w:p w14:paraId="56CDDDD8">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hint="eastAsia" w:ascii="宋体" w:hAnsi="宋体" w:eastAsia="宋体"/>
          <w:color w:val="000000" w:themeColor="text1"/>
          <w:szCs w:val="21"/>
          <w:highlight w:val="none"/>
          <w:lang w:val="en-US" w:eastAsia="zh-CN"/>
          <w14:textFill>
            <w14:solidFill>
              <w14:schemeClr w14:val="tx1"/>
            </w14:solidFill>
          </w14:textFill>
        </w:rPr>
        <w:t>南宁市青秀区教育路7号</w:t>
      </w:r>
    </w:p>
    <w:p w14:paraId="4558CD98">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项目联系人：</w:t>
      </w:r>
      <w:r>
        <w:rPr>
          <w:rFonts w:hint="eastAsia" w:ascii="宋体" w:hAnsi="宋体" w:eastAsia="宋体"/>
          <w:color w:val="000000" w:themeColor="text1"/>
          <w:szCs w:val="21"/>
          <w:highlight w:val="none"/>
          <w:lang w:eastAsia="zh-CN"/>
          <w14:textFill>
            <w14:solidFill>
              <w14:schemeClr w14:val="tx1"/>
            </w14:solidFill>
          </w14:textFill>
        </w:rPr>
        <w:t>高静、杨朝标、朱桂英、李建波</w:t>
      </w:r>
    </w:p>
    <w:p w14:paraId="0643A26A">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项目联系方式：</w:t>
      </w:r>
      <w:r>
        <w:rPr>
          <w:rFonts w:hint="eastAsia" w:ascii="宋体" w:hAnsi="宋体" w:eastAsia="宋体"/>
          <w:color w:val="000000" w:themeColor="text1"/>
          <w:szCs w:val="21"/>
          <w:highlight w:val="none"/>
          <w:lang w:val="en-US" w:eastAsia="zh-CN"/>
          <w14:textFill>
            <w14:solidFill>
              <w14:schemeClr w14:val="tx1"/>
            </w14:solidFill>
          </w14:textFill>
        </w:rPr>
        <w:t>0771-5327987</w:t>
      </w:r>
    </w:p>
    <w:p w14:paraId="6D41DC3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2.采购代理机构信息</w:t>
      </w:r>
    </w:p>
    <w:p w14:paraId="12AB46C3">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名称：</w:t>
      </w:r>
      <w:r>
        <w:rPr>
          <w:rFonts w:hint="eastAsia" w:ascii="宋体" w:hAnsi="宋体" w:eastAsia="宋体"/>
          <w:color w:val="000000" w:themeColor="text1"/>
          <w:szCs w:val="21"/>
          <w:highlight w:val="none"/>
          <w:lang w:val="en-US" w:eastAsia="zh-CN"/>
          <w14:textFill>
            <w14:solidFill>
              <w14:schemeClr w14:val="tx1"/>
            </w14:solidFill>
          </w14:textFill>
        </w:rPr>
        <w:t>广西中信恒泰工程顾问有限公司</w:t>
      </w:r>
    </w:p>
    <w:p w14:paraId="5423FC18">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hint="eastAsia" w:ascii="宋体" w:hAnsi="宋体" w:eastAsia="宋体"/>
          <w:color w:val="000000" w:themeColor="text1"/>
          <w:szCs w:val="21"/>
          <w:highlight w:val="none"/>
          <w:lang w:val="en-US" w:eastAsia="zh-CN"/>
          <w14:textFill>
            <w14:solidFill>
              <w14:schemeClr w14:val="tx1"/>
            </w14:solidFill>
          </w14:textFill>
        </w:rPr>
        <w:t>广西南宁市青秀区云景路69号南宁轨道大厦B楼8层</w:t>
      </w:r>
    </w:p>
    <w:p w14:paraId="0B4F3B64">
      <w:pPr>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项目联系人：</w:t>
      </w:r>
      <w:r>
        <w:rPr>
          <w:rFonts w:hint="eastAsia" w:ascii="宋体" w:hAnsi="宋体"/>
          <w:color w:val="000000" w:themeColor="text1"/>
          <w:szCs w:val="21"/>
          <w:highlight w:val="none"/>
          <w:lang w:val="en-US" w:eastAsia="zh-CN"/>
          <w14:textFill>
            <w14:solidFill>
              <w14:schemeClr w14:val="tx1"/>
            </w14:solidFill>
          </w14:textFill>
        </w:rPr>
        <w:t>黄婷</w:t>
      </w:r>
    </w:p>
    <w:p w14:paraId="69F71FCB">
      <w:pPr>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项目联系方式：</w:t>
      </w:r>
      <w:r>
        <w:rPr>
          <w:rFonts w:hint="eastAsia" w:ascii="宋体" w:hAnsi="宋体" w:eastAsia="宋体"/>
          <w:color w:val="000000" w:themeColor="text1"/>
          <w:szCs w:val="21"/>
          <w:highlight w:val="none"/>
          <w:lang w:val="en-US" w:eastAsia="zh-CN"/>
          <w14:textFill>
            <w14:solidFill>
              <w14:schemeClr w14:val="tx1"/>
            </w14:solidFill>
          </w14:textFill>
        </w:rPr>
        <w:t>0771-5771602</w:t>
      </w:r>
    </w:p>
    <w:p w14:paraId="12FA26EC">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p>
    <w:p w14:paraId="73212BB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D55993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1ACC36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2B3CBAD">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footerReference r:id="rId4" w:type="default"/>
          <w:pgSz w:w="11906" w:h="16838"/>
          <w:pgMar w:top="1440" w:right="1080" w:bottom="1440" w:left="1080" w:header="851" w:footer="992" w:gutter="0"/>
          <w:pgNumType w:start="1"/>
          <w:cols w:space="425" w:num="1"/>
          <w:docGrid w:type="lines" w:linePitch="312" w:charSpace="0"/>
        </w:sectPr>
      </w:pPr>
    </w:p>
    <w:p w14:paraId="5A96FCB2">
      <w:pPr>
        <w:pStyle w:val="2"/>
        <w:jc w:val="center"/>
        <w:rPr>
          <w:rFonts w:ascii="宋体" w:hAnsi="宋体" w:eastAsia="宋体"/>
          <w:color w:val="000000" w:themeColor="text1"/>
          <w:highlight w:val="none"/>
          <w14:textFill>
            <w14:solidFill>
              <w14:schemeClr w14:val="tx1"/>
            </w14:solidFill>
          </w14:textFill>
        </w:rPr>
      </w:pPr>
      <w:bookmarkStart w:id="5" w:name="_Toc25050"/>
      <w:r>
        <w:rPr>
          <w:rFonts w:hint="eastAsia" w:ascii="宋体" w:hAnsi="宋体" w:eastAsia="宋体"/>
          <w:color w:val="000000" w:themeColor="text1"/>
          <w:highlight w:val="none"/>
          <w14:textFill>
            <w14:solidFill>
              <w14:schemeClr w14:val="tx1"/>
            </w14:solidFill>
          </w14:textFill>
        </w:rPr>
        <w:t>第二</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供应商须知</w:t>
      </w:r>
      <w:bookmarkEnd w:id="5"/>
    </w:p>
    <w:p w14:paraId="6D69242F">
      <w:pPr>
        <w:pStyle w:val="3"/>
        <w:jc w:val="center"/>
        <w:rPr>
          <w:color w:val="000000" w:themeColor="text1"/>
          <w:highlight w:val="none"/>
          <w14:textFill>
            <w14:solidFill>
              <w14:schemeClr w14:val="tx1"/>
            </w14:solidFill>
          </w14:textFill>
        </w:rPr>
      </w:pPr>
      <w:bookmarkStart w:id="6" w:name="_Toc22731"/>
      <w:bookmarkStart w:id="7" w:name="_Toc19840"/>
      <w:r>
        <w:rPr>
          <w:rFonts w:hint="eastAsia"/>
          <w:color w:val="000000" w:themeColor="text1"/>
          <w:highlight w:val="none"/>
          <w14:textFill>
            <w14:solidFill>
              <w14:schemeClr w14:val="tx1"/>
            </w14:solidFill>
          </w14:textFill>
        </w:rPr>
        <w:t>一、供应商须知前附表</w:t>
      </w:r>
      <w:bookmarkEnd w:id="6"/>
      <w:bookmarkEnd w:id="7"/>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356"/>
      </w:tblGrid>
      <w:tr w14:paraId="6662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59E1203">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8356" w:type="dxa"/>
            <w:vAlign w:val="center"/>
          </w:tcPr>
          <w:p w14:paraId="4C25EF81">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内容</w:t>
            </w:r>
          </w:p>
        </w:tc>
      </w:tr>
      <w:tr w14:paraId="4C09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B048FB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8356" w:type="dxa"/>
            <w:vAlign w:val="center"/>
          </w:tcPr>
          <w:p w14:paraId="590B8AA5">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1.供应商的资格条件：详见竞争性磋商公告。</w:t>
            </w:r>
          </w:p>
          <w:p w14:paraId="2AD2CA3D">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2.供应商出现下列情形之一的，不得参加政府采购活动：</w:t>
            </w:r>
          </w:p>
          <w:p w14:paraId="73A54805">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288900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BBD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7774C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w:t>
            </w:r>
          </w:p>
        </w:tc>
        <w:tc>
          <w:tcPr>
            <w:tcW w:w="8356" w:type="dxa"/>
            <w:vAlign w:val="center"/>
          </w:tcPr>
          <w:p w14:paraId="26BAEA5B">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是否接受联合体竞标：否。</w:t>
            </w:r>
          </w:p>
        </w:tc>
      </w:tr>
      <w:tr w14:paraId="404C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AC6684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w:t>
            </w:r>
          </w:p>
        </w:tc>
        <w:tc>
          <w:tcPr>
            <w:tcW w:w="8356" w:type="dxa"/>
            <w:vAlign w:val="center"/>
          </w:tcPr>
          <w:p w14:paraId="089A93C2">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如接受联合体参加竞争性磋商，要求如下：</w:t>
            </w:r>
          </w:p>
          <w:p w14:paraId="2D231C8B">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1.两个以上竞标人可以组成一个竞标联合体，以一个竞标人的身份共同参加竞标，联合体竞标人的名称应统一按“XXX公司与XXX公司的联合体”的规则填写。</w:t>
            </w:r>
          </w:p>
          <w:p w14:paraId="370ADAA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w:t>
            </w:r>
            <w:r>
              <w:rPr>
                <w:rFonts w:hint="eastAsia" w:ascii="宋体" w:hAnsi="宋体" w:eastAsia="宋体"/>
                <w:color w:val="000000" w:themeColor="text1"/>
                <w:szCs w:val="21"/>
                <w:highlight w:val="none"/>
                <w14:textFill>
                  <w14:solidFill>
                    <w14:schemeClr w14:val="tx1"/>
                  </w14:solidFill>
                </w14:textFill>
              </w:rPr>
              <w:t>3.本项目的特定资格要求</w:t>
            </w:r>
            <w:r>
              <w:rPr>
                <w:rFonts w:hint="eastAsia" w:ascii="宋体" w:hAnsi="宋体"/>
                <w:color w:val="000000" w:themeColor="text1"/>
                <w:szCs w:val="21"/>
                <w:highlight w:val="none"/>
                <w14:textFill>
                  <w14:solidFill>
                    <w14:schemeClr w14:val="tx1"/>
                  </w14:solidFill>
                </w14:textFill>
              </w:rPr>
              <w:t>”。</w:t>
            </w:r>
          </w:p>
          <w:p w14:paraId="36726666">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5DCF1FF5">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4.以联合体形式参加政府采购活动的，联合体各方不得再单独参加或者与其他</w:t>
            </w:r>
            <w:r>
              <w:rPr>
                <w:rFonts w:hint="eastAsia" w:ascii="宋体" w:hAnsi="宋体" w:eastAsia="宋体"/>
                <w:color w:val="000000" w:themeColor="text1"/>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另外组成联合体参加同一合同项下的政府采购活动，否则与之相关的响应文件作废。</w:t>
            </w:r>
          </w:p>
          <w:p w14:paraId="6E09F017">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5.联合体中有同类资质的竞标人按照联合体分工承担相同工作的，应当按照资质等级较低的竞标人确定资质等级。</w:t>
            </w:r>
          </w:p>
          <w:p w14:paraId="0E4C866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6.联合体竞标业绩、履约能力，联合体各方提供均可计算。</w:t>
            </w:r>
          </w:p>
          <w:p w14:paraId="28CC4A5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7.联合体各方均应按照采购文件的规定提交资格证明文件。</w:t>
            </w:r>
          </w:p>
        </w:tc>
      </w:tr>
      <w:tr w14:paraId="55FC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2B9BE0B">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6.2</w:t>
            </w:r>
          </w:p>
        </w:tc>
        <w:tc>
          <w:tcPr>
            <w:tcW w:w="8356" w:type="dxa"/>
            <w:vAlign w:val="center"/>
          </w:tcPr>
          <w:p w14:paraId="6ABC8BE7">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F052"/>
            </w:r>
            <w:r>
              <w:rPr>
                <w:rFonts w:hint="eastAsia" w:ascii="宋体" w:hAnsi="宋体"/>
                <w:color w:val="000000" w:themeColor="text1"/>
                <w:szCs w:val="21"/>
                <w:highlight w:val="none"/>
                <w14:textFill>
                  <w14:solidFill>
                    <w14:schemeClr w14:val="tx1"/>
                  </w14:solidFill>
                </w14:textFill>
              </w:rPr>
              <w:t>不允许分包</w:t>
            </w:r>
          </w:p>
          <w:p w14:paraId="5E5009F0">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w:t>
            </w:r>
          </w:p>
          <w:p w14:paraId="3F9A210B">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分包内容：</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6F26935">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分包金额或者比例：</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6CBAD14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分包供应商必须具备的资质：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tc>
      </w:tr>
      <w:tr w14:paraId="04E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6B8C6B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12.1.1</w:t>
            </w:r>
          </w:p>
        </w:tc>
        <w:tc>
          <w:tcPr>
            <w:tcW w:w="8356" w:type="dxa"/>
            <w:vAlign w:val="center"/>
          </w:tcPr>
          <w:p w14:paraId="39ACC89A">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资格证明文件</w:t>
            </w:r>
          </w:p>
          <w:p w14:paraId="34989F87">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1.供应商为法人或者其他组织的，提供营业执照等证明文件复印件（如营业执照或者事业单位法人证书或者执业许可证等）；</w:t>
            </w:r>
            <w:r>
              <w:rPr>
                <w:rFonts w:hint="eastAsia" w:ascii="宋体" w:hAnsi="宋体"/>
                <w:b/>
                <w:color w:val="000000" w:themeColor="text1"/>
                <w:szCs w:val="21"/>
                <w:highlight w:val="none"/>
                <w14:textFill>
                  <w14:solidFill>
                    <w14:schemeClr w14:val="tx1"/>
                  </w14:solidFill>
                </w14:textFill>
              </w:rPr>
              <w:t>（必须提供，否则响应文件按无效处理）</w:t>
            </w:r>
          </w:p>
          <w:p w14:paraId="5E2CC0E1">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2.供应商依法缴纳税收的相关材料（</w:t>
            </w:r>
            <w:bookmarkStart w:id="8" w:name="OLE_LINK11"/>
            <w:bookmarkStart w:id="9" w:name="OLE_LINK12"/>
            <w:r>
              <w:rPr>
                <w:rFonts w:hint="eastAsia" w:ascii="宋体" w:hAnsi="宋体"/>
                <w:color w:val="000000" w:themeColor="text1"/>
                <w:szCs w:val="21"/>
                <w:highlight w:val="none"/>
                <w14:textFill>
                  <w14:solidFill>
                    <w14:schemeClr w14:val="tx1"/>
                  </w14:solidFill>
                </w14:textFill>
              </w:rPr>
              <w:t>竞标截止日期前半年</w:t>
            </w:r>
            <w:bookmarkEnd w:id="8"/>
            <w:bookmarkEnd w:id="9"/>
            <w:r>
              <w:rPr>
                <w:rFonts w:hint="eastAsia" w:ascii="宋体" w:hAnsi="宋体"/>
                <w:color w:val="000000" w:themeColor="text1"/>
                <w:szCs w:val="21"/>
                <w:highlight w:val="none"/>
                <w14:textFill>
                  <w14:solidFill>
                    <w14:schemeClr w14:val="tx1"/>
                  </w14:solidFill>
                </w14:textFill>
              </w:rPr>
              <w:t>内</w:t>
            </w:r>
            <w:r>
              <w:rPr>
                <w:rFonts w:hint="eastAsia" w:ascii="宋体" w:hAnsi="宋体"/>
                <w:color w:val="000000" w:themeColor="text1"/>
                <w:szCs w:val="21"/>
                <w:highlight w:val="none"/>
                <w:lang w:val="en-US" w:eastAsia="zh-CN"/>
                <w14:textFill>
                  <w14:solidFill>
                    <w14:schemeClr w14:val="tx1"/>
                  </w14:solidFill>
                </w14:textFill>
              </w:rPr>
              <w:t>连续3个</w:t>
            </w:r>
            <w:r>
              <w:rPr>
                <w:rFonts w:hint="eastAsia" w:ascii="宋体" w:hAnsi="宋体"/>
                <w:color w:val="000000" w:themeColor="text1"/>
                <w:szCs w:val="21"/>
                <w:highlight w:val="none"/>
                <w14:textFill>
                  <w14:solidFill>
                    <w14:schemeClr w14:val="tx1"/>
                  </w14:solidFill>
                </w14:textFill>
              </w:rPr>
              <w:t>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b/>
                <w:color w:val="000000" w:themeColor="text1"/>
                <w:szCs w:val="21"/>
                <w:highlight w:val="none"/>
                <w14:textFill>
                  <w14:solidFill>
                    <w14:schemeClr w14:val="tx1"/>
                  </w14:solidFill>
                </w14:textFill>
              </w:rPr>
              <w:t>（必须提供，否则响应文件按无效处理）</w:t>
            </w:r>
          </w:p>
          <w:p w14:paraId="75F05279">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3.供应商依法缴纳社会保障资金的相关材料[竞标截止日期前半年内</w:t>
            </w:r>
            <w:r>
              <w:rPr>
                <w:rFonts w:hint="eastAsia" w:ascii="宋体" w:hAnsi="宋体"/>
                <w:color w:val="000000" w:themeColor="text1"/>
                <w:szCs w:val="21"/>
                <w:highlight w:val="none"/>
                <w:lang w:eastAsia="zh-CN"/>
                <w14:textFill>
                  <w14:solidFill>
                    <w14:schemeClr w14:val="tx1"/>
                  </w14:solidFill>
                </w14:textFill>
              </w:rPr>
              <w:t>连续</w:t>
            </w:r>
            <w:r>
              <w:rPr>
                <w:rFonts w:hint="eastAsia" w:ascii="宋体" w:hAnsi="宋体"/>
                <w:color w:val="000000" w:themeColor="text1"/>
                <w:szCs w:val="21"/>
                <w:highlight w:val="none"/>
                <w:lang w:val="en-US" w:eastAsia="zh-CN"/>
                <w14:textFill>
                  <w14:solidFill>
                    <w14:schemeClr w14:val="tx1"/>
                  </w14:solidFill>
                </w14:textFill>
              </w:rPr>
              <w:t>3个</w:t>
            </w:r>
            <w:r>
              <w:rPr>
                <w:rFonts w:hint="eastAsia" w:ascii="宋体" w:hAnsi="宋体"/>
                <w:color w:val="000000" w:themeColor="text1"/>
                <w:szCs w:val="21"/>
                <w:highlight w:val="none"/>
                <w14:textFill>
                  <w14:solidFill>
                    <w14:schemeClr w14:val="tx1"/>
                  </w14:solidFill>
                </w14:textFill>
              </w:rPr>
              <w:t>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b/>
                <w:color w:val="000000" w:themeColor="text1"/>
                <w:szCs w:val="21"/>
                <w:highlight w:val="none"/>
                <w14:textFill>
                  <w14:solidFill>
                    <w14:schemeClr w14:val="tx1"/>
                  </w14:solidFill>
                </w14:textFill>
              </w:rPr>
              <w:t>（必须提供，否则响应文件按无效处理）</w:t>
            </w:r>
          </w:p>
          <w:p w14:paraId="1F98EAE3">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4.供应商财务状况报告及供应商财务状况承诺书（格式后附）（</w:t>
            </w:r>
            <w:bookmarkStart w:id="10" w:name="OLE_LINK13"/>
            <w:bookmarkStart w:id="11" w:name="OLE_LINK14"/>
            <w:r>
              <w:rPr>
                <w:rFonts w:hint="eastAsia" w:ascii="宋体" w:hAnsi="宋体"/>
                <w:color w:val="000000" w:themeColor="text1"/>
                <w:szCs w:val="21"/>
                <w:highlight w:val="none"/>
                <w14:textFill>
                  <w14:solidFill>
                    <w14:schemeClr w14:val="tx1"/>
                  </w14:solidFill>
                </w14:textFill>
              </w:rPr>
              <w:t>2023年度</w:t>
            </w:r>
            <w:bookmarkEnd w:id="10"/>
            <w:bookmarkEnd w:id="11"/>
            <w:r>
              <w:rPr>
                <w:rFonts w:hint="eastAsia" w:ascii="宋体" w:hAnsi="宋体"/>
                <w:color w:val="000000" w:themeColor="text1"/>
                <w:szCs w:val="21"/>
                <w:highlight w:val="none"/>
                <w14:textFill>
                  <w14:solidFill>
                    <w14:schemeClr w14:val="tx1"/>
                  </w14:solidFill>
                </w14:textFill>
              </w:rPr>
              <w:t>或202</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报表复印件，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r>
              <w:rPr>
                <w:rFonts w:hint="eastAsia" w:ascii="宋体" w:hAnsi="宋体"/>
                <w:b/>
                <w:color w:val="000000" w:themeColor="text1"/>
                <w:szCs w:val="21"/>
                <w:highlight w:val="none"/>
                <w14:textFill>
                  <w14:solidFill>
                    <w14:schemeClr w14:val="tx1"/>
                  </w14:solidFill>
                </w14:textFill>
              </w:rPr>
              <w:t>（必须提供，否则响应文件按无效处理）</w:t>
            </w:r>
          </w:p>
          <w:p w14:paraId="4877D4EA">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5.供应商直接控股、管理关系信息表（格式后附）；</w:t>
            </w:r>
            <w:r>
              <w:rPr>
                <w:rFonts w:hint="eastAsia" w:ascii="宋体" w:hAnsi="宋体"/>
                <w:b/>
                <w:color w:val="000000" w:themeColor="text1"/>
                <w:szCs w:val="21"/>
                <w:highlight w:val="none"/>
                <w14:textFill>
                  <w14:solidFill>
                    <w14:schemeClr w14:val="tx1"/>
                  </w14:solidFill>
                </w14:textFill>
              </w:rPr>
              <w:t>（必须提供，否则响应文件按无效处理）</w:t>
            </w:r>
          </w:p>
          <w:p w14:paraId="382FF5AB">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6.竞标声明（格式后附）；</w:t>
            </w:r>
            <w:r>
              <w:rPr>
                <w:rFonts w:hint="eastAsia" w:ascii="宋体" w:hAnsi="宋体"/>
                <w:b/>
                <w:color w:val="000000" w:themeColor="text1"/>
                <w:szCs w:val="21"/>
                <w:highlight w:val="none"/>
                <w14:textFill>
                  <w14:solidFill>
                    <w14:schemeClr w14:val="tx1"/>
                  </w14:solidFill>
                </w14:textFill>
              </w:rPr>
              <w:t>（必须提供，否则响应文件按无效处理）</w:t>
            </w:r>
          </w:p>
          <w:p w14:paraId="22F060B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竞争性磋商公告对应的特定资格要求设置供应商提供的资格证明材料；</w:t>
            </w:r>
          </w:p>
          <w:p w14:paraId="7ABBEE4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（1）供应商具有有效的</w:t>
            </w:r>
            <w:r>
              <w:rPr>
                <w:rFonts w:hint="eastAsia" w:ascii="宋体" w:hAnsi="宋体" w:cs="Arial"/>
                <w:color w:val="000000" w:themeColor="text1"/>
                <w:szCs w:val="21"/>
                <w:highlight w:val="none"/>
                <w14:textFill>
                  <w14:solidFill>
                    <w14:schemeClr w14:val="tx1"/>
                  </w14:solidFill>
                </w14:textFill>
              </w:rPr>
              <w:t>消防设施工程专业承包二级或以上资质</w:t>
            </w:r>
            <w:r>
              <w:rPr>
                <w:rFonts w:hint="eastAsia" w:ascii="宋体" w:hAnsi="宋体"/>
                <w:color w:val="000000" w:themeColor="text1"/>
                <w:szCs w:val="21"/>
                <w:highlight w:val="none"/>
                <w14:textFill>
                  <w14:solidFill>
                    <w14:schemeClr w14:val="tx1"/>
                  </w14:solidFill>
                </w14:textFill>
              </w:rPr>
              <w:t>，具备有效的省级及以上建设行政主管部门颁发的安全生产许可证，并在人员、设备、资金等方面具备相应的施工能力。</w:t>
            </w:r>
            <w:r>
              <w:rPr>
                <w:rFonts w:hint="eastAsia" w:ascii="宋体" w:hAnsi="宋体"/>
                <w:b/>
                <w:color w:val="000000" w:themeColor="text1"/>
                <w:szCs w:val="21"/>
                <w:highlight w:val="none"/>
                <w14:textFill>
                  <w14:solidFill>
                    <w14:schemeClr w14:val="tx1"/>
                  </w14:solidFill>
                </w14:textFill>
              </w:rPr>
              <w:t>（必须提供，否则响应文件按无效处理）</w:t>
            </w:r>
          </w:p>
          <w:p w14:paraId="16B1F0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（2）拟投入本项目的项目经理须具备</w:t>
            </w:r>
            <w:r>
              <w:rPr>
                <w:rFonts w:hint="eastAsia" w:ascii="宋体" w:hAnsi="宋体" w:cs="Arial"/>
                <w:color w:val="000000" w:themeColor="text1"/>
                <w:szCs w:val="21"/>
                <w:highlight w:val="none"/>
                <w14:textFill>
                  <w14:solidFill>
                    <w14:schemeClr w14:val="tx1"/>
                  </w14:solidFill>
                </w14:textFill>
              </w:rPr>
              <w:t>机电工程专业二级</w:t>
            </w:r>
            <w:r>
              <w:rPr>
                <w:rFonts w:hint="eastAsia" w:ascii="宋体" w:hAnsi="宋体"/>
                <w:color w:val="000000" w:themeColor="text1"/>
                <w:szCs w:val="21"/>
                <w:highlight w:val="none"/>
                <w14:textFill>
                  <w14:solidFill>
                    <w14:schemeClr w14:val="tx1"/>
                  </w14:solidFill>
                </w14:textFill>
              </w:rPr>
              <w:t>（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r>
              <w:rPr>
                <w:rFonts w:hint="eastAsia" w:ascii="宋体" w:hAnsi="宋体"/>
                <w:b/>
                <w:color w:val="000000" w:themeColor="text1"/>
                <w:szCs w:val="21"/>
                <w:highlight w:val="none"/>
                <w14:textFill>
                  <w14:solidFill>
                    <w14:schemeClr w14:val="tx1"/>
                  </w14:solidFill>
                </w14:textFill>
              </w:rPr>
              <w:t>（必须提供，否则响应文件按无效处理）</w:t>
            </w:r>
          </w:p>
          <w:p w14:paraId="435C2B83">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（3）拟投入本项目的专职安全生产管理人员须具备有效的安全生产考核合格证书（C类）</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（必须提供，否则响应文件按无效处理）</w:t>
            </w:r>
          </w:p>
          <w:p w14:paraId="4BF56362">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承诺书；</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1FF2846A">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除磋商文件规定必须提供以外，供应商认为需要提供的其他证明材料。</w:t>
            </w:r>
          </w:p>
          <w:p w14:paraId="35CE99DF">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p>
          <w:p w14:paraId="51F1BECD">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1.以上标明“必须提供”的材料属于复印件的，必须加盖供应商公章，否则响应文件按无效响应处理。</w:t>
            </w:r>
          </w:p>
          <w:p w14:paraId="4231A08E">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2.联合体竞标时，第1-5项资格证明文件联合体各方均必须分别提供，联合体各方分别盖章和签字，否则响应文件按无效响应处理。</w:t>
            </w:r>
          </w:p>
        </w:tc>
      </w:tr>
      <w:tr w14:paraId="0D2F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229B3A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12.1.2</w:t>
            </w:r>
          </w:p>
        </w:tc>
        <w:tc>
          <w:tcPr>
            <w:tcW w:w="8356" w:type="dxa"/>
            <w:vAlign w:val="center"/>
          </w:tcPr>
          <w:p w14:paraId="14DE2B78">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报价文件</w:t>
            </w:r>
          </w:p>
          <w:p w14:paraId="2A36629B">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1.竞标函及竞标函附录（格式后附）；</w:t>
            </w:r>
            <w:r>
              <w:rPr>
                <w:rFonts w:hint="eastAsia" w:ascii="宋体" w:hAnsi="宋体"/>
                <w:b/>
                <w:color w:val="000000" w:themeColor="text1"/>
                <w:szCs w:val="21"/>
                <w:highlight w:val="none"/>
                <w14:textFill>
                  <w14:solidFill>
                    <w14:schemeClr w14:val="tx1"/>
                  </w14:solidFill>
                </w14:textFill>
              </w:rPr>
              <w:t>（必须提供，否则响应文件按无效处理）</w:t>
            </w:r>
          </w:p>
          <w:p w14:paraId="03718DC8">
            <w:pPr>
              <w:spacing w:line="360" w:lineRule="auto"/>
              <w:jc w:val="left"/>
              <w:rPr>
                <w:rFonts w:hint="eastAsia"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.竞标报价表（格式后附）；</w:t>
            </w:r>
            <w:r>
              <w:rPr>
                <w:rFonts w:hint="eastAsia" w:ascii="宋体" w:hAnsi="宋体"/>
                <w:b/>
                <w:color w:val="000000" w:themeColor="text1"/>
                <w:szCs w:val="21"/>
                <w:highlight w:val="none"/>
                <w14:textFill>
                  <w14:solidFill>
                    <w14:schemeClr w14:val="tx1"/>
                  </w14:solidFill>
                </w14:textFill>
              </w:rPr>
              <w:t>（必须提供，否则响应文件按无效处理）</w:t>
            </w:r>
          </w:p>
          <w:p w14:paraId="31490F8E">
            <w:pPr>
              <w:spacing w:line="360" w:lineRule="auto"/>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val="0"/>
                <w:color w:val="000000" w:themeColor="text1"/>
                <w:szCs w:val="21"/>
                <w:highlight w:val="none"/>
                <w:lang w:val="en-US" w:eastAsia="zh-CN"/>
                <w14:textFill>
                  <w14:solidFill>
                    <w14:schemeClr w14:val="tx1"/>
                  </w14:solidFill>
                </w14:textFill>
              </w:rPr>
              <w:t>3.已标价工程量清单；</w:t>
            </w:r>
            <w:r>
              <w:rPr>
                <w:rFonts w:hint="eastAsia" w:ascii="宋体" w:hAnsi="宋体"/>
                <w:b/>
                <w:color w:val="000000" w:themeColor="text1"/>
                <w:szCs w:val="21"/>
                <w:highlight w:val="none"/>
                <w14:textFill>
                  <w14:solidFill>
                    <w14:schemeClr w14:val="tx1"/>
                  </w14:solidFill>
                </w14:textFill>
              </w:rPr>
              <w:t>（必须提供，否则响应文件按无效处理）</w:t>
            </w:r>
          </w:p>
          <w:p w14:paraId="3658F159">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.供应商认为需要提供的其他有关资料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《中小企业声明函》或《残疾人福利性单位声明函》或监狱企业证明［由省级以上监狱管理局、戒毒管理局（含新疆生产建设兵团）出具的属于监狱企业的证明文件］</w:t>
            </w:r>
            <w:r>
              <w:rPr>
                <w:rFonts w:hint="eastAsia" w:ascii="宋体" w:hAnsi="宋体"/>
                <w:color w:val="000000" w:themeColor="text1"/>
                <w:szCs w:val="21"/>
                <w:highlight w:val="none"/>
                <w14:textFill>
                  <w14:solidFill>
                    <w14:schemeClr w14:val="tx1"/>
                  </w14:solidFill>
                </w14:textFill>
              </w:rPr>
              <w:t>。（如有请提供）</w:t>
            </w:r>
          </w:p>
        </w:tc>
      </w:tr>
      <w:tr w14:paraId="5F0F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7FDFAB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12.1.3</w:t>
            </w:r>
          </w:p>
        </w:tc>
        <w:tc>
          <w:tcPr>
            <w:tcW w:w="8356" w:type="dxa"/>
            <w:vAlign w:val="center"/>
          </w:tcPr>
          <w:p w14:paraId="65895650">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商务技术文件</w:t>
            </w:r>
          </w:p>
          <w:p w14:paraId="60C12EAD">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1.无串通参加竞争性磋商行为的承诺函（格式后附）；</w:t>
            </w:r>
            <w:r>
              <w:rPr>
                <w:rFonts w:hint="eastAsia" w:ascii="宋体" w:hAnsi="宋体"/>
                <w:b/>
                <w:color w:val="000000" w:themeColor="text1"/>
                <w:szCs w:val="21"/>
                <w:highlight w:val="none"/>
                <w14:textFill>
                  <w14:solidFill>
                    <w14:schemeClr w14:val="tx1"/>
                  </w14:solidFill>
                </w14:textFill>
              </w:rPr>
              <w:t>（必须提供，否则响应文件按无效处理）</w:t>
            </w:r>
          </w:p>
          <w:p w14:paraId="6E288719">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b/>
                <w:color w:val="000000" w:themeColor="text1"/>
                <w:szCs w:val="21"/>
                <w:highlight w:val="none"/>
                <w14:textFill>
                  <w14:solidFill>
                    <w14:schemeClr w14:val="tx1"/>
                  </w14:solidFill>
                </w14:textFill>
              </w:rPr>
              <w:t>（必须提供，否则响应文件按无效处理）</w:t>
            </w:r>
          </w:p>
          <w:p w14:paraId="23D3CBA3">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（委托时必须提供，否则响应文件按无效处理）</w:t>
            </w:r>
          </w:p>
          <w:p w14:paraId="0F37E1F1">
            <w:pPr>
              <w:spacing w:line="360" w:lineRule="auto"/>
              <w:jc w:val="lef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4.磋商保证金提交凭证；</w:t>
            </w:r>
            <w:r>
              <w:rPr>
                <w:rFonts w:hint="eastAsia" w:ascii="宋体" w:hAnsi="宋体"/>
                <w:b/>
                <w:color w:val="000000" w:themeColor="text1"/>
                <w:szCs w:val="21"/>
                <w:highlight w:val="none"/>
                <w14:textFill>
                  <w14:solidFill>
                    <w14:schemeClr w14:val="tx1"/>
                  </w14:solidFill>
                </w14:textFill>
              </w:rPr>
              <w:t>（如要求提交磋商保证金的则必须提供，否则响应文件按无效处理）</w:t>
            </w:r>
          </w:p>
          <w:p w14:paraId="0B16249E">
            <w:pPr>
              <w:spacing w:line="360" w:lineRule="auto"/>
              <w:jc w:val="left"/>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5.保证金汇款声明函(适用银行转账)；</w:t>
            </w:r>
            <w:r>
              <w:rPr>
                <w:rFonts w:hint="eastAsia" w:ascii="宋体" w:hAnsi="宋体"/>
                <w:b/>
                <w:color w:val="000000" w:themeColor="text1"/>
                <w:szCs w:val="21"/>
                <w:highlight w:val="none"/>
                <w14:textFill>
                  <w14:solidFill>
                    <w14:schemeClr w14:val="tx1"/>
                  </w14:solidFill>
                </w14:textFill>
              </w:rPr>
              <w:t>（如有）</w:t>
            </w:r>
          </w:p>
          <w:p w14:paraId="6DE39717">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.建筑材料和设备节能环保要求承诺书（格式后附）</w:t>
            </w:r>
            <w:r>
              <w:rPr>
                <w:rFonts w:hint="eastAsia" w:ascii="宋体" w:hAnsi="宋体"/>
                <w:b/>
                <w:color w:val="000000" w:themeColor="text1"/>
                <w:szCs w:val="21"/>
                <w:highlight w:val="none"/>
                <w14:textFill>
                  <w14:solidFill>
                    <w14:schemeClr w14:val="tx1"/>
                  </w14:solidFill>
                </w14:textFill>
              </w:rPr>
              <w:t>；（必须提供，否则响应文件按无效响应处理）</w:t>
            </w:r>
          </w:p>
          <w:p w14:paraId="4F284491">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.商务条款偏离表（格式后附）；</w:t>
            </w:r>
            <w:r>
              <w:rPr>
                <w:rFonts w:hint="eastAsia" w:ascii="宋体" w:hAnsi="宋体"/>
                <w:b/>
                <w:color w:val="000000" w:themeColor="text1"/>
                <w:szCs w:val="21"/>
                <w:highlight w:val="none"/>
                <w14:textFill>
                  <w14:solidFill>
                    <w14:schemeClr w14:val="tx1"/>
                  </w14:solidFill>
                </w14:textFill>
              </w:rPr>
              <w:t>（必须提供，否则响应文件按无效响应处理）</w:t>
            </w:r>
          </w:p>
          <w:p w14:paraId="56DB4837">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.技术要求偏离表（格式后附）；</w:t>
            </w:r>
            <w:r>
              <w:rPr>
                <w:rFonts w:hint="eastAsia" w:ascii="宋体" w:hAnsi="宋体"/>
                <w:b/>
                <w:color w:val="000000" w:themeColor="text1"/>
                <w:szCs w:val="21"/>
                <w:highlight w:val="none"/>
                <w14:textFill>
                  <w14:solidFill>
                    <w14:schemeClr w14:val="tx1"/>
                  </w14:solidFill>
                </w14:textFill>
              </w:rPr>
              <w:t>（必须提供，否则响应文件按无效响应处理）</w:t>
            </w:r>
          </w:p>
          <w:p w14:paraId="356E4225">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.施工组织设计（包括但不限于主要施工方法、质量保证措施、确保安全生产的技术组织措施、确保工期的技术组织措施等，格式自拟）；</w:t>
            </w:r>
            <w:r>
              <w:rPr>
                <w:rFonts w:hint="eastAsia" w:ascii="宋体" w:hAnsi="宋体"/>
                <w:b/>
                <w:color w:val="000000" w:themeColor="text1"/>
                <w:szCs w:val="21"/>
                <w:highlight w:val="none"/>
                <w14:textFill>
                  <w14:solidFill>
                    <w14:schemeClr w14:val="tx1"/>
                  </w14:solidFill>
                </w14:textFill>
              </w:rPr>
              <w:t>（必须提供，否则响应文件按无效处理）</w:t>
            </w:r>
          </w:p>
          <w:p w14:paraId="61EC48F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.拟分包项目情况表（格式自拟）；</w:t>
            </w:r>
            <w:r>
              <w:rPr>
                <w:rFonts w:hint="eastAsia" w:ascii="宋体" w:hAnsi="宋体"/>
                <w:b/>
                <w:color w:val="000000" w:themeColor="text1"/>
                <w:szCs w:val="21"/>
                <w:highlight w:val="none"/>
                <w14:textFill>
                  <w14:solidFill>
                    <w14:schemeClr w14:val="tx1"/>
                  </w14:solidFill>
                </w14:textFill>
              </w:rPr>
              <w:t>（如有）</w:t>
            </w:r>
          </w:p>
          <w:p w14:paraId="40B7855E">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.项目管理机构配备情况表及主要人员简历表（格式自拟）；</w:t>
            </w:r>
            <w:r>
              <w:rPr>
                <w:rFonts w:hint="eastAsia" w:ascii="宋体" w:hAnsi="宋体"/>
                <w:b/>
                <w:color w:val="000000" w:themeColor="text1"/>
                <w:szCs w:val="21"/>
                <w:highlight w:val="none"/>
                <w14:textFill>
                  <w14:solidFill>
                    <w14:schemeClr w14:val="tx1"/>
                  </w14:solidFill>
                </w14:textFill>
              </w:rPr>
              <w:t>（必须提供，否则响应文件按无效处理）</w:t>
            </w:r>
          </w:p>
          <w:p w14:paraId="5B8440F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.供应商业绩一览表（格式后附）；</w:t>
            </w:r>
            <w:r>
              <w:rPr>
                <w:rFonts w:hint="eastAsia" w:ascii="宋体" w:hAnsi="宋体"/>
                <w:b/>
                <w:color w:val="000000" w:themeColor="text1"/>
                <w:szCs w:val="21"/>
                <w:highlight w:val="none"/>
                <w14:textFill>
                  <w14:solidFill>
                    <w14:schemeClr w14:val="tx1"/>
                  </w14:solidFill>
                </w14:textFill>
              </w:rPr>
              <w:t>（如有）</w:t>
            </w:r>
          </w:p>
          <w:p w14:paraId="7BBDFB9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.供应商认为需要提供的其他有关资料。</w:t>
            </w:r>
          </w:p>
          <w:p w14:paraId="42695C85">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注：以上标明“必须提供”的材料属于复印件的，必须加盖供应商公章，否则响应文件按无效处理。</w:t>
            </w:r>
          </w:p>
        </w:tc>
      </w:tr>
      <w:tr w14:paraId="7348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396081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15.1</w:t>
            </w:r>
          </w:p>
        </w:tc>
        <w:tc>
          <w:tcPr>
            <w:tcW w:w="8356" w:type="dxa"/>
            <w:vAlign w:val="center"/>
          </w:tcPr>
          <w:p w14:paraId="5A9E406E">
            <w:pPr>
              <w:keepNext w:val="0"/>
              <w:keepLines w:val="0"/>
              <w:pageBreakBefore w:val="0"/>
              <w:kinsoku/>
              <w:wordWrap/>
              <w:overflowPunct/>
              <w:topLinePunct w:val="0"/>
              <w:bidi w:val="0"/>
              <w:snapToGrid w:val="0"/>
              <w:spacing w:line="360" w:lineRule="auto"/>
              <w:ind w:left="0"/>
              <w:jc w:val="left"/>
              <w:rPr>
                <w:rFonts w:hint="eastAsia"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响应报价必须包含</w:t>
            </w:r>
            <w:r>
              <w:rPr>
                <w:rFonts w:hint="eastAsia" w:ascii="Times New Roman" w:hAnsi="Times New Roman" w:eastAsia="宋体" w:cs="Times New Roman"/>
                <w:color w:val="000000" w:themeColor="text1"/>
                <w:highlight w:val="none"/>
                <w14:textFill>
                  <w14:solidFill>
                    <w14:schemeClr w14:val="tx1"/>
                  </w14:solidFill>
                </w14:textFill>
              </w:rPr>
              <w:t>完成该工程项目的成本、利润、增值税、技术措施费、设备费、风险费、政策性文件规</w:t>
            </w:r>
            <w:r>
              <w:rPr>
                <w:rFonts w:hint="eastAsia" w:ascii="Times New Roman" w:hAnsi="Times New Roman" w:eastAsia="宋体" w:cs="Times New Roman"/>
                <w:color w:val="000000" w:themeColor="text1"/>
                <w:szCs w:val="21"/>
                <w:highlight w:val="none"/>
                <w14:textFill>
                  <w14:solidFill>
                    <w14:schemeClr w14:val="tx1"/>
                  </w14:solidFill>
                </w14:textFill>
              </w:rPr>
              <w:t>定费用等所有费用。</w:t>
            </w:r>
          </w:p>
          <w:p w14:paraId="6D42460A">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lang w:eastAsia="zh-CN"/>
                <w14:textFill>
                  <w14:solidFill>
                    <w14:schemeClr w14:val="tx1"/>
                  </w14:solidFill>
                </w14:textFill>
              </w:rPr>
              <w:t>☑</w:t>
            </w:r>
            <w:r>
              <w:rPr>
                <w:rFonts w:ascii="Times New Roman" w:hAnsi="Times New Roman" w:eastAsia="宋体" w:cs="Times New Roman"/>
                <w:b/>
                <w:bCs/>
                <w:color w:val="000000" w:themeColor="text1"/>
                <w:szCs w:val="21"/>
                <w:highlight w:val="none"/>
                <w14:textFill>
                  <w14:solidFill>
                    <w14:schemeClr w14:val="tx1"/>
                  </w14:solidFill>
                </w14:textFill>
              </w:rPr>
              <w:t>响应报价包含验收费用</w:t>
            </w:r>
          </w:p>
          <w:p w14:paraId="210A025D">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lang w:eastAsia="zh-CN"/>
                <w14:textFill>
                  <w14:solidFill>
                    <w14:schemeClr w14:val="tx1"/>
                  </w14:solidFill>
                </w14:textFill>
              </w:rPr>
              <w:t>□</w:t>
            </w:r>
            <w:r>
              <w:rPr>
                <w:rFonts w:ascii="Times New Roman" w:hAnsi="Times New Roman" w:eastAsia="宋体" w:cs="Times New Roman"/>
                <w:b/>
                <w:bCs/>
                <w:color w:val="000000" w:themeColor="text1"/>
                <w:szCs w:val="21"/>
                <w:highlight w:val="none"/>
                <w14:textFill>
                  <w14:solidFill>
                    <w14:schemeClr w14:val="tx1"/>
                  </w14:solidFill>
                </w14:textFill>
              </w:rPr>
              <w:t>响应报价不包含验收费用</w:t>
            </w:r>
          </w:p>
          <w:p w14:paraId="50E7FD05">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1.本项目增值税计税方法：☑一般计税法</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□简易计税法</w:t>
            </w:r>
          </w:p>
          <w:p w14:paraId="770B34E1">
            <w:pPr>
              <w:keepNext w:val="0"/>
              <w:keepLines w:val="0"/>
              <w:pageBreakBefore w:val="0"/>
              <w:kinsoku/>
              <w:wordWrap/>
              <w:overflowPunct/>
              <w:topLinePunct w:val="0"/>
              <w:bidi w:val="0"/>
              <w:snapToGrid w:val="0"/>
              <w:spacing w:line="360" w:lineRule="auto"/>
              <w:ind w:left="0"/>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【备注：根据《关于全面推开营业税改征增值税试点的通知》（财税〔2016〕36号）、《关于建筑服务等营改增试点政策的通知》（财税〔2017〕58号）文件规定选择】</w:t>
            </w:r>
          </w:p>
          <w:p w14:paraId="3D1538B1">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2.本项目采用工程量清单报价方式，供应商应依据竞争</w:t>
            </w:r>
            <w:r>
              <w:rPr>
                <w:rFonts w:hint="eastAsia" w:ascii="宋体" w:hAnsi="宋体" w:eastAsia="宋体" w:cs="宋体"/>
                <w:color w:val="000000" w:themeColor="text1"/>
                <w:highlight w:val="none"/>
                <w14:textFill>
                  <w14:solidFill>
                    <w14:schemeClr w14:val="tx1"/>
                  </w14:solidFill>
                </w14:textFill>
              </w:rPr>
              <w:t>性磋商文件、采购人提供的工程量清单（以下简称</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工程量清单</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）以及</w:t>
            </w:r>
            <w:r>
              <w:rPr>
                <w:rFonts w:hint="eastAsia" w:ascii="Times New Roman" w:hAnsi="Times New Roman" w:eastAsia="宋体" w:cs="Times New Roman"/>
                <w:color w:val="000000" w:themeColor="text1"/>
                <w:highlight w:val="none"/>
                <w14:textFill>
                  <w14:solidFill>
                    <w14:schemeClr w14:val="tx1"/>
                  </w14:solidFill>
                </w14:textFill>
              </w:rPr>
              <w:t>《建设工程工程量清单计价规范（GB5050-2013）》及其广西实施细则</w:t>
            </w:r>
            <w:r>
              <w:rPr>
                <w:rFonts w:hint="eastAsia" w:ascii="宋体" w:hAnsi="宋体" w:eastAsia="宋体" w:cs="宋体"/>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《建设工程工程量清单计算规范（</w:t>
            </w:r>
            <w:r>
              <w:rPr>
                <w:rFonts w:ascii="Times New Roman" w:hAnsi="Times New Roman" w:eastAsia="宋体" w:cs="Times New Roman"/>
                <w:color w:val="000000" w:themeColor="text1"/>
                <w:highlight w:val="none"/>
                <w14:textFill>
                  <w14:solidFill>
                    <w14:schemeClr w14:val="tx1"/>
                  </w14:solidFill>
                </w14:textFill>
              </w:rPr>
              <w:t>GB5854~50862-2013）》及其广西实施细则（修订本）自主报价，自主报价不得违反计价规范强制性条文规定。供应商不得采用总价让利或以百分比让利等形式进行报价，任何优惠（或降价、让利）均应反映在相应</w:t>
            </w:r>
            <w:r>
              <w:rPr>
                <w:rFonts w:ascii="Times New Roman" w:hAnsi="Times New Roman" w:eastAsia="宋体" w:cs="Times New Roman"/>
                <w:color w:val="000000" w:themeColor="text1"/>
                <w:szCs w:val="21"/>
                <w:highlight w:val="none"/>
                <w14:textFill>
                  <w14:solidFill>
                    <w14:schemeClr w14:val="tx1"/>
                  </w14:solidFill>
                </w14:textFill>
              </w:rPr>
              <w:t>清单项目的综合单价中。供应商在首次响应文件提交截止时间前修改响应报价表中磋商</w:t>
            </w:r>
            <w:r>
              <w:rPr>
                <w:rFonts w:ascii="Times New Roman" w:hAnsi="Times New Roman" w:eastAsia="宋体" w:cs="Times New Roman"/>
                <w:color w:val="000000" w:themeColor="text1"/>
                <w:highlight w:val="none"/>
                <w14:textFill>
                  <w14:solidFill>
                    <w14:schemeClr w14:val="tx1"/>
                  </w14:solidFill>
                </w14:textFill>
              </w:rPr>
              <w:t>总报价的，应同时修改已标价工程量清单中的相应报价。</w:t>
            </w:r>
          </w:p>
          <w:p w14:paraId="507500ED">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b/>
                <w:bCs/>
                <w:color w:val="000000" w:themeColor="text1"/>
                <w:highlight w:val="none"/>
                <w14:textFill>
                  <w14:solidFill>
                    <w14:schemeClr w14:val="tx1"/>
                  </w14:solidFill>
                </w14:textFill>
              </w:rPr>
              <w:t>供应商应按工程量清单填报价格。供应商已标价工程量清单中的项目编码（12位）、项目名称、项目特征、计量单位、工程量必须与工程量清单一致，否则响应文件按无效响应处理</w:t>
            </w:r>
            <w:r>
              <w:rPr>
                <w:rFonts w:hint="eastAsia" w:ascii="Times New Roman" w:hAnsi="Times New Roman" w:eastAsia="宋体" w:cs="Times New Roman"/>
                <w:b/>
                <w:bCs/>
                <w:color w:val="000000" w:themeColor="text1"/>
                <w:highlight w:val="none"/>
                <w14:textFill>
                  <w14:solidFill>
                    <w14:schemeClr w14:val="tx1"/>
                  </w14:solidFill>
                </w14:textFill>
              </w:rPr>
              <w:t>。</w:t>
            </w:r>
          </w:p>
          <w:p w14:paraId="7CF81C6F">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供应商应</w:t>
            </w:r>
            <w:r>
              <w:rPr>
                <w:rFonts w:hint="eastAsia" w:ascii="Times New Roman" w:hAnsi="Times New Roman" w:eastAsia="宋体" w:cs="Times New Roman"/>
                <w:color w:val="000000" w:themeColor="text1"/>
                <w:highlight w:val="none"/>
                <w14:textFill>
                  <w14:solidFill>
                    <w14:schemeClr w14:val="tx1"/>
                  </w14:solidFill>
                </w14:textFill>
              </w:rPr>
              <w:t>按</w:t>
            </w:r>
            <w:r>
              <w:rPr>
                <w:rFonts w:ascii="Times New Roman" w:hAnsi="Times New Roman" w:eastAsia="宋体" w:cs="Times New Roman"/>
                <w:color w:val="000000" w:themeColor="text1"/>
                <w:highlight w:val="none"/>
                <w14:textFill>
                  <w14:solidFill>
                    <w14:schemeClr w14:val="tx1"/>
                  </w14:solidFill>
                </w14:textFill>
              </w:rPr>
              <w:t>工程量清单中列出的</w:t>
            </w:r>
            <w:r>
              <w:rPr>
                <w:rFonts w:hint="eastAsia" w:ascii="Times New Roman" w:hAnsi="Times New Roman" w:eastAsia="宋体" w:cs="Times New Roman"/>
                <w:color w:val="000000" w:themeColor="text1"/>
                <w:highlight w:val="none"/>
                <w14:textFill>
                  <w14:solidFill>
                    <w14:schemeClr w14:val="tx1"/>
                  </w14:solidFill>
                </w14:textFill>
              </w:rPr>
              <w:t>分部分项</w:t>
            </w:r>
            <w:r>
              <w:rPr>
                <w:rFonts w:ascii="Times New Roman" w:hAnsi="Times New Roman" w:eastAsia="宋体" w:cs="Times New Roman"/>
                <w:color w:val="000000" w:themeColor="text1"/>
                <w:highlight w:val="none"/>
                <w14:textFill>
                  <w14:solidFill>
                    <w14:schemeClr w14:val="tx1"/>
                  </w14:solidFill>
                </w14:textFill>
              </w:rPr>
              <w:t>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616D83FE">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.综合单价中应包含竞争性磋商文件中划分的应由供应商承担的风险范围及其费用。</w:t>
            </w:r>
          </w:p>
          <w:p w14:paraId="034B097B">
            <w:pPr>
              <w:keepNext w:val="0"/>
              <w:keepLines w:val="0"/>
              <w:pageBreakBefore w:val="0"/>
              <w:kinsoku/>
              <w:wordWrap/>
              <w:overflowPunct/>
              <w:topLinePunct w:val="0"/>
              <w:bidi w:val="0"/>
              <w:snapToGrid w:val="0"/>
              <w:spacing w:line="360" w:lineRule="auto"/>
              <w:ind w:left="0"/>
              <w:jc w:val="left"/>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6</w:t>
            </w:r>
            <w:r>
              <w:rPr>
                <w:rFonts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分部分项工程项目和单价措施项</w:t>
            </w:r>
            <w:r>
              <w:rPr>
                <w:rFonts w:hint="eastAsia" w:ascii="宋体" w:hAnsi="宋体" w:eastAsia="宋体" w:cs="宋体"/>
                <w:color w:val="000000" w:themeColor="text1"/>
                <w:highlight w:val="none"/>
                <w14:textFill>
                  <w14:solidFill>
                    <w14:schemeClr w14:val="tx1"/>
                  </w14:solidFill>
                </w14:textFill>
              </w:rPr>
              <w:t>目，应根据竞争性磋商文件和工程量清单项目中的特征描述确定综合单价计算。如出现工程量清单特征描述与设计图纸不符时，供应商应以工程量清单的项目特征描述为准，确定磋商报价的综合单价。</w:t>
            </w:r>
          </w:p>
          <w:p w14:paraId="045F5471">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总价措施项目的金额应根据竞争性磋商文件及磋商时拟定的施工组织设计或施工方案，按计价规范的规定自主确定。但安全文明施工费按国家、省级或</w:t>
            </w:r>
            <w:r>
              <w:rPr>
                <w:rFonts w:hint="eastAsia" w:ascii="Times New Roman" w:hAnsi="Times New Roman" w:eastAsia="宋体" w:cs="Times New Roman"/>
                <w:color w:val="000000" w:themeColor="text1"/>
                <w:szCs w:val="21"/>
                <w:highlight w:val="none"/>
                <w14:textFill>
                  <w14:solidFill>
                    <w14:schemeClr w14:val="tx1"/>
                  </w14:solidFill>
                </w14:textFill>
              </w:rPr>
              <w:t>行业建设主管部门的有关规定执行，作为不可竞争费用单列。</w:t>
            </w:r>
          </w:p>
          <w:p w14:paraId="01727716">
            <w:pPr>
              <w:keepNext w:val="0"/>
              <w:keepLines w:val="0"/>
              <w:pageBreakBefore w:val="0"/>
              <w:kinsoku/>
              <w:wordWrap/>
              <w:overflowPunct/>
              <w:topLinePunct w:val="0"/>
              <w:bidi w:val="0"/>
              <w:snapToGrid w:val="0"/>
              <w:spacing w:line="360" w:lineRule="auto"/>
              <w:ind w:left="0"/>
              <w:jc w:val="left"/>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8.其他项目费应按下列规定报价：</w:t>
            </w:r>
          </w:p>
          <w:p w14:paraId="15CE2404">
            <w:pPr>
              <w:keepNext w:val="0"/>
              <w:keepLines w:val="0"/>
              <w:pageBreakBefore w:val="0"/>
              <w:kinsoku/>
              <w:wordWrap/>
              <w:overflowPunct/>
              <w:topLinePunct w:val="0"/>
              <w:bidi w:val="0"/>
              <w:snapToGrid w:val="0"/>
              <w:spacing w:line="360" w:lineRule="auto"/>
              <w:ind w:left="0"/>
              <w:jc w:val="left"/>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w:t>
            </w:r>
            <w:r>
              <w:rPr>
                <w:rFonts w:hint="eastAsia" w:ascii="Times New Roman" w:hAnsi="Times New Roman" w:eastAsia="宋体" w:cs="Times New Roman"/>
                <w:b/>
                <w:bCs/>
                <w:color w:val="000000" w:themeColor="text1"/>
                <w:szCs w:val="21"/>
                <w:highlight w:val="none"/>
                <w14:textFill>
                  <w14:solidFill>
                    <w14:schemeClr w14:val="tx1"/>
                  </w14:solidFill>
                </w14:textFill>
              </w:rPr>
              <w:t>暂列金额应按工程量清单中列出的金额填写</w:t>
            </w:r>
            <w:r>
              <w:rPr>
                <w:rFonts w:hint="eastAsia" w:ascii="Times New Roman" w:hAnsi="Times New Roman" w:eastAsia="宋体" w:cs="Times New Roman"/>
                <w:b/>
                <w:bCs/>
                <w:color w:val="000000" w:themeColor="text1"/>
                <w:szCs w:val="21"/>
                <w:highlight w:val="none"/>
                <w:lang w:eastAsia="zh-CN"/>
                <w14:textFill>
                  <w14:solidFill>
                    <w14:schemeClr w14:val="tx1"/>
                  </w14:solidFill>
                </w14:textFill>
              </w:rPr>
              <w:t>，</w:t>
            </w:r>
            <w:r>
              <w:rPr>
                <w:rFonts w:ascii="Times New Roman" w:hAnsi="Times New Roman" w:eastAsia="宋体" w:cs="Times New Roman"/>
                <w:b/>
                <w:bCs/>
                <w:color w:val="000000" w:themeColor="text1"/>
                <w:highlight w:val="none"/>
                <w14:textFill>
                  <w14:solidFill>
                    <w14:schemeClr w14:val="tx1"/>
                  </w14:solidFill>
                </w14:textFill>
              </w:rPr>
              <w:t>否则响应文件按无效响应处理</w:t>
            </w:r>
            <w:r>
              <w:rPr>
                <w:rFonts w:hint="eastAsia" w:ascii="Times New Roman" w:hAnsi="Times New Roman" w:eastAsia="宋体" w:cs="Times New Roman"/>
                <w:color w:val="000000" w:themeColor="text1"/>
                <w:szCs w:val="21"/>
                <w:highlight w:val="none"/>
                <w14:textFill>
                  <w14:solidFill>
                    <w14:schemeClr w14:val="tx1"/>
                  </w14:solidFill>
                </w14:textFill>
              </w:rPr>
              <w:t>；</w:t>
            </w:r>
          </w:p>
          <w:p w14:paraId="6F55BA90">
            <w:pPr>
              <w:keepNext w:val="0"/>
              <w:keepLines w:val="0"/>
              <w:pageBreakBefore w:val="0"/>
              <w:kinsoku/>
              <w:wordWrap/>
              <w:overflowPunct/>
              <w:topLinePunct w:val="0"/>
              <w:bidi w:val="0"/>
              <w:snapToGrid w:val="0"/>
              <w:spacing w:line="360" w:lineRule="auto"/>
              <w:ind w:left="0"/>
              <w:jc w:val="left"/>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（2）材料、工程设备暂估价应按工程量清单中列出的单价计入综合单价；</w:t>
            </w:r>
          </w:p>
          <w:p w14:paraId="04FD7197">
            <w:pPr>
              <w:keepNext w:val="0"/>
              <w:keepLines w:val="0"/>
              <w:pageBreakBefore w:val="0"/>
              <w:kinsoku/>
              <w:wordWrap/>
              <w:overflowPunct/>
              <w:topLinePunct w:val="0"/>
              <w:bidi w:val="0"/>
              <w:snapToGrid w:val="0"/>
              <w:spacing w:line="360" w:lineRule="auto"/>
              <w:ind w:left="0"/>
              <w:jc w:val="left"/>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（3）</w:t>
            </w:r>
            <w:r>
              <w:rPr>
                <w:rFonts w:hint="eastAsia" w:ascii="Times New Roman" w:hAnsi="Times New Roman" w:eastAsia="宋体" w:cs="Times New Roman"/>
                <w:b/>
                <w:bCs/>
                <w:color w:val="000000" w:themeColor="text1"/>
                <w:szCs w:val="21"/>
                <w:highlight w:val="none"/>
                <w14:textFill>
                  <w14:solidFill>
                    <w14:schemeClr w14:val="tx1"/>
                  </w14:solidFill>
                </w14:textFill>
              </w:rPr>
              <w:t>专业工程暂估价应按工程量清单中列出的金额填写</w:t>
            </w:r>
            <w:r>
              <w:rPr>
                <w:rFonts w:hint="eastAsia" w:ascii="Times New Roman" w:hAnsi="Times New Roman" w:eastAsia="宋体" w:cs="Times New Roman"/>
                <w:b/>
                <w:bCs/>
                <w:color w:val="000000" w:themeColor="text1"/>
                <w:szCs w:val="21"/>
                <w:highlight w:val="none"/>
                <w:lang w:eastAsia="zh-CN"/>
                <w14:textFill>
                  <w14:solidFill>
                    <w14:schemeClr w14:val="tx1"/>
                  </w14:solidFill>
                </w14:textFill>
              </w:rPr>
              <w:t>，</w:t>
            </w:r>
            <w:r>
              <w:rPr>
                <w:rFonts w:hint="eastAsia" w:ascii="Times New Roman" w:hAnsi="Times New Roman" w:eastAsia="宋体" w:cs="宋体"/>
                <w:b/>
                <w:bCs/>
                <w:color w:val="000000" w:themeColor="text1"/>
                <w:highlight w:val="none"/>
                <w:lang w:eastAsia="zh-CN"/>
                <w14:textFill>
                  <w14:solidFill>
                    <w14:schemeClr w14:val="tx1"/>
                  </w14:solidFill>
                </w14:textFill>
              </w:rPr>
              <w:t>安全生产责任保险费暂估价</w:t>
            </w:r>
            <w:r>
              <w:rPr>
                <w:rFonts w:hint="eastAsia" w:ascii="Times New Roman" w:hAnsi="Times New Roman" w:eastAsia="宋体" w:cs="宋体"/>
                <w:b/>
                <w:bCs/>
                <w:color w:val="000000" w:themeColor="text1"/>
                <w:highlight w:val="none"/>
                <w14:textFill>
                  <w14:solidFill>
                    <w14:schemeClr w14:val="tx1"/>
                  </w14:solidFill>
                </w14:textFill>
              </w:rPr>
              <w:t>应按工程量清单中列出的金额填写</w:t>
            </w:r>
            <w:r>
              <w:rPr>
                <w:rFonts w:hint="eastAsia" w:ascii="Times New Roman" w:hAnsi="Times New Roman" w:eastAsia="宋体" w:cs="宋体"/>
                <w:b/>
                <w:bCs/>
                <w:color w:val="000000" w:themeColor="text1"/>
                <w:highlight w:val="none"/>
                <w:lang w:eastAsia="zh-CN"/>
                <w14:textFill>
                  <w14:solidFill>
                    <w14:schemeClr w14:val="tx1"/>
                  </w14:solidFill>
                </w14:textFill>
              </w:rPr>
              <w:t>，</w:t>
            </w:r>
            <w:r>
              <w:rPr>
                <w:rFonts w:ascii="Times New Roman" w:hAnsi="Times New Roman" w:eastAsia="宋体" w:cs="Times New Roman"/>
                <w:b/>
                <w:bCs/>
                <w:color w:val="000000" w:themeColor="text1"/>
                <w:highlight w:val="none"/>
                <w14:textFill>
                  <w14:solidFill>
                    <w14:schemeClr w14:val="tx1"/>
                  </w14:solidFill>
                </w14:textFill>
              </w:rPr>
              <w:t>否则响应文件按无效响应处理</w:t>
            </w:r>
            <w:r>
              <w:rPr>
                <w:rFonts w:hint="eastAsia" w:ascii="Times New Roman" w:hAnsi="Times New Roman" w:eastAsia="宋体" w:cs="Times New Roman"/>
                <w:color w:val="000000" w:themeColor="text1"/>
                <w:szCs w:val="21"/>
                <w:highlight w:val="none"/>
                <w14:textFill>
                  <w14:solidFill>
                    <w14:schemeClr w14:val="tx1"/>
                  </w14:solidFill>
                </w14:textFill>
              </w:rPr>
              <w:t>；</w:t>
            </w:r>
          </w:p>
          <w:p w14:paraId="2465C6BB">
            <w:pPr>
              <w:keepNext w:val="0"/>
              <w:keepLines w:val="0"/>
              <w:pageBreakBefore w:val="0"/>
              <w:kinsoku/>
              <w:wordWrap/>
              <w:overflowPunct/>
              <w:topLinePunct w:val="0"/>
              <w:bidi w:val="0"/>
              <w:snapToGrid w:val="0"/>
              <w:spacing w:line="360" w:lineRule="auto"/>
              <w:ind w:left="0"/>
              <w:jc w:val="left"/>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（4）计日工应按工程量清单中列出的项目和估算数量，自主确定综合单价并计算计日工总额；计日工单价均不含规费和税金；</w:t>
            </w:r>
          </w:p>
          <w:p w14:paraId="1DD76FE3">
            <w:pPr>
              <w:keepNext w:val="0"/>
              <w:keepLines w:val="0"/>
              <w:pageBreakBefore w:val="0"/>
              <w:kinsoku/>
              <w:wordWrap/>
              <w:overflowPunct/>
              <w:topLinePunct w:val="0"/>
              <w:bidi w:val="0"/>
              <w:snapToGrid w:val="0"/>
              <w:spacing w:line="360" w:lineRule="auto"/>
              <w:ind w:left="0"/>
              <w:jc w:val="left"/>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（5）总承包服务费应根据工程量清单中列出的内容和供应材料、设备情况，按照采购人提出的协调、配合与服务要求和施工现场管理需要自主确定。</w:t>
            </w:r>
          </w:p>
          <w:p w14:paraId="3D24CD67">
            <w:pPr>
              <w:pStyle w:val="180"/>
              <w:keepNext w:val="0"/>
              <w:keepLines w:val="0"/>
              <w:pageBreakBefore w:val="0"/>
              <w:kinsoku/>
              <w:wordWrap/>
              <w:overflowPunct/>
              <w:topLinePunct w:val="0"/>
              <w:bidi w:val="0"/>
              <w:spacing w:line="360" w:lineRule="auto"/>
              <w:ind w:left="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spacing w:val="0"/>
                <w:kern w:val="2"/>
                <w:sz w:val="21"/>
                <w:szCs w:val="21"/>
                <w:highlight w:val="none"/>
                <w:lang w:val="en-US" w:eastAsia="zh-CN" w:bidi="ar-SA"/>
                <w14:textFill>
                  <w14:solidFill>
                    <w14:schemeClr w14:val="tx1"/>
                  </w14:solidFill>
                </w14:textFill>
              </w:rPr>
              <w:t>（6）安全文明施工费和规费、增值税按我区费用定额及造价管理相关文件规定报价（园林绿化及仿古建筑工程除外），否则响应文件按无效响应处理。</w:t>
            </w:r>
          </w:p>
          <w:p w14:paraId="5C84A42D">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9.</w:t>
            </w:r>
            <w:r>
              <w:rPr>
                <w:rFonts w:ascii="Times New Roman" w:hAnsi="Times New Roman" w:eastAsia="宋体" w:cs="Times New Roman"/>
                <w:color w:val="000000" w:themeColor="text1"/>
                <w:highlight w:val="none"/>
                <w14:textFill>
                  <w14:solidFill>
                    <w14:schemeClr w14:val="tx1"/>
                  </w14:solidFill>
                </w14:textFill>
              </w:rPr>
              <w:t>磋商总报价应当与分部分项工程费、措施项目费、其他项目费和规费、增值税的合计金额一致。</w:t>
            </w:r>
          </w:p>
          <w:p w14:paraId="777F387C">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.供应商应按《允许调整主要材料和工程设备一览表》的内容填报，不得擅自调整材料和设备名称型号</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规格、单位、风险系数、基准单价。</w:t>
            </w:r>
          </w:p>
          <w:p w14:paraId="006C31DA">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w:t>
            </w:r>
            <w:r>
              <w:rPr>
                <w:rFonts w:ascii="Times New Roman" w:hAnsi="Times New Roman" w:eastAsia="宋体" w:cs="Times New Roman"/>
                <w:color w:val="000000" w:themeColor="text1"/>
                <w:highlight w:val="none"/>
                <w14:textFill>
                  <w14:solidFill>
                    <w14:schemeClr w14:val="tx1"/>
                  </w14:solidFill>
                </w14:textFill>
              </w:rPr>
              <w:t>.已标价工程量清单表格按本项目工程量清单表格要求填写，并应按竞争性磋商文件的要求，附上《工程量清单综合单价分析表》（表-09）</w:t>
            </w:r>
          </w:p>
          <w:p w14:paraId="29EFE1B3">
            <w:pPr>
              <w:keepNext w:val="0"/>
              <w:keepLines w:val="0"/>
              <w:pageBreakBefore w:val="0"/>
              <w:kinsoku/>
              <w:wordWrap/>
              <w:overflowPunct/>
              <w:topLinePunct w:val="0"/>
              <w:bidi w:val="0"/>
              <w:snapToGrid w:val="0"/>
              <w:spacing w:line="360" w:lineRule="auto"/>
              <w:ind w:left="0"/>
              <w:jc w:val="lef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.未尽事宜详见本项目工程量清单以及现行《计价规范》等有关规定执行。</w:t>
            </w:r>
          </w:p>
          <w:p w14:paraId="455D0C4B">
            <w:pPr>
              <w:keepNext w:val="0"/>
              <w:keepLines w:val="0"/>
              <w:pageBreakBefore w:val="0"/>
              <w:kinsoku/>
              <w:wordWrap/>
              <w:overflowPunct/>
              <w:topLinePunct w:val="0"/>
              <w:bidi w:val="0"/>
              <w:snapToGrid w:val="0"/>
              <w:spacing w:line="360" w:lineRule="auto"/>
              <w:ind w:left="0"/>
              <w:jc w:val="left"/>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13.本项目发布的工程量清单</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图纸等材料的项目名称与本项目采购文件项目名称均不一致，各竞标人在编制清单报价及相关文件时，请统一使用本采购文件的项目名称进行编制，其他不变。</w:t>
            </w:r>
          </w:p>
          <w:p w14:paraId="168D6852">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b/>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b/>
                <w:bCs/>
                <w:color w:val="000000" w:themeColor="text1"/>
                <w:highlight w:val="none"/>
                <w14:textFill>
                  <w14:solidFill>
                    <w14:schemeClr w14:val="tx1"/>
                  </w14:solidFill>
                </w14:textFill>
              </w:rPr>
              <w:t>响应报价（包含首次报价、最后报价）</w:t>
            </w:r>
            <w:r>
              <w:rPr>
                <w:rFonts w:hint="eastAsia" w:ascii="Times New Roman" w:hAnsi="Times New Roman" w:eastAsia="宋体" w:cs="Times New Roman"/>
                <w:b/>
                <w:bCs/>
                <w:color w:val="000000" w:themeColor="text1"/>
                <w:highlight w:val="none"/>
                <w14:textFill>
                  <w14:solidFill>
                    <w14:schemeClr w14:val="tx1"/>
                  </w14:solidFill>
                </w14:textFill>
              </w:rPr>
              <w:t>应提交相应的已标价工程量清单</w:t>
            </w:r>
            <w:r>
              <w:rPr>
                <w:rFonts w:ascii="Times New Roman" w:hAnsi="Times New Roman" w:eastAsia="宋体" w:cs="Times New Roman"/>
                <w:b/>
                <w:bCs/>
                <w:color w:val="000000" w:themeColor="text1"/>
                <w:highlight w:val="none"/>
                <w14:textFill>
                  <w14:solidFill>
                    <w14:schemeClr w14:val="tx1"/>
                  </w14:solidFill>
                </w14:textFill>
              </w:rPr>
              <w:t>，</w:t>
            </w:r>
            <w:r>
              <w:rPr>
                <w:rFonts w:hint="eastAsia" w:ascii="Times New Roman" w:hAnsi="Times New Roman" w:eastAsia="宋体" w:cs="Times New Roman"/>
                <w:b/>
                <w:bCs/>
                <w:color w:val="000000" w:themeColor="text1"/>
                <w:highlight w:val="none"/>
                <w14:textFill>
                  <w14:solidFill>
                    <w14:schemeClr w14:val="tx1"/>
                  </w14:solidFill>
                </w14:textFill>
              </w:rPr>
              <w:t>最后报价</w:t>
            </w:r>
            <w:r>
              <w:rPr>
                <w:rFonts w:hint="eastAsia" w:ascii="宋体" w:hAnsi="宋体" w:eastAsia="宋体" w:cs="宋体"/>
                <w:b/>
                <w:bCs/>
                <w:color w:val="000000" w:themeColor="text1"/>
                <w:szCs w:val="21"/>
                <w:highlight w:val="none"/>
                <w14:textFill>
                  <w14:solidFill>
                    <w14:schemeClr w14:val="tx1"/>
                  </w14:solidFill>
                </w14:textFill>
              </w:rPr>
              <w:t>不得以总价下浮的方式做最后报价</w:t>
            </w:r>
            <w:r>
              <w:rPr>
                <w:rFonts w:hint="eastAsia" w:ascii="宋体" w:hAnsi="宋体" w:eastAsia="宋体" w:cs="宋体"/>
                <w:b/>
                <w:bCs/>
                <w:color w:val="000000" w:themeColor="text1"/>
                <w:szCs w:val="21"/>
                <w:highlight w:val="none"/>
                <w:lang w:eastAsia="zh-CN"/>
                <w14:textFill>
                  <w14:solidFill>
                    <w14:schemeClr w14:val="tx1"/>
                  </w14:solidFill>
                </w14:textFill>
              </w:rPr>
              <w:t>。供应商首次报价、最终报价不一致时，必须以</w:t>
            </w:r>
            <w:r>
              <w:rPr>
                <w:rFonts w:hint="eastAsia" w:ascii="Times New Roman" w:hAnsi="Times New Roman" w:eastAsia="宋体" w:cs="Times New Roman"/>
                <w:b/>
                <w:bCs/>
                <w:color w:val="000000" w:themeColor="text1"/>
                <w:szCs w:val="21"/>
                <w:highlight w:val="none"/>
                <w14:textFill>
                  <w14:solidFill>
                    <w14:schemeClr w14:val="tx1"/>
                  </w14:solidFill>
                </w14:textFill>
              </w:rPr>
              <w:t>已标价工程量清单</w:t>
            </w:r>
            <w:r>
              <w:rPr>
                <w:rFonts w:hint="eastAsia" w:ascii="Times New Roman" w:hAnsi="Times New Roman" w:eastAsia="宋体" w:cs="Times New Roman"/>
                <w:b/>
                <w:bCs/>
                <w:color w:val="000000" w:themeColor="text1"/>
                <w:szCs w:val="21"/>
                <w:highlight w:val="none"/>
                <w:lang w:eastAsia="zh-CN"/>
                <w14:textFill>
                  <w14:solidFill>
                    <w14:schemeClr w14:val="tx1"/>
                  </w14:solidFill>
                </w14:textFill>
              </w:rPr>
              <w:t>的形式提交最终报价，</w:t>
            </w:r>
            <w:r>
              <w:rPr>
                <w:rFonts w:ascii="Times New Roman" w:hAnsi="Times New Roman" w:eastAsia="宋体" w:cs="Times New Roman"/>
                <w:b/>
                <w:bCs/>
                <w:color w:val="000000" w:themeColor="text1"/>
                <w:highlight w:val="none"/>
                <w14:textFill>
                  <w14:solidFill>
                    <w14:schemeClr w14:val="tx1"/>
                  </w14:solidFill>
                </w14:textFill>
              </w:rPr>
              <w:t>否则响应文件按无效响应处理</w:t>
            </w:r>
            <w:r>
              <w:rPr>
                <w:rFonts w:hint="eastAsia" w:ascii="Times New Roman" w:hAnsi="Times New Roman" w:eastAsia="宋体" w:cs="Times New Roman"/>
                <w:b/>
                <w:bCs/>
                <w:color w:val="000000" w:themeColor="text1"/>
                <w:highlight w:val="none"/>
                <w14:textFill>
                  <w14:solidFill>
                    <w14:schemeClr w14:val="tx1"/>
                  </w14:solidFill>
                </w14:textFill>
              </w:rPr>
              <w:t>。</w:t>
            </w:r>
          </w:p>
        </w:tc>
      </w:tr>
      <w:tr w14:paraId="3CFE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5F86C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15.2</w:t>
            </w:r>
          </w:p>
        </w:tc>
        <w:tc>
          <w:tcPr>
            <w:tcW w:w="8356" w:type="dxa"/>
            <w:vAlign w:val="center"/>
          </w:tcPr>
          <w:p w14:paraId="16685E86">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竞争性磋商报价包括为实施和完成合同工程所需的劳务、材料、机械、质检（自检）、安装、缺陷修复、管理、保险、税费、利润以及安全文明施工费等费用，以及合同明示或暗示的所有责任、义务和一般风险。</w:t>
            </w:r>
          </w:p>
        </w:tc>
      </w:tr>
      <w:tr w14:paraId="57A2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A20306C">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15.3</w:t>
            </w:r>
          </w:p>
        </w:tc>
        <w:tc>
          <w:tcPr>
            <w:tcW w:w="8356" w:type="dxa"/>
            <w:vAlign w:val="center"/>
          </w:tcPr>
          <w:p w14:paraId="5FEE64EB">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本工程增值税计税方法：</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一般计税法；</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简易计税法</w:t>
            </w:r>
          </w:p>
        </w:tc>
      </w:tr>
      <w:tr w14:paraId="6199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BA45F3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w:t>
            </w:r>
          </w:p>
        </w:tc>
        <w:tc>
          <w:tcPr>
            <w:tcW w:w="8356" w:type="dxa"/>
            <w:vAlign w:val="center"/>
          </w:tcPr>
          <w:p w14:paraId="3BE52A6D">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竞争性磋商有效期：自首次响应文件提交截止之日起</w:t>
            </w:r>
            <w:r>
              <w:rPr>
                <w:rFonts w:hint="eastAsia" w:ascii="宋体" w:hAnsi="宋体"/>
                <w:color w:val="000000" w:themeColor="text1"/>
                <w:szCs w:val="21"/>
                <w:highlight w:val="none"/>
                <w:lang w:eastAsia="zh-CN"/>
                <w14:textFill>
                  <w14:solidFill>
                    <w14:schemeClr w14:val="tx1"/>
                  </w14:solidFill>
                </w14:textFill>
              </w:rPr>
              <w:t>90日历天</w:t>
            </w:r>
            <w:r>
              <w:rPr>
                <w:rFonts w:hint="eastAsia" w:ascii="宋体" w:hAnsi="宋体"/>
                <w:color w:val="000000" w:themeColor="text1"/>
                <w:szCs w:val="21"/>
                <w:highlight w:val="none"/>
                <w14:textFill>
                  <w14:solidFill>
                    <w14:schemeClr w14:val="tx1"/>
                  </w14:solidFill>
                </w14:textFill>
              </w:rPr>
              <w:t>。</w:t>
            </w:r>
          </w:p>
        </w:tc>
      </w:tr>
      <w:tr w14:paraId="7228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881B1C3">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17.1</w:t>
            </w:r>
          </w:p>
        </w:tc>
        <w:tc>
          <w:tcPr>
            <w:tcW w:w="8356" w:type="dxa"/>
            <w:vAlign w:val="center"/>
          </w:tcPr>
          <w:p w14:paraId="028D618E">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□本项目不收取磋商保证金。</w:t>
            </w:r>
          </w:p>
          <w:p w14:paraId="04E444A7">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sym w:font="Wingdings 2" w:char="F052"/>
            </w:r>
            <w:r>
              <w:rPr>
                <w:rFonts w:hint="eastAsia" w:ascii="宋体" w:hAnsi="宋体"/>
                <w:color w:val="000000" w:themeColor="text1"/>
                <w:szCs w:val="21"/>
                <w:highlight w:val="none"/>
                <w14:textFill>
                  <w14:solidFill>
                    <w14:schemeClr w14:val="tx1"/>
                  </w14:solidFill>
                </w14:textFill>
              </w:rPr>
              <w:t>本项目收取磋商保证金，具体规定如下：</w:t>
            </w:r>
          </w:p>
          <w:p w14:paraId="442A79C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磋商保证金（人民币）：</w:t>
            </w:r>
            <w:r>
              <w:rPr>
                <w:rFonts w:hint="eastAsia" w:ascii="宋体" w:hAnsi="宋体"/>
                <w:color w:val="000000" w:themeColor="text1"/>
                <w:szCs w:val="21"/>
                <w:highlight w:val="none"/>
                <w:lang w:val="en-US" w:eastAsia="zh-CN"/>
                <w14:textFill>
                  <w14:solidFill>
                    <w14:schemeClr w14:val="tx1"/>
                  </w14:solidFill>
                </w14:textFill>
              </w:rPr>
              <w:t>壹万柒仟元整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17000.00</w:t>
            </w:r>
            <w:r>
              <w:rPr>
                <w:rFonts w:hint="eastAsia" w:ascii="宋体" w:hAnsi="宋体"/>
                <w:color w:val="000000" w:themeColor="text1"/>
                <w:szCs w:val="21"/>
                <w:highlight w:val="none"/>
                <w:lang w:val="en-US" w:eastAsia="zh-CN"/>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w:t>
            </w:r>
          </w:p>
          <w:p w14:paraId="2C8DF610">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磋商保证金的缴纳账号信息：</w:t>
            </w:r>
          </w:p>
          <w:p w14:paraId="6BFF309D">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r>
              <w:rPr>
                <w:rFonts w:hint="eastAsia" w:ascii="宋体" w:hAnsi="宋体"/>
                <w:color w:val="000000" w:themeColor="text1"/>
                <w:szCs w:val="21"/>
                <w:highlight w:val="none"/>
                <w:lang w:eastAsia="zh-CN"/>
                <w14:textFill>
                  <w14:solidFill>
                    <w14:schemeClr w14:val="tx1"/>
                  </w14:solidFill>
                </w14:textFill>
              </w:rPr>
              <w:t>广西中信恒泰工程顾问有限公司</w:t>
            </w:r>
          </w:p>
          <w:p w14:paraId="20DB54B2">
            <w:pPr>
              <w:spacing w:line="360" w:lineRule="auto"/>
              <w:jc w:val="lef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olor w:val="000000" w:themeColor="text1"/>
                <w:szCs w:val="21"/>
                <w:highlight w:val="none"/>
                <w:lang w:eastAsia="zh-CN"/>
                <w14:textFill>
                  <w14:solidFill>
                    <w14:schemeClr w14:val="tx1"/>
                  </w14:solidFill>
                </w14:textFill>
              </w:rPr>
              <w:t>建行南宁市金湖广场支行</w:t>
            </w:r>
          </w:p>
          <w:p w14:paraId="4B25C462">
            <w:pPr>
              <w:spacing w:line="360" w:lineRule="auto"/>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银行账号：</w:t>
            </w:r>
            <w:r>
              <w:rPr>
                <w:rFonts w:hint="eastAsia" w:ascii="宋体" w:hAnsi="宋体"/>
                <w:color w:val="000000" w:themeColor="text1"/>
                <w:szCs w:val="21"/>
                <w:highlight w:val="none"/>
                <w:lang w:val="en-US" w:eastAsia="zh-CN"/>
                <w14:textFill>
                  <w14:solidFill>
                    <w14:schemeClr w14:val="tx1"/>
                  </w14:solidFill>
                </w14:textFill>
              </w:rPr>
              <w:t>45001604266052502851</w:t>
            </w:r>
            <w:bookmarkStart w:id="1156" w:name="_GoBack"/>
            <w:bookmarkEnd w:id="1156"/>
          </w:p>
          <w:p w14:paraId="5A69290A">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相关要求：</w:t>
            </w:r>
          </w:p>
          <w:p w14:paraId="0F5854F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磋商保证金的缴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4ABFD2D5">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磋商保证金采用银行转账缴纳方式的，在响应文件提交截止时间前交至指定账户并且到账，供应商应将银行转账底单的复印件作为磋商保证金缴纳凭证，放置于商务技术文件中，否则响应文件按无效响应处理。</w:t>
            </w:r>
          </w:p>
          <w:p w14:paraId="3C08061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磋商保证金采用支票、汇票、本票或者金融、担保机构出具的保函缴纳方式的，供应商应将支票、汇票、本票或者金融、担保机构出具的保函的复印件作为磋商保证金缴纳凭证，放置于商务技术文件中，否则响应文件按无效响应处理。供应商必须在首次响应文件提交截止时间前将支票、汇票、本票或者金融、担保机构出具的保函原件提交给采购代理机构，由采购代理机构向供应商出具回执，并妥善保管。纸质材料现场提交或邮寄地址：，联系人：，。电子材料电子邮箱接收地址：。</w:t>
            </w:r>
          </w:p>
          <w:p w14:paraId="1ADDF8C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2.供应商为联合体的，可以由联合体中的一方或者多方共同缴纳磋商保证金，其缴纳的保证金对联合体各方均具有约束力。</w:t>
            </w:r>
          </w:p>
          <w:p w14:paraId="509E612E">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14:paraId="67030EF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（1）磋商保证金在响应文件提交截止时间后缴纳的，或者不按规定缴纳方式缴纳的，或者未足额缴纳的（包含保函额度不足的），视为无效磋商保证金。</w:t>
            </w:r>
          </w:p>
          <w:p w14:paraId="7B61A065">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（2）供应商采用现钞方式或者从个人账户（自然人参加竞争性磋商除外）转出的磋商保证金，视为无效磋商保证金。</w:t>
            </w:r>
          </w:p>
          <w:p w14:paraId="6B53494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（3）支票、汇票或者本票出现无效或者背书情形的，视为无效磋商保证金。</w:t>
            </w:r>
          </w:p>
          <w:p w14:paraId="752E71DE">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（4）保函有效期短于竞争性磋商有效期的，视为无效磋商保证金。</w:t>
            </w:r>
          </w:p>
          <w:p w14:paraId="11D34C76">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（5）采用银行、保险机构出具保函的，必须为无条件保函，否则视为无效磋商保证金。</w:t>
            </w:r>
          </w:p>
        </w:tc>
      </w:tr>
      <w:tr w14:paraId="721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808DAC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8356" w:type="dxa"/>
            <w:vAlign w:val="center"/>
          </w:tcPr>
          <w:p w14:paraId="76BE004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本项目不接受电子备份响应文件。</w:t>
            </w:r>
          </w:p>
        </w:tc>
      </w:tr>
      <w:tr w14:paraId="4265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0B1ADD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20.1</w:t>
            </w:r>
          </w:p>
        </w:tc>
        <w:tc>
          <w:tcPr>
            <w:tcW w:w="8356" w:type="dxa"/>
            <w:vAlign w:val="center"/>
          </w:tcPr>
          <w:p w14:paraId="0B67BE8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响应文件提交截止时间：详见竞争性磋商公告。</w:t>
            </w:r>
          </w:p>
          <w:p w14:paraId="2605AA5F">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响应文件提交地点：详见竞争性磋商公告。</w:t>
            </w:r>
          </w:p>
        </w:tc>
      </w:tr>
      <w:tr w14:paraId="4ABB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6079EF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24.1</w:t>
            </w:r>
          </w:p>
        </w:tc>
        <w:tc>
          <w:tcPr>
            <w:tcW w:w="8356" w:type="dxa"/>
            <w:vAlign w:val="center"/>
          </w:tcPr>
          <w:p w14:paraId="7D69464F">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磋商小组的人数：</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人。</w:t>
            </w:r>
          </w:p>
        </w:tc>
      </w:tr>
      <w:tr w14:paraId="2204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C664E3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p>
        </w:tc>
        <w:tc>
          <w:tcPr>
            <w:tcW w:w="8356" w:type="dxa"/>
            <w:vAlign w:val="center"/>
          </w:tcPr>
          <w:p w14:paraId="4BD36FD8">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首次响应文件开启时间详见“竞争性磋商公告”。</w:t>
            </w:r>
          </w:p>
          <w:p w14:paraId="09767F79">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首次响应文件解密时间：30分钟。</w:t>
            </w:r>
          </w:p>
        </w:tc>
      </w:tr>
      <w:tr w14:paraId="3DFD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43CE62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p>
        </w:tc>
        <w:tc>
          <w:tcPr>
            <w:tcW w:w="8356" w:type="dxa"/>
            <w:vAlign w:val="center"/>
          </w:tcPr>
          <w:p w14:paraId="1F572C1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商务要求评审中允许负偏离的条款数为0项。</w:t>
            </w:r>
          </w:p>
          <w:p w14:paraId="6E43E6E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技术要求评审中允许负偏离的条款数为0项。</w:t>
            </w:r>
          </w:p>
        </w:tc>
      </w:tr>
      <w:tr w14:paraId="1CB4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6D33A8E">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28.1</w:t>
            </w:r>
          </w:p>
        </w:tc>
        <w:tc>
          <w:tcPr>
            <w:tcW w:w="8356" w:type="dxa"/>
            <w:vAlign w:val="center"/>
          </w:tcPr>
          <w:p w14:paraId="307A420A">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本项目不收取履约保证金。</w:t>
            </w:r>
          </w:p>
          <w:p w14:paraId="5D44350D">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本项目收取履约保证金，具体详见第三章采购需求。</w:t>
            </w:r>
          </w:p>
        </w:tc>
      </w:tr>
      <w:tr w14:paraId="6245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2B57C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p>
        </w:tc>
        <w:tc>
          <w:tcPr>
            <w:tcW w:w="8356" w:type="dxa"/>
            <w:vAlign w:val="center"/>
          </w:tcPr>
          <w:p w14:paraId="476D32A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签订合同携带的证明材料：</w:t>
            </w:r>
          </w:p>
          <w:p w14:paraId="433C93A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1.委托代理人负责签订合同的，须携带授权委托书及委托代理人身份证原件等其他资格证件。</w:t>
            </w:r>
          </w:p>
          <w:p w14:paraId="05F9FC0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2.法定代表人负责签订合同的，须携带法定代表人身份证明原件及身份证原件等其他证明材料。</w:t>
            </w:r>
          </w:p>
        </w:tc>
      </w:tr>
      <w:tr w14:paraId="6086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8F11E8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w:t>
            </w:r>
          </w:p>
        </w:tc>
        <w:tc>
          <w:tcPr>
            <w:tcW w:w="8356" w:type="dxa"/>
            <w:vAlign w:val="center"/>
          </w:tcPr>
          <w:p w14:paraId="452DE99A">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接收质疑函方式：书面形式。</w:t>
            </w:r>
          </w:p>
          <w:p w14:paraId="10E40EBD">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w:t>
            </w:r>
            <w:r>
              <w:rPr>
                <w:rFonts w:hint="eastAsia" w:ascii="宋体" w:hAnsi="宋体"/>
                <w:color w:val="000000" w:themeColor="text1"/>
                <w:szCs w:val="21"/>
                <w:highlight w:val="none"/>
                <w:lang w:eastAsia="zh-CN"/>
                <w14:textFill>
                  <w14:solidFill>
                    <w14:schemeClr w14:val="tx1"/>
                  </w14:solidFill>
                </w14:textFill>
              </w:rPr>
              <w:t>广西中信恒泰工程顾问有限公司</w:t>
            </w:r>
          </w:p>
          <w:p w14:paraId="5C4E39F8">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联系电话：0771-</w:t>
            </w:r>
            <w:r>
              <w:rPr>
                <w:rFonts w:hint="eastAsia" w:ascii="宋体" w:hAnsi="宋体"/>
                <w:color w:val="000000" w:themeColor="text1"/>
                <w:szCs w:val="21"/>
                <w:highlight w:val="none"/>
                <w:lang w:val="en-US" w:eastAsia="zh-CN"/>
                <w14:textFill>
                  <w14:solidFill>
                    <w14:schemeClr w14:val="tx1"/>
                  </w14:solidFill>
                </w14:textFill>
              </w:rPr>
              <w:t>5771602</w:t>
            </w:r>
          </w:p>
          <w:p w14:paraId="4012D807">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通讯地址：</w:t>
            </w:r>
            <w:r>
              <w:rPr>
                <w:rFonts w:hint="eastAsia" w:ascii="宋体" w:hAnsi="宋体"/>
                <w:color w:val="000000" w:themeColor="text1"/>
                <w:szCs w:val="21"/>
                <w:highlight w:val="none"/>
                <w:lang w:eastAsia="zh-CN"/>
                <w14:textFill>
                  <w14:solidFill>
                    <w14:schemeClr w14:val="tx1"/>
                  </w14:solidFill>
                </w14:textFill>
              </w:rPr>
              <w:t>广西南宁市青秀区云景路69号南宁轨道大厦B楼</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lang w:eastAsia="zh-CN"/>
                <w14:textFill>
                  <w14:solidFill>
                    <w14:schemeClr w14:val="tx1"/>
                  </w14:solidFill>
                </w14:textFill>
              </w:rPr>
              <w:t>层</w:t>
            </w:r>
          </w:p>
          <w:p w14:paraId="2DF664D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业务时间：工作日每天上午8：</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到12：00，下午</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到</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w:t>
            </w:r>
          </w:p>
        </w:tc>
      </w:tr>
      <w:tr w14:paraId="65C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0B8946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32.1</w:t>
            </w:r>
          </w:p>
        </w:tc>
        <w:tc>
          <w:tcPr>
            <w:tcW w:w="8356" w:type="dxa"/>
            <w:vAlign w:val="center"/>
          </w:tcPr>
          <w:p w14:paraId="342294F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1.采购代理费支付方式：</w:t>
            </w:r>
          </w:p>
          <w:p w14:paraId="2DB92471">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本项目代理服务费由成交供应商在领取成交通知书前，一次性向采购代理机构支付。</w:t>
            </w:r>
          </w:p>
          <w:p w14:paraId="32B7C7B0">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2.采购代理费收取标准：</w:t>
            </w:r>
          </w:p>
          <w:p w14:paraId="4F746D19">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以成交金额为计费额，按本须知正文第</w:t>
            </w:r>
            <w:r>
              <w:rPr>
                <w:rFonts w:ascii="宋体" w:hAnsi="宋体"/>
                <w:color w:val="000000" w:themeColor="text1"/>
                <w:szCs w:val="21"/>
                <w:highlight w:val="none"/>
                <w14:textFill>
                  <w14:solidFill>
                    <w14:schemeClr w14:val="tx1"/>
                  </w14:solidFill>
                </w14:textFill>
              </w:rPr>
              <w:t>32.2</w:t>
            </w:r>
            <w:r>
              <w:rPr>
                <w:rFonts w:hint="eastAsia" w:ascii="宋体" w:hAnsi="宋体"/>
                <w:color w:val="000000" w:themeColor="text1"/>
                <w:szCs w:val="21"/>
                <w:highlight w:val="none"/>
                <w14:textFill>
                  <w14:solidFill>
                    <w14:schemeClr w14:val="tx1"/>
                  </w14:solidFill>
                </w14:textFill>
              </w:rPr>
              <w:t>条规定的工程类收费标准采用差额定率累进法计算出收费基准价格，采购代理收费以收费基准价格收取。</w:t>
            </w:r>
          </w:p>
          <w:p w14:paraId="408A40D5">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3.采购代理费收取银行账户</w:t>
            </w:r>
          </w:p>
          <w:p w14:paraId="12E602A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r>
              <w:rPr>
                <w:rFonts w:hint="eastAsia" w:hAnsi="宋体" w:cs="宋体"/>
                <w:color w:val="000000" w:themeColor="text1"/>
                <w:sz w:val="21"/>
                <w:lang w:eastAsia="zh-CN"/>
                <w14:textFill>
                  <w14:solidFill>
                    <w14:schemeClr w14:val="tx1"/>
                  </w14:solidFill>
                </w14:textFill>
              </w:rPr>
              <w:t>广西中信恒泰工程顾问有限公司</w:t>
            </w:r>
          </w:p>
          <w:p w14:paraId="1D014B6A">
            <w:pPr>
              <w:spacing w:line="360" w:lineRule="auto"/>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hAnsi="宋体" w:cs="宋体"/>
                <w:color w:val="000000" w:themeColor="text1"/>
                <w:sz w:val="21"/>
                <w:lang w:eastAsia="zh-CN"/>
                <w14:textFill>
                  <w14:solidFill>
                    <w14:schemeClr w14:val="tx1"/>
                  </w14:solidFill>
                </w14:textFill>
              </w:rPr>
              <w:t>建行南宁市金湖广场支行</w:t>
            </w:r>
          </w:p>
          <w:p w14:paraId="55B6ED8F">
            <w:pPr>
              <w:spacing w:line="360" w:lineRule="auto"/>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银行账号：</w:t>
            </w:r>
            <w:r>
              <w:rPr>
                <w:rFonts w:hint="eastAsia" w:ascii="宋体" w:hAnsi="宋体"/>
                <w:color w:val="000000" w:themeColor="text1"/>
                <w:szCs w:val="21"/>
                <w:highlight w:val="none"/>
                <w:lang w:val="en-US" w:eastAsia="zh-CN"/>
                <w14:textFill>
                  <w14:solidFill>
                    <w14:schemeClr w14:val="tx1"/>
                  </w14:solidFill>
                </w14:textFill>
              </w:rPr>
              <w:t>45001604266052502851</w:t>
            </w:r>
          </w:p>
        </w:tc>
      </w:tr>
      <w:tr w14:paraId="65DD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BDB7ED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33.1</w:t>
            </w:r>
          </w:p>
        </w:tc>
        <w:tc>
          <w:tcPr>
            <w:tcW w:w="8356" w:type="dxa"/>
            <w:vAlign w:val="center"/>
          </w:tcPr>
          <w:p w14:paraId="6E9F0707">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205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E55EBA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33.2</w:t>
            </w:r>
          </w:p>
        </w:tc>
        <w:tc>
          <w:tcPr>
            <w:tcW w:w="8356" w:type="dxa"/>
            <w:vAlign w:val="center"/>
          </w:tcPr>
          <w:p w14:paraId="413FA76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14:paraId="42D8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3AFD48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33.3</w:t>
            </w:r>
          </w:p>
        </w:tc>
        <w:tc>
          <w:tcPr>
            <w:tcW w:w="8356" w:type="dxa"/>
            <w:vAlign w:val="center"/>
          </w:tcPr>
          <w:p w14:paraId="6B799ACE">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磋商文件中描述供应商的“公章”是指根据我国对公章的管理规定，用供应商法定主体名称制作的印章或供应商通过指定电子化政府采购平台办理数字证书（CA认证）获得的以法定主体名称制作的电子印章。除本磋商文件有特殊规定外，供应商的财务章、部门章、分公司章、工会章、合同章、投标专用章、业务专用章及银行的转账章、现金收讫章、现金付讫章等其他形式印章均不能代替公章。</w:t>
            </w:r>
          </w:p>
          <w:p w14:paraId="3334C786">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0AD72EB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磋商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7C28879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9E7570B">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5.自然人投标的，磋商文件规定盖公章处由自然人摁手指指印。</w:t>
            </w:r>
          </w:p>
          <w:p w14:paraId="7B032612">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6.本磋商文件所称的“以上”“以下”“以内”“届满”，包括本数；所称的“不满”“超过”“以外”，不包括本数。</w:t>
            </w:r>
          </w:p>
        </w:tc>
      </w:tr>
      <w:tr w14:paraId="12A8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700A88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3.5</w:t>
            </w:r>
          </w:p>
        </w:tc>
        <w:tc>
          <w:tcPr>
            <w:tcW w:w="8356" w:type="dxa"/>
            <w:vAlign w:val="center"/>
          </w:tcPr>
          <w:p w14:paraId="3F4CF032">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现场踏勘：</w:t>
            </w:r>
          </w:p>
          <w:p w14:paraId="05A782C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1.本项目不统一组织现场踏勘，供应商如需全面了解项目现场情况，可自行前往现场踏勘。如因不了解现场导致投标失误由供应商自行承担后果。</w:t>
            </w:r>
          </w:p>
          <w:p w14:paraId="06502917">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2.供应商承担踏勘现场所发生的费用和自身安全责任。</w:t>
            </w:r>
          </w:p>
          <w:p w14:paraId="4C451E50">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3.采购人不对供应商在踏勘现场后做出的判断和决策负责。</w:t>
            </w:r>
          </w:p>
        </w:tc>
      </w:tr>
    </w:tbl>
    <w:p w14:paraId="6E77DAA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70D4E7C">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24889589">
      <w:pPr>
        <w:pStyle w:val="3"/>
        <w:jc w:val="center"/>
        <w:rPr>
          <w:color w:val="000000" w:themeColor="text1"/>
          <w:highlight w:val="none"/>
          <w14:textFill>
            <w14:solidFill>
              <w14:schemeClr w14:val="tx1"/>
            </w14:solidFill>
          </w14:textFill>
        </w:rPr>
      </w:pPr>
      <w:bookmarkStart w:id="12" w:name="_Toc22737"/>
      <w:bookmarkStart w:id="13" w:name="_Toc29101"/>
      <w:r>
        <w:rPr>
          <w:rFonts w:hint="eastAsia"/>
          <w:color w:val="000000" w:themeColor="text1"/>
          <w:highlight w:val="none"/>
          <w14:textFill>
            <w14:solidFill>
              <w14:schemeClr w14:val="tx1"/>
            </w14:solidFill>
          </w14:textFill>
        </w:rPr>
        <w:t>二、供应商须知正文</w:t>
      </w:r>
      <w:bookmarkEnd w:id="12"/>
      <w:bookmarkEnd w:id="13"/>
    </w:p>
    <w:p w14:paraId="26DD5BDF">
      <w:pPr>
        <w:pStyle w:val="4"/>
        <w:jc w:val="left"/>
        <w:rPr>
          <w:rFonts w:ascii="宋体" w:hAnsi="宋体" w:eastAsia="宋体"/>
          <w:color w:val="000000" w:themeColor="text1"/>
          <w:sz w:val="28"/>
          <w:szCs w:val="28"/>
          <w:highlight w:val="none"/>
          <w14:textFill>
            <w14:solidFill>
              <w14:schemeClr w14:val="tx1"/>
            </w14:solidFill>
          </w14:textFill>
        </w:rPr>
      </w:pPr>
      <w:bookmarkStart w:id="14" w:name="_Toc30884"/>
      <w:bookmarkStart w:id="15" w:name="_Toc2178"/>
      <w:r>
        <w:rPr>
          <w:rFonts w:hint="eastAsia" w:ascii="宋体" w:hAnsi="宋体" w:eastAsia="宋体"/>
          <w:color w:val="000000" w:themeColor="text1"/>
          <w:sz w:val="28"/>
          <w:szCs w:val="28"/>
          <w:highlight w:val="none"/>
          <w14:textFill>
            <w14:solidFill>
              <w14:schemeClr w14:val="tx1"/>
            </w14:solidFill>
          </w14:textFill>
        </w:rPr>
        <w:t>（一）总则</w:t>
      </w:r>
      <w:bookmarkEnd w:id="14"/>
      <w:bookmarkEnd w:id="15"/>
    </w:p>
    <w:p w14:paraId="151A4F35">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1.适用范围</w:t>
      </w:r>
    </w:p>
    <w:p w14:paraId="2D5D6BE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400AFD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1.2本竞争性磋商文件（以下简称磋商文件）适用于本项目的所有采购程序和环节（法律、法规另有规定的，从其规定）。</w:t>
      </w:r>
    </w:p>
    <w:p w14:paraId="5965C24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2.定义</w:t>
      </w:r>
    </w:p>
    <w:p w14:paraId="2FDB50F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2.1“采购人”是指依法进行政府采购的国家机关、事业单位、团体组织。</w:t>
      </w:r>
    </w:p>
    <w:p w14:paraId="0BBD395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754EA2B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2.3“供应商”是指向采购人提供货物、工程或者服务的法人、其他组织或者自然人。</w:t>
      </w:r>
    </w:p>
    <w:p w14:paraId="64C6137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2.4“工程”是指建设工程，包括建筑物和构筑物的新建、改建、扩建、装修、拆除、修缮等。</w:t>
      </w:r>
    </w:p>
    <w:p w14:paraId="1DE577C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2.5“竞争性磋商”是指供应商按照本项目竞争性磋商公告或者邀请函规定的方式获取磋商文件、提交响应文件并希望获得标的的行为。</w:t>
      </w:r>
    </w:p>
    <w:p w14:paraId="0731B67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19318F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2.7“响应文件”是指：供应商根据本磋商文件要求，编制包含资格证明、报价、商务技术等所有内容的文件。</w:t>
      </w:r>
    </w:p>
    <w:p w14:paraId="1D4EA80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2.8“实质性要求”是指磋商文件中已经指明不满足则响应文件按无效处理的条款，或者不能负偏离的条款，或者采购需求中带“▲”的条款。</w:t>
      </w:r>
    </w:p>
    <w:p w14:paraId="6D91305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75F7857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2.10“负偏离”，是指响应文件对磋商文件“采购需求”中有关条款作出的响应不满足条款要求，导致采购人要求不能得到满足的情形。</w:t>
      </w:r>
    </w:p>
    <w:p w14:paraId="33C811C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2.11“允许负偏离的条款”是指采购需求中的不属于“实质性要求”的条款。</w:t>
      </w:r>
    </w:p>
    <w:p w14:paraId="1D5DE5C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2.12“首次报价”是指供应商提交的首次响应文件中的报价。</w:t>
      </w:r>
    </w:p>
    <w:p w14:paraId="3644631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7899A5B1">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3.供应商的资格条件</w:t>
      </w:r>
    </w:p>
    <w:p w14:paraId="397676A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供应商的资格条件详见“供应商须知前附表”。</w:t>
      </w:r>
    </w:p>
    <w:p w14:paraId="10B3C2F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4.磋商费用</w:t>
      </w:r>
    </w:p>
    <w:p w14:paraId="5B4B115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供应商应承担参与本次采购活动有关的所有费用，包括但不限于获取磋商文件、勘查现场、编制和提交响应文件、参加磋商与应答、签订合同等，不论竞争性磋商结果如何，均应自行承担。</w:t>
      </w:r>
    </w:p>
    <w:p w14:paraId="69E5E6E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5.联合体参加竞争性磋商</w:t>
      </w:r>
    </w:p>
    <w:p w14:paraId="33D784F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5.1本项目是否接受联合体参加竞争性磋商，详见“供应商须知前附表”。</w:t>
      </w:r>
    </w:p>
    <w:p w14:paraId="6E14737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5.2如接受联合体参加竞争性磋商，相关要求详见“供应商须知前附表”。</w:t>
      </w:r>
    </w:p>
    <w:p w14:paraId="219E422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5.3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4F5C5BF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6.转包与分包</w:t>
      </w:r>
    </w:p>
    <w:p w14:paraId="2541A48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6.1本项目不允许转包。</w:t>
      </w:r>
    </w:p>
    <w:p w14:paraId="6251513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64A58F1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3E6F0C3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6.4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4%-6%（工程项目为1%-2%）的扣除，用扣除后的价格参加评审。接受分包的小微企业与分包企业之间存在直接控股、管理关系的，不享受价格扣除优惠政策。</w:t>
      </w:r>
    </w:p>
    <w:p w14:paraId="45358AC7">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7.特别说明</w:t>
      </w:r>
    </w:p>
    <w:p w14:paraId="3219CF7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7.1如果本磋商文件要求提供供应商或制造商的资格、信誉、荣誉、业绩与企业认证等材料的，资格、信誉、荣誉、业绩与企业认证等必须为供应商或者制造商所拥有或自身获得。</w:t>
      </w:r>
    </w:p>
    <w:p w14:paraId="23397DB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6F97F19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7.3供应商在竞争性磋商活动中提供任何虚假材料谋取成交的，将报财政部门查处；签订合同后发现的，按照相关法律执行。</w:t>
      </w:r>
    </w:p>
    <w:p w14:paraId="331C75E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7.4在政府采购活动中，采购人员及相关人员与供应商有下列利害关系之一的，应当回避：</w:t>
      </w:r>
    </w:p>
    <w:p w14:paraId="65E46B3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（1）参加采购活动前3年内与供应商存在劳动关系；</w:t>
      </w:r>
    </w:p>
    <w:p w14:paraId="06F3368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（2）参加采购活动前3年内担任供应商的董事、监事；</w:t>
      </w:r>
    </w:p>
    <w:p w14:paraId="3B80202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（3）参加采购活动前3年内是供应商的控股股东或者实际控制人；</w:t>
      </w:r>
    </w:p>
    <w:p w14:paraId="3D5D5D3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41CDEEE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（5）与供应商有其他可能影响政府采购活动公平、公正进行的关系。</w:t>
      </w:r>
    </w:p>
    <w:p w14:paraId="145311A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D8DF3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7.5有下列情形之一的视为供应商相互串通竞争性磋商，响应文件将被视为无效：</w:t>
      </w:r>
    </w:p>
    <w:p w14:paraId="07F795D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（1）不同供应商的响应文件由同一单位或者个人编制，或者不同供应商报名的IP地址一致的；</w:t>
      </w:r>
    </w:p>
    <w:p w14:paraId="403B818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（2）不同供应商委托同一单位或者个人办理竞争性磋商事宜；</w:t>
      </w:r>
    </w:p>
    <w:p w14:paraId="45E471D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（3）不同的供应商的响应文件载明的项目管理员为同一个人；</w:t>
      </w:r>
    </w:p>
    <w:p w14:paraId="67EFB9C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（4）不同供应商的响应文件异常一致或者报价呈规律性差异；</w:t>
      </w:r>
    </w:p>
    <w:p w14:paraId="72B76A2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（5）不同供应商的响应文件相互混装；</w:t>
      </w:r>
    </w:p>
    <w:p w14:paraId="01711A7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eastAsia="宋体"/>
          <w:color w:val="000000" w:themeColor="text1"/>
          <w:szCs w:val="21"/>
          <w:highlight w:val="none"/>
          <w14:textFill>
            <w14:solidFill>
              <w14:schemeClr w14:val="tx1"/>
            </w14:solidFill>
          </w14:textFill>
        </w:rPr>
        <w:tab/>
      </w:r>
    </w:p>
    <w:p w14:paraId="6B11F4A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7.6供应商有下列情形之一的，属于恶意串通行为，将报同级监督管理部门：</w:t>
      </w:r>
    </w:p>
    <w:p w14:paraId="2AE413F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0ADFF4C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（2）供应商按照采购人或者采购代理机构的授意撤换、修改响应文件；</w:t>
      </w:r>
    </w:p>
    <w:p w14:paraId="4CBE59A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（3）供应商之间协商报价、技术方案等响应文件或者响应文件的实质性内容；</w:t>
      </w:r>
    </w:p>
    <w:p w14:paraId="3D82099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40B719A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（5）供应商之间事先约定一致抬高或者压低报价，或者在政府采购活动中事先约定轮流以高价位或者低价位成交，或者事先约定由某一特定供应商成交，然后再参加竞争性磋商；</w:t>
      </w:r>
    </w:p>
    <w:p w14:paraId="4B61260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（6）供应商之间商定部分供应商放弃参加政府采购活动或者放弃成交；</w:t>
      </w:r>
    </w:p>
    <w:p w14:paraId="68FC405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303C4D9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7.7磋商委托</w:t>
      </w:r>
    </w:p>
    <w:p w14:paraId="1479CF2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供应商代表参加磋商活动过程中必须携带个人有效身份证件。如供应商代表不是法定代表人，须持有授权委托书（按第六章要求格式填写）。</w:t>
      </w:r>
    </w:p>
    <w:p w14:paraId="200E076E">
      <w:pPr>
        <w:pStyle w:val="4"/>
        <w:jc w:val="left"/>
        <w:rPr>
          <w:rFonts w:ascii="宋体" w:hAnsi="宋体" w:eastAsia="宋体"/>
          <w:color w:val="000000" w:themeColor="text1"/>
          <w:sz w:val="28"/>
          <w:szCs w:val="28"/>
          <w:highlight w:val="none"/>
          <w14:textFill>
            <w14:solidFill>
              <w14:schemeClr w14:val="tx1"/>
            </w14:solidFill>
          </w14:textFill>
        </w:rPr>
      </w:pPr>
      <w:bookmarkStart w:id="16" w:name="_Toc3550"/>
      <w:bookmarkStart w:id="17" w:name="_Toc3892"/>
      <w:r>
        <w:rPr>
          <w:rFonts w:hint="eastAsia" w:ascii="宋体" w:hAnsi="宋体" w:eastAsia="宋体"/>
          <w:color w:val="000000" w:themeColor="text1"/>
          <w:sz w:val="28"/>
          <w:szCs w:val="28"/>
          <w:highlight w:val="none"/>
          <w14:textFill>
            <w14:solidFill>
              <w14:schemeClr w14:val="tx1"/>
            </w14:solidFill>
          </w14:textFill>
        </w:rPr>
        <w:t>（二）磋商文件</w:t>
      </w:r>
      <w:bookmarkEnd w:id="16"/>
      <w:bookmarkEnd w:id="17"/>
    </w:p>
    <w:p w14:paraId="553FDA21">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8.磋商文件的构成</w:t>
      </w:r>
    </w:p>
    <w:p w14:paraId="0DA015A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第一</w:t>
      </w:r>
      <w:r>
        <w:rPr>
          <w:rFonts w:hint="eastAsia" w:ascii="宋体" w:hAnsi="宋体" w:eastAsia="宋体"/>
          <w:color w:val="000000" w:themeColor="text1"/>
          <w:spacing w:val="100"/>
          <w:szCs w:val="21"/>
          <w:highlight w:val="none"/>
          <w14:textFill>
            <w14:solidFill>
              <w14:schemeClr w14:val="tx1"/>
            </w14:solidFill>
          </w14:textFill>
        </w:rPr>
        <w:t>章</w:t>
      </w:r>
      <w:r>
        <w:rPr>
          <w:rFonts w:hint="eastAsia" w:ascii="宋体" w:hAnsi="宋体" w:eastAsia="宋体"/>
          <w:color w:val="000000" w:themeColor="text1"/>
          <w:szCs w:val="21"/>
          <w:highlight w:val="none"/>
          <w14:textFill>
            <w14:solidFill>
              <w14:schemeClr w14:val="tx1"/>
            </w14:solidFill>
          </w14:textFill>
        </w:rPr>
        <w:t>竞争性磋商公告；</w:t>
      </w:r>
    </w:p>
    <w:p w14:paraId="516B969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第二</w:t>
      </w:r>
      <w:r>
        <w:rPr>
          <w:rFonts w:hint="eastAsia" w:ascii="宋体" w:hAnsi="宋体" w:eastAsia="宋体"/>
          <w:color w:val="000000" w:themeColor="text1"/>
          <w:spacing w:val="100"/>
          <w:szCs w:val="21"/>
          <w:highlight w:val="none"/>
          <w14:textFill>
            <w14:solidFill>
              <w14:schemeClr w14:val="tx1"/>
            </w14:solidFill>
          </w14:textFill>
        </w:rPr>
        <w:t>章</w:t>
      </w:r>
      <w:r>
        <w:rPr>
          <w:rFonts w:hint="eastAsia" w:ascii="宋体" w:hAnsi="宋体" w:eastAsia="宋体"/>
          <w:color w:val="000000" w:themeColor="text1"/>
          <w:szCs w:val="21"/>
          <w:highlight w:val="none"/>
          <w14:textFill>
            <w14:solidFill>
              <w14:schemeClr w14:val="tx1"/>
            </w14:solidFill>
          </w14:textFill>
        </w:rPr>
        <w:t>供应商须知；</w:t>
      </w:r>
    </w:p>
    <w:p w14:paraId="277BE58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第三</w:t>
      </w:r>
      <w:r>
        <w:rPr>
          <w:rFonts w:hint="eastAsia" w:ascii="宋体" w:hAnsi="宋体" w:eastAsia="宋体"/>
          <w:color w:val="000000" w:themeColor="text1"/>
          <w:spacing w:val="100"/>
          <w:szCs w:val="21"/>
          <w:highlight w:val="none"/>
          <w14:textFill>
            <w14:solidFill>
              <w14:schemeClr w14:val="tx1"/>
            </w14:solidFill>
          </w14:textFill>
        </w:rPr>
        <w:t>章</w:t>
      </w:r>
      <w:r>
        <w:rPr>
          <w:rFonts w:hint="eastAsia" w:ascii="宋体" w:hAnsi="宋体" w:eastAsia="宋体"/>
          <w:color w:val="000000" w:themeColor="text1"/>
          <w:szCs w:val="21"/>
          <w:highlight w:val="none"/>
          <w14:textFill>
            <w14:solidFill>
              <w14:schemeClr w14:val="tx1"/>
            </w14:solidFill>
          </w14:textFill>
        </w:rPr>
        <w:t>采购需求；</w:t>
      </w:r>
    </w:p>
    <w:p w14:paraId="5722713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第四</w:t>
      </w:r>
      <w:r>
        <w:rPr>
          <w:rFonts w:hint="eastAsia" w:ascii="宋体" w:hAnsi="宋体" w:eastAsia="宋体"/>
          <w:color w:val="000000" w:themeColor="text1"/>
          <w:spacing w:val="100"/>
          <w:szCs w:val="21"/>
          <w:highlight w:val="none"/>
          <w14:textFill>
            <w14:solidFill>
              <w14:schemeClr w14:val="tx1"/>
            </w14:solidFill>
          </w14:textFill>
        </w:rPr>
        <w:t>章</w:t>
      </w:r>
      <w:r>
        <w:rPr>
          <w:rFonts w:hint="eastAsia" w:ascii="宋体" w:hAnsi="宋体" w:eastAsia="宋体"/>
          <w:color w:val="000000" w:themeColor="text1"/>
          <w:szCs w:val="21"/>
          <w:highlight w:val="none"/>
          <w14:textFill>
            <w14:solidFill>
              <w14:schemeClr w14:val="tx1"/>
            </w14:solidFill>
          </w14:textFill>
        </w:rPr>
        <w:t>评审程序、评审方法和评审标准；</w:t>
      </w:r>
    </w:p>
    <w:p w14:paraId="5F5E5C1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第五</w:t>
      </w:r>
      <w:r>
        <w:rPr>
          <w:rFonts w:hint="eastAsia" w:ascii="宋体" w:hAnsi="宋体" w:eastAsia="宋体"/>
          <w:color w:val="000000" w:themeColor="text1"/>
          <w:spacing w:val="100"/>
          <w:szCs w:val="21"/>
          <w:highlight w:val="none"/>
          <w14:textFill>
            <w14:solidFill>
              <w14:schemeClr w14:val="tx1"/>
            </w14:solidFill>
          </w14:textFill>
        </w:rPr>
        <w:t>章</w:t>
      </w:r>
      <w:r>
        <w:rPr>
          <w:rFonts w:hint="eastAsia" w:ascii="宋体" w:hAnsi="宋体" w:eastAsia="宋体"/>
          <w:color w:val="000000" w:themeColor="text1"/>
          <w:szCs w:val="21"/>
          <w:highlight w:val="none"/>
          <w14:textFill>
            <w14:solidFill>
              <w14:schemeClr w14:val="tx1"/>
            </w14:solidFill>
          </w14:textFill>
        </w:rPr>
        <w:t>工程量清单</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图纸；</w:t>
      </w:r>
    </w:p>
    <w:p w14:paraId="4200BE8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第六</w:t>
      </w:r>
      <w:r>
        <w:rPr>
          <w:rFonts w:hint="eastAsia" w:ascii="宋体" w:hAnsi="宋体" w:eastAsia="宋体"/>
          <w:color w:val="000000" w:themeColor="text1"/>
          <w:spacing w:val="100"/>
          <w:szCs w:val="21"/>
          <w:highlight w:val="none"/>
          <w14:textFill>
            <w14:solidFill>
              <w14:schemeClr w14:val="tx1"/>
            </w14:solidFill>
          </w14:textFill>
        </w:rPr>
        <w:t>章</w:t>
      </w:r>
      <w:r>
        <w:rPr>
          <w:rFonts w:hint="eastAsia" w:ascii="宋体" w:hAnsi="宋体" w:eastAsia="宋体"/>
          <w:color w:val="000000" w:themeColor="text1"/>
          <w:szCs w:val="21"/>
          <w:highlight w:val="none"/>
          <w14:textFill>
            <w14:solidFill>
              <w14:schemeClr w14:val="tx1"/>
            </w14:solidFill>
          </w14:textFill>
        </w:rPr>
        <w:t>响应文件格式；</w:t>
      </w:r>
    </w:p>
    <w:p w14:paraId="3199C31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第七</w:t>
      </w:r>
      <w:r>
        <w:rPr>
          <w:rFonts w:hint="eastAsia" w:ascii="宋体" w:hAnsi="宋体" w:eastAsia="宋体"/>
          <w:color w:val="000000" w:themeColor="text1"/>
          <w:spacing w:val="100"/>
          <w:szCs w:val="21"/>
          <w:highlight w:val="none"/>
          <w14:textFill>
            <w14:solidFill>
              <w14:schemeClr w14:val="tx1"/>
            </w14:solidFill>
          </w14:textFill>
        </w:rPr>
        <w:t>章</w:t>
      </w:r>
      <w:r>
        <w:rPr>
          <w:rFonts w:hint="eastAsia" w:ascii="宋体" w:hAnsi="宋体" w:eastAsia="宋体"/>
          <w:color w:val="000000" w:themeColor="text1"/>
          <w:szCs w:val="21"/>
          <w:highlight w:val="none"/>
          <w14:textFill>
            <w14:solidFill>
              <w14:schemeClr w14:val="tx1"/>
            </w14:solidFill>
          </w14:textFill>
        </w:rPr>
        <w:t>合同文本；</w:t>
      </w:r>
    </w:p>
    <w:p w14:paraId="72DD39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第八</w:t>
      </w:r>
      <w:r>
        <w:rPr>
          <w:rFonts w:ascii="宋体" w:hAnsi="宋体" w:eastAsia="宋体"/>
          <w:color w:val="000000" w:themeColor="text1"/>
          <w:spacing w:val="100"/>
          <w:szCs w:val="21"/>
          <w:highlight w:val="none"/>
          <w14:textFill>
            <w14:solidFill>
              <w14:schemeClr w14:val="tx1"/>
            </w14:solidFill>
          </w14:textFill>
        </w:rPr>
        <w:t>章</w:t>
      </w:r>
      <w:r>
        <w:rPr>
          <w:rFonts w:ascii="宋体" w:hAnsi="宋体" w:eastAsia="宋体"/>
          <w:color w:val="000000" w:themeColor="text1"/>
          <w:szCs w:val="21"/>
          <w:highlight w:val="none"/>
          <w14:textFill>
            <w14:solidFill>
              <w14:schemeClr w14:val="tx1"/>
            </w14:solidFill>
          </w14:textFill>
        </w:rPr>
        <w:t>质疑、投诉材料格式</w:t>
      </w:r>
      <w:r>
        <w:rPr>
          <w:rFonts w:hint="eastAsia" w:ascii="宋体" w:hAnsi="宋体" w:eastAsia="宋体"/>
          <w:color w:val="000000" w:themeColor="text1"/>
          <w:szCs w:val="21"/>
          <w:highlight w:val="none"/>
          <w14:textFill>
            <w14:solidFill>
              <w14:schemeClr w14:val="tx1"/>
            </w14:solidFill>
          </w14:textFill>
        </w:rPr>
        <w:t>。</w:t>
      </w:r>
    </w:p>
    <w:p w14:paraId="2BEDBA77">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9.供应商的询问</w:t>
      </w:r>
    </w:p>
    <w:p w14:paraId="5A17247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4DE129D">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10.磋商文件的澄清和修改</w:t>
      </w:r>
    </w:p>
    <w:p w14:paraId="167CEBC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10.1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时间至少5日前，在原公告发布媒体上发布更正公告，并以书面形式通知所有获取磋商文件的供应商，不足</w:t>
      </w:r>
      <w:r>
        <w:rPr>
          <w:rFonts w:ascii="宋体" w:hAnsi="宋体" w:eastAsia="宋体"/>
          <w:color w:val="000000" w:themeColor="text1"/>
          <w:szCs w:val="21"/>
          <w:highlight w:val="none"/>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日的，应当顺延提交首次响应文件截止时间。</w:t>
      </w:r>
    </w:p>
    <w:p w14:paraId="516DE37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10.2采购人和采购代理机构可以视采购具体情况，变更首次响应文件提交截止时间和开启时间，并在原公告发布媒体上发布更正公告。</w:t>
      </w:r>
    </w:p>
    <w:p w14:paraId="7FBD4D6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10.3磋商文件澄清、答复、修改、补充的内容为磋商文件的组成部分。当磋商文件与磋商文件的澄清、答复、修改、补充通知就同一内容的表述不一致时，以最后发出的文件为准。</w:t>
      </w:r>
    </w:p>
    <w:p w14:paraId="1C50946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10.4响应文件未按磋商文件的澄清、修改后的内容编制的，其响应文件作无效响应处理。</w:t>
      </w:r>
    </w:p>
    <w:p w14:paraId="5A5A4800">
      <w:pPr>
        <w:pStyle w:val="4"/>
        <w:jc w:val="left"/>
        <w:rPr>
          <w:rFonts w:ascii="宋体" w:hAnsi="宋体" w:eastAsia="宋体"/>
          <w:color w:val="000000" w:themeColor="text1"/>
          <w:sz w:val="28"/>
          <w:szCs w:val="28"/>
          <w:highlight w:val="none"/>
          <w14:textFill>
            <w14:solidFill>
              <w14:schemeClr w14:val="tx1"/>
            </w14:solidFill>
          </w14:textFill>
        </w:rPr>
      </w:pPr>
      <w:bookmarkStart w:id="18" w:name="_Toc22970"/>
      <w:bookmarkStart w:id="19" w:name="_Toc13059"/>
      <w:r>
        <w:rPr>
          <w:rFonts w:hint="eastAsia" w:ascii="宋体" w:hAnsi="宋体" w:eastAsia="宋体"/>
          <w:color w:val="000000" w:themeColor="text1"/>
          <w:sz w:val="28"/>
          <w:szCs w:val="28"/>
          <w:highlight w:val="none"/>
          <w14:textFill>
            <w14:solidFill>
              <w14:schemeClr w14:val="tx1"/>
            </w14:solidFill>
          </w14:textFill>
        </w:rPr>
        <w:t>（三）响应文件的编制</w:t>
      </w:r>
      <w:bookmarkEnd w:id="18"/>
      <w:bookmarkEnd w:id="19"/>
    </w:p>
    <w:p w14:paraId="5489094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11.响应文件的编制原则</w:t>
      </w:r>
    </w:p>
    <w:p w14:paraId="2834F9F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1366ACD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12.响应文件的组成</w:t>
      </w:r>
    </w:p>
    <w:p w14:paraId="650240D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12.1响应文件由资格证明文件、报价文件、商务技术文件三部分组成。</w:t>
      </w:r>
    </w:p>
    <w:p w14:paraId="227F99C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12.1.1资格证明文件：详见“供应商须知前附表”。</w:t>
      </w:r>
    </w:p>
    <w:p w14:paraId="143A6CC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12.1.2报价文件：详见“供应商须知前附表”。</w:t>
      </w:r>
    </w:p>
    <w:p w14:paraId="206C358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12.1.3商务技术文件：详见“供应商须知前附表”。</w:t>
      </w:r>
    </w:p>
    <w:p w14:paraId="724E8C6D">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13.计量单位</w:t>
      </w:r>
    </w:p>
    <w:p w14:paraId="4A6E32A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098F5E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14.竞争性磋商的风险</w:t>
      </w:r>
    </w:p>
    <w:p w14:paraId="071D4C6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0A07A29F">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15.竞争性磋商报价</w:t>
      </w:r>
    </w:p>
    <w:p w14:paraId="61F65F0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15.1竞争性磋商报价应按磋商文件中“竞争性磋商报价表”格式填写。</w:t>
      </w:r>
    </w:p>
    <w:p w14:paraId="43A866A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15.2竞争性磋商报价的内容见“供应商须知前附表”。</w:t>
      </w:r>
    </w:p>
    <w:p w14:paraId="2E76BB0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15.3本项目的增值税计税方法见“供应商须知前附表”。</w:t>
      </w:r>
    </w:p>
    <w:p w14:paraId="1BF1FBB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15.4竞争性磋商报价要求：</w:t>
      </w:r>
    </w:p>
    <w:p w14:paraId="2D53A00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15.4.1供应商的竞争性磋商报价应符合以下要求，否则响应文件按无效响应处理：</w:t>
      </w:r>
    </w:p>
    <w:p w14:paraId="7C3038D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（1）供应商必须就“采购需求”中所参加竞争性磋商的每个分标的全部内容分别作完整唯一报价，不得存在漏项报价；</w:t>
      </w:r>
    </w:p>
    <w:p w14:paraId="61015E5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（2）供应商必须就所参加竞争性磋商的分标的单项内容作唯一报价。</w:t>
      </w:r>
    </w:p>
    <w:p w14:paraId="0C8CAEA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15.4.2竞争性磋商报价（包含首次报价、最后报价）超过所参加竞争性磋商分标规定的采购预算金额或者最高限价的，其响应文件将按无效处理。</w:t>
      </w:r>
    </w:p>
    <w:p w14:paraId="0C1448D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15.4.3竞争性磋商报价（包含首次报价、最后报价）超过分项采购预算金额或者最高限价的，其响应文件将按无效处理。</w:t>
      </w:r>
    </w:p>
    <w:p w14:paraId="013ACDE7">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16.竞争性磋商有效期</w:t>
      </w:r>
    </w:p>
    <w:p w14:paraId="47F9C51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16.1竞争性磋商有效期是指为保证采购人有足够的时间在提交响应文件后完成评审、确定成交供应商、合同签订等工作而要求供应商提交的响应文件在一定时间内保持有效的期限。</w:t>
      </w:r>
    </w:p>
    <w:p w14:paraId="540A3F8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16.2竞争性磋商有效期应由供应商按“供应商须知前附表”规定的期限作出响应。</w:t>
      </w:r>
    </w:p>
    <w:p w14:paraId="2834B46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16.3供应商的响应文件在竞争性磋商有效期内均保持有效。</w:t>
      </w:r>
    </w:p>
    <w:p w14:paraId="08F9A565">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17.磋商保证金</w:t>
      </w:r>
    </w:p>
    <w:p w14:paraId="6C4ABC3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17.1供应商须按“供应商须知前附表”的规定缴纳磋商保证金。</w:t>
      </w:r>
    </w:p>
    <w:p w14:paraId="0A23E1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17.2磋商保证金的退还</w:t>
      </w:r>
    </w:p>
    <w:p w14:paraId="1D82489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未成交供应商的磋商保证金自成交通知书发出之日起5个工作日内退还；成交供应商的磋商保证金自签订合同之日起5个工作日内退还成交供应商。</w:t>
      </w:r>
    </w:p>
    <w:p w14:paraId="2A27F9D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17.3磋商保证金不计息。</w:t>
      </w:r>
    </w:p>
    <w:p w14:paraId="5AA861E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17.4供应商有下列情形之一的，磋商保证金将不予退还：</w:t>
      </w:r>
    </w:p>
    <w:p w14:paraId="08C1C37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（1）供应商在提交响应文件截止时间后撤回响应文件的；</w:t>
      </w:r>
    </w:p>
    <w:p w14:paraId="79182A2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）供应商在响应文件中提供虚假材料的；</w:t>
      </w:r>
    </w:p>
    <w:p w14:paraId="2F163FF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）除因不可抗力或者磋商文件认可的情形以外，成交供应商不与采购人签订合同的；</w:t>
      </w:r>
    </w:p>
    <w:p w14:paraId="03A17F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）供应商与采购人、其他供应商或者采购代理机构恶意串通的；</w:t>
      </w:r>
    </w:p>
    <w:p w14:paraId="659EE97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）法律法规规定的其他情形。</w:t>
      </w:r>
    </w:p>
    <w:p w14:paraId="1C6EA72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18.响应文件编制的要求</w:t>
      </w:r>
    </w:p>
    <w:p w14:paraId="5C0EB2B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18.1供应商应安装客户端软件—“广西政府采购云平台新版客户端”，并按照磋商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14:paraId="3AEA2D5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磋商过程中能够对相关数据电文进行加密和使用电子签章。使用“广西政府采购云平台电子交易客户端”需要提前申领CA数字证书。</w:t>
      </w:r>
    </w:p>
    <w:p w14:paraId="44DADBF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18.3响应文件须由供应商按采购文件要求签字、盖章（具体以供应商须知前附表或响应文件格式规定为准），否则按无效响应处理。</w:t>
      </w:r>
    </w:p>
    <w:p w14:paraId="1B357FC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18.4响应文件中标注的供应商名称应与主体资格证明（如营业执照或者事业单位法人证书或者执业许可证或者登记证书等）及公章一致，否则其响应文件按无效处理。</w:t>
      </w:r>
    </w:p>
    <w:p w14:paraId="6E72CD9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546798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19.电子备份响应文件</w:t>
      </w:r>
    </w:p>
    <w:p w14:paraId="3BB09E6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本项目不接受备份响应文件。</w:t>
      </w:r>
    </w:p>
    <w:p w14:paraId="01BAEE3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20.响应文件的提交</w:t>
      </w:r>
    </w:p>
    <w:p w14:paraId="7B52021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1427BA4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20.2未在规定时间内提交或者未按照磋商文件要求加密的电子响应文件，广西政府采购云平台将拒收。</w:t>
      </w:r>
    </w:p>
    <w:p w14:paraId="5320FE25">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21.首次响应文件的补充、修改与撤回</w:t>
      </w:r>
    </w:p>
    <w:p w14:paraId="33C2A39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陆广西政府采购云平台（https：//www.gcy.zfcg.gxzf.gov.cn/）中查看。）</w:t>
      </w:r>
    </w:p>
    <w:p w14:paraId="4D09A82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21.2在提交响应文件截止时间前，除供应商补充、修改或者撤回响应文件外，任何单位和个人不得解密或提取响应文件。</w:t>
      </w:r>
    </w:p>
    <w:p w14:paraId="068495A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22.响应文件的退回</w:t>
      </w:r>
    </w:p>
    <w:p w14:paraId="276E8F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采购人和采购代理机构对已提交的响应文件概不退回。</w:t>
      </w:r>
    </w:p>
    <w:p w14:paraId="5775757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23.截止时间后的撤回</w:t>
      </w:r>
    </w:p>
    <w:p w14:paraId="50287B4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供应商在响应文件提交截止时间后向采购人、采购代理机构书面申请撤回响应文件的，将根据本须知正文第17.4条的规定不予退还其磋商保证金。</w:t>
      </w:r>
    </w:p>
    <w:p w14:paraId="3C0EF25E">
      <w:pPr>
        <w:pStyle w:val="4"/>
        <w:jc w:val="left"/>
        <w:rPr>
          <w:rFonts w:ascii="宋体" w:hAnsi="宋体" w:eastAsia="宋体"/>
          <w:color w:val="000000" w:themeColor="text1"/>
          <w:sz w:val="28"/>
          <w:szCs w:val="28"/>
          <w:highlight w:val="none"/>
          <w14:textFill>
            <w14:solidFill>
              <w14:schemeClr w14:val="tx1"/>
            </w14:solidFill>
          </w14:textFill>
        </w:rPr>
      </w:pPr>
      <w:bookmarkStart w:id="20" w:name="_Toc11147"/>
      <w:bookmarkStart w:id="21" w:name="_Toc16009"/>
      <w:r>
        <w:rPr>
          <w:rFonts w:hint="eastAsia" w:ascii="宋体" w:hAnsi="宋体" w:eastAsia="宋体"/>
          <w:color w:val="000000" w:themeColor="text1"/>
          <w:sz w:val="28"/>
          <w:szCs w:val="28"/>
          <w:highlight w:val="none"/>
          <w14:textFill>
            <w14:solidFill>
              <w14:schemeClr w14:val="tx1"/>
            </w14:solidFill>
          </w14:textFill>
        </w:rPr>
        <w:t>（四）评审及磋商</w:t>
      </w:r>
      <w:bookmarkEnd w:id="20"/>
      <w:bookmarkEnd w:id="21"/>
    </w:p>
    <w:p w14:paraId="2474DF3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24.磋商小组成立</w:t>
      </w:r>
    </w:p>
    <w:p w14:paraId="32A4C78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768771D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52813B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24.3采购代理机构应当基于广西政府采购云平台抽（选）取评审专家。</w:t>
      </w:r>
    </w:p>
    <w:p w14:paraId="2D89F53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25.首次响应文件的开启和解密</w:t>
      </w:r>
    </w:p>
    <w:p w14:paraId="20919B6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14:paraId="0D04408D">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26.评审程序、评审方法和评审标准</w:t>
      </w:r>
    </w:p>
    <w:p w14:paraId="772D0B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26.1本项目的评审方法为综合评分法。</w:t>
      </w:r>
    </w:p>
    <w:p w14:paraId="1612D9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26.2磋商小组按照“第四章评审程序、评审方法和评审标准”规定的方法、评审因素、标准和程序对响应文件进行评审并推荐成交候选供应商。</w:t>
      </w:r>
    </w:p>
    <w:p w14:paraId="6C206C6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26.3商务/技术要求允许负偏离的条款数详见“供应商须知前附表”。</w:t>
      </w:r>
    </w:p>
    <w:p w14:paraId="32EA913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BD1CC0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26.5电子交易活动的中止。采购过程中出现以下情形，导致电子交易平台无法正常运行，或者无法保证电子交易的公平、公正和安全时，采购机构可中止电子交易活动：</w:t>
      </w:r>
    </w:p>
    <w:p w14:paraId="6A8C718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（1）电子交易平台发生故障而无法登录访问的；</w:t>
      </w:r>
    </w:p>
    <w:p w14:paraId="28ECD56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（2）电子交易平台应用或数据库出现错误，不能进行正常操作的；</w:t>
      </w:r>
    </w:p>
    <w:p w14:paraId="20C3F6E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（3）电子交易平台发现严重安全漏洞，有潜在泄密危险的；</w:t>
      </w:r>
    </w:p>
    <w:p w14:paraId="18E4135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（4）病毒发作导致不能进行正常操作的；</w:t>
      </w:r>
    </w:p>
    <w:p w14:paraId="00C71AD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（5）其他无法保证电子交易的公平、公正和安全的情况。</w:t>
      </w:r>
    </w:p>
    <w:p w14:paraId="715D9E5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F8F7F11">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27.确定成交供应商及结果公告</w:t>
      </w:r>
    </w:p>
    <w:p w14:paraId="2F0A74E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F34D2C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68873A5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26D512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（1）因情况变化，不再符合规定的竞争性磋商采购方式适用情形的；</w:t>
      </w:r>
    </w:p>
    <w:p w14:paraId="572D501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（2）出现影响采购公正的违法、违规行为的；</w:t>
      </w:r>
    </w:p>
    <w:p w14:paraId="0065B2C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（3）除“第四章评审程序、评审方法和评审标准”第4.3条规定的情形外，在采购过程中符合要求的供应商或者报价未超过采购预算的供应商不足3家的。</w:t>
      </w:r>
    </w:p>
    <w:p w14:paraId="5888803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27.4在采购活动中因重大变故，采购任务取消的，采购人或者采购代理机构应当终止采购活动，通知所有参加采购活动的供应商，并将项目实施情况和采购任务取消原因报送本级财政部门。</w:t>
      </w:r>
    </w:p>
    <w:p w14:paraId="07AC9F5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28.履约保证金</w:t>
      </w:r>
    </w:p>
    <w:p w14:paraId="0469CC8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28.1履约保证金的金额、缴纳方式、退付的时间和条件详见“供应商须知前附表”。成交供应商未按规定缴纳履约保证金的，视同放弃成交资格。</w:t>
      </w:r>
    </w:p>
    <w:p w14:paraId="69D7736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28.2在履约保证金退还日期前，若成交供应商的开户名称、开户银行、</w:t>
      </w:r>
      <w:r>
        <w:rPr>
          <w:rFonts w:hint="eastAsia" w:ascii="宋体" w:hAnsi="宋体"/>
          <w:color w:val="000000" w:themeColor="text1"/>
          <w:szCs w:val="21"/>
          <w:highlight w:val="none"/>
          <w14:textFill>
            <w14:solidFill>
              <w14:schemeClr w14:val="tx1"/>
            </w14:solidFill>
          </w14:textFill>
        </w:rPr>
        <w:t>账号</w:t>
      </w:r>
      <w:r>
        <w:rPr>
          <w:rFonts w:hint="eastAsia" w:ascii="宋体" w:hAnsi="宋体" w:eastAsia="宋体"/>
          <w:color w:val="000000" w:themeColor="text1"/>
          <w:szCs w:val="21"/>
          <w:highlight w:val="none"/>
          <w14:textFill>
            <w14:solidFill>
              <w14:schemeClr w14:val="tx1"/>
            </w14:solidFill>
          </w14:textFill>
        </w:rPr>
        <w:t>有变动的，请以书面形式通知履约保证金收取单位，否则由此产生的后果由成交供应商自行承担。</w:t>
      </w:r>
    </w:p>
    <w:p w14:paraId="097286D8">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29.签订合同</w:t>
      </w:r>
    </w:p>
    <w:p w14:paraId="09ABB2D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1AF86F3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47CF890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29.2签订合同时间：在成交通知书规定的时间内与采购人签订合同。</w:t>
      </w:r>
    </w:p>
    <w:p w14:paraId="7FC837D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3F1327B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成交供应商放弃成交项目，拒绝与采购人签订合同的，其磋商保证金将不予退还，并上缴国库。给采购人造成损失，或（并）因此延误采购人工期计划的，须依据《中华人民共和国民法典》第五百条、《政府采购非招标采购方式管理办法（财政部令第74号）》第二十二条、第五十四条规定、《工程建设项目施工招标投标办法（2013年修正）》第六十条和第八十一条等规定承担赔偿损失等法律责任，采购人有权将成交供应商的失信行为报财政部门记入诚信档案，以示惩戒。</w:t>
      </w:r>
    </w:p>
    <w:p w14:paraId="5CE6A36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7180BD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108B64B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4EA3950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30.政府采购合同公告</w:t>
      </w:r>
    </w:p>
    <w:p w14:paraId="7497F6A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4DDE30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31.询问、质疑和投诉</w:t>
      </w:r>
    </w:p>
    <w:p w14:paraId="4F5B10F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31.1供应商对政府采购活动事项有疑问的，可以向采购人、采购代理机构提出询问，采购人或者采购代理机构应当在3个工作日内对供应商依法提出的询问作出答复，但答复的内容不得涉及商业秘密。</w:t>
      </w:r>
    </w:p>
    <w:p w14:paraId="73A64E2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4E12505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（1）对可以质疑的磋商文件提出质疑的，为获取磋商文件之日或者竞争性磋商公告期限届满之日；</w:t>
      </w:r>
    </w:p>
    <w:p w14:paraId="2FA10FC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（2）对采购过程提出质疑的，为各采购程序环节结束之日；</w:t>
      </w:r>
    </w:p>
    <w:p w14:paraId="50E6BD3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（3）对成交结果提出质疑的，为成交结果公告期限届满之日。</w:t>
      </w:r>
    </w:p>
    <w:p w14:paraId="3EF5360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027797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31.4供应商提出质疑应当提交质疑函和必要的证明材料，针对同一采购程序环节的质疑必须在法定质疑期内一次性提出。质疑函应当包括下列内容（质疑函格式后附）：</w:t>
      </w:r>
    </w:p>
    <w:p w14:paraId="656BEE3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（1）供应商的姓名或者名称、地址、邮编、联系人及联系电话；</w:t>
      </w:r>
    </w:p>
    <w:p w14:paraId="789FD82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（2）质疑项目的名称、编号；</w:t>
      </w:r>
    </w:p>
    <w:p w14:paraId="273528C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（3）具体、明确的质疑事项和与质疑事项相关的请求；</w:t>
      </w:r>
    </w:p>
    <w:p w14:paraId="3D69A8C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（4）事实依据；</w:t>
      </w:r>
    </w:p>
    <w:p w14:paraId="197C3E9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（5）必要的法律依据；</w:t>
      </w:r>
    </w:p>
    <w:p w14:paraId="4E7938E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（6）提出质疑的日期。</w:t>
      </w:r>
    </w:p>
    <w:p w14:paraId="1B8A171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BA5C2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4115128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14:paraId="6073A04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（2）对采购过程或者成交结果提出的质疑且质疑成立，合格供应商符合法定数量时，可以从合格的成交候选人中另行确定成交供应商的，应当依法另行确定成交供应商；否则应当重新开展采购活动。</w:t>
      </w:r>
    </w:p>
    <w:p w14:paraId="4ED88D3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质疑答复导致成交结果改变的，采购人或者采购代理机构应当将有关情况书面报告本级财政部门。</w:t>
      </w:r>
    </w:p>
    <w:p w14:paraId="64AE9DD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9EA550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32.其他内容</w:t>
      </w:r>
    </w:p>
    <w:p w14:paraId="4DCC435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32.1代理服务费收取标准及缴费账户详见“供应商须知前附表”，供应商为联合体的，可以由联合体中的一方或者多方共同缴纳代理服务费。</w:t>
      </w:r>
    </w:p>
    <w:p w14:paraId="3040F02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32.2代理服务费收费计算标准：</w:t>
      </w:r>
    </w:p>
    <w:tbl>
      <w:tblPr>
        <w:tblStyle w:val="38"/>
        <w:tblW w:w="0" w:type="auto"/>
        <w:jc w:val="center"/>
        <w:tblLayout w:type="autofit"/>
        <w:tblCellMar>
          <w:top w:w="0" w:type="dxa"/>
          <w:left w:w="108" w:type="dxa"/>
          <w:bottom w:w="0" w:type="dxa"/>
          <w:right w:w="108" w:type="dxa"/>
        </w:tblCellMar>
      </w:tblPr>
      <w:tblGrid>
        <w:gridCol w:w="2336"/>
        <w:gridCol w:w="2336"/>
        <w:gridCol w:w="2336"/>
        <w:gridCol w:w="2336"/>
      </w:tblGrid>
      <w:tr w14:paraId="23BB3149">
        <w:tblPrEx>
          <w:tblCellMar>
            <w:top w:w="0" w:type="dxa"/>
            <w:left w:w="108" w:type="dxa"/>
            <w:bottom w:w="0" w:type="dxa"/>
            <w:right w:w="108" w:type="dxa"/>
          </w:tblCellMar>
        </w:tblPrEx>
        <w:trPr>
          <w:trHeight w:val="1509" w:hRule="atLeast"/>
          <w:jc w:val="center"/>
        </w:trPr>
        <w:tc>
          <w:tcPr>
            <w:tcW w:w="2336" w:type="dxa"/>
            <w:tcBorders>
              <w:top w:val="single" w:color="auto" w:sz="4" w:space="0"/>
              <w:left w:val="single" w:color="auto" w:sz="4" w:space="0"/>
              <w:bottom w:val="single" w:color="auto" w:sz="4" w:space="0"/>
              <w:right w:val="single" w:color="auto" w:sz="4" w:space="0"/>
              <w:tl2br w:val="single" w:color="auto" w:sz="4" w:space="0"/>
            </w:tcBorders>
            <w:vAlign w:val="center"/>
          </w:tcPr>
          <w:p w14:paraId="46499F78">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费率</w:t>
            </w:r>
          </w:p>
          <w:p w14:paraId="1177AB3E">
            <w:pPr>
              <w:spacing w:line="360" w:lineRule="auto"/>
              <w:jc w:val="left"/>
              <w:rPr>
                <w:rFonts w:ascii="宋体" w:hAnsi="宋体"/>
                <w:color w:val="000000" w:themeColor="text1"/>
                <w:szCs w:val="21"/>
                <w:highlight w:val="none"/>
                <w14:textFill>
                  <w14:solidFill>
                    <w14:schemeClr w14:val="tx1"/>
                  </w14:solidFill>
                </w14:textFill>
              </w:rPr>
            </w:pPr>
          </w:p>
          <w:p w14:paraId="36F12B89">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金额（人民币）</w:t>
            </w:r>
          </w:p>
        </w:tc>
        <w:tc>
          <w:tcPr>
            <w:tcW w:w="2336" w:type="dxa"/>
            <w:tcBorders>
              <w:top w:val="single" w:color="auto" w:sz="4" w:space="0"/>
              <w:left w:val="single" w:color="auto" w:sz="4" w:space="0"/>
              <w:bottom w:val="single" w:color="auto" w:sz="4" w:space="0"/>
              <w:right w:val="single" w:color="auto" w:sz="4" w:space="0"/>
            </w:tcBorders>
            <w:vAlign w:val="center"/>
          </w:tcPr>
          <w:p w14:paraId="5D20019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货物类</w:t>
            </w:r>
          </w:p>
        </w:tc>
        <w:tc>
          <w:tcPr>
            <w:tcW w:w="2336" w:type="dxa"/>
            <w:tcBorders>
              <w:top w:val="single" w:color="auto" w:sz="4" w:space="0"/>
              <w:left w:val="single" w:color="auto" w:sz="4" w:space="0"/>
              <w:bottom w:val="single" w:color="auto" w:sz="4" w:space="0"/>
              <w:right w:val="single" w:color="auto" w:sz="4" w:space="0"/>
            </w:tcBorders>
            <w:vAlign w:val="center"/>
          </w:tcPr>
          <w:p w14:paraId="2FE990A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服务类</w:t>
            </w:r>
          </w:p>
        </w:tc>
        <w:tc>
          <w:tcPr>
            <w:tcW w:w="2336" w:type="dxa"/>
            <w:tcBorders>
              <w:top w:val="single" w:color="auto" w:sz="4" w:space="0"/>
              <w:left w:val="single" w:color="auto" w:sz="4" w:space="0"/>
              <w:bottom w:val="single" w:color="auto" w:sz="4" w:space="0"/>
              <w:right w:val="single" w:color="auto" w:sz="4" w:space="0"/>
            </w:tcBorders>
            <w:vAlign w:val="center"/>
          </w:tcPr>
          <w:p w14:paraId="2E5F93F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工程类</w:t>
            </w:r>
          </w:p>
        </w:tc>
      </w:tr>
      <w:tr w14:paraId="56A271E8">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5F5E81D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47A87B3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2336" w:type="dxa"/>
            <w:tcBorders>
              <w:top w:val="single" w:color="auto" w:sz="4" w:space="0"/>
              <w:left w:val="single" w:color="auto" w:sz="4" w:space="0"/>
              <w:bottom w:val="single" w:color="auto" w:sz="4" w:space="0"/>
              <w:right w:val="single" w:color="auto" w:sz="4" w:space="0"/>
            </w:tcBorders>
            <w:vAlign w:val="center"/>
          </w:tcPr>
          <w:p w14:paraId="258B997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2336" w:type="dxa"/>
            <w:tcBorders>
              <w:top w:val="single" w:color="auto" w:sz="4" w:space="0"/>
              <w:left w:val="single" w:color="auto" w:sz="4" w:space="0"/>
              <w:bottom w:val="single" w:color="auto" w:sz="4" w:space="0"/>
              <w:right w:val="single" w:color="auto" w:sz="4" w:space="0"/>
            </w:tcBorders>
            <w:vAlign w:val="center"/>
          </w:tcPr>
          <w:p w14:paraId="778C263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r>
      <w:tr w14:paraId="37B6A028">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30F8A30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100～500万元</w:t>
            </w:r>
          </w:p>
        </w:tc>
        <w:tc>
          <w:tcPr>
            <w:tcW w:w="2336" w:type="dxa"/>
            <w:tcBorders>
              <w:top w:val="single" w:color="auto" w:sz="4" w:space="0"/>
              <w:left w:val="single" w:color="auto" w:sz="4" w:space="0"/>
              <w:bottom w:val="single" w:color="auto" w:sz="4" w:space="0"/>
              <w:right w:val="single" w:color="auto" w:sz="4" w:space="0"/>
            </w:tcBorders>
            <w:vAlign w:val="center"/>
          </w:tcPr>
          <w:p w14:paraId="4D9323E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2336" w:type="dxa"/>
            <w:tcBorders>
              <w:top w:val="single" w:color="auto" w:sz="4" w:space="0"/>
              <w:left w:val="single" w:color="auto" w:sz="4" w:space="0"/>
              <w:bottom w:val="single" w:color="auto" w:sz="4" w:space="0"/>
              <w:right w:val="single" w:color="auto" w:sz="4" w:space="0"/>
            </w:tcBorders>
            <w:vAlign w:val="center"/>
          </w:tcPr>
          <w:p w14:paraId="20D51F0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0.8%</w:t>
            </w:r>
          </w:p>
        </w:tc>
        <w:tc>
          <w:tcPr>
            <w:tcW w:w="2336" w:type="dxa"/>
            <w:tcBorders>
              <w:top w:val="single" w:color="auto" w:sz="4" w:space="0"/>
              <w:left w:val="single" w:color="auto" w:sz="4" w:space="0"/>
              <w:bottom w:val="single" w:color="auto" w:sz="4" w:space="0"/>
              <w:right w:val="single" w:color="auto" w:sz="4" w:space="0"/>
            </w:tcBorders>
            <w:vAlign w:val="center"/>
          </w:tcPr>
          <w:p w14:paraId="2B13F54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0.7%</w:t>
            </w:r>
          </w:p>
        </w:tc>
      </w:tr>
      <w:tr w14:paraId="2345715C">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742AEA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500～1000万元</w:t>
            </w:r>
          </w:p>
        </w:tc>
        <w:tc>
          <w:tcPr>
            <w:tcW w:w="2336" w:type="dxa"/>
            <w:tcBorders>
              <w:top w:val="single" w:color="auto" w:sz="4" w:space="0"/>
              <w:left w:val="single" w:color="auto" w:sz="4" w:space="0"/>
              <w:bottom w:val="single" w:color="auto" w:sz="4" w:space="0"/>
              <w:right w:val="single" w:color="auto" w:sz="4" w:space="0"/>
            </w:tcBorders>
            <w:vAlign w:val="center"/>
          </w:tcPr>
          <w:p w14:paraId="2D7EDD9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0.8%</w:t>
            </w:r>
          </w:p>
        </w:tc>
        <w:tc>
          <w:tcPr>
            <w:tcW w:w="2336" w:type="dxa"/>
            <w:tcBorders>
              <w:top w:val="single" w:color="auto" w:sz="4" w:space="0"/>
              <w:left w:val="single" w:color="auto" w:sz="4" w:space="0"/>
              <w:bottom w:val="single" w:color="auto" w:sz="4" w:space="0"/>
              <w:right w:val="single" w:color="auto" w:sz="4" w:space="0"/>
            </w:tcBorders>
            <w:vAlign w:val="center"/>
          </w:tcPr>
          <w:p w14:paraId="7707D4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0.45%</w:t>
            </w:r>
          </w:p>
        </w:tc>
        <w:tc>
          <w:tcPr>
            <w:tcW w:w="2336" w:type="dxa"/>
            <w:tcBorders>
              <w:top w:val="single" w:color="auto" w:sz="4" w:space="0"/>
              <w:left w:val="single" w:color="auto" w:sz="4" w:space="0"/>
              <w:bottom w:val="single" w:color="auto" w:sz="4" w:space="0"/>
              <w:right w:val="single" w:color="auto" w:sz="4" w:space="0"/>
            </w:tcBorders>
            <w:vAlign w:val="center"/>
          </w:tcPr>
          <w:p w14:paraId="026978A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0.55%</w:t>
            </w:r>
          </w:p>
        </w:tc>
      </w:tr>
      <w:tr w14:paraId="6A134C2F">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3A1AAB1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1000～5000万元</w:t>
            </w:r>
          </w:p>
        </w:tc>
        <w:tc>
          <w:tcPr>
            <w:tcW w:w="2336" w:type="dxa"/>
            <w:tcBorders>
              <w:top w:val="single" w:color="auto" w:sz="4" w:space="0"/>
              <w:left w:val="single" w:color="auto" w:sz="4" w:space="0"/>
              <w:bottom w:val="single" w:color="auto" w:sz="4" w:space="0"/>
              <w:right w:val="single" w:color="auto" w:sz="4" w:space="0"/>
            </w:tcBorders>
            <w:vAlign w:val="center"/>
          </w:tcPr>
          <w:p w14:paraId="2C228BF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0.5%</w:t>
            </w:r>
          </w:p>
        </w:tc>
        <w:tc>
          <w:tcPr>
            <w:tcW w:w="2336" w:type="dxa"/>
            <w:tcBorders>
              <w:top w:val="single" w:color="auto" w:sz="4" w:space="0"/>
              <w:left w:val="single" w:color="auto" w:sz="4" w:space="0"/>
              <w:bottom w:val="single" w:color="auto" w:sz="4" w:space="0"/>
              <w:right w:val="single" w:color="auto" w:sz="4" w:space="0"/>
            </w:tcBorders>
            <w:vAlign w:val="center"/>
          </w:tcPr>
          <w:p w14:paraId="445F565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187F635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0.35%</w:t>
            </w:r>
          </w:p>
        </w:tc>
      </w:tr>
      <w:tr w14:paraId="24D1E0AC">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15E94C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5000万元～1亿元</w:t>
            </w:r>
          </w:p>
        </w:tc>
        <w:tc>
          <w:tcPr>
            <w:tcW w:w="2336" w:type="dxa"/>
            <w:tcBorders>
              <w:top w:val="single" w:color="auto" w:sz="4" w:space="0"/>
              <w:left w:val="single" w:color="auto" w:sz="4" w:space="0"/>
              <w:bottom w:val="single" w:color="auto" w:sz="4" w:space="0"/>
              <w:right w:val="single" w:color="auto" w:sz="4" w:space="0"/>
            </w:tcBorders>
            <w:vAlign w:val="center"/>
          </w:tcPr>
          <w:p w14:paraId="247E206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15AE23A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0.1%</w:t>
            </w:r>
          </w:p>
        </w:tc>
        <w:tc>
          <w:tcPr>
            <w:tcW w:w="2336" w:type="dxa"/>
            <w:tcBorders>
              <w:top w:val="single" w:color="auto" w:sz="4" w:space="0"/>
              <w:left w:val="single" w:color="auto" w:sz="4" w:space="0"/>
              <w:bottom w:val="single" w:color="auto" w:sz="4" w:space="0"/>
              <w:right w:val="single" w:color="auto" w:sz="4" w:space="0"/>
            </w:tcBorders>
            <w:vAlign w:val="center"/>
          </w:tcPr>
          <w:p w14:paraId="5499A16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0.2%</w:t>
            </w:r>
          </w:p>
        </w:tc>
      </w:tr>
      <w:tr w14:paraId="3183ACF1">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2A4E60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1～5亿元</w:t>
            </w:r>
          </w:p>
        </w:tc>
        <w:tc>
          <w:tcPr>
            <w:tcW w:w="2336" w:type="dxa"/>
            <w:tcBorders>
              <w:top w:val="single" w:color="auto" w:sz="4" w:space="0"/>
              <w:left w:val="single" w:color="auto" w:sz="4" w:space="0"/>
              <w:bottom w:val="single" w:color="auto" w:sz="4" w:space="0"/>
              <w:right w:val="single" w:color="auto" w:sz="4" w:space="0"/>
            </w:tcBorders>
            <w:vAlign w:val="center"/>
          </w:tcPr>
          <w:p w14:paraId="2B194F3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0500E56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0E6E1E0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0.05%</w:t>
            </w:r>
          </w:p>
        </w:tc>
      </w:tr>
      <w:tr w14:paraId="23546A56">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38E79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5～10亿元</w:t>
            </w:r>
          </w:p>
        </w:tc>
        <w:tc>
          <w:tcPr>
            <w:tcW w:w="2336" w:type="dxa"/>
            <w:tcBorders>
              <w:top w:val="single" w:color="auto" w:sz="4" w:space="0"/>
              <w:left w:val="single" w:color="auto" w:sz="4" w:space="0"/>
              <w:bottom w:val="single" w:color="auto" w:sz="4" w:space="0"/>
              <w:right w:val="single" w:color="auto" w:sz="4" w:space="0"/>
            </w:tcBorders>
            <w:vAlign w:val="center"/>
          </w:tcPr>
          <w:p w14:paraId="2BDF0A2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2694B93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3291ED9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r>
      <w:tr w14:paraId="15E18E55">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78802CB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10～50亿元</w:t>
            </w:r>
          </w:p>
        </w:tc>
        <w:tc>
          <w:tcPr>
            <w:tcW w:w="2336" w:type="dxa"/>
            <w:tcBorders>
              <w:top w:val="single" w:color="auto" w:sz="4" w:space="0"/>
              <w:left w:val="single" w:color="auto" w:sz="4" w:space="0"/>
              <w:bottom w:val="single" w:color="auto" w:sz="4" w:space="0"/>
              <w:right w:val="single" w:color="auto" w:sz="4" w:space="0"/>
            </w:tcBorders>
            <w:vAlign w:val="center"/>
          </w:tcPr>
          <w:p w14:paraId="684099F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11603E3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343FFD3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r>
      <w:tr w14:paraId="568D9660">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91E0F9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50～100亿元</w:t>
            </w:r>
          </w:p>
        </w:tc>
        <w:tc>
          <w:tcPr>
            <w:tcW w:w="2336" w:type="dxa"/>
            <w:tcBorders>
              <w:top w:val="single" w:color="auto" w:sz="4" w:space="0"/>
              <w:left w:val="single" w:color="auto" w:sz="4" w:space="0"/>
              <w:bottom w:val="single" w:color="auto" w:sz="4" w:space="0"/>
              <w:right w:val="single" w:color="auto" w:sz="4" w:space="0"/>
            </w:tcBorders>
            <w:vAlign w:val="center"/>
          </w:tcPr>
          <w:p w14:paraId="614832D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29D299E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0F65FC5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r>
      <w:tr w14:paraId="7D51B595">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10CED0B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100亿元以上</w:t>
            </w:r>
          </w:p>
        </w:tc>
        <w:tc>
          <w:tcPr>
            <w:tcW w:w="2336" w:type="dxa"/>
            <w:tcBorders>
              <w:top w:val="single" w:color="auto" w:sz="4" w:space="0"/>
              <w:left w:val="single" w:color="auto" w:sz="4" w:space="0"/>
              <w:bottom w:val="single" w:color="auto" w:sz="4" w:space="0"/>
              <w:right w:val="single" w:color="auto" w:sz="4" w:space="0"/>
            </w:tcBorders>
            <w:vAlign w:val="center"/>
          </w:tcPr>
          <w:p w14:paraId="692AEA2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2E64DD6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6E8EF4C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r>
    </w:tbl>
    <w:p w14:paraId="42B00AF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76A2817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（1）按本表费率计算的收费为采购代理的收费基准价格；</w:t>
      </w:r>
    </w:p>
    <w:p w14:paraId="534DD89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（2）采购代理收费按差额定率累进法计算。</w:t>
      </w:r>
    </w:p>
    <w:p w14:paraId="6C7A3C2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例如：某工程项目采购代理业务成交金额为150万元，计算采购代理收费额如下：</w:t>
      </w:r>
    </w:p>
    <w:p w14:paraId="2863236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100万元×l.0%＝1.0万元</w:t>
      </w:r>
    </w:p>
    <w:p w14:paraId="7E50E71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（150-100）万元×0.7%＝0.35万元</w:t>
      </w:r>
    </w:p>
    <w:p w14:paraId="00BF9AE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合计收费＝1.0+0.35＝1.35万元</w:t>
      </w:r>
    </w:p>
    <w:p w14:paraId="51A5851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33.需要补充的其他内容</w:t>
      </w:r>
    </w:p>
    <w:p w14:paraId="55EF13D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33.1本磋商文件解释规则详见“供应商须知前附表”。</w:t>
      </w:r>
    </w:p>
    <w:p w14:paraId="4FD9715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33.2农民工工资保证金见“供应商须知前附表”。</w:t>
      </w:r>
    </w:p>
    <w:p w14:paraId="63DE7DC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33.3其他事项详见“供应商须知前附表”。</w:t>
      </w:r>
    </w:p>
    <w:p w14:paraId="698B632D">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3689E2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7F88DC3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407623B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0F44302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5F8A68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6F1A739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33.5</w:t>
      </w:r>
      <w:r>
        <w:rPr>
          <w:rFonts w:hint="eastAsia" w:ascii="宋体" w:hAnsi="宋体" w:eastAsia="宋体"/>
          <w:color w:val="000000" w:themeColor="text1"/>
          <w:szCs w:val="21"/>
          <w:highlight w:val="none"/>
          <w14:textFill>
            <w14:solidFill>
              <w14:schemeClr w14:val="tx1"/>
            </w14:solidFill>
          </w14:textFill>
        </w:rPr>
        <w:t>现场踏勘：见“供应商须知前附表”。</w:t>
      </w:r>
    </w:p>
    <w:p w14:paraId="64D27306">
      <w:pPr>
        <w:pStyle w:val="2"/>
        <w:jc w:val="center"/>
        <w:rPr>
          <w:rFonts w:ascii="宋体" w:hAnsi="宋体" w:eastAsia="宋体"/>
          <w:color w:val="000000" w:themeColor="text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7893AC7B">
      <w:pPr>
        <w:pStyle w:val="2"/>
        <w:jc w:val="center"/>
        <w:rPr>
          <w:rFonts w:ascii="宋体" w:hAnsi="宋体" w:eastAsia="宋体"/>
          <w:color w:val="000000" w:themeColor="text1"/>
          <w:highlight w:val="none"/>
          <w14:textFill>
            <w14:solidFill>
              <w14:schemeClr w14:val="tx1"/>
            </w14:solidFill>
          </w14:textFill>
        </w:rPr>
      </w:pPr>
      <w:bookmarkStart w:id="22" w:name="_Toc25193"/>
      <w:r>
        <w:rPr>
          <w:rFonts w:hint="eastAsia" w:ascii="宋体" w:hAnsi="宋体" w:eastAsia="宋体"/>
          <w:color w:val="000000" w:themeColor="text1"/>
          <w:highlight w:val="none"/>
          <w14:textFill>
            <w14:solidFill>
              <w14:schemeClr w14:val="tx1"/>
            </w14:solidFill>
          </w14:textFill>
        </w:rPr>
        <w:t>第三</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采购需求</w:t>
      </w:r>
      <w:bookmarkEnd w:id="22"/>
    </w:p>
    <w:p w14:paraId="55BE5E90">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说明：</w:t>
      </w:r>
    </w:p>
    <w:p w14:paraId="031B65EA">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1.为落实政府采购政策需满足的要求（根据项目实际情况填写内容）</w:t>
      </w:r>
    </w:p>
    <w:p w14:paraId="7184AB5C">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70C978D9">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37A6713B">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510A5D97">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17B5E19F">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3.不需要供应商对采购需求响应为具体数值的，此采购需求的数值后将以◆号标注。</w:t>
      </w:r>
    </w:p>
    <w:p w14:paraId="4B1B0694">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4.如竞标人竞标产品存在侵犯他人的知识产权或者专利成果行为的，应承担相应法律责任。</w:t>
      </w:r>
    </w:p>
    <w:p w14:paraId="3F9F0F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项目需求一览表：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6"/>
        <w:gridCol w:w="664"/>
        <w:gridCol w:w="664"/>
        <w:gridCol w:w="5910"/>
      </w:tblGrid>
      <w:tr w14:paraId="0758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41639CB">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286" w:type="dxa"/>
            <w:vAlign w:val="center"/>
          </w:tcPr>
          <w:p w14:paraId="73B3F1AA">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标的名称</w:t>
            </w:r>
          </w:p>
        </w:tc>
        <w:tc>
          <w:tcPr>
            <w:tcW w:w="664" w:type="dxa"/>
            <w:vAlign w:val="center"/>
          </w:tcPr>
          <w:p w14:paraId="594B0D8D">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数量及单位</w:t>
            </w:r>
          </w:p>
        </w:tc>
        <w:tc>
          <w:tcPr>
            <w:tcW w:w="664" w:type="dxa"/>
            <w:vAlign w:val="center"/>
          </w:tcPr>
          <w:p w14:paraId="2F53D1BC">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所属行业</w:t>
            </w:r>
          </w:p>
        </w:tc>
        <w:tc>
          <w:tcPr>
            <w:tcW w:w="5910" w:type="dxa"/>
            <w:vAlign w:val="center"/>
          </w:tcPr>
          <w:p w14:paraId="3DA1E846">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技术要求</w:t>
            </w:r>
          </w:p>
        </w:tc>
      </w:tr>
      <w:tr w14:paraId="0FB9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6AB8503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86" w:type="dxa"/>
            <w:vAlign w:val="center"/>
          </w:tcPr>
          <w:p w14:paraId="3BE9E5E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广西艺术学院相思湖校区消防管道维修改造项目</w:t>
            </w:r>
          </w:p>
        </w:tc>
        <w:tc>
          <w:tcPr>
            <w:tcW w:w="664" w:type="dxa"/>
            <w:vAlign w:val="center"/>
          </w:tcPr>
          <w:p w14:paraId="1724E6C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w:t>
            </w:r>
          </w:p>
        </w:tc>
        <w:tc>
          <w:tcPr>
            <w:tcW w:w="664" w:type="dxa"/>
            <w:vAlign w:val="center"/>
          </w:tcPr>
          <w:p w14:paraId="7DB5DAF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建筑业</w:t>
            </w:r>
          </w:p>
        </w:tc>
        <w:tc>
          <w:tcPr>
            <w:tcW w:w="5910" w:type="dxa"/>
            <w:vAlign w:val="center"/>
          </w:tcPr>
          <w:p w14:paraId="063E9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一、项目背景：</w:t>
            </w:r>
          </w:p>
          <w:p w14:paraId="4FDA958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jc w:val="left"/>
              <w:textAlignment w:val="auto"/>
              <w:rPr>
                <w:rFonts w:hint="default" w:ascii="宋体" w:hAnsi="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广西艺术学院相思湖校区为进一步提升校园消防安全保障水平，现对校区内部分埋地消防管道实施改明装敷设工程。该项目旨在解决埋地消防管道可能存在的腐蚀、损坏难以排查维修以及不符合最新消防规范要求等问题，确保校区消防系统的稳定可靠运行，为师生创造安全的校园环境。</w:t>
            </w:r>
          </w:p>
          <w:p w14:paraId="59AFC9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b/>
                <w:bCs/>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二、工程范围及内容</w:t>
            </w:r>
            <w:r>
              <w:rPr>
                <w:rFonts w:hint="eastAsia" w:ascii="宋体" w:hAnsi="宋体"/>
                <w:b/>
                <w:bCs/>
                <w:color w:val="000000" w:themeColor="text1"/>
                <w:szCs w:val="21"/>
                <w:highlight w:val="none"/>
                <w:lang w:val="en-US" w:eastAsia="zh-CN"/>
                <w14:textFill>
                  <w14:solidFill>
                    <w14:schemeClr w14:val="tx1"/>
                  </w14:solidFill>
                </w14:textFill>
              </w:rPr>
              <w:t>：</w:t>
            </w:r>
          </w:p>
          <w:p w14:paraId="7810F74F">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拆除工程：拆除校区指定区域内的埋地消防管道，包括管道、管件及附属设施，并对拆除后的场地进行清理和平整，确保不影响后续施工及校园正常秩序。拆除过程中需注意对周边建筑物、绿化及其他设施的保护，如有损坏应负责修复或赔偿。</w:t>
            </w:r>
          </w:p>
          <w:p w14:paraId="20976979">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明装敷设工程：按照国家及地方现行消防规范要求，在合适位置进行消防管道的明装敷设，包括管道安装、管件连接、支吊架制作与安装等。选用符合标准的热镀锌钢管或其他经认可的管材，确保管道的强度和耐腐蚀性。管道安装应横平竖直，排列整齐，支吊架间距符合规范要求，保证管道稳固。</w:t>
            </w:r>
          </w:p>
          <w:p w14:paraId="21AD8C58">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系统测试与调试：完成管道敷设后，对整个消防系统进行压力测试、密封性测试等，确保系统无泄漏、压力稳定。对消防泵、阀门等设备进行调试，使其运行参数符合设计要求，保证消防系统能够正常联动和工作。</w:t>
            </w:r>
          </w:p>
          <w:p w14:paraId="041E8FED">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4.防腐与标识：对明装消防管道进行防腐处理，刷涂防锈漆及防火漆，确保管道在使用过程中不受腐蚀影响。在管道明显位置设置清晰、永久性的标识，标注管道名称、水流方向等信息，便于日常维护和管理。</w:t>
            </w:r>
          </w:p>
          <w:p w14:paraId="7DE11E1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三、工程范围及内容：</w:t>
            </w:r>
          </w:p>
          <w:p w14:paraId="00E31F0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1.执行标准：本项目应严格执行《建筑设计防火规范》（GB50016-[现行版本号]）、《消防给水及消火栓系统技术规范》（GB 50974-[现行版本号]）等国家及地方现行相关消防规范和标准。</w:t>
            </w:r>
          </w:p>
          <w:p w14:paraId="2326D468">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2.材料要求：所有管材、管件、阀门、支吊架等材料均需具备质量合格证明文件，其规格、型号、性能等指标应符合设计及规范要求。优先选用知名品牌产品，确保材料质量可靠、性能稳定。</w:t>
            </w:r>
          </w:p>
          <w:p w14:paraId="380B4440">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施工工艺：施工单位应具备丰富的消防管道施工经验，采用先进、合理的施工工艺和技术措施，确保工程质量。如在管道连接时，根据管材类型选择合适的连接方式，焊接应保证焊缝质量，丝扣连接应密封良好等。</w:t>
            </w:r>
          </w:p>
          <w:p w14:paraId="6810C28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四、工期要求</w:t>
            </w:r>
          </w:p>
          <w:p w14:paraId="137ED8D0">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施工单位应制定详细的施工进度计划，确保在规定时间内完成全部工程内容，并通过验收交付使用。如因施工单位原因导致工期延误，每延误一天，按照合同价款的</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向采购人支付违约金。</w:t>
            </w:r>
          </w:p>
          <w:p w14:paraId="732D1FC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五、质量要求</w:t>
            </w:r>
          </w:p>
          <w:p w14:paraId="1C1E092E">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1.工程质量标准：达到国家及地方现行消防工程验收合格标准，一次性通过</w:t>
            </w:r>
            <w:r>
              <w:rPr>
                <w:rFonts w:hint="eastAsia" w:ascii="宋体" w:hAnsi="宋体"/>
                <w:color w:val="000000" w:themeColor="text1"/>
                <w:szCs w:val="21"/>
                <w:highlight w:val="none"/>
                <w:lang w:val="en-US" w:eastAsia="zh-CN"/>
                <w14:textFill>
                  <w14:solidFill>
                    <w14:schemeClr w14:val="tx1"/>
                  </w14:solidFill>
                </w14:textFill>
              </w:rPr>
              <w:t>学校</w:t>
            </w:r>
            <w:r>
              <w:rPr>
                <w:rFonts w:hint="eastAsia" w:ascii="宋体" w:hAnsi="宋体"/>
                <w:color w:val="000000" w:themeColor="text1"/>
                <w:szCs w:val="21"/>
                <w:highlight w:val="none"/>
                <w14:textFill>
                  <w14:solidFill>
                    <w14:schemeClr w14:val="tx1"/>
                  </w14:solidFill>
                </w14:textFill>
              </w:rPr>
              <w:t>相关部门的验收。在质保期内，施工单位应负责免费维修因施工质量问题导致的故障和损坏。</w:t>
            </w:r>
          </w:p>
          <w:p w14:paraId="56C869BC">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2.质量保证措施：施工单位应建立完善的质量管理体系，配备专业的质量管理人员，对施工全过程进行质量控制。施工过程中应做好各项质量检验记录，及时整理归档，作为工程验收的依据。</w:t>
            </w:r>
          </w:p>
          <w:p w14:paraId="2C938A13">
            <w:pPr>
              <w:spacing w:line="360" w:lineRule="auto"/>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六、安全文明施工要求</w:t>
            </w:r>
          </w:p>
          <w:p w14:paraId="6A686E6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安全管理：施工单位应严格遵守国家及地方有关安全生产的法律法规，制定并落实安全生产责任制和安全操作规程。在施工现场设置明显的安全警示标志，采取有效的安全防护措施，确保施工人员及校园师生的人身安全。如发生安全事故，施工单位应承担全部责任及相关费用。</w:t>
            </w:r>
          </w:p>
          <w:p w14:paraId="742A2426">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2.文明施工：保持施工现场整洁有序，材料堆放整齐，施工垃圾及时清理。合理安排施工时间，避免在师生上课、休息时间进行高噪声作业，减少对校园教学秩序和师生生活的影响。</w:t>
            </w:r>
          </w:p>
          <w:p w14:paraId="7865C052">
            <w:pPr>
              <w:spacing w:line="360" w:lineRule="auto"/>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七</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人员基本</w:t>
            </w:r>
            <w:r>
              <w:rPr>
                <w:rFonts w:hint="eastAsia" w:ascii="宋体" w:hAnsi="宋体"/>
                <w:b/>
                <w:bCs/>
                <w:color w:val="000000" w:themeColor="text1"/>
                <w:szCs w:val="21"/>
                <w:highlight w:val="none"/>
                <w14:textFill>
                  <w14:solidFill>
                    <w14:schemeClr w14:val="tx1"/>
                  </w14:solidFill>
                </w14:textFill>
              </w:rPr>
              <w:t>要求</w:t>
            </w:r>
          </w:p>
          <w:p w14:paraId="35A80091">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目经理：拟投入本项目的项目经理须具备机电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4BE98836">
            <w:pPr>
              <w:spacing w:line="360" w:lineRule="auto"/>
              <w:ind w:firstLine="420" w:firstLineChars="200"/>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2.技术负责人：</w:t>
            </w:r>
            <w:r>
              <w:rPr>
                <w:rFonts w:hint="eastAsia" w:ascii="宋体" w:hAnsi="宋体"/>
                <w:color w:val="000000" w:themeColor="text1"/>
                <w:szCs w:val="21"/>
                <w:highlight w:val="none"/>
                <w14:textFill>
                  <w14:solidFill>
                    <w14:schemeClr w14:val="tx1"/>
                  </w14:solidFill>
                </w14:textFill>
              </w:rPr>
              <w:t>拟投入本项目的</w:t>
            </w:r>
            <w:r>
              <w:rPr>
                <w:rFonts w:hint="eastAsia" w:ascii="宋体" w:hAnsi="宋体"/>
                <w:color w:val="000000" w:themeColor="text1"/>
                <w:szCs w:val="21"/>
                <w:highlight w:val="none"/>
                <w:lang w:val="en-US" w:eastAsia="zh-CN"/>
                <w14:textFill>
                  <w14:solidFill>
                    <w14:schemeClr w14:val="tx1"/>
                  </w14:solidFill>
                </w14:textFill>
              </w:rPr>
              <w:t>技术负责人</w:t>
            </w:r>
            <w:r>
              <w:rPr>
                <w:rFonts w:hint="eastAsia" w:ascii="宋体" w:hAnsi="宋体"/>
                <w:color w:val="000000" w:themeColor="text1"/>
                <w:szCs w:val="21"/>
                <w:highlight w:val="none"/>
                <w14:textFill>
                  <w14:solidFill>
                    <w14:schemeClr w14:val="tx1"/>
                  </w14:solidFill>
                </w14:textFill>
              </w:rPr>
              <w:t>须具备有效的</w:t>
            </w:r>
            <w:r>
              <w:rPr>
                <w:rFonts w:hint="eastAsia" w:ascii="宋体" w:hAnsi="宋体"/>
                <w:color w:val="000000" w:themeColor="text1"/>
                <w:szCs w:val="21"/>
                <w:highlight w:val="none"/>
                <w:lang w:val="en-US" w:eastAsia="zh-CN"/>
                <w14:textFill>
                  <w14:solidFill>
                    <w14:schemeClr w14:val="tx1"/>
                  </w14:solidFill>
                </w14:textFill>
              </w:rPr>
              <w:t>工民建或建筑工程类或机电工程类相关专业中级及以上职称</w:t>
            </w:r>
            <w:r>
              <w:rPr>
                <w:rFonts w:hint="eastAsia" w:ascii="宋体" w:hAnsi="宋体"/>
                <w:color w:val="000000" w:themeColor="text1"/>
                <w:szCs w:val="21"/>
                <w:highlight w:val="none"/>
                <w:lang w:eastAsia="zh-CN"/>
                <w14:textFill>
                  <w14:solidFill>
                    <w14:schemeClr w14:val="tx1"/>
                  </w14:solidFill>
                </w14:textFill>
              </w:rPr>
              <w:t>；</w:t>
            </w:r>
          </w:p>
          <w:p w14:paraId="19977A13">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安全员：拟投入本项目的专职安全生产管理人员须具备有效的安全生产考核合格证书（C类）</w:t>
            </w:r>
            <w:r>
              <w:rPr>
                <w:rFonts w:hint="eastAsia" w:ascii="宋体" w:hAnsi="宋体"/>
                <w:color w:val="000000" w:themeColor="text1"/>
                <w:szCs w:val="21"/>
                <w:highlight w:val="none"/>
                <w:lang w:eastAsia="zh-CN"/>
                <w14:textFill>
                  <w14:solidFill>
                    <w14:schemeClr w14:val="tx1"/>
                  </w14:solidFill>
                </w14:textFill>
              </w:rPr>
              <w:t>；</w:t>
            </w:r>
          </w:p>
          <w:p w14:paraId="63500D5C">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施工员、质量员、材料员：须具备相应施工现场专业人员职业培训合格证书并在有效期内。</w:t>
            </w:r>
          </w:p>
        </w:tc>
      </w:tr>
      <w:tr w14:paraId="5ED4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61E30F72">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商务要求</w:t>
            </w:r>
          </w:p>
        </w:tc>
      </w:tr>
      <w:tr w14:paraId="4CDC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155CC2B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施工工期</w:t>
            </w:r>
          </w:p>
        </w:tc>
        <w:tc>
          <w:tcPr>
            <w:tcW w:w="7238" w:type="dxa"/>
            <w:gridSpan w:val="3"/>
            <w:vAlign w:val="center"/>
          </w:tcPr>
          <w:p w14:paraId="22A5C756">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本项目计划工期为</w:t>
            </w:r>
            <w:r>
              <w:rPr>
                <w:rFonts w:hint="eastAsia" w:ascii="宋体" w:hAnsi="宋体"/>
                <w:color w:val="000000" w:themeColor="text1"/>
                <w:szCs w:val="21"/>
                <w:highlight w:val="none"/>
                <w:lang w:val="en-US" w:eastAsia="zh-CN"/>
                <w14:textFill>
                  <w14:solidFill>
                    <w14:schemeClr w14:val="tx1"/>
                  </w14:solidFill>
                </w14:textFill>
              </w:rPr>
              <w:t>60</w:t>
            </w:r>
            <w:r>
              <w:rPr>
                <w:rFonts w:hint="eastAsia" w:ascii="宋体" w:hAnsi="宋体"/>
                <w:color w:val="000000" w:themeColor="text1"/>
                <w:szCs w:val="21"/>
                <w:highlight w:val="none"/>
                <w14:textFill>
                  <w14:solidFill>
                    <w14:schemeClr w14:val="tx1"/>
                  </w14:solidFill>
                </w14:textFill>
              </w:rPr>
              <w:t>日历天，具体开工日期以采购人书面通知为准。</w:t>
            </w:r>
          </w:p>
        </w:tc>
      </w:tr>
      <w:tr w14:paraId="5B4C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51EB949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合同签订时间</w:t>
            </w:r>
          </w:p>
        </w:tc>
        <w:tc>
          <w:tcPr>
            <w:tcW w:w="7238" w:type="dxa"/>
            <w:gridSpan w:val="3"/>
            <w:shd w:val="clear" w:color="auto" w:fill="auto"/>
            <w:vAlign w:val="center"/>
          </w:tcPr>
          <w:p w14:paraId="55AFFB68">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自成交通知书发出之日起</w:t>
            </w:r>
            <w:r>
              <w:rPr>
                <w:rFonts w:ascii="宋体" w:hAnsi="宋体"/>
                <w:color w:val="000000" w:themeColor="text1"/>
                <w:szCs w:val="21"/>
                <w:highlight w:val="none"/>
                <w14:textFill>
                  <w14:solidFill>
                    <w14:schemeClr w14:val="tx1"/>
                  </w14:solidFill>
                </w14:textFill>
              </w:rPr>
              <w:t>25</w:t>
            </w:r>
            <w:r>
              <w:rPr>
                <w:rFonts w:hint="eastAsia" w:ascii="宋体" w:hAnsi="宋体"/>
                <w:color w:val="000000" w:themeColor="text1"/>
                <w:szCs w:val="21"/>
                <w:highlight w:val="none"/>
                <w14:textFill>
                  <w14:solidFill>
                    <w14:schemeClr w14:val="tx1"/>
                  </w14:solidFill>
                </w14:textFill>
              </w:rPr>
              <w:t>日内。</w:t>
            </w:r>
          </w:p>
        </w:tc>
      </w:tr>
      <w:tr w14:paraId="3546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7F0E80E5">
            <w:pPr>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实施地点</w:t>
            </w:r>
          </w:p>
        </w:tc>
        <w:tc>
          <w:tcPr>
            <w:tcW w:w="7238" w:type="dxa"/>
            <w:gridSpan w:val="3"/>
            <w:shd w:val="clear" w:color="auto" w:fill="auto"/>
            <w:vAlign w:val="center"/>
          </w:tcPr>
          <w:p w14:paraId="7D95E9E4">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广西艺术学院相思湖校区</w:t>
            </w:r>
          </w:p>
        </w:tc>
      </w:tr>
      <w:tr w14:paraId="68A9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294DBED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报价要求</w:t>
            </w:r>
          </w:p>
        </w:tc>
        <w:tc>
          <w:tcPr>
            <w:tcW w:w="7238" w:type="dxa"/>
            <w:gridSpan w:val="3"/>
            <w:vAlign w:val="center"/>
          </w:tcPr>
          <w:p w14:paraId="1D7DA2AA">
            <w:pPr>
              <w:numPr>
                <w:ilvl w:val="0"/>
                <w:numId w:val="0"/>
              </w:num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竞标报价包括了为实施和完成合同工程所需的劳务、材料、机械、质检（自检）、安装、缺陷修复、管理、保险、税费、利润等费用，以及合同明示或暗示的所有责任、义务和一般风险。</w:t>
            </w:r>
          </w:p>
          <w:p w14:paraId="77D605CF">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lang w:eastAsia="zh-CN"/>
                <w14:textFill>
                  <w14:solidFill>
                    <w14:schemeClr w14:val="tx1"/>
                  </w14:solidFill>
                </w14:textFill>
              </w:rPr>
              <w:t>、本项目采用固定综合单价合同，工程量按实际结算，供应商工程量清单中项目的工程量无论增减，均按原单价结算。本工程最终结算价以采购人或采购人选定的第三方工程咨询单位审定金额为准。</w:t>
            </w:r>
          </w:p>
        </w:tc>
      </w:tr>
      <w:tr w14:paraId="618E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52C1AB2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7238" w:type="dxa"/>
            <w:gridSpan w:val="3"/>
            <w:vAlign w:val="center"/>
          </w:tcPr>
          <w:p w14:paraId="4D070FF8">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履约保证金：</w:t>
            </w:r>
          </w:p>
          <w:p w14:paraId="32FA0657">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为使供应商保证货物和服务质量，</w:t>
            </w:r>
            <w:r>
              <w:rPr>
                <w:rFonts w:hint="eastAsia" w:ascii="宋体" w:hAnsi="宋体" w:eastAsia="宋体"/>
                <w:color w:val="000000" w:themeColor="text1"/>
                <w:szCs w:val="21"/>
                <w:highlight w:val="none"/>
                <w:lang w:val="en-US" w:eastAsia="zh-CN"/>
                <w14:textFill>
                  <w14:solidFill>
                    <w14:schemeClr w14:val="tx1"/>
                  </w14:solidFill>
                </w14:textFill>
              </w:rPr>
              <w:t>成交</w:t>
            </w:r>
            <w:r>
              <w:rPr>
                <w:rFonts w:hint="eastAsia" w:ascii="宋体" w:hAnsi="宋体" w:eastAsia="宋体"/>
                <w:color w:val="000000" w:themeColor="text1"/>
                <w:szCs w:val="21"/>
                <w:highlight w:val="none"/>
                <w14:textFill>
                  <w14:solidFill>
                    <w14:schemeClr w14:val="tx1"/>
                  </w14:solidFill>
                </w14:textFill>
              </w:rPr>
              <w:t>供应商在签订合同前向采购人</w:t>
            </w:r>
            <w:r>
              <w:rPr>
                <w:rFonts w:hint="eastAsia" w:ascii="宋体" w:hAnsi="宋体" w:eastAsia="宋体"/>
                <w:color w:val="000000" w:themeColor="text1"/>
                <w:szCs w:val="21"/>
                <w:highlight w:val="none"/>
                <w:lang w:eastAsia="zh-CN"/>
                <w14:textFill>
                  <w14:solidFill>
                    <w14:schemeClr w14:val="tx1"/>
                  </w14:solidFill>
                </w14:textFill>
              </w:rPr>
              <w:t>缴纳</w:t>
            </w:r>
            <w:r>
              <w:rPr>
                <w:rFonts w:hint="eastAsia" w:ascii="宋体" w:hAnsi="宋体" w:eastAsia="宋体"/>
                <w:color w:val="000000" w:themeColor="text1"/>
                <w:szCs w:val="21"/>
                <w:highlight w:val="none"/>
                <w14:textFill>
                  <w14:solidFill>
                    <w14:schemeClr w14:val="tx1"/>
                  </w14:solidFill>
                </w14:textFill>
              </w:rPr>
              <w:t>合同总金额5%（中小企业2%）的履约保证金。</w:t>
            </w:r>
          </w:p>
          <w:p w14:paraId="295BB217">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成交供应商</w:t>
            </w:r>
            <w:r>
              <w:rPr>
                <w:rFonts w:hint="eastAsia" w:ascii="宋体" w:hAnsi="宋体" w:eastAsia="宋体"/>
                <w:color w:val="000000" w:themeColor="text1"/>
                <w:szCs w:val="21"/>
                <w:highlight w:val="none"/>
                <w14:textFill>
                  <w14:solidFill>
                    <w14:schemeClr w14:val="tx1"/>
                  </w14:solidFill>
                </w14:textFill>
              </w:rPr>
              <w:t>按合同要求完全履约，项目验收合格，</w:t>
            </w:r>
            <w:r>
              <w:rPr>
                <w:rFonts w:hint="eastAsia" w:ascii="宋体" w:hAnsi="宋体" w:eastAsia="宋体"/>
                <w:color w:val="000000" w:themeColor="text1"/>
                <w:szCs w:val="21"/>
                <w:highlight w:val="none"/>
                <w:lang w:val="en-US" w:eastAsia="zh-CN"/>
                <w14:textFill>
                  <w14:solidFill>
                    <w14:schemeClr w14:val="tx1"/>
                  </w14:solidFill>
                </w14:textFill>
              </w:rPr>
              <w:t>成交供应商向采购人完成（施工）竣工资料移交手续后可向采购人申请退还履约保证金，采购人应在收到申请之日起28个日历天内扣减成交供应商赔偿金和其他应从成交供应商扣回的款项后，将履约金退给成交供应商（无息）</w:t>
            </w:r>
            <w:r>
              <w:rPr>
                <w:rFonts w:hint="eastAsia" w:ascii="宋体" w:hAnsi="宋体" w:eastAsia="宋体"/>
                <w:color w:val="000000" w:themeColor="text1"/>
                <w:szCs w:val="21"/>
                <w:highlight w:val="none"/>
                <w14:textFill>
                  <w14:solidFill>
                    <w14:schemeClr w14:val="tx1"/>
                  </w14:solidFill>
                </w14:textFill>
              </w:rPr>
              <w:t>。合同履行期间，</w:t>
            </w:r>
            <w:r>
              <w:rPr>
                <w:rFonts w:hint="eastAsia" w:ascii="宋体" w:hAnsi="宋体" w:eastAsia="宋体"/>
                <w:color w:val="000000" w:themeColor="text1"/>
                <w:szCs w:val="21"/>
                <w:highlight w:val="none"/>
                <w:lang w:eastAsia="zh-CN"/>
                <w14:textFill>
                  <w14:solidFill>
                    <w14:schemeClr w14:val="tx1"/>
                  </w14:solidFill>
                </w14:textFill>
              </w:rPr>
              <w:t>成交供应商</w:t>
            </w:r>
            <w:r>
              <w:rPr>
                <w:rFonts w:hint="eastAsia" w:ascii="宋体" w:hAnsi="宋体" w:eastAsia="宋体"/>
                <w:color w:val="000000" w:themeColor="text1"/>
                <w:szCs w:val="21"/>
                <w:highlight w:val="none"/>
                <w14:textFill>
                  <w14:solidFill>
                    <w14:schemeClr w14:val="tx1"/>
                  </w14:solidFill>
                </w14:textFill>
              </w:rPr>
              <w:t>存在违约的，采购人有权从履约保证金中先行抵扣，不足部分由</w:t>
            </w:r>
            <w:r>
              <w:rPr>
                <w:rFonts w:hint="eastAsia" w:ascii="宋体" w:hAnsi="宋体" w:eastAsia="宋体"/>
                <w:color w:val="000000" w:themeColor="text1"/>
                <w:szCs w:val="21"/>
                <w:highlight w:val="none"/>
                <w:lang w:eastAsia="zh-CN"/>
                <w14:textFill>
                  <w14:solidFill>
                    <w14:schemeClr w14:val="tx1"/>
                  </w14:solidFill>
                </w14:textFill>
              </w:rPr>
              <w:t>成交供应商</w:t>
            </w:r>
            <w:r>
              <w:rPr>
                <w:rFonts w:hint="eastAsia" w:ascii="宋体" w:hAnsi="宋体" w:eastAsia="宋体"/>
                <w:color w:val="000000" w:themeColor="text1"/>
                <w:szCs w:val="21"/>
                <w:highlight w:val="none"/>
                <w14:textFill>
                  <w14:solidFill>
                    <w14:schemeClr w14:val="tx1"/>
                  </w14:solidFill>
                </w14:textFill>
              </w:rPr>
              <w:t>另行支付，采购人直接从履约保证金中扣除的，</w:t>
            </w:r>
            <w:r>
              <w:rPr>
                <w:rFonts w:hint="eastAsia" w:ascii="宋体" w:hAnsi="宋体" w:eastAsia="宋体"/>
                <w:color w:val="000000" w:themeColor="text1"/>
                <w:szCs w:val="21"/>
                <w:highlight w:val="none"/>
                <w:lang w:eastAsia="zh-CN"/>
                <w14:textFill>
                  <w14:solidFill>
                    <w14:schemeClr w14:val="tx1"/>
                  </w14:solidFill>
                </w14:textFill>
              </w:rPr>
              <w:t>成交供应商</w:t>
            </w:r>
            <w:r>
              <w:rPr>
                <w:rFonts w:hint="eastAsia" w:ascii="宋体" w:hAnsi="宋体" w:eastAsia="宋体"/>
                <w:color w:val="000000" w:themeColor="text1"/>
                <w:szCs w:val="21"/>
                <w:highlight w:val="none"/>
                <w14:textFill>
                  <w14:solidFill>
                    <w14:schemeClr w14:val="tx1"/>
                  </w14:solidFill>
                </w14:textFill>
              </w:rPr>
              <w:t>应于接到采购人补足履约保证金通知之日起3个工作日内补足。</w:t>
            </w:r>
          </w:p>
          <w:p w14:paraId="0DD7F4CE">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注：符合《广西壮族自治区财政厅关于规范政府采购货物和服务项目保证金管理的通知》桂财规〔2022〕8号文件要求的，按照相关要求执行。</w:t>
            </w:r>
          </w:p>
          <w:p w14:paraId="05394D75">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履约保证金提交方式：银行转账、支票、汇票等非现金方式。</w:t>
            </w:r>
          </w:p>
          <w:p w14:paraId="1DD0EF48">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履约保证金指定账户：</w:t>
            </w:r>
          </w:p>
          <w:p w14:paraId="58405739">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开户名称：</w:t>
            </w:r>
          </w:p>
          <w:p w14:paraId="0D4FC3AC">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开户银行：</w:t>
            </w:r>
          </w:p>
          <w:p w14:paraId="6DA1C1CF">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银行账号：</w:t>
            </w:r>
          </w:p>
          <w:p w14:paraId="1DCE39AE">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备注：</w:t>
            </w:r>
          </w:p>
          <w:p w14:paraId="26849526">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lang w:val="en-US"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2D6A7DD2">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r>
              <w:rPr>
                <w:rFonts w:hint="eastAsia" w:ascii="宋体" w:hAnsi="宋体" w:eastAsia="宋体"/>
                <w:color w:val="000000" w:themeColor="text1"/>
                <w:szCs w:val="21"/>
                <w:highlight w:val="none"/>
                <w:lang w:val="en-US"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406126D">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w:t>
            </w:r>
            <w:r>
              <w:rPr>
                <w:rFonts w:hint="eastAsia" w:ascii="宋体" w:hAnsi="宋体" w:eastAsia="宋体"/>
                <w:color w:val="000000" w:themeColor="text1"/>
                <w:szCs w:val="21"/>
                <w:highlight w:val="none"/>
                <w:lang w:val="en-US"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采用金融、担保机构出具的保函的，必须为无条件保函，否则不予签订合同。</w:t>
            </w:r>
          </w:p>
        </w:tc>
      </w:tr>
      <w:tr w14:paraId="21D6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32B11AEB">
            <w:pPr>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付款方式</w:t>
            </w:r>
          </w:p>
        </w:tc>
        <w:tc>
          <w:tcPr>
            <w:tcW w:w="7238" w:type="dxa"/>
            <w:gridSpan w:val="3"/>
            <w:vAlign w:val="center"/>
          </w:tcPr>
          <w:p w14:paraId="50C09AE7">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合同生效后，</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按如下约定向</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支付工程款：</w:t>
            </w:r>
          </w:p>
          <w:p w14:paraId="3F38EED1">
            <w:pPr>
              <w:numPr>
                <w:ilvl w:val="0"/>
                <w:numId w:val="1"/>
              </w:numPr>
              <w:spacing w:line="360" w:lineRule="auto"/>
              <w:ind w:firstLine="0" w:firstLineChars="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合同签订后，</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支付合同金额30%预付款；</w:t>
            </w:r>
          </w:p>
          <w:p w14:paraId="3C1D3544">
            <w:pPr>
              <w:numPr>
                <w:ilvl w:val="-1"/>
                <w:numId w:val="0"/>
              </w:numPr>
              <w:spacing w:line="360" w:lineRule="auto"/>
              <w:ind w:firstLine="0" w:firstLineChars="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工程完工后，</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支付合同金额40%的费用；</w:t>
            </w:r>
          </w:p>
          <w:p w14:paraId="7D523FC8">
            <w:pPr>
              <w:spacing w:line="360" w:lineRule="auto"/>
              <w:ind w:firstLine="0" w:firstLineChars="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竣工验收合格后，</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支付合同金额20%的费用；</w:t>
            </w:r>
          </w:p>
          <w:p w14:paraId="11AB5B9F">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4、成交供应商</w:t>
            </w:r>
            <w:r>
              <w:rPr>
                <w:rFonts w:hint="eastAsia" w:ascii="宋体" w:hAnsi="宋体"/>
                <w:color w:val="000000" w:themeColor="text1"/>
                <w:szCs w:val="21"/>
                <w:highlight w:val="none"/>
                <w14:textFill>
                  <w14:solidFill>
                    <w14:schemeClr w14:val="tx1"/>
                  </w14:solidFill>
                </w14:textFill>
              </w:rPr>
              <w:t>提交工程结算报告给</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审核，</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对结算报告进行审核（含审计审核）并出具审核报告之后，支付至工程结算款的97％，</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按工程价款结算总额的3%预留工程质保金，待质保期满后返还（无利息）</w:t>
            </w:r>
            <w:r>
              <w:rPr>
                <w:rFonts w:hint="eastAsia" w:ascii="宋体" w:hAnsi="宋体"/>
                <w:color w:val="000000" w:themeColor="text1"/>
                <w:szCs w:val="21"/>
                <w:highlight w:val="none"/>
                <w:lang w:eastAsia="zh-CN"/>
                <w14:textFill>
                  <w14:solidFill>
                    <w14:schemeClr w14:val="tx1"/>
                  </w14:solidFill>
                </w14:textFill>
              </w:rPr>
              <w:t>。</w:t>
            </w:r>
          </w:p>
        </w:tc>
      </w:tr>
      <w:tr w14:paraId="774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D8C779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验收标准与方式</w:t>
            </w:r>
          </w:p>
        </w:tc>
        <w:tc>
          <w:tcPr>
            <w:tcW w:w="7238" w:type="dxa"/>
            <w:gridSpan w:val="3"/>
            <w:vAlign w:val="center"/>
          </w:tcPr>
          <w:p w14:paraId="163AD437">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验收标准：依据国家及地方现行消防规范、设计文件以及本采购需求中的技术要求进行验收。验收内容包括工程实体质量、材料设备质量、系统功能测试等。</w:t>
            </w:r>
          </w:p>
          <w:p w14:paraId="6A583FFA">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验收方式：工程竣工后，施工单位应向采购人提交竣工验收申请报告及完整的竣工资料。采购人组织相关部门和专业人员进行验收，必要时可邀请第三方检测机构参与。验收合格后，双方签署竣工验收报告；验收不合格的，施工单位应负责限期整改，整改后重新申请验收。</w:t>
            </w:r>
          </w:p>
        </w:tc>
      </w:tr>
      <w:tr w14:paraId="3824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7518C0D3">
            <w:pPr>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售后服务承诺</w:t>
            </w:r>
          </w:p>
        </w:tc>
        <w:tc>
          <w:tcPr>
            <w:tcW w:w="7238" w:type="dxa"/>
            <w:gridSpan w:val="3"/>
            <w:vAlign w:val="center"/>
          </w:tcPr>
          <w:p w14:paraId="1E2468BF">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质保期2年（自提交成果并验收合格之日起计），使用年限应符合国家建设相关要求</w:t>
            </w:r>
          </w:p>
          <w:p w14:paraId="52A9AC78">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响应时间：接到采购人保修通知之日起48小时内赶赴现场进行维修，48小时内排除故障；发生紧急抢修事故的，供应商应在接到事故通知后48小时内到达事故现场抢修。在工程质量保修期期限内发生质量问题，必须在收到质保通知后的3个日历天内整改完毕。</w:t>
            </w:r>
          </w:p>
          <w:p w14:paraId="56ED4BCE">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售后服务技术人员要求：专职人员</w:t>
            </w:r>
          </w:p>
        </w:tc>
      </w:tr>
      <w:tr w14:paraId="117C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5EFC991">
            <w:pPr>
              <w:spacing w:line="360" w:lineRule="auto"/>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其他</w:t>
            </w:r>
          </w:p>
        </w:tc>
        <w:tc>
          <w:tcPr>
            <w:tcW w:w="7238" w:type="dxa"/>
            <w:gridSpan w:val="3"/>
            <w:vAlign w:val="center"/>
          </w:tcPr>
          <w:p w14:paraId="2C6C7D1A">
            <w:pPr>
              <w:pStyle w:val="179"/>
              <w:keepNext w:val="0"/>
              <w:keepLines w:val="0"/>
              <w:pageBreakBefore w:val="0"/>
              <w:widowControl/>
              <w:numPr>
                <w:ilvl w:val="0"/>
                <w:numId w:val="0"/>
              </w:numPr>
              <w:kinsoku/>
              <w:wordWrap/>
              <w:overflowPunct/>
              <w:topLinePunct w:val="0"/>
              <w:autoSpaceDE/>
              <w:autoSpaceDN/>
              <w:bidi w:val="0"/>
              <w:adjustRightInd/>
              <w:snapToGrid/>
              <w:spacing w:after="0" w:line="360" w:lineRule="auto"/>
              <w:jc w:val="left"/>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w:t>
            </w:r>
            <w:r>
              <w:rPr>
                <w:rFonts w:hint="eastAsia" w:ascii="宋体" w:hAnsi="宋体" w:eastAsia="宋体"/>
                <w:b/>
                <w:bCs/>
                <w:color w:val="000000" w:themeColor="text1"/>
                <w:sz w:val="21"/>
                <w:szCs w:val="21"/>
                <w:highlight w:val="none"/>
                <w:lang w:val="en-US" w:eastAsia="zh-CN"/>
                <w14:textFill>
                  <w14:solidFill>
                    <w14:schemeClr w14:val="tx1"/>
                  </w14:solidFill>
                </w14:textFill>
              </w:rPr>
              <w:t>供应商已标价工程量清单的项目编码（12位）、项目名称、项目特征、计量单位、工程量任何一处与工程量清单不一致的，响应文件作无效响应处理</w:t>
            </w:r>
            <w:r>
              <w:rPr>
                <w:rFonts w:hint="eastAsia" w:ascii="宋体" w:hAnsi="宋体" w:eastAsia="宋体"/>
                <w:color w:val="000000" w:themeColor="text1"/>
                <w:sz w:val="21"/>
                <w:szCs w:val="21"/>
                <w:highlight w:val="none"/>
                <w:lang w:val="en-US" w:eastAsia="zh-CN"/>
                <w14:textFill>
                  <w14:solidFill>
                    <w14:schemeClr w14:val="tx1"/>
                  </w14:solidFill>
                </w14:textFill>
              </w:rPr>
              <w:t>；</w:t>
            </w:r>
          </w:p>
          <w:p w14:paraId="4AE5D7C6">
            <w:pPr>
              <w:pStyle w:val="179"/>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2、本项目采用多次报价方式，作最终报价时采购人将书面告知各供应商，供应商的最终报价如有变动，则必须以工程量清单报价表（已标价工程量清单）的格式编制重新提交，供应商须提前做好相关准备并按时递交最终报价文件，</w:t>
            </w:r>
            <w:r>
              <w:rPr>
                <w:rFonts w:hint="eastAsia" w:ascii="宋体" w:hAnsi="宋体" w:eastAsia="宋体"/>
                <w:b/>
                <w:bCs/>
                <w:color w:val="000000" w:themeColor="text1"/>
                <w:sz w:val="21"/>
                <w:szCs w:val="21"/>
                <w:highlight w:val="none"/>
                <w:lang w:val="en-US" w:eastAsia="zh-CN"/>
                <w14:textFill>
                  <w14:solidFill>
                    <w14:schemeClr w14:val="tx1"/>
                  </w14:solidFill>
                </w14:textFill>
              </w:rPr>
              <w:t>否则其响应文件按无效响应处理</w:t>
            </w:r>
            <w:r>
              <w:rPr>
                <w:rFonts w:hint="eastAsia" w:ascii="宋体" w:hAnsi="宋体" w:eastAsia="宋体"/>
                <w:color w:val="000000" w:themeColor="text1"/>
                <w:sz w:val="21"/>
                <w:szCs w:val="21"/>
                <w:highlight w:val="none"/>
                <w:lang w:val="en-US" w:eastAsia="zh-CN"/>
                <w14:textFill>
                  <w14:solidFill>
                    <w14:schemeClr w14:val="tx1"/>
                  </w14:solidFill>
                </w14:textFill>
              </w:rPr>
              <w:t>。</w:t>
            </w:r>
          </w:p>
          <w:p w14:paraId="10164B42">
            <w:pPr>
              <w:pStyle w:val="179"/>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本项目不发放工程量清单及图纸</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纸质版</w:t>
            </w:r>
            <w:r>
              <w:rPr>
                <w:rFonts w:hint="eastAsia" w:ascii="宋体" w:hAnsi="宋体" w:eastAsia="宋体" w:cs="宋体"/>
                <w:b w:val="0"/>
                <w:bCs w:val="0"/>
                <w:color w:val="000000" w:themeColor="text1"/>
                <w:sz w:val="21"/>
                <w:szCs w:val="21"/>
                <w:highlight w:val="none"/>
                <w14:textFill>
                  <w14:solidFill>
                    <w14:schemeClr w14:val="tx1"/>
                  </w14:solidFill>
                </w14:textFill>
              </w:rPr>
              <w:t>，由潜在供应商自行在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（https://www.gcy.zfcg.gxzf.gov.cn/）</w:t>
            </w:r>
            <w:r>
              <w:rPr>
                <w:rFonts w:hint="eastAsia" w:ascii="宋体" w:hAnsi="宋体" w:eastAsia="宋体" w:cs="宋体"/>
                <w:b w:val="0"/>
                <w:bCs w:val="0"/>
                <w:color w:val="000000" w:themeColor="text1"/>
                <w:sz w:val="21"/>
                <w:szCs w:val="21"/>
                <w:highlight w:val="none"/>
                <w14:textFill>
                  <w14:solidFill>
                    <w14:schemeClr w14:val="tx1"/>
                  </w14:solidFill>
                </w14:textFill>
              </w:rPr>
              <w:t>下载</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r>
    </w:tbl>
    <w:p w14:paraId="6973C020">
      <w:pPr>
        <w:rPr>
          <w:rFonts w:hint="eastAsia" w:ascii="微软雅黑" w:hAnsi="微软雅黑" w:eastAsia="微软雅黑"/>
          <w:color w:val="000000" w:themeColor="text1"/>
          <w:sz w:val="32"/>
          <w:szCs w:val="32"/>
          <w:highlight w:val="none"/>
          <w14:textFill>
            <w14:solidFill>
              <w14:schemeClr w14:val="tx1"/>
            </w14:solidFill>
          </w14:textFill>
        </w:rPr>
      </w:pPr>
      <w:r>
        <w:rPr>
          <w:rFonts w:hint="eastAsia" w:ascii="微软雅黑" w:hAnsi="微软雅黑" w:eastAsia="微软雅黑"/>
          <w:color w:val="000000" w:themeColor="text1"/>
          <w:sz w:val="32"/>
          <w:szCs w:val="32"/>
          <w:highlight w:val="none"/>
          <w14:textFill>
            <w14:solidFill>
              <w14:schemeClr w14:val="tx1"/>
            </w14:solidFill>
          </w14:textFill>
        </w:rPr>
        <w:br w:type="page"/>
      </w:r>
    </w:p>
    <w:p w14:paraId="46AEF163">
      <w:pPr>
        <w:rPr>
          <w:rFonts w:ascii="微软雅黑" w:hAnsi="微软雅黑" w:eastAsia="微软雅黑"/>
          <w:color w:val="000000" w:themeColor="text1"/>
          <w:sz w:val="32"/>
          <w:szCs w:val="32"/>
          <w:highlight w:val="none"/>
          <w14:textFill>
            <w14:solidFill>
              <w14:schemeClr w14:val="tx1"/>
            </w14:solidFill>
          </w14:textFill>
        </w:rPr>
      </w:pPr>
      <w:r>
        <w:rPr>
          <w:rFonts w:hint="eastAsia" w:ascii="微软雅黑" w:hAnsi="微软雅黑" w:eastAsia="微软雅黑"/>
          <w:color w:val="000000" w:themeColor="text1"/>
          <w:sz w:val="32"/>
          <w:szCs w:val="32"/>
          <w:highlight w:val="none"/>
          <w14:textFill>
            <w14:solidFill>
              <w14:schemeClr w14:val="tx1"/>
            </w14:solidFill>
          </w14:textFill>
        </w:rPr>
        <w:t>附件：</w:t>
      </w:r>
    </w:p>
    <w:p w14:paraId="406F3FCD">
      <w:pPr>
        <w:spacing w:line="360" w:lineRule="auto"/>
        <w:jc w:val="center"/>
        <w:rPr>
          <w:rFonts w:ascii="微软雅黑" w:hAnsi="微软雅黑" w:eastAsia="微软雅黑"/>
          <w:color w:val="000000" w:themeColor="text1"/>
          <w:sz w:val="40"/>
          <w:szCs w:val="40"/>
          <w:highlight w:val="none"/>
          <w14:textFill>
            <w14:solidFill>
              <w14:schemeClr w14:val="tx1"/>
            </w14:solidFill>
          </w14:textFill>
        </w:rPr>
      </w:pPr>
      <w:r>
        <w:rPr>
          <w:rFonts w:hint="eastAsia" w:ascii="微软雅黑" w:hAnsi="微软雅黑" w:eastAsia="微软雅黑"/>
          <w:color w:val="000000" w:themeColor="text1"/>
          <w:sz w:val="40"/>
          <w:szCs w:val="40"/>
          <w:highlight w:val="none"/>
          <w14:textFill>
            <w14:solidFill>
              <w14:schemeClr w14:val="tx1"/>
            </w14:solidFill>
          </w14:textFill>
        </w:rPr>
        <w:t>中小微企业划型标准</w:t>
      </w:r>
    </w:p>
    <w:tbl>
      <w:tblPr>
        <w:tblStyle w:val="38"/>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568"/>
        <w:gridCol w:w="1668"/>
        <w:gridCol w:w="1668"/>
        <w:gridCol w:w="1668"/>
        <w:gridCol w:w="1660"/>
      </w:tblGrid>
      <w:tr w14:paraId="1646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Align w:val="center"/>
          </w:tcPr>
          <w:p w14:paraId="06EF7757">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行业名称</w:t>
            </w:r>
          </w:p>
        </w:tc>
        <w:tc>
          <w:tcPr>
            <w:tcW w:w="784" w:type="pct"/>
            <w:vAlign w:val="center"/>
          </w:tcPr>
          <w:p w14:paraId="2BC1EC3E">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指标名称</w:t>
            </w:r>
          </w:p>
        </w:tc>
        <w:tc>
          <w:tcPr>
            <w:tcW w:w="834" w:type="pct"/>
            <w:vAlign w:val="center"/>
          </w:tcPr>
          <w:p w14:paraId="4990E3BC">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计量单位</w:t>
            </w:r>
          </w:p>
        </w:tc>
        <w:tc>
          <w:tcPr>
            <w:tcW w:w="834" w:type="pct"/>
            <w:vAlign w:val="center"/>
          </w:tcPr>
          <w:p w14:paraId="567D7BA3">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中型</w:t>
            </w:r>
          </w:p>
        </w:tc>
        <w:tc>
          <w:tcPr>
            <w:tcW w:w="834" w:type="pct"/>
            <w:vAlign w:val="center"/>
          </w:tcPr>
          <w:p w14:paraId="26FCFBFA">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小型</w:t>
            </w:r>
          </w:p>
        </w:tc>
        <w:tc>
          <w:tcPr>
            <w:tcW w:w="830" w:type="pct"/>
            <w:vAlign w:val="center"/>
          </w:tcPr>
          <w:p w14:paraId="525B5E8A">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微型</w:t>
            </w:r>
          </w:p>
        </w:tc>
      </w:tr>
      <w:tr w14:paraId="35AB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Align w:val="center"/>
          </w:tcPr>
          <w:p w14:paraId="336FB9E5">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农、林、牧、渔</w:t>
            </w:r>
          </w:p>
        </w:tc>
        <w:tc>
          <w:tcPr>
            <w:tcW w:w="784" w:type="pct"/>
            <w:vAlign w:val="center"/>
          </w:tcPr>
          <w:p w14:paraId="603B4847">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5D50AD93">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7B1FBBD0">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500≤Y＜20000</w:t>
            </w:r>
          </w:p>
        </w:tc>
        <w:tc>
          <w:tcPr>
            <w:tcW w:w="834" w:type="pct"/>
            <w:vAlign w:val="center"/>
          </w:tcPr>
          <w:p w14:paraId="0B750B7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50≤Y＜500</w:t>
            </w:r>
          </w:p>
        </w:tc>
        <w:tc>
          <w:tcPr>
            <w:tcW w:w="830" w:type="pct"/>
            <w:vAlign w:val="center"/>
          </w:tcPr>
          <w:p w14:paraId="24463D56">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Y＜50</w:t>
            </w:r>
          </w:p>
        </w:tc>
      </w:tr>
      <w:tr w14:paraId="341F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196261F5">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工业</w:t>
            </w:r>
          </w:p>
        </w:tc>
        <w:tc>
          <w:tcPr>
            <w:tcW w:w="784" w:type="pct"/>
            <w:vAlign w:val="center"/>
          </w:tcPr>
          <w:p w14:paraId="6E54B5A3">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42C932E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3BB308D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300≤X＜1000</w:t>
            </w:r>
          </w:p>
        </w:tc>
        <w:tc>
          <w:tcPr>
            <w:tcW w:w="834" w:type="pct"/>
            <w:vAlign w:val="center"/>
          </w:tcPr>
          <w:p w14:paraId="5E67AF3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20≤X＜300</w:t>
            </w:r>
          </w:p>
        </w:tc>
        <w:tc>
          <w:tcPr>
            <w:tcW w:w="830" w:type="pct"/>
            <w:vAlign w:val="center"/>
          </w:tcPr>
          <w:p w14:paraId="4AB8F1B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w:t>
            </w:r>
          </w:p>
        </w:tc>
      </w:tr>
      <w:tr w14:paraId="55A1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260507D2">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2A09CCD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550548B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46C3C683">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2000≤Y＜40000</w:t>
            </w:r>
          </w:p>
        </w:tc>
        <w:tc>
          <w:tcPr>
            <w:tcW w:w="834" w:type="pct"/>
            <w:vAlign w:val="center"/>
          </w:tcPr>
          <w:p w14:paraId="5FA3593E">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300≤Y＜2000</w:t>
            </w:r>
          </w:p>
        </w:tc>
        <w:tc>
          <w:tcPr>
            <w:tcW w:w="830" w:type="pct"/>
            <w:vAlign w:val="center"/>
          </w:tcPr>
          <w:p w14:paraId="18A38E9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Y＜300</w:t>
            </w:r>
          </w:p>
        </w:tc>
      </w:tr>
      <w:tr w14:paraId="3E47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24028EF4">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建筑业</w:t>
            </w:r>
          </w:p>
        </w:tc>
        <w:tc>
          <w:tcPr>
            <w:tcW w:w="784" w:type="pct"/>
            <w:vAlign w:val="center"/>
          </w:tcPr>
          <w:p w14:paraId="1132EBC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698CE40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5D1592A0">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6000≤Y＜80000</w:t>
            </w:r>
          </w:p>
        </w:tc>
        <w:tc>
          <w:tcPr>
            <w:tcW w:w="834" w:type="pct"/>
            <w:vAlign w:val="center"/>
          </w:tcPr>
          <w:p w14:paraId="1FA6DE0B">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300≤Y＜6000</w:t>
            </w:r>
          </w:p>
        </w:tc>
        <w:tc>
          <w:tcPr>
            <w:tcW w:w="830" w:type="pct"/>
            <w:vAlign w:val="center"/>
          </w:tcPr>
          <w:p w14:paraId="5FA0FE4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Y＜300</w:t>
            </w:r>
          </w:p>
        </w:tc>
      </w:tr>
      <w:tr w14:paraId="5C1F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5BB9D9A0">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03DEBDB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资产总额（Z）</w:t>
            </w:r>
          </w:p>
        </w:tc>
        <w:tc>
          <w:tcPr>
            <w:tcW w:w="834" w:type="pct"/>
            <w:vAlign w:val="center"/>
          </w:tcPr>
          <w:p w14:paraId="1321199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77DF258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5000≤Z＜80000</w:t>
            </w:r>
          </w:p>
        </w:tc>
        <w:tc>
          <w:tcPr>
            <w:tcW w:w="834" w:type="pct"/>
            <w:vAlign w:val="center"/>
          </w:tcPr>
          <w:p w14:paraId="46AF4897">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300≤Z＜5000</w:t>
            </w:r>
          </w:p>
        </w:tc>
        <w:tc>
          <w:tcPr>
            <w:tcW w:w="830" w:type="pct"/>
            <w:vAlign w:val="center"/>
          </w:tcPr>
          <w:p w14:paraId="4D80AAA3">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Z＜300</w:t>
            </w:r>
          </w:p>
        </w:tc>
      </w:tr>
      <w:tr w14:paraId="6990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2DE78D0B">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批发业</w:t>
            </w:r>
          </w:p>
        </w:tc>
        <w:tc>
          <w:tcPr>
            <w:tcW w:w="784" w:type="pct"/>
            <w:vAlign w:val="center"/>
          </w:tcPr>
          <w:p w14:paraId="271AAE9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45A7ED2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5640FFE0">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20≤X＜200</w:t>
            </w:r>
          </w:p>
        </w:tc>
        <w:tc>
          <w:tcPr>
            <w:tcW w:w="834" w:type="pct"/>
            <w:vAlign w:val="center"/>
          </w:tcPr>
          <w:p w14:paraId="16A51C01">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5≤X＜20</w:t>
            </w:r>
          </w:p>
        </w:tc>
        <w:tc>
          <w:tcPr>
            <w:tcW w:w="830" w:type="pct"/>
            <w:vAlign w:val="center"/>
          </w:tcPr>
          <w:p w14:paraId="57300DDB">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X＜5</w:t>
            </w:r>
          </w:p>
        </w:tc>
      </w:tr>
      <w:tr w14:paraId="07BE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64B01FFB">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53C7D67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347C98B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2AFB380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5000≤Y＜40000</w:t>
            </w:r>
          </w:p>
        </w:tc>
        <w:tc>
          <w:tcPr>
            <w:tcW w:w="834" w:type="pct"/>
            <w:vAlign w:val="center"/>
          </w:tcPr>
          <w:p w14:paraId="02A19AC6">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1000≤Y＜5000</w:t>
            </w:r>
          </w:p>
        </w:tc>
        <w:tc>
          <w:tcPr>
            <w:tcW w:w="830" w:type="pct"/>
            <w:vAlign w:val="center"/>
          </w:tcPr>
          <w:p w14:paraId="0CBB47D1">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Y＜1000</w:t>
            </w:r>
          </w:p>
        </w:tc>
      </w:tr>
      <w:tr w14:paraId="5E91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41646485">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零售业</w:t>
            </w:r>
          </w:p>
        </w:tc>
        <w:tc>
          <w:tcPr>
            <w:tcW w:w="784" w:type="pct"/>
            <w:vAlign w:val="center"/>
          </w:tcPr>
          <w:p w14:paraId="437114FE">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643F1C94">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64383E78">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50≤X＜300</w:t>
            </w:r>
          </w:p>
        </w:tc>
        <w:tc>
          <w:tcPr>
            <w:tcW w:w="834" w:type="pct"/>
            <w:vAlign w:val="center"/>
          </w:tcPr>
          <w:p w14:paraId="5CC1603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10≤X＜50</w:t>
            </w:r>
          </w:p>
        </w:tc>
        <w:tc>
          <w:tcPr>
            <w:tcW w:w="830" w:type="pct"/>
            <w:vAlign w:val="center"/>
          </w:tcPr>
          <w:p w14:paraId="01957AB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14:paraId="3AEA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18F3C9C0">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5B8F8066">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2B3DA4FE">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76EF793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500≤Y＜20000</w:t>
            </w:r>
          </w:p>
        </w:tc>
        <w:tc>
          <w:tcPr>
            <w:tcW w:w="834" w:type="pct"/>
            <w:vAlign w:val="center"/>
          </w:tcPr>
          <w:p w14:paraId="5C0B189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100≤Y＜500</w:t>
            </w:r>
          </w:p>
        </w:tc>
        <w:tc>
          <w:tcPr>
            <w:tcW w:w="830" w:type="pct"/>
            <w:vAlign w:val="center"/>
          </w:tcPr>
          <w:p w14:paraId="30BC17D4">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14:paraId="3A21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5F27AA47">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交通运输业</w:t>
            </w:r>
          </w:p>
        </w:tc>
        <w:tc>
          <w:tcPr>
            <w:tcW w:w="784" w:type="pct"/>
            <w:vAlign w:val="center"/>
          </w:tcPr>
          <w:p w14:paraId="0FBC5524">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471AF668">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706BD3B0">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300≤X＜1000</w:t>
            </w:r>
          </w:p>
        </w:tc>
        <w:tc>
          <w:tcPr>
            <w:tcW w:w="834" w:type="pct"/>
            <w:vAlign w:val="center"/>
          </w:tcPr>
          <w:p w14:paraId="73A4F3F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20≤X＜300</w:t>
            </w:r>
          </w:p>
        </w:tc>
        <w:tc>
          <w:tcPr>
            <w:tcW w:w="830" w:type="pct"/>
            <w:vAlign w:val="center"/>
          </w:tcPr>
          <w:p w14:paraId="1A2FE2E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w:t>
            </w:r>
          </w:p>
        </w:tc>
      </w:tr>
      <w:tr w14:paraId="571C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3A9F9528">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1729FAB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408440DB">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2CB8ED7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3000≤Y＜30000</w:t>
            </w:r>
          </w:p>
        </w:tc>
        <w:tc>
          <w:tcPr>
            <w:tcW w:w="834" w:type="pct"/>
            <w:vAlign w:val="center"/>
          </w:tcPr>
          <w:p w14:paraId="4D7BF61B">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200≤Y＜3000</w:t>
            </w:r>
          </w:p>
        </w:tc>
        <w:tc>
          <w:tcPr>
            <w:tcW w:w="830" w:type="pct"/>
            <w:vAlign w:val="center"/>
          </w:tcPr>
          <w:p w14:paraId="279D42E6">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Y＜200</w:t>
            </w:r>
          </w:p>
        </w:tc>
      </w:tr>
      <w:tr w14:paraId="415D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735A154D">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仓储业</w:t>
            </w:r>
          </w:p>
        </w:tc>
        <w:tc>
          <w:tcPr>
            <w:tcW w:w="784" w:type="pct"/>
            <w:vAlign w:val="center"/>
          </w:tcPr>
          <w:p w14:paraId="61F01BD0">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5367E9AE">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547CA05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100≤X＜200</w:t>
            </w:r>
          </w:p>
        </w:tc>
        <w:tc>
          <w:tcPr>
            <w:tcW w:w="834" w:type="pct"/>
            <w:vAlign w:val="center"/>
          </w:tcPr>
          <w:p w14:paraId="4C20D5B1">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20≤X＜100</w:t>
            </w:r>
          </w:p>
        </w:tc>
        <w:tc>
          <w:tcPr>
            <w:tcW w:w="830" w:type="pct"/>
            <w:vAlign w:val="center"/>
          </w:tcPr>
          <w:p w14:paraId="22B2D333">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w:t>
            </w:r>
          </w:p>
        </w:tc>
      </w:tr>
      <w:tr w14:paraId="0464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2AEB75CA">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2612A22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33E43904">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556C2FC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1000≤Y＜30000</w:t>
            </w:r>
          </w:p>
        </w:tc>
        <w:tc>
          <w:tcPr>
            <w:tcW w:w="834" w:type="pct"/>
            <w:vAlign w:val="center"/>
          </w:tcPr>
          <w:p w14:paraId="327209F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100≤Y＜1000</w:t>
            </w:r>
          </w:p>
        </w:tc>
        <w:tc>
          <w:tcPr>
            <w:tcW w:w="830" w:type="pct"/>
            <w:vAlign w:val="center"/>
          </w:tcPr>
          <w:p w14:paraId="5BF5EBD3">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14:paraId="69D5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2F8B81D4">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邮政业</w:t>
            </w:r>
          </w:p>
        </w:tc>
        <w:tc>
          <w:tcPr>
            <w:tcW w:w="784" w:type="pct"/>
            <w:vAlign w:val="center"/>
          </w:tcPr>
          <w:p w14:paraId="16007916">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2B31F704">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36DE2CD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300≤X＜1000</w:t>
            </w:r>
          </w:p>
        </w:tc>
        <w:tc>
          <w:tcPr>
            <w:tcW w:w="834" w:type="pct"/>
            <w:vAlign w:val="center"/>
          </w:tcPr>
          <w:p w14:paraId="046C2761">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20≤X＜300</w:t>
            </w:r>
          </w:p>
        </w:tc>
        <w:tc>
          <w:tcPr>
            <w:tcW w:w="830" w:type="pct"/>
            <w:vAlign w:val="center"/>
          </w:tcPr>
          <w:p w14:paraId="442F68D7">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w:t>
            </w:r>
          </w:p>
        </w:tc>
      </w:tr>
      <w:tr w14:paraId="7B06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49484AEB">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756EED37">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3B8F3AA3">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00C9492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2000≤Y＜30000</w:t>
            </w:r>
          </w:p>
        </w:tc>
        <w:tc>
          <w:tcPr>
            <w:tcW w:w="834" w:type="pct"/>
            <w:vAlign w:val="center"/>
          </w:tcPr>
          <w:p w14:paraId="4508DB2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100≤Y＜2000</w:t>
            </w:r>
          </w:p>
        </w:tc>
        <w:tc>
          <w:tcPr>
            <w:tcW w:w="830" w:type="pct"/>
            <w:vAlign w:val="center"/>
          </w:tcPr>
          <w:p w14:paraId="7FCD1E0B">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14:paraId="5A64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44D01730">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住宿业</w:t>
            </w:r>
          </w:p>
        </w:tc>
        <w:tc>
          <w:tcPr>
            <w:tcW w:w="784" w:type="pct"/>
            <w:vAlign w:val="center"/>
          </w:tcPr>
          <w:p w14:paraId="7E167004">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3DD432A7">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10A80B6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100≤X＜300</w:t>
            </w:r>
          </w:p>
        </w:tc>
        <w:tc>
          <w:tcPr>
            <w:tcW w:w="834" w:type="pct"/>
            <w:vAlign w:val="center"/>
          </w:tcPr>
          <w:p w14:paraId="19CA6D5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10≤X＜100</w:t>
            </w:r>
          </w:p>
        </w:tc>
        <w:tc>
          <w:tcPr>
            <w:tcW w:w="830" w:type="pct"/>
            <w:vAlign w:val="center"/>
          </w:tcPr>
          <w:p w14:paraId="05D1BDA3">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14:paraId="3521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66894942">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3BCC4A3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2748B0C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2AB34326">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2000≤Y＜10000</w:t>
            </w:r>
          </w:p>
        </w:tc>
        <w:tc>
          <w:tcPr>
            <w:tcW w:w="834" w:type="pct"/>
            <w:vAlign w:val="center"/>
          </w:tcPr>
          <w:p w14:paraId="3A23D5C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100≤Y＜2000</w:t>
            </w:r>
          </w:p>
        </w:tc>
        <w:tc>
          <w:tcPr>
            <w:tcW w:w="830" w:type="pct"/>
            <w:vAlign w:val="center"/>
          </w:tcPr>
          <w:p w14:paraId="0BCC3BD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14:paraId="3E5F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54AAADF2">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餐饮业</w:t>
            </w:r>
          </w:p>
        </w:tc>
        <w:tc>
          <w:tcPr>
            <w:tcW w:w="784" w:type="pct"/>
            <w:vAlign w:val="center"/>
          </w:tcPr>
          <w:p w14:paraId="32E006F0">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5776FFD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0B421FC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100≤X＜300</w:t>
            </w:r>
          </w:p>
        </w:tc>
        <w:tc>
          <w:tcPr>
            <w:tcW w:w="834" w:type="pct"/>
            <w:vAlign w:val="center"/>
          </w:tcPr>
          <w:p w14:paraId="02CA812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10≤X＜100</w:t>
            </w:r>
          </w:p>
        </w:tc>
        <w:tc>
          <w:tcPr>
            <w:tcW w:w="830" w:type="pct"/>
            <w:vAlign w:val="center"/>
          </w:tcPr>
          <w:p w14:paraId="2DCA20F8">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14:paraId="4391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73F62975">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45A159E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5A03ACA4">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5A02FDB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2000≤Y＜10000</w:t>
            </w:r>
          </w:p>
        </w:tc>
        <w:tc>
          <w:tcPr>
            <w:tcW w:w="834" w:type="pct"/>
            <w:vAlign w:val="center"/>
          </w:tcPr>
          <w:p w14:paraId="3FCC7C7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100≤Y＜2000</w:t>
            </w:r>
          </w:p>
        </w:tc>
        <w:tc>
          <w:tcPr>
            <w:tcW w:w="830" w:type="pct"/>
            <w:vAlign w:val="center"/>
          </w:tcPr>
          <w:p w14:paraId="22D0E94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14:paraId="1F4E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37C2E90D">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信息传输业</w:t>
            </w:r>
          </w:p>
        </w:tc>
        <w:tc>
          <w:tcPr>
            <w:tcW w:w="784" w:type="pct"/>
            <w:vAlign w:val="center"/>
          </w:tcPr>
          <w:p w14:paraId="4B7374B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27512D8E">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704D6657">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100≤X＜2000</w:t>
            </w:r>
          </w:p>
        </w:tc>
        <w:tc>
          <w:tcPr>
            <w:tcW w:w="834" w:type="pct"/>
            <w:vAlign w:val="center"/>
          </w:tcPr>
          <w:p w14:paraId="645C1BE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10≤X＜100</w:t>
            </w:r>
          </w:p>
        </w:tc>
        <w:tc>
          <w:tcPr>
            <w:tcW w:w="830" w:type="pct"/>
            <w:vAlign w:val="center"/>
          </w:tcPr>
          <w:p w14:paraId="3CA84AE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14:paraId="3A50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24227994">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599EED6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4106123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20F659C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1000≤Y＜100000</w:t>
            </w:r>
          </w:p>
        </w:tc>
        <w:tc>
          <w:tcPr>
            <w:tcW w:w="834" w:type="pct"/>
            <w:vAlign w:val="center"/>
          </w:tcPr>
          <w:p w14:paraId="25DEA978">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100≤Y＜1000</w:t>
            </w:r>
          </w:p>
        </w:tc>
        <w:tc>
          <w:tcPr>
            <w:tcW w:w="830" w:type="pct"/>
            <w:vAlign w:val="center"/>
          </w:tcPr>
          <w:p w14:paraId="6A181E5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14:paraId="2A17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40AA4407">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软件和信息技术服务业</w:t>
            </w:r>
          </w:p>
        </w:tc>
        <w:tc>
          <w:tcPr>
            <w:tcW w:w="784" w:type="pct"/>
            <w:vAlign w:val="center"/>
          </w:tcPr>
          <w:p w14:paraId="5F009BBB">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356330F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39598FD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100≤X＜300</w:t>
            </w:r>
          </w:p>
        </w:tc>
        <w:tc>
          <w:tcPr>
            <w:tcW w:w="834" w:type="pct"/>
            <w:vAlign w:val="center"/>
          </w:tcPr>
          <w:p w14:paraId="3BF0732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10≤X＜100</w:t>
            </w:r>
          </w:p>
        </w:tc>
        <w:tc>
          <w:tcPr>
            <w:tcW w:w="830" w:type="pct"/>
            <w:vAlign w:val="center"/>
          </w:tcPr>
          <w:p w14:paraId="127EEB5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14:paraId="40B5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64B13E98">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7EBB3E0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7048B46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303E472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1000≤Y＜10000</w:t>
            </w:r>
          </w:p>
        </w:tc>
        <w:tc>
          <w:tcPr>
            <w:tcW w:w="834" w:type="pct"/>
            <w:vAlign w:val="center"/>
          </w:tcPr>
          <w:p w14:paraId="603CC516">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50≤Y＜1000</w:t>
            </w:r>
          </w:p>
        </w:tc>
        <w:tc>
          <w:tcPr>
            <w:tcW w:w="830" w:type="pct"/>
            <w:vAlign w:val="center"/>
          </w:tcPr>
          <w:p w14:paraId="1661CAF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Y＜50</w:t>
            </w:r>
          </w:p>
        </w:tc>
      </w:tr>
      <w:tr w14:paraId="6F0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7E709FB2">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房地产开发经营</w:t>
            </w:r>
          </w:p>
        </w:tc>
        <w:tc>
          <w:tcPr>
            <w:tcW w:w="784" w:type="pct"/>
            <w:vAlign w:val="center"/>
          </w:tcPr>
          <w:p w14:paraId="41AB7C4E">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6ACC93E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4553D1E6">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1000≤Y＜200000</w:t>
            </w:r>
          </w:p>
        </w:tc>
        <w:tc>
          <w:tcPr>
            <w:tcW w:w="834" w:type="pct"/>
            <w:vAlign w:val="center"/>
          </w:tcPr>
          <w:p w14:paraId="3BA8467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100≤X＜1000</w:t>
            </w:r>
          </w:p>
        </w:tc>
        <w:tc>
          <w:tcPr>
            <w:tcW w:w="830" w:type="pct"/>
            <w:vAlign w:val="center"/>
          </w:tcPr>
          <w:p w14:paraId="41A4EC6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X＜100</w:t>
            </w:r>
          </w:p>
        </w:tc>
      </w:tr>
      <w:tr w14:paraId="52C2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7EA63178">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48C4BE0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资产总额（Z）</w:t>
            </w:r>
          </w:p>
        </w:tc>
        <w:tc>
          <w:tcPr>
            <w:tcW w:w="834" w:type="pct"/>
            <w:vAlign w:val="center"/>
          </w:tcPr>
          <w:p w14:paraId="3EBA1E7B">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053020A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5000≤Z＜10000</w:t>
            </w:r>
          </w:p>
        </w:tc>
        <w:tc>
          <w:tcPr>
            <w:tcW w:w="834" w:type="pct"/>
            <w:vAlign w:val="center"/>
          </w:tcPr>
          <w:p w14:paraId="2261D447">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2000≤Y＜5000</w:t>
            </w:r>
          </w:p>
        </w:tc>
        <w:tc>
          <w:tcPr>
            <w:tcW w:w="830" w:type="pct"/>
            <w:vAlign w:val="center"/>
          </w:tcPr>
          <w:p w14:paraId="1E197C51">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Y＜2000</w:t>
            </w:r>
          </w:p>
        </w:tc>
      </w:tr>
      <w:tr w14:paraId="4F04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18E690D6">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物业管理</w:t>
            </w:r>
          </w:p>
        </w:tc>
        <w:tc>
          <w:tcPr>
            <w:tcW w:w="784" w:type="pct"/>
            <w:vAlign w:val="center"/>
          </w:tcPr>
          <w:p w14:paraId="604F155E">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54F396C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1FEB61A0">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300≤X＜1000</w:t>
            </w:r>
          </w:p>
        </w:tc>
        <w:tc>
          <w:tcPr>
            <w:tcW w:w="834" w:type="pct"/>
            <w:vAlign w:val="center"/>
          </w:tcPr>
          <w:p w14:paraId="240D061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100≤X＜300</w:t>
            </w:r>
          </w:p>
        </w:tc>
        <w:tc>
          <w:tcPr>
            <w:tcW w:w="830" w:type="pct"/>
            <w:vAlign w:val="center"/>
          </w:tcPr>
          <w:p w14:paraId="22AFD828">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X＜100</w:t>
            </w:r>
          </w:p>
        </w:tc>
      </w:tr>
      <w:tr w14:paraId="3B32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710B1B05">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52188CD8">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834" w:type="pct"/>
            <w:vAlign w:val="center"/>
          </w:tcPr>
          <w:p w14:paraId="12E02864">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3C7A49B6">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1000≤Y＜5000</w:t>
            </w:r>
          </w:p>
        </w:tc>
        <w:tc>
          <w:tcPr>
            <w:tcW w:w="834" w:type="pct"/>
            <w:vAlign w:val="center"/>
          </w:tcPr>
          <w:p w14:paraId="3A6AAC9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500≤Y＜1000</w:t>
            </w:r>
          </w:p>
        </w:tc>
        <w:tc>
          <w:tcPr>
            <w:tcW w:w="830" w:type="pct"/>
            <w:vAlign w:val="center"/>
          </w:tcPr>
          <w:p w14:paraId="296C4F7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Y＜500</w:t>
            </w:r>
          </w:p>
        </w:tc>
      </w:tr>
      <w:tr w14:paraId="1946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0D78D112">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租赁和商务服务业</w:t>
            </w:r>
          </w:p>
        </w:tc>
        <w:tc>
          <w:tcPr>
            <w:tcW w:w="784" w:type="pct"/>
            <w:vAlign w:val="center"/>
          </w:tcPr>
          <w:p w14:paraId="6EF95D5A">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6F7F4047">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7FD1C3E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100≤X＜300</w:t>
            </w:r>
          </w:p>
        </w:tc>
        <w:tc>
          <w:tcPr>
            <w:tcW w:w="834" w:type="pct"/>
            <w:vAlign w:val="center"/>
          </w:tcPr>
          <w:p w14:paraId="2D5636BD">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10≤X＜100</w:t>
            </w:r>
          </w:p>
        </w:tc>
        <w:tc>
          <w:tcPr>
            <w:tcW w:w="830" w:type="pct"/>
            <w:vAlign w:val="center"/>
          </w:tcPr>
          <w:p w14:paraId="5F7EA9D4">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14:paraId="5FEC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3175B30C">
            <w:pPr>
              <w:jc w:val="center"/>
              <w:rPr>
                <w:rFonts w:ascii="宋体" w:hAnsi="宋体"/>
                <w:b/>
                <w:color w:val="000000" w:themeColor="text1"/>
                <w:sz w:val="18"/>
                <w:szCs w:val="18"/>
                <w:highlight w:val="none"/>
                <w14:textFill>
                  <w14:solidFill>
                    <w14:schemeClr w14:val="tx1"/>
                  </w14:solidFill>
                </w14:textFill>
              </w:rPr>
            </w:pPr>
          </w:p>
        </w:tc>
        <w:tc>
          <w:tcPr>
            <w:tcW w:w="784" w:type="pct"/>
            <w:vAlign w:val="center"/>
          </w:tcPr>
          <w:p w14:paraId="0B6297B3">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资产总额（Z）</w:t>
            </w:r>
          </w:p>
        </w:tc>
        <w:tc>
          <w:tcPr>
            <w:tcW w:w="834" w:type="pct"/>
            <w:vAlign w:val="center"/>
          </w:tcPr>
          <w:p w14:paraId="60625450">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834" w:type="pct"/>
            <w:vAlign w:val="center"/>
          </w:tcPr>
          <w:p w14:paraId="37497A4C">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8000≤Z＜120000</w:t>
            </w:r>
          </w:p>
        </w:tc>
        <w:tc>
          <w:tcPr>
            <w:tcW w:w="834" w:type="pct"/>
            <w:vAlign w:val="center"/>
          </w:tcPr>
          <w:p w14:paraId="18E58B68">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100≤Z＜8000</w:t>
            </w:r>
          </w:p>
        </w:tc>
        <w:tc>
          <w:tcPr>
            <w:tcW w:w="830" w:type="pct"/>
            <w:vAlign w:val="center"/>
          </w:tcPr>
          <w:p w14:paraId="3921C76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14:paraId="5C7B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82" w:type="pct"/>
            <w:vAlign w:val="center"/>
          </w:tcPr>
          <w:p w14:paraId="186AF5E6">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其他未列明行业</w:t>
            </w:r>
          </w:p>
        </w:tc>
        <w:tc>
          <w:tcPr>
            <w:tcW w:w="784" w:type="pct"/>
            <w:vAlign w:val="center"/>
          </w:tcPr>
          <w:p w14:paraId="5A6842A8">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834" w:type="pct"/>
            <w:vAlign w:val="center"/>
          </w:tcPr>
          <w:p w14:paraId="6CD21985">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834" w:type="pct"/>
            <w:vAlign w:val="center"/>
          </w:tcPr>
          <w:p w14:paraId="5329F22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100≤X＜300</w:t>
            </w:r>
          </w:p>
        </w:tc>
        <w:tc>
          <w:tcPr>
            <w:tcW w:w="834" w:type="pct"/>
            <w:vAlign w:val="center"/>
          </w:tcPr>
          <w:p w14:paraId="0B3AF512">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10≤X＜100</w:t>
            </w:r>
          </w:p>
        </w:tc>
        <w:tc>
          <w:tcPr>
            <w:tcW w:w="830" w:type="pct"/>
            <w:vAlign w:val="center"/>
          </w:tcPr>
          <w:p w14:paraId="6FD86A89">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bl>
    <w:p w14:paraId="19B4D3F4">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4933F814">
      <w:pPr>
        <w:pStyle w:val="2"/>
        <w:jc w:val="center"/>
        <w:rPr>
          <w:rFonts w:ascii="宋体" w:hAnsi="宋体" w:eastAsia="宋体"/>
          <w:color w:val="000000" w:themeColor="text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9C0F932">
      <w:pPr>
        <w:pStyle w:val="2"/>
        <w:jc w:val="center"/>
        <w:rPr>
          <w:rFonts w:ascii="宋体" w:hAnsi="宋体" w:eastAsia="宋体"/>
          <w:color w:val="000000" w:themeColor="text1"/>
          <w:highlight w:val="none"/>
          <w14:textFill>
            <w14:solidFill>
              <w14:schemeClr w14:val="tx1"/>
            </w14:solidFill>
          </w14:textFill>
        </w:rPr>
      </w:pPr>
      <w:bookmarkStart w:id="23" w:name="_Toc24979"/>
      <w:r>
        <w:rPr>
          <w:rFonts w:hint="eastAsia" w:ascii="宋体" w:hAnsi="宋体" w:eastAsia="宋体"/>
          <w:color w:val="000000" w:themeColor="text1"/>
          <w:highlight w:val="none"/>
          <w14:textFill>
            <w14:solidFill>
              <w14:schemeClr w14:val="tx1"/>
            </w14:solidFill>
          </w14:textFill>
        </w:rPr>
        <w:t>第四</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评审程序、评审方法和评审标准</w:t>
      </w:r>
      <w:bookmarkEnd w:id="23"/>
    </w:p>
    <w:p w14:paraId="2B24DC84">
      <w:pPr>
        <w:pStyle w:val="3"/>
        <w:jc w:val="center"/>
        <w:rPr>
          <w:color w:val="000000" w:themeColor="text1"/>
          <w:highlight w:val="none"/>
          <w14:textFill>
            <w14:solidFill>
              <w14:schemeClr w14:val="tx1"/>
            </w14:solidFill>
          </w14:textFill>
        </w:rPr>
      </w:pPr>
      <w:bookmarkStart w:id="24" w:name="_Toc16038"/>
      <w:bookmarkStart w:id="25" w:name="_Toc8745"/>
      <w:r>
        <w:rPr>
          <w:rFonts w:hint="eastAsia"/>
          <w:color w:val="000000" w:themeColor="text1"/>
          <w:highlight w:val="none"/>
          <w14:textFill>
            <w14:solidFill>
              <w14:schemeClr w14:val="tx1"/>
            </w14:solidFill>
          </w14:textFill>
        </w:rPr>
        <w:t>一、评审程序和评审方法</w:t>
      </w:r>
      <w:bookmarkEnd w:id="24"/>
      <w:bookmarkEnd w:id="25"/>
    </w:p>
    <w:p w14:paraId="402C764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1.资格审查</w:t>
      </w:r>
    </w:p>
    <w:p w14:paraId="04C1DF0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1.1响应文件开启后，磋商小组依法对供应商的资格证明文件进行审查。</w:t>
      </w:r>
    </w:p>
    <w:p w14:paraId="1C95DE9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注：磋商小组在资格审查结束前，对供应商进行信用查询。</w:t>
      </w:r>
    </w:p>
    <w:p w14:paraId="3C8938E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（1）查询渠道：广西政府采购云平台“信用中国”网站（www.creditchina.gov.cn）、中国政府采购网（www.ccgp.gov.cn）链接入口。</w:t>
      </w:r>
    </w:p>
    <w:p w14:paraId="7758949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（2）信用查询截止时点：资格审查结束前。</w:t>
      </w:r>
    </w:p>
    <w:p w14:paraId="1C483D5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1A65209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349F5A3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1.2资格审查标准为本磋商文件中载明对供应商资格要求的条件。资格审查采用合格制，凡符合磋商文件规定的供应商资格要求的响应文件均通过资格审查。</w:t>
      </w:r>
    </w:p>
    <w:p w14:paraId="60545C9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1.3供应商有下列情形之一的，资格审查不通过，其响应文件按无效处理：</w:t>
      </w:r>
    </w:p>
    <w:p w14:paraId="1F704B8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（1）不具备磋商文件中规定的资格要求的；</w:t>
      </w:r>
    </w:p>
    <w:p w14:paraId="320DF82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（2）未按磋商文件规定的方式获取本磋商文件的；</w:t>
      </w:r>
    </w:p>
    <w:p w14:paraId="5CF6751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（3）响应文件的资格证明文件缺少任一项“供应商须知前附表”资格证明文件规定的“必须提供”的文件资料的；</w:t>
      </w:r>
    </w:p>
    <w:p w14:paraId="75F5F92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（4）响应文件中的资格证明文件出现任一项不符合“供应商须知前附表”资格证明文件规定的“必须提供”的文件资料要求或者无效的；</w:t>
      </w:r>
    </w:p>
    <w:p w14:paraId="7863F6D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（5）同一合同项下的不同供应商，单位负责人为同一人或者存在直接控股、管理关系的；为本项目提供过整体设计、规范编制或者项目管理、监理、检测等服务的供应商，再参加该采购项目的其他采购活动的。</w:t>
      </w:r>
    </w:p>
    <w:p w14:paraId="2E00FC8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1.4通过资格审查的合格供应商不足3家的，不得进入符合性审查环节，应当重新开展采购活动。</w:t>
      </w:r>
    </w:p>
    <w:p w14:paraId="76E5AFD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2.符合性审查</w:t>
      </w:r>
    </w:p>
    <w:p w14:paraId="6496FC2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2.1磋商小组对通过资格审查的合格供应商的响应文件的竞争性磋商报价、商务、技术等实质性要求进行符合性审查，以确定其是否满足磋商文件的实质性要求。</w:t>
      </w:r>
    </w:p>
    <w:p w14:paraId="0F536D1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8D8C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67657F4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BD08C5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2.4首次响应文件报价出现前后不一致的，按照下列规定修正：</w:t>
      </w:r>
    </w:p>
    <w:p w14:paraId="4AA43B9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（1）响应文件中报价表内容与响应文件中相应内容不一致的，以报价表为准；</w:t>
      </w:r>
    </w:p>
    <w:p w14:paraId="198E2DB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（2）大写金额和小写金额不一致的，以大写金额为准；</w:t>
      </w:r>
    </w:p>
    <w:p w14:paraId="7E7C07D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（3）单价金额小数点或者百分比有明显错位的，以报价表的总价为准，并修改单价；</w:t>
      </w:r>
    </w:p>
    <w:p w14:paraId="7744A3F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（4）总价金额与按单价汇总金额不一致的，以单价金额计算结果为准。</w:t>
      </w:r>
    </w:p>
    <w:p w14:paraId="1F52CF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同时出现两种以上不一致的，按照以上（1）-（4）规定的顺序逐条进行修正。修正后的报价经供应商确认后产生约束力，供应商不确认的，其响应文件按无效处理。</w:t>
      </w:r>
    </w:p>
    <w:p w14:paraId="46E8EE4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2.5商务技术报价评审</w:t>
      </w:r>
    </w:p>
    <w:p w14:paraId="710A2A6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在评审时，如发现下列情形之一的，将被视为响应文件无效处理：</w:t>
      </w:r>
    </w:p>
    <w:p w14:paraId="2E09A0F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（1）商务技术评审</w:t>
      </w:r>
    </w:p>
    <w:p w14:paraId="4271CF3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1）响应文件未按磋商文件要求签署、盖章的；</w:t>
      </w:r>
    </w:p>
    <w:p w14:paraId="232771D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2）委托代理人未能出具有效身份证或者出具的身份证与授权委托书中的信息不符的；</w:t>
      </w:r>
    </w:p>
    <w:p w14:paraId="3B47C89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3）缴纳的磋商保证金无效的或者未按照磋商文件的规定缴纳磋商保证金的；</w:t>
      </w:r>
    </w:p>
    <w:p w14:paraId="4BE6D6C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71CAFB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5）商务要求允许负偏离的条款数超过“供应商须知前附表”规定项数的；</w:t>
      </w:r>
    </w:p>
    <w:p w14:paraId="1319316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6）未对竞争性磋商有效期作出响应或者响应文件承诺的竞争性磋商有效期不满足磋商文件要求的；</w:t>
      </w:r>
    </w:p>
    <w:p w14:paraId="48889BA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7）响应文件的实质性内容未使用中文表述、使用计量单位不符合磋商文件要求的；</w:t>
      </w:r>
    </w:p>
    <w:p w14:paraId="3BC9073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8）响应文件中的文件资料因填写不齐全或者内容虚假或者出现其他情形而导致被磋商小组认定无效的；</w:t>
      </w:r>
    </w:p>
    <w:p w14:paraId="2A270B9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9）响应文件含有采购人不能接受的附加条件的；</w:t>
      </w:r>
    </w:p>
    <w:p w14:paraId="36F3AF2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10）属于“供应商须知正文”第7.5条供应商相互串通参加竞争性磋商情形的；</w:t>
      </w:r>
    </w:p>
    <w:p w14:paraId="3D93B0E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11）技术要求允许负偏离的条款数超过“供应商须知前附表”规定项数的；</w:t>
      </w:r>
    </w:p>
    <w:p w14:paraId="65F6752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12）虚假竞争性磋商，或者出现其他情形而导致被磋商小组认定无效的；</w:t>
      </w:r>
    </w:p>
    <w:p w14:paraId="3AF9D80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13）磋商文件未载明允许提供备选（替代）竞争性磋商方案或明确不允许提供备选（替代）竞争性磋商方案时，供应商提供了备选（替代）竞争性磋商方案的；</w:t>
      </w:r>
    </w:p>
    <w:p w14:paraId="1DE048A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14）响应文件标注的项目名称或者项目编号与磋商文件标注的项目名称或者项目编号不一致的；</w:t>
      </w:r>
    </w:p>
    <w:p w14:paraId="404EE6A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15）竞争性磋商文件明确不允许分包，响应文件拟分包的；</w:t>
      </w:r>
    </w:p>
    <w:p w14:paraId="2DF4A92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16）未响应磋商文件实质性要求的；</w:t>
      </w:r>
    </w:p>
    <w:p w14:paraId="1E0943D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17）法律、法规和磋商文件规定的其他无效情形。</w:t>
      </w:r>
    </w:p>
    <w:p w14:paraId="647D25D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（2）报价评审</w:t>
      </w:r>
    </w:p>
    <w:p w14:paraId="3021778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1）响应文件未提供“供应商须知前附表”报价文件中规定的“竞争性磋商报价表”；</w:t>
      </w:r>
    </w:p>
    <w:p w14:paraId="0EF4633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2）未采用人民币报价或者未按照磋商文件标明的币种报价；</w:t>
      </w:r>
    </w:p>
    <w:p w14:paraId="5090278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未就所参加竞争性磋商分标进行报价或者存在漏项报价；供应商未就所参加竞争性磋商分标的单项内容作唯一报价；供应商未就所参加竞争性磋商分标的全部内容作完整唯一报价；供应商响应文件中存在有选择、有条件报价的（磋商文件允许有备选方案或者其他约定的除外）；</w:t>
      </w:r>
    </w:p>
    <w:p w14:paraId="45483B8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竞争性磋商报价（包含首次报价、最后报价）超过所参加竞争性磋商分标规定的采购预算金额或者最高限价的（如本项目公布了最高限价）；竞争性磋商报价（包含首次报价、最后报价）超过磋商文件分项采购预算金额或者最高限价的（如本项目公布了最高限价）；</w:t>
      </w:r>
    </w:p>
    <w:p w14:paraId="7F1FB42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修正后的报价，供应商不确认的；或者经供应商确认修正后的竞争性磋商报价（包含首次报价、最后报价）超过所参加竞争性磋商分标规定的采购预算金额或者最高限价（如本项目公布了最高限价）；或者经供应商确认修正后竞争性磋商报价（包含首次报价、最后报价）超过磋商文件分项采购预算金额或者最高限价的（如本项目公布了最高限价）。</w:t>
      </w:r>
    </w:p>
    <w:p w14:paraId="7E502D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6）响应文件响应的标的数量及单位与竞争性磋商采购文件要求实质性不一致的。</w:t>
      </w:r>
    </w:p>
    <w:p w14:paraId="64E55A8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2.6磋商小组对响应文件进行评审，未实质性响应磋商文件的响应文件按无效处理，磋商小组应当将资格和符合性不通过的情况告知有关供应商。</w:t>
      </w:r>
    </w:p>
    <w:p w14:paraId="4DCFACC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2.7通过符合性审查的合格供应商不足3家的，不得进入磋商环节，应当重新开展采购活动。</w:t>
      </w:r>
    </w:p>
    <w:p w14:paraId="33239101">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3.磋商程序</w:t>
      </w:r>
    </w:p>
    <w:p w14:paraId="767E96D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716EDC1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4FEAB4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3.3对磋商文件作出的实质性变动是磋商文件的有效组成部分，由磋商小组及时以电子澄清函形式同时通知所有参加磋商的供应商。</w:t>
      </w:r>
    </w:p>
    <w:p w14:paraId="78FDE1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EB7CE1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3.5磋商中，磋商的任何一方不得透露与磋商有关的其他供应商的技术资料、价格和其他信息。</w:t>
      </w:r>
    </w:p>
    <w:p w14:paraId="2C69061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3.6采购代理机构对磋商过程和磋商内容进行记录。</w:t>
      </w:r>
    </w:p>
    <w:p w14:paraId="541A943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AB5CEB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3.8除本章第3.7条规定的情形外，对磋商过程提交的响应文件进行有效性、完整性和响应程度审查，通过审查的合格供应商不足3家的，应当重新开展采购活动。</w:t>
      </w:r>
    </w:p>
    <w:p w14:paraId="4BC8F5B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4.最后报价</w:t>
      </w:r>
    </w:p>
    <w:p w14:paraId="7786304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4.1磋商文件能够详细列明采购标的的技术、服务要求的，磋商结束后，磋商小组应当要求所有继续参加磋商的供应商在规定时间内在广西政府采购云平台开标大厅提交加盖供应商电子签章的最后报价，如首次报价与最终报价一致，视为最终报价按首次递交的已</w:t>
      </w:r>
      <w:r>
        <w:rPr>
          <w:rFonts w:hint="eastAsia" w:ascii="宋体" w:hAnsi="宋体" w:eastAsia="宋体"/>
          <w:color w:val="000000" w:themeColor="text1"/>
          <w:szCs w:val="21"/>
          <w:highlight w:val="none"/>
          <w:lang w:val="en-US" w:eastAsia="zh-CN"/>
          <w14:textFill>
            <w14:solidFill>
              <w14:schemeClr w14:val="tx1"/>
            </w14:solidFill>
          </w14:textFill>
        </w:rPr>
        <w:t>标</w:t>
      </w:r>
      <w:r>
        <w:rPr>
          <w:rFonts w:hint="eastAsia" w:ascii="宋体" w:hAnsi="宋体" w:eastAsia="宋体"/>
          <w:color w:val="000000" w:themeColor="text1"/>
          <w:szCs w:val="21"/>
          <w:highlight w:val="none"/>
          <w14:textFill>
            <w14:solidFill>
              <w14:schemeClr w14:val="tx1"/>
            </w14:solidFill>
          </w14:textFill>
        </w:rPr>
        <w:t>价工程量清单执行；如最终报价与首次报价不一致且未</w:t>
      </w:r>
      <w:r>
        <w:rPr>
          <w:rFonts w:hint="eastAsia" w:ascii="宋体" w:hAnsi="宋体" w:eastAsia="宋体"/>
          <w:color w:val="000000" w:themeColor="text1"/>
          <w:szCs w:val="21"/>
          <w:highlight w:val="none"/>
          <w:lang w:eastAsia="zh-CN"/>
          <w14:textFill>
            <w14:solidFill>
              <w14:schemeClr w14:val="tx1"/>
            </w14:solidFill>
          </w14:textFill>
        </w:rPr>
        <w:t>提交</w:t>
      </w:r>
      <w:r>
        <w:rPr>
          <w:rFonts w:hint="eastAsia" w:ascii="宋体" w:hAnsi="宋体" w:eastAsia="宋体"/>
          <w:color w:val="000000" w:themeColor="text1"/>
          <w:szCs w:val="21"/>
          <w:highlight w:val="none"/>
          <w14:textFill>
            <w14:solidFill>
              <w14:schemeClr w14:val="tx1"/>
            </w14:solidFill>
          </w14:textFill>
        </w:rPr>
        <w:t>最终</w:t>
      </w:r>
      <w:r>
        <w:rPr>
          <w:rFonts w:hint="eastAsia" w:ascii="宋体" w:hAnsi="宋体" w:eastAsia="宋体"/>
          <w:color w:val="000000" w:themeColor="text1"/>
          <w:szCs w:val="21"/>
          <w:highlight w:val="none"/>
          <w:lang w:val="en-US" w:eastAsia="zh-CN"/>
          <w14:textFill>
            <w14:solidFill>
              <w14:schemeClr w14:val="tx1"/>
            </w14:solidFill>
          </w14:textFill>
        </w:rPr>
        <w:t>报</w:t>
      </w:r>
      <w:r>
        <w:rPr>
          <w:rFonts w:hint="eastAsia" w:ascii="宋体" w:hAnsi="宋体" w:eastAsia="宋体"/>
          <w:color w:val="000000" w:themeColor="text1"/>
          <w:szCs w:val="21"/>
          <w:highlight w:val="none"/>
          <w14:textFill>
            <w14:solidFill>
              <w14:schemeClr w14:val="tx1"/>
            </w14:solidFill>
          </w14:textFill>
        </w:rPr>
        <w:t>价的工程量清单作为附件的，视为</w:t>
      </w:r>
      <w:r>
        <w:rPr>
          <w:rFonts w:hint="eastAsia" w:ascii="宋体" w:hAnsi="宋体" w:eastAsia="宋体"/>
          <w:color w:val="000000" w:themeColor="text1"/>
          <w:szCs w:val="21"/>
          <w:highlight w:val="none"/>
          <w:lang w:val="en-US" w:eastAsia="zh-CN"/>
          <w14:textFill>
            <w14:solidFill>
              <w14:schemeClr w14:val="tx1"/>
            </w14:solidFill>
          </w14:textFill>
        </w:rPr>
        <w:t>主动</w:t>
      </w:r>
      <w:r>
        <w:rPr>
          <w:rFonts w:hint="eastAsia" w:ascii="宋体" w:hAnsi="宋体" w:eastAsia="宋体"/>
          <w:color w:val="000000" w:themeColor="text1"/>
          <w:szCs w:val="21"/>
          <w:highlight w:val="none"/>
          <w14:textFill>
            <w14:solidFill>
              <w14:schemeClr w14:val="tx1"/>
            </w14:solidFill>
          </w14:textFill>
        </w:rPr>
        <w:t>退出磋商，退出磋商的供应商的响应文件按无效响应处理。供应商须提前做好相关准备并按时递交最终报价文件。除本章第3.7、4.3条规定的情形外，提交最后报价的供应商不得少于3家，否则应当重新开展采购活动。</w:t>
      </w:r>
    </w:p>
    <w:p w14:paraId="71F7481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4.2磋商文件不能详细列明采购标的的技术、服务要求，需经磋商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694B59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4.3最后报价是供应商响应文件的有效组成部分。</w:t>
      </w:r>
    </w:p>
    <w:p w14:paraId="0206BCE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578A482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4.4已经提交响应文件的供应商，在提交最后报价之前，可以根据磋商情况退出磋商，退出磋商的供应商的响应文件按无效处理。采购人、采购代理机构将退还退出磋商的供应商的保证金。</w:t>
      </w:r>
    </w:p>
    <w:p w14:paraId="6EFEF6A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4.5供应商未在规定时间内提交最后报价的，视同退出磋商，其响应文件按无效处理。</w:t>
      </w:r>
    </w:p>
    <w:p w14:paraId="4648760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4.6最后报价统一开启后，磋商小组对最后报价进行有效性、完整性和响应程度的审查。</w:t>
      </w:r>
    </w:p>
    <w:p w14:paraId="64E3AD0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4.7最后报价出现前后不一致的，按照本章第2.4条的规定修正。</w:t>
      </w:r>
    </w:p>
    <w:p w14:paraId="0D72976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4.8修正后的报价出现下列情形的，按无效响应处理：</w:t>
      </w:r>
    </w:p>
    <w:p w14:paraId="00270F6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（1）供应商不确认的（全流程电子化评标采取在线确认）；</w:t>
      </w:r>
    </w:p>
    <w:p w14:paraId="7587AD9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（2）经供应商确认修正后的竞争性磋商报价（包含首次报价、最后报价）超过所参加竞争性磋商分标规定的采购预算金额或者最高限价的（如本项目公布了最高限价）；</w:t>
      </w:r>
    </w:p>
    <w:p w14:paraId="711BC11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4.9经供应商确认修正后的最后报价作为评审及签订合同的依据。</w:t>
      </w:r>
    </w:p>
    <w:p w14:paraId="50CB76F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4.10供应商出现最后报价按无效响应处理或者响应文件按无效处理时，磋商小组应当告知有关供应商。</w:t>
      </w:r>
    </w:p>
    <w:p w14:paraId="28A05D1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4.11最后报价结束后，磋商小组不得再与供应商进行任何形式的商谈。</w:t>
      </w:r>
    </w:p>
    <w:p w14:paraId="2B210AE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5.比较与评价</w:t>
      </w:r>
    </w:p>
    <w:p w14:paraId="2DAB68C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5.1评审方法：综合评分法。</w:t>
      </w:r>
    </w:p>
    <w:p w14:paraId="23DF6A9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5.2经磋商确定最终采购需求和提交最后报价的供应商后，由磋商小组采用综合评分法对提交最后报价的供应商的响应文件和最后报价进行综合评分。</w:t>
      </w:r>
    </w:p>
    <w:p w14:paraId="4D09FE7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磋商小组认为供应商的报价明显低于其他通过符合性审查供应商的报价，有可能影响产品质量或者不能诚信履约的，应当要求其在评审现场合理的时间内线上或线下提供书面说明，必要时提交相关证明材料；供应商不能证明其报价合理性的，磋商小组将其作为无效响应处理。</w:t>
      </w:r>
    </w:p>
    <w:p w14:paraId="13734D7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5.3评审时，磋商小组各成员应当独立对每个有效响应的文件进行评价、打分，然后汇总每个供应商每项评分因素的得分。</w:t>
      </w:r>
    </w:p>
    <w:p w14:paraId="496F468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4CF0F49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（2）各供应商的得分为磋商小组所有成员的有效评分的算术平均数。</w:t>
      </w:r>
    </w:p>
    <w:p w14:paraId="52E43F5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5.4评审报价为供应商的最后报价进行政策性扣除后的价格，评审报价只是作为评审时使用。最终成交供应商的成交金额等于最后报价（如有修正，以确认修正后的最后报价为准）。</w:t>
      </w:r>
    </w:p>
    <w:p w14:paraId="195FABF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6.成交供应商推荐原则</w:t>
      </w:r>
    </w:p>
    <w:p w14:paraId="065468F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6F4B7D7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19C8E7">
      <w:pPr>
        <w:pStyle w:val="3"/>
        <w:jc w:val="center"/>
        <w:rPr>
          <w:color w:val="000000" w:themeColor="text1"/>
          <w:highlight w:val="none"/>
          <w14:textFill>
            <w14:solidFill>
              <w14:schemeClr w14:val="tx1"/>
            </w14:solidFill>
          </w14:textFill>
        </w:rPr>
      </w:pPr>
      <w:bookmarkStart w:id="26" w:name="_Toc22775"/>
      <w:bookmarkStart w:id="27" w:name="_Toc1768"/>
      <w:r>
        <w:rPr>
          <w:rFonts w:hint="eastAsia"/>
          <w:color w:val="000000" w:themeColor="text1"/>
          <w:highlight w:val="none"/>
          <w14:textFill>
            <w14:solidFill>
              <w14:schemeClr w14:val="tx1"/>
            </w14:solidFill>
          </w14:textFill>
        </w:rPr>
        <w:t>二、评审标准</w:t>
      </w:r>
      <w:bookmarkEnd w:id="26"/>
      <w:bookmarkEnd w:id="27"/>
    </w:p>
    <w:p w14:paraId="7E3D0B1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7.评审依据：磋商小组以磋商响应文件为评审依据，对供应商的报价、技术、商务等方面内容按百分制打分。（计分方法按四舍五入取至百分位）</w:t>
      </w:r>
    </w:p>
    <w:tbl>
      <w:tblPr>
        <w:tblStyle w:val="38"/>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930"/>
        <w:gridCol w:w="7000"/>
        <w:gridCol w:w="1250"/>
      </w:tblGrid>
      <w:tr w14:paraId="61B6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06DECAD9">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930" w:type="dxa"/>
            <w:vAlign w:val="center"/>
          </w:tcPr>
          <w:p w14:paraId="3BD6A54C">
            <w:pPr>
              <w:spacing w:line="360" w:lineRule="auto"/>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w:t>
            </w:r>
          </w:p>
          <w:p w14:paraId="2C188C86">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因素</w:t>
            </w:r>
          </w:p>
        </w:tc>
        <w:tc>
          <w:tcPr>
            <w:tcW w:w="7000" w:type="dxa"/>
            <w:vAlign w:val="center"/>
          </w:tcPr>
          <w:p w14:paraId="44D3B22B">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评审标准</w:t>
            </w:r>
          </w:p>
        </w:tc>
        <w:tc>
          <w:tcPr>
            <w:tcW w:w="1250" w:type="dxa"/>
            <w:vAlign w:val="center"/>
          </w:tcPr>
          <w:p w14:paraId="22931E9D">
            <w:pPr>
              <w:spacing w:line="360" w:lineRule="auto"/>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分值</w:t>
            </w:r>
          </w:p>
        </w:tc>
      </w:tr>
      <w:tr w14:paraId="092A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6F7951D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930" w:type="dxa"/>
            <w:vAlign w:val="center"/>
          </w:tcPr>
          <w:p w14:paraId="1C45464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价格分</w:t>
            </w:r>
          </w:p>
        </w:tc>
        <w:tc>
          <w:tcPr>
            <w:tcW w:w="7000" w:type="dxa"/>
            <w:vAlign w:val="center"/>
          </w:tcPr>
          <w:p w14:paraId="7DF9AA59">
            <w:pPr>
              <w:snapToGrid/>
              <w:spacing w:line="360" w:lineRule="auto"/>
              <w:ind w:firstLine="233" w:firstLineChars="111"/>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eastAsia="zh-CN"/>
                <w14:textFill>
                  <w14:solidFill>
                    <w14:schemeClr w14:val="tx1"/>
                  </w14:solidFill>
                </w14:textFill>
              </w:rPr>
              <w:t>价格分</w:t>
            </w:r>
            <w:r>
              <w:rPr>
                <w:rFonts w:hint="eastAsia"/>
                <w:color w:val="000000" w:themeColor="text1"/>
                <w:highlight w:val="none"/>
                <w:lang w:eastAsia="zh-CN"/>
                <w14:textFill>
                  <w14:solidFill>
                    <w14:schemeClr w14:val="tx1"/>
                  </w14:solidFill>
                </w14:textFill>
              </w:rPr>
              <w:t>政策性扣除</w:t>
            </w:r>
          </w:p>
          <w:p w14:paraId="6E1D44FB">
            <w:pPr>
              <w:snapToGrid/>
              <w:spacing w:line="360" w:lineRule="auto"/>
              <w:ind w:firstLine="233" w:firstLineChars="111"/>
              <w:rPr>
                <w:rFonts w:hint="eastAsia" w:ascii="宋体" w:hAnsi="宋体" w:eastAsia="宋体" w:cs="Times New Roman"/>
                <w:bCs/>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1</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）按照《政府采购促进中小企业发展管理办法》（财库〔2020〕46号）及</w:t>
            </w:r>
            <w:r>
              <w:rPr>
                <w:rFonts w:hint="eastAsia" w:ascii="宋体" w:hAnsi="宋体" w:eastAsia="宋体" w:cs="Times New Roman"/>
                <w:color w:val="000000" w:themeColor="text1"/>
                <w:szCs w:val="21"/>
                <w:highlight w:val="none"/>
                <w:shd w:val="clear" w:color="auto" w:fill="auto"/>
                <w14:textFill>
                  <w14:solidFill>
                    <w14:schemeClr w14:val="tx1"/>
                  </w14:solidFill>
                </w14:textFill>
              </w:rPr>
              <w:t>《广西壮族自治区财政厅关于持续优化政府采购营商环境推动高质量发展的通知》（桂财采〔2024〕55号）</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规定，</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供应商</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在其</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磋商</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文件中提供《中小企业声明函》，且</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工程</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全部由小微企业</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承建</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，对其最后报价给予</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3</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%的扣除。</w:t>
            </w:r>
          </w:p>
          <w:p w14:paraId="162E543F">
            <w:pPr>
              <w:snapToGrid/>
              <w:spacing w:line="360" w:lineRule="auto"/>
              <w:ind w:firstLine="233" w:firstLineChars="111"/>
              <w:rPr>
                <w:rFonts w:hint="eastAsia" w:ascii="宋体" w:hAnsi="宋体" w:eastAsia="宋体" w:cs="Times New Roman"/>
                <w:bCs/>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2</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9E0A1B3">
            <w:pPr>
              <w:snapToGrid/>
              <w:spacing w:line="360" w:lineRule="auto"/>
              <w:ind w:firstLine="233" w:firstLineChars="111"/>
              <w:rPr>
                <w:rFonts w:hint="eastAsia" w:ascii="宋体" w:hAnsi="宋体" w:eastAsia="宋体" w:cs="Times New Roman"/>
                <w:bCs/>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3</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347DCD7">
            <w:pPr>
              <w:snapToGrid/>
              <w:spacing w:line="360" w:lineRule="auto"/>
              <w:ind w:firstLine="233" w:firstLineChars="111"/>
              <w:rPr>
                <w:rFonts w:hint="eastAsia" w:ascii="宋体" w:hAnsi="宋体" w:eastAsia="宋体" w:cs="Times New Roman"/>
                <w:bCs/>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4</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）政策性扣除计算方法。</w:t>
            </w:r>
          </w:p>
          <w:p w14:paraId="72C3B0B8">
            <w:pPr>
              <w:snapToGrid/>
              <w:spacing w:line="360" w:lineRule="auto"/>
              <w:ind w:firstLine="233" w:firstLineChars="111"/>
              <w:rPr>
                <w:rFonts w:hint="eastAsia" w:ascii="宋体" w:hAnsi="宋体" w:eastAsia="宋体" w:cs="Times New Roman"/>
                <w:bCs/>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在工程采购项目中，工程由小微企业承建</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对符合上述要求的</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供应商</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的</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磋商</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报价给予</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3</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%的扣除，扣除后的价格为</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评审报价</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，即</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评审报价</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磋商</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报价×（1-</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3</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1</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%的扣除，用扣除后的价格参加评审，扣除后的价格为</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评审报</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价，即</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评审报价</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磋商</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报价×（1-</w:t>
            </w:r>
            <w:r>
              <w:rPr>
                <w:rFonts w:hint="eastAsia" w:ascii="宋体" w:hAnsi="宋体" w:eastAsia="宋体" w:cs="Times New Roman"/>
                <w:bCs/>
                <w:color w:val="000000" w:themeColor="text1"/>
                <w:szCs w:val="21"/>
                <w:highlight w:val="none"/>
                <w:shd w:val="clear" w:color="auto" w:fill="auto"/>
                <w:lang w:val="en-US" w:eastAsia="zh-CN"/>
                <w14:textFill>
                  <w14:solidFill>
                    <w14:schemeClr w14:val="tx1"/>
                  </w14:solidFill>
                </w14:textFill>
              </w:rPr>
              <w:t>1</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%）。除上述情况外，</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评审报价</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w:t>
            </w:r>
            <w:r>
              <w:rPr>
                <w:rFonts w:hint="eastAsia" w:ascii="宋体" w:hAnsi="宋体" w:eastAsia="宋体" w:cs="Times New Roman"/>
                <w:bCs/>
                <w:color w:val="000000" w:themeColor="text1"/>
                <w:szCs w:val="21"/>
                <w:highlight w:val="none"/>
                <w:shd w:val="clear" w:color="auto" w:fill="auto"/>
                <w:lang w:eastAsia="zh-CN"/>
                <w14:textFill>
                  <w14:solidFill>
                    <w14:schemeClr w14:val="tx1"/>
                  </w14:solidFill>
                </w14:textFill>
              </w:rPr>
              <w:t>磋商</w:t>
            </w:r>
            <w:r>
              <w:rPr>
                <w:rFonts w:hint="eastAsia" w:ascii="宋体" w:hAnsi="宋体" w:eastAsia="宋体" w:cs="Times New Roman"/>
                <w:bCs/>
                <w:color w:val="000000" w:themeColor="text1"/>
                <w:szCs w:val="21"/>
                <w:highlight w:val="none"/>
                <w:shd w:val="clear" w:color="auto" w:fill="auto"/>
                <w14:textFill>
                  <w14:solidFill>
                    <w14:schemeClr w14:val="tx1"/>
                  </w14:solidFill>
                </w14:textFill>
              </w:rPr>
              <w:t>报价。</w:t>
            </w:r>
          </w:p>
          <w:p w14:paraId="37DCEEA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2.评审报价为供应商的最后报价，评审报价只是作为评审时使用。最终成交供应商的成交金额等于最后报价（如有修正，以确认修正后的最后报价为准）。</w:t>
            </w:r>
          </w:p>
          <w:p w14:paraId="7696348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3.以进入比较与评价环节的最低的评审报价为基准价，基准价得分为</w:t>
            </w:r>
            <w:r>
              <w:rPr>
                <w:rFonts w:hint="eastAsia" w:ascii="宋体" w:hAnsi="宋体" w:eastAsia="宋体" w:cs="宋体"/>
                <w:bCs/>
                <w:color w:val="000000" w:themeColor="text1"/>
                <w:szCs w:val="21"/>
                <w:highlight w:val="none"/>
                <w:lang w:val="en-US" w:eastAsia="zh-CN"/>
                <w14:textFill>
                  <w14:solidFill>
                    <w14:schemeClr w14:val="tx1"/>
                  </w14:solidFill>
                </w14:textFill>
              </w:rPr>
              <w:t>20</w:t>
            </w:r>
            <w:r>
              <w:rPr>
                <w:rFonts w:hint="eastAsia" w:ascii="宋体" w:hAnsi="宋体" w:eastAsia="宋体" w:cs="宋体"/>
                <w:bCs/>
                <w:color w:val="000000" w:themeColor="text1"/>
                <w:szCs w:val="21"/>
                <w:highlight w:val="none"/>
                <w14:textFill>
                  <w14:solidFill>
                    <w14:schemeClr w14:val="tx1"/>
                  </w14:solidFill>
                </w14:textFill>
              </w:rPr>
              <w:t>分。</w:t>
            </w:r>
          </w:p>
          <w:p w14:paraId="499D3FD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4.价格分计算公式：</w:t>
            </w:r>
          </w:p>
          <w:p w14:paraId="2885B486">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报价得分=（基准价/评审报价）×</w:t>
            </w:r>
            <w:r>
              <w:rPr>
                <w:rFonts w:hint="eastAsia" w:ascii="宋体" w:hAnsi="宋体" w:eastAsia="宋体" w:cs="宋体"/>
                <w:bCs/>
                <w:color w:val="000000" w:themeColor="text1"/>
                <w:szCs w:val="21"/>
                <w:highlight w:val="none"/>
                <w:lang w:val="en-US" w:eastAsia="zh-CN"/>
                <w14:textFill>
                  <w14:solidFill>
                    <w14:schemeClr w14:val="tx1"/>
                  </w14:solidFill>
                </w14:textFill>
              </w:rPr>
              <w:t>20</w:t>
            </w:r>
            <w:r>
              <w:rPr>
                <w:rFonts w:hint="eastAsia" w:ascii="宋体" w:hAnsi="宋体" w:eastAsia="宋体" w:cs="宋体"/>
                <w:bCs/>
                <w:color w:val="000000" w:themeColor="text1"/>
                <w:szCs w:val="21"/>
                <w:highlight w:val="none"/>
                <w14:textFill>
                  <w14:solidFill>
                    <w14:schemeClr w14:val="tx1"/>
                  </w14:solidFill>
                </w14:textFill>
              </w:rPr>
              <w:t>分</w:t>
            </w:r>
          </w:p>
        </w:tc>
        <w:tc>
          <w:tcPr>
            <w:tcW w:w="1250" w:type="dxa"/>
            <w:vAlign w:val="center"/>
          </w:tcPr>
          <w:p w14:paraId="3391B24D">
            <w:pPr>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满分20分</w:t>
            </w:r>
          </w:p>
        </w:tc>
      </w:tr>
      <w:tr w14:paraId="0132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7E981ABA">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930" w:type="dxa"/>
            <w:vAlign w:val="center"/>
          </w:tcPr>
          <w:p w14:paraId="2C464214">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技术分</w:t>
            </w:r>
          </w:p>
        </w:tc>
        <w:tc>
          <w:tcPr>
            <w:tcW w:w="7000" w:type="dxa"/>
            <w:vAlign w:val="center"/>
          </w:tcPr>
          <w:p w14:paraId="1E61B5BC">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评审标准（技术分中未提供相应资料的，该部分分值不得分）</w:t>
            </w:r>
          </w:p>
        </w:tc>
        <w:tc>
          <w:tcPr>
            <w:tcW w:w="1250" w:type="dxa"/>
            <w:vAlign w:val="center"/>
          </w:tcPr>
          <w:p w14:paraId="36368BE2">
            <w:pPr>
              <w:spacing w:line="360" w:lineRule="auto"/>
              <w:jc w:val="center"/>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满分65分</w:t>
            </w:r>
          </w:p>
        </w:tc>
      </w:tr>
      <w:tr w14:paraId="3546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15D116F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.1</w:t>
            </w:r>
          </w:p>
        </w:tc>
        <w:tc>
          <w:tcPr>
            <w:tcW w:w="930" w:type="dxa"/>
            <w:vAlign w:val="center"/>
          </w:tcPr>
          <w:p w14:paraId="1169A3A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施工组织方案（实施方案）</w:t>
            </w:r>
          </w:p>
        </w:tc>
        <w:tc>
          <w:tcPr>
            <w:tcW w:w="7000" w:type="dxa"/>
            <w:vAlign w:val="center"/>
          </w:tcPr>
          <w:p w14:paraId="69F1AFEF">
            <w:pPr>
              <w:pStyle w:val="21"/>
              <w:spacing w:line="360" w:lineRule="auto"/>
              <w:ind w:firstLine="420" w:firstLineChars="200"/>
              <w:rPr>
                <w:rFonts w:hint="eastAsia" w:hAnsi="宋体" w:cs="仿宋"/>
                <w:color w:val="000000" w:themeColor="text1"/>
                <w:kern w:val="2"/>
                <w:sz w:val="21"/>
                <w:highlight w:val="none"/>
                <w14:textFill>
                  <w14:solidFill>
                    <w14:schemeClr w14:val="tx1"/>
                  </w14:solidFill>
                </w14:textFill>
              </w:rPr>
            </w:pPr>
            <w:r>
              <w:rPr>
                <w:rFonts w:hint="eastAsia" w:hAnsi="宋体" w:cs="仿宋"/>
                <w:color w:val="000000" w:themeColor="text1"/>
                <w:kern w:val="2"/>
                <w:sz w:val="21"/>
                <w:highlight w:val="none"/>
                <w14:textFill>
                  <w14:solidFill>
                    <w14:schemeClr w14:val="tx1"/>
                  </w14:solidFill>
                </w14:textFill>
              </w:rPr>
              <w:t>一档（</w:t>
            </w:r>
            <w:r>
              <w:rPr>
                <w:rFonts w:hint="eastAsia" w:hAnsi="宋体" w:cs="仿宋"/>
                <w:color w:val="000000" w:themeColor="text1"/>
                <w:kern w:val="2"/>
                <w:sz w:val="21"/>
                <w:highlight w:val="none"/>
                <w:lang w:val="en-US" w:eastAsia="zh-CN"/>
                <w14:textFill>
                  <w14:solidFill>
                    <w14:schemeClr w14:val="tx1"/>
                  </w14:solidFill>
                </w14:textFill>
              </w:rPr>
              <w:t>3</w:t>
            </w:r>
            <w:r>
              <w:rPr>
                <w:rFonts w:hint="eastAsia" w:hAnsi="宋体" w:cs="仿宋"/>
                <w:color w:val="000000" w:themeColor="text1"/>
                <w:kern w:val="2"/>
                <w:sz w:val="21"/>
                <w:highlight w:val="none"/>
                <w14:textFill>
                  <w14:solidFill>
                    <w14:schemeClr w14:val="tx1"/>
                  </w14:solidFill>
                </w14:textFill>
              </w:rPr>
              <w:t xml:space="preserve">分）：各主要分部施工方法基本符合项目需求，有施工技术方案。 </w:t>
            </w:r>
          </w:p>
          <w:p w14:paraId="14A44FE0">
            <w:pPr>
              <w:pStyle w:val="21"/>
              <w:spacing w:line="360" w:lineRule="auto"/>
              <w:ind w:firstLine="420" w:firstLineChars="200"/>
              <w:rPr>
                <w:rFonts w:hint="eastAsia" w:hAnsi="宋体" w:cs="仿宋"/>
                <w:color w:val="000000" w:themeColor="text1"/>
                <w:kern w:val="2"/>
                <w:sz w:val="21"/>
                <w:highlight w:val="none"/>
                <w14:textFill>
                  <w14:solidFill>
                    <w14:schemeClr w14:val="tx1"/>
                  </w14:solidFill>
                </w14:textFill>
              </w:rPr>
            </w:pPr>
            <w:r>
              <w:rPr>
                <w:rFonts w:hint="eastAsia" w:hAnsi="宋体" w:cs="仿宋"/>
                <w:color w:val="000000" w:themeColor="text1"/>
                <w:kern w:val="2"/>
                <w:sz w:val="21"/>
                <w:highlight w:val="none"/>
                <w14:textFill>
                  <w14:solidFill>
                    <w14:schemeClr w14:val="tx1"/>
                  </w14:solidFill>
                </w14:textFill>
              </w:rPr>
              <w:t>二档（</w:t>
            </w:r>
            <w:r>
              <w:rPr>
                <w:rFonts w:hint="eastAsia" w:hAnsi="宋体" w:cs="仿宋"/>
                <w:color w:val="000000" w:themeColor="text1"/>
                <w:kern w:val="2"/>
                <w:sz w:val="21"/>
                <w:highlight w:val="none"/>
                <w:lang w:val="en-US" w:eastAsia="zh-CN"/>
                <w14:textFill>
                  <w14:solidFill>
                    <w14:schemeClr w14:val="tx1"/>
                  </w14:solidFill>
                </w14:textFill>
              </w:rPr>
              <w:t>6</w:t>
            </w:r>
            <w:r>
              <w:rPr>
                <w:rFonts w:hint="eastAsia" w:hAnsi="宋体" w:cs="仿宋"/>
                <w:color w:val="000000" w:themeColor="text1"/>
                <w:kern w:val="2"/>
                <w:sz w:val="21"/>
                <w:highlight w:val="none"/>
                <w14:textFill>
                  <w14:solidFill>
                    <w14:schemeClr w14:val="tx1"/>
                  </w14:solidFill>
                </w14:textFill>
              </w:rPr>
              <w:t xml:space="preserve">分）：各主要分部施工方法完全符合项目实际，有详尽的施工技术方案，有主要分部工程施工步骤、施工要点，能指导具体施工并确保安全。 </w:t>
            </w:r>
          </w:p>
          <w:p w14:paraId="37E48896">
            <w:pPr>
              <w:pStyle w:val="21"/>
              <w:spacing w:line="360" w:lineRule="auto"/>
              <w:ind w:firstLine="420" w:firstLineChars="200"/>
              <w:rPr>
                <w:rFonts w:hAnsi="宋体" w:cs="仿宋"/>
                <w:color w:val="000000" w:themeColor="text1"/>
                <w:kern w:val="2"/>
                <w:sz w:val="21"/>
                <w:highlight w:val="none"/>
                <w14:textFill>
                  <w14:solidFill>
                    <w14:schemeClr w14:val="tx1"/>
                  </w14:solidFill>
                </w14:textFill>
              </w:rPr>
            </w:pPr>
            <w:r>
              <w:rPr>
                <w:rFonts w:hint="eastAsia" w:hAnsi="宋体" w:cs="仿宋"/>
                <w:color w:val="000000" w:themeColor="text1"/>
                <w:kern w:val="2"/>
                <w:sz w:val="21"/>
                <w:highlight w:val="none"/>
                <w14:textFill>
                  <w14:solidFill>
                    <w14:schemeClr w14:val="tx1"/>
                  </w14:solidFill>
                </w14:textFill>
              </w:rPr>
              <w:t>三档（</w:t>
            </w:r>
            <w:r>
              <w:rPr>
                <w:rFonts w:hint="eastAsia" w:hAnsi="宋体" w:cs="仿宋"/>
                <w:color w:val="000000" w:themeColor="text1"/>
                <w:kern w:val="2"/>
                <w:sz w:val="21"/>
                <w:highlight w:val="none"/>
                <w:lang w:val="en-US" w:eastAsia="zh-CN"/>
                <w14:textFill>
                  <w14:solidFill>
                    <w14:schemeClr w14:val="tx1"/>
                  </w14:solidFill>
                </w14:textFill>
              </w:rPr>
              <w:t>10</w:t>
            </w:r>
            <w:r>
              <w:rPr>
                <w:rFonts w:hint="eastAsia" w:hAnsi="宋体" w:cs="仿宋"/>
                <w:color w:val="000000" w:themeColor="text1"/>
                <w:kern w:val="2"/>
                <w:sz w:val="21"/>
                <w:highlight w:val="none"/>
                <w14:textFill>
                  <w14:solidFill>
                    <w14:schemeClr w14:val="tx1"/>
                  </w14:solidFill>
                </w14:textFill>
              </w:rPr>
              <w:t>分）：绘制施工平面布置图，如涉及取电位置、取水位置等，提交本项目编制的施工用电安全责任书，各主要分部施工方法符合项目实际，能根据项目特点，编制对应的施工方案，有详尽的施工技术方案，主要分部工程施工工序、施工步骤施工要点、施工工艺方案具有先进性，施工准备、技术准备或交底、各工种施工配合方案具有针对性，能高效指导具体施工并确保安全。</w:t>
            </w:r>
          </w:p>
          <w:p w14:paraId="742F13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themeColor="text1"/>
                <w:szCs w:val="21"/>
                <w:highlight w:val="none"/>
                <w14:textFill>
                  <w14:solidFill>
                    <w14:schemeClr w14:val="tx1"/>
                  </w14:solidFill>
                </w14:textFill>
              </w:rPr>
            </w:pPr>
            <w:r>
              <w:rPr>
                <w:rFonts w:hAnsi="宋体" w:cs="Arial"/>
                <w:b/>
                <w:bCs/>
                <w:color w:val="000000" w:themeColor="text1"/>
                <w:sz w:val="21"/>
                <w:highlight w:val="none"/>
                <w14:textFill>
                  <w14:solidFill>
                    <w14:schemeClr w14:val="tx1"/>
                  </w14:solidFill>
                </w14:textFill>
              </w:rPr>
              <w:t>注：未提供方案或方案达不到入档要求的不得分。</w:t>
            </w:r>
          </w:p>
        </w:tc>
        <w:tc>
          <w:tcPr>
            <w:tcW w:w="1250" w:type="dxa"/>
            <w:vAlign w:val="center"/>
          </w:tcPr>
          <w:p w14:paraId="4EE1202F">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r>
      <w:tr w14:paraId="5F1E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1A12569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w:t>
            </w:r>
          </w:p>
        </w:tc>
        <w:tc>
          <w:tcPr>
            <w:tcW w:w="930" w:type="dxa"/>
            <w:vAlign w:val="center"/>
          </w:tcPr>
          <w:p w14:paraId="4C90177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拟投入</w:t>
            </w:r>
            <w:r>
              <w:rPr>
                <w:rFonts w:hint="eastAsia" w:ascii="宋体" w:hAnsi="宋体" w:cs="仿宋"/>
                <w:color w:val="000000" w:themeColor="text1"/>
                <w:szCs w:val="21"/>
                <w:highlight w:val="none"/>
                <w:lang w:val="en-US" w:eastAsia="zh-CN"/>
                <w14:textFill>
                  <w14:solidFill>
                    <w14:schemeClr w14:val="tx1"/>
                  </w14:solidFill>
                </w14:textFill>
              </w:rPr>
              <w:t>服务团队成</w:t>
            </w:r>
            <w:r>
              <w:rPr>
                <w:rFonts w:hint="eastAsia" w:ascii="宋体" w:hAnsi="宋体" w:cs="仿宋"/>
                <w:color w:val="000000" w:themeColor="text1"/>
                <w:szCs w:val="21"/>
                <w:highlight w:val="none"/>
                <w14:textFill>
                  <w14:solidFill>
                    <w14:schemeClr w14:val="tx1"/>
                  </w14:solidFill>
                </w14:textFill>
              </w:rPr>
              <w:t>员分</w:t>
            </w:r>
          </w:p>
        </w:tc>
        <w:tc>
          <w:tcPr>
            <w:tcW w:w="7000" w:type="dxa"/>
            <w:vAlign w:val="center"/>
          </w:tcPr>
          <w:p w14:paraId="2254F38E">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在满足</w:t>
            </w:r>
            <w:r>
              <w:rPr>
                <w:rFonts w:hint="eastAsia" w:ascii="宋体" w:hAnsi="宋体" w:cs="仿宋"/>
                <w:color w:val="000000" w:themeColor="text1"/>
                <w:szCs w:val="21"/>
                <w:highlight w:val="none"/>
                <w:lang w:val="en-US" w:eastAsia="zh-CN"/>
                <w14:textFill>
                  <w14:solidFill>
                    <w14:schemeClr w14:val="tx1"/>
                  </w14:solidFill>
                </w14:textFill>
              </w:rPr>
              <w:t>采购文件要求的人员</w:t>
            </w:r>
            <w:r>
              <w:rPr>
                <w:rFonts w:hint="eastAsia" w:ascii="宋体" w:hAnsi="宋体" w:cs="仿宋"/>
                <w:color w:val="000000" w:themeColor="text1"/>
                <w:szCs w:val="21"/>
                <w:highlight w:val="none"/>
                <w14:textFill>
                  <w14:solidFill>
                    <w14:schemeClr w14:val="tx1"/>
                  </w14:solidFill>
                </w14:textFill>
              </w:rPr>
              <w:t>基本配置的基础上，拟投入的项目服务</w:t>
            </w:r>
            <w:r>
              <w:rPr>
                <w:rFonts w:hint="eastAsia" w:ascii="宋体" w:hAnsi="宋体" w:cs="仿宋"/>
                <w:color w:val="000000" w:themeColor="text1"/>
                <w:szCs w:val="21"/>
                <w:highlight w:val="none"/>
                <w:lang w:val="en-US" w:eastAsia="zh-CN"/>
                <w14:textFill>
                  <w14:solidFill>
                    <w14:schemeClr w14:val="tx1"/>
                  </w14:solidFill>
                </w14:textFill>
              </w:rPr>
              <w:t>团队</w:t>
            </w:r>
            <w:r>
              <w:rPr>
                <w:rFonts w:hint="eastAsia" w:ascii="宋体" w:hAnsi="宋体" w:cs="仿宋"/>
                <w:color w:val="000000" w:themeColor="text1"/>
                <w:szCs w:val="21"/>
                <w:highlight w:val="none"/>
                <w14:textFill>
                  <w14:solidFill>
                    <w14:schemeClr w14:val="tx1"/>
                  </w14:solidFill>
                </w14:textFill>
              </w:rPr>
              <w:t>具备以下职称或资格：</w:t>
            </w:r>
          </w:p>
          <w:p w14:paraId="1F660A5A">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w:t>
            </w:r>
            <w:r>
              <w:rPr>
                <w:rFonts w:hint="eastAsia" w:ascii="宋体" w:hAnsi="宋体" w:cs="仿宋"/>
                <w:color w:val="000000" w:themeColor="text1"/>
                <w:szCs w:val="21"/>
                <w:highlight w:val="none"/>
                <w:lang w:val="en-US" w:eastAsia="zh-CN"/>
                <w14:textFill>
                  <w14:solidFill>
                    <w14:schemeClr w14:val="tx1"/>
                  </w14:solidFill>
                </w14:textFill>
              </w:rPr>
              <w:t>除采购文件要求人员基本配置的基础外，</w:t>
            </w:r>
            <w:r>
              <w:rPr>
                <w:rFonts w:hint="eastAsia" w:ascii="宋体" w:hAnsi="宋体" w:cs="仿宋"/>
                <w:color w:val="000000" w:themeColor="text1"/>
                <w:szCs w:val="21"/>
                <w:highlight w:val="none"/>
                <w14:textFill>
                  <w14:solidFill>
                    <w14:schemeClr w14:val="tx1"/>
                  </w14:solidFill>
                </w14:textFill>
              </w:rPr>
              <w:t>投入不少于3人的中级工程师或以上职称（机电、暖通或给排水、电气专业）人员得2分，本项满分</w:t>
            </w:r>
            <w:r>
              <w:rPr>
                <w:rFonts w:hint="eastAsia" w:ascii="宋体" w:hAnsi="宋体" w:cs="仿宋"/>
                <w:color w:val="000000" w:themeColor="text1"/>
                <w:szCs w:val="21"/>
                <w:highlight w:val="none"/>
                <w:lang w:val="en-US" w:eastAsia="zh-CN"/>
                <w14:textFill>
                  <w14:solidFill>
                    <w14:schemeClr w14:val="tx1"/>
                  </w14:solidFill>
                </w14:textFill>
              </w:rPr>
              <w:t>2</w:t>
            </w:r>
            <w:r>
              <w:rPr>
                <w:rFonts w:hint="eastAsia" w:ascii="宋体" w:hAnsi="宋体" w:cs="仿宋"/>
                <w:color w:val="000000" w:themeColor="text1"/>
                <w:szCs w:val="21"/>
                <w:highlight w:val="none"/>
                <w14:textFill>
                  <w14:solidFill>
                    <w14:schemeClr w14:val="tx1"/>
                  </w14:solidFill>
                </w14:textFill>
              </w:rPr>
              <w:t>分；</w:t>
            </w:r>
          </w:p>
          <w:p w14:paraId="4C176D5B">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（2）上述（1）人员中，同时持有中级或以上消防设施操作员证的1人得2分，本</w:t>
            </w:r>
            <w:r>
              <w:rPr>
                <w:rFonts w:hint="eastAsia" w:ascii="宋体" w:hAnsi="宋体" w:cs="仿宋"/>
                <w:color w:val="000000" w:themeColor="text1"/>
                <w:szCs w:val="21"/>
                <w:highlight w:val="none"/>
                <w:lang w:val="en-US" w:eastAsia="zh-CN"/>
                <w14:textFill>
                  <w14:solidFill>
                    <w14:schemeClr w14:val="tx1"/>
                  </w14:solidFill>
                </w14:textFill>
              </w:rPr>
              <w:t>项</w:t>
            </w:r>
            <w:r>
              <w:rPr>
                <w:rFonts w:hint="eastAsia" w:ascii="宋体" w:hAnsi="宋体" w:cs="仿宋"/>
                <w:color w:val="000000" w:themeColor="text1"/>
                <w:szCs w:val="21"/>
                <w:highlight w:val="none"/>
                <w14:textFill>
                  <w14:solidFill>
                    <w14:schemeClr w14:val="tx1"/>
                  </w14:solidFill>
                </w14:textFill>
              </w:rPr>
              <w:t>满分4分。</w:t>
            </w:r>
          </w:p>
          <w:p w14:paraId="56E5F90D">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（3）除项目经理外，拟投入的项目服务</w:t>
            </w:r>
            <w:r>
              <w:rPr>
                <w:rFonts w:hint="eastAsia" w:ascii="宋体" w:hAnsi="宋体" w:cs="仿宋"/>
                <w:color w:val="000000" w:themeColor="text1"/>
                <w:szCs w:val="21"/>
                <w:highlight w:val="none"/>
                <w:lang w:val="en-US" w:eastAsia="zh-CN"/>
                <w14:textFill>
                  <w14:solidFill>
                    <w14:schemeClr w14:val="tx1"/>
                  </w14:solidFill>
                </w14:textFill>
              </w:rPr>
              <w:t>团队</w:t>
            </w:r>
            <w:r>
              <w:rPr>
                <w:rFonts w:hint="eastAsia" w:ascii="宋体" w:hAnsi="宋体" w:cs="仿宋"/>
                <w:color w:val="000000" w:themeColor="text1"/>
                <w:szCs w:val="21"/>
                <w:highlight w:val="none"/>
                <w14:textFill>
                  <w14:solidFill>
                    <w14:schemeClr w14:val="tx1"/>
                  </w14:solidFill>
                </w14:textFill>
              </w:rPr>
              <w:t>成员中，二级建造师（机电专业）不少于1人，得</w:t>
            </w:r>
            <w:r>
              <w:rPr>
                <w:rFonts w:hint="eastAsia" w:ascii="宋体" w:hAnsi="宋体" w:cs="仿宋"/>
                <w:color w:val="000000" w:themeColor="text1"/>
                <w:szCs w:val="21"/>
                <w:highlight w:val="none"/>
                <w:lang w:val="en-US" w:eastAsia="zh-CN"/>
                <w14:textFill>
                  <w14:solidFill>
                    <w14:schemeClr w14:val="tx1"/>
                  </w14:solidFill>
                </w14:textFill>
              </w:rPr>
              <w:t>2</w:t>
            </w:r>
            <w:r>
              <w:rPr>
                <w:rFonts w:hint="eastAsia" w:ascii="宋体" w:hAnsi="宋体" w:cs="仿宋"/>
                <w:color w:val="000000" w:themeColor="text1"/>
                <w:szCs w:val="21"/>
                <w:highlight w:val="none"/>
                <w14:textFill>
                  <w14:solidFill>
                    <w14:schemeClr w14:val="tx1"/>
                  </w14:solidFill>
                </w14:textFill>
              </w:rPr>
              <w:t>分；该服务管理人员同时持一级注册消防工程师资格证书者</w:t>
            </w:r>
            <w:r>
              <w:rPr>
                <w:rFonts w:hint="eastAsia" w:ascii="宋体" w:hAnsi="宋体" w:cs="仿宋"/>
                <w:color w:val="000000" w:themeColor="text1"/>
                <w:szCs w:val="21"/>
                <w:highlight w:val="none"/>
                <w:lang w:val="en-US" w:eastAsia="zh-CN"/>
                <w14:textFill>
                  <w14:solidFill>
                    <w14:schemeClr w14:val="tx1"/>
                  </w14:solidFill>
                </w14:textFill>
              </w:rPr>
              <w:t>加3</w:t>
            </w:r>
            <w:r>
              <w:rPr>
                <w:rFonts w:hint="eastAsia" w:ascii="宋体" w:hAnsi="宋体" w:cs="仿宋"/>
                <w:color w:val="000000" w:themeColor="text1"/>
                <w:szCs w:val="21"/>
                <w:highlight w:val="none"/>
                <w14:textFill>
                  <w14:solidFill>
                    <w14:schemeClr w14:val="tx1"/>
                  </w14:solidFill>
                </w14:textFill>
              </w:rPr>
              <w:t>分，本项满分</w:t>
            </w:r>
            <w:r>
              <w:rPr>
                <w:rFonts w:hint="eastAsia" w:ascii="宋体" w:hAnsi="宋体" w:cs="仿宋"/>
                <w:color w:val="000000" w:themeColor="text1"/>
                <w:szCs w:val="21"/>
                <w:highlight w:val="none"/>
                <w:lang w:val="en-US" w:eastAsia="zh-CN"/>
                <w14:textFill>
                  <w14:solidFill>
                    <w14:schemeClr w14:val="tx1"/>
                  </w14:solidFill>
                </w14:textFill>
              </w:rPr>
              <w:t>5</w:t>
            </w:r>
            <w:r>
              <w:rPr>
                <w:rFonts w:hint="eastAsia" w:ascii="宋体" w:hAnsi="宋体" w:cs="仿宋"/>
                <w:color w:val="000000" w:themeColor="text1"/>
                <w:szCs w:val="21"/>
                <w:highlight w:val="none"/>
                <w14:textFill>
                  <w14:solidFill>
                    <w14:schemeClr w14:val="tx1"/>
                  </w14:solidFill>
                </w14:textFill>
              </w:rPr>
              <w:t>分。</w:t>
            </w:r>
          </w:p>
          <w:p w14:paraId="38DF0D73">
            <w:pPr>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s="仿宋"/>
                <w:color w:val="000000" w:themeColor="text1"/>
                <w:szCs w:val="21"/>
                <w:highlight w:val="none"/>
                <w:lang w:val="en-US" w:eastAsia="zh-CN"/>
                <w14:textFill>
                  <w14:solidFill>
                    <w14:schemeClr w14:val="tx1"/>
                  </w14:solidFill>
                </w14:textFill>
              </w:rPr>
              <w:t>4</w:t>
            </w: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s="仿宋"/>
                <w:color w:val="000000" w:themeColor="text1"/>
                <w:szCs w:val="21"/>
                <w:highlight w:val="none"/>
                <w:lang w:val="en-US" w:eastAsia="zh-CN"/>
                <w14:textFill>
                  <w14:solidFill>
                    <w14:schemeClr w14:val="tx1"/>
                  </w14:solidFill>
                </w14:textFill>
              </w:rPr>
              <w:t>除采购文件要求人员基本配置的基础外，</w:t>
            </w:r>
            <w:r>
              <w:rPr>
                <w:rFonts w:hint="eastAsia" w:ascii="宋体" w:hAnsi="宋体" w:cs="仿宋"/>
                <w:color w:val="000000" w:themeColor="text1"/>
                <w:szCs w:val="21"/>
                <w:highlight w:val="none"/>
                <w14:textFill>
                  <w14:solidFill>
                    <w14:schemeClr w14:val="tx1"/>
                  </w14:solidFill>
                </w14:textFill>
              </w:rPr>
              <w:t>拟投入的项目服务</w:t>
            </w:r>
            <w:r>
              <w:rPr>
                <w:rFonts w:hint="eastAsia" w:ascii="宋体" w:hAnsi="宋体" w:cs="仿宋"/>
                <w:color w:val="000000" w:themeColor="text1"/>
                <w:szCs w:val="21"/>
                <w:highlight w:val="none"/>
                <w:lang w:val="en-US" w:eastAsia="zh-CN"/>
                <w14:textFill>
                  <w14:solidFill>
                    <w14:schemeClr w14:val="tx1"/>
                  </w14:solidFill>
                </w14:textFill>
              </w:rPr>
              <w:t>团队成</w:t>
            </w:r>
            <w:r>
              <w:rPr>
                <w:rFonts w:hint="eastAsia" w:ascii="宋体" w:hAnsi="宋体" w:cs="仿宋"/>
                <w:color w:val="000000" w:themeColor="text1"/>
                <w:szCs w:val="21"/>
                <w:highlight w:val="none"/>
                <w14:textFill>
                  <w14:solidFill>
                    <w14:schemeClr w14:val="tx1"/>
                  </w14:solidFill>
                </w14:textFill>
              </w:rPr>
              <w:t>员中</w:t>
            </w:r>
            <w:r>
              <w:rPr>
                <w:rFonts w:hint="eastAsia" w:ascii="宋体" w:hAnsi="宋体" w:cs="仿宋"/>
                <w:color w:val="000000" w:themeColor="text1"/>
                <w:szCs w:val="21"/>
                <w:highlight w:val="none"/>
                <w:lang w:eastAsia="zh-CN"/>
                <w14:textFill>
                  <w14:solidFill>
                    <w14:schemeClr w14:val="tx1"/>
                  </w14:solidFill>
                </w14:textFill>
              </w:rPr>
              <w:t>，</w:t>
            </w:r>
            <w:r>
              <w:rPr>
                <w:rFonts w:hint="eastAsia" w:ascii="宋体" w:hAnsi="宋体" w:cs="仿宋"/>
                <w:color w:val="000000" w:themeColor="text1"/>
                <w:szCs w:val="21"/>
                <w:highlight w:val="none"/>
                <w:lang w:val="en-US" w:eastAsia="zh-CN"/>
                <w14:textFill>
                  <w14:solidFill>
                    <w14:schemeClr w14:val="tx1"/>
                  </w14:solidFill>
                </w14:textFill>
              </w:rPr>
              <w:t>增加投入</w:t>
            </w:r>
            <w:r>
              <w:rPr>
                <w:rFonts w:hint="eastAsia" w:ascii="宋体" w:hAnsi="宋体" w:cs="仿宋"/>
                <w:color w:val="000000" w:themeColor="text1"/>
                <w:szCs w:val="21"/>
                <w:highlight w:val="none"/>
                <w14:textFill>
                  <w14:solidFill>
                    <w14:schemeClr w14:val="tx1"/>
                  </w14:solidFill>
                </w14:textFill>
              </w:rPr>
              <w:t>施工员（设备安装专业）</w:t>
            </w:r>
            <w:r>
              <w:rPr>
                <w:rFonts w:hint="eastAsia" w:ascii="宋体" w:hAnsi="宋体" w:cs="仿宋"/>
                <w:color w:val="000000" w:themeColor="text1"/>
                <w:szCs w:val="21"/>
                <w:highlight w:val="none"/>
                <w:lang w:val="en-US" w:eastAsia="zh-CN"/>
                <w14:textFill>
                  <w14:solidFill>
                    <w14:schemeClr w14:val="tx1"/>
                  </w14:solidFill>
                </w14:textFill>
              </w:rPr>
              <w:t>1人</w:t>
            </w:r>
            <w:r>
              <w:rPr>
                <w:rFonts w:hint="eastAsia" w:ascii="宋体" w:hAnsi="宋体" w:cs="仿宋"/>
                <w:color w:val="000000" w:themeColor="text1"/>
                <w:szCs w:val="21"/>
                <w:highlight w:val="none"/>
                <w:lang w:eastAsia="zh-CN"/>
                <w14:textFill>
                  <w14:solidFill>
                    <w14:schemeClr w14:val="tx1"/>
                  </w14:solidFill>
                </w14:textFill>
              </w:rPr>
              <w:t>，</w:t>
            </w:r>
            <w:r>
              <w:rPr>
                <w:rFonts w:hint="eastAsia" w:ascii="宋体" w:hAnsi="宋体" w:cs="仿宋"/>
                <w:color w:val="000000" w:themeColor="text1"/>
                <w:szCs w:val="21"/>
                <w:highlight w:val="none"/>
                <w:lang w:val="en-US" w:eastAsia="zh-CN"/>
                <w14:textFill>
                  <w14:solidFill>
                    <w14:schemeClr w14:val="tx1"/>
                  </w14:solidFill>
                </w14:textFill>
              </w:rPr>
              <w:t>得2</w:t>
            </w:r>
            <w:r>
              <w:rPr>
                <w:rFonts w:hint="eastAsia" w:ascii="宋体" w:hAnsi="宋体" w:cs="仿宋"/>
                <w:color w:val="000000" w:themeColor="text1"/>
                <w:szCs w:val="21"/>
                <w:highlight w:val="none"/>
                <w14:textFill>
                  <w14:solidFill>
                    <w14:schemeClr w14:val="tx1"/>
                  </w14:solidFill>
                </w14:textFill>
              </w:rPr>
              <w:t>分；该人员同时持有中级或以上消防设施操作员者</w:t>
            </w:r>
            <w:r>
              <w:rPr>
                <w:rFonts w:hint="eastAsia" w:ascii="宋体" w:hAnsi="宋体" w:cs="仿宋"/>
                <w:color w:val="000000" w:themeColor="text1"/>
                <w:szCs w:val="21"/>
                <w:highlight w:val="none"/>
                <w:lang w:val="en-US" w:eastAsia="zh-CN"/>
                <w14:textFill>
                  <w14:solidFill>
                    <w14:schemeClr w14:val="tx1"/>
                  </w14:solidFill>
                </w14:textFill>
              </w:rPr>
              <w:t>加2</w:t>
            </w:r>
            <w:r>
              <w:rPr>
                <w:rFonts w:hint="eastAsia" w:ascii="宋体" w:hAnsi="宋体" w:cs="仿宋"/>
                <w:color w:val="000000" w:themeColor="text1"/>
                <w:szCs w:val="21"/>
                <w:highlight w:val="none"/>
                <w14:textFill>
                  <w14:solidFill>
                    <w14:schemeClr w14:val="tx1"/>
                  </w14:solidFill>
                </w14:textFill>
              </w:rPr>
              <w:t>分，本项满分</w:t>
            </w:r>
            <w:r>
              <w:rPr>
                <w:rFonts w:hint="eastAsia" w:ascii="宋体" w:hAnsi="宋体" w:cs="仿宋"/>
                <w:color w:val="000000" w:themeColor="text1"/>
                <w:szCs w:val="21"/>
                <w:highlight w:val="none"/>
                <w:lang w:val="en-US" w:eastAsia="zh-CN"/>
                <w14:textFill>
                  <w14:solidFill>
                    <w14:schemeClr w14:val="tx1"/>
                  </w14:solidFill>
                </w14:textFill>
              </w:rPr>
              <w:t>4</w:t>
            </w:r>
            <w:r>
              <w:rPr>
                <w:rFonts w:hint="eastAsia" w:ascii="宋体" w:hAnsi="宋体" w:cs="仿宋"/>
                <w:color w:val="000000" w:themeColor="text1"/>
                <w:szCs w:val="21"/>
                <w:highlight w:val="none"/>
                <w14:textFill>
                  <w14:solidFill>
                    <w14:schemeClr w14:val="tx1"/>
                  </w14:solidFill>
                </w14:textFill>
              </w:rPr>
              <w:t>分。</w:t>
            </w:r>
          </w:p>
          <w:p w14:paraId="7D3F3972">
            <w:pPr>
              <w:spacing w:line="360" w:lineRule="auto"/>
              <w:rPr>
                <w:rFonts w:ascii="宋体" w:hAnsi="宋体"/>
                <w:color w:val="000000" w:themeColor="text1"/>
                <w:szCs w:val="21"/>
                <w:highlight w:val="none"/>
                <w14:textFill>
                  <w14:solidFill>
                    <w14:schemeClr w14:val="tx1"/>
                  </w14:solidFill>
                </w14:textFill>
              </w:rPr>
            </w:pPr>
            <w:r>
              <w:rPr>
                <w:rFonts w:hAnsi="宋体" w:cs="Arial"/>
                <w:b/>
                <w:bCs/>
                <w:color w:val="000000" w:themeColor="text1"/>
                <w:sz w:val="21"/>
                <w:highlight w:val="none"/>
                <w14:textFill>
                  <w14:solidFill>
                    <w14:schemeClr w14:val="tx1"/>
                  </w14:solidFill>
                </w14:textFill>
              </w:rPr>
              <w:t>注：</w:t>
            </w:r>
            <w:r>
              <w:rPr>
                <w:rFonts w:hint="eastAsia" w:hAnsi="宋体" w:cs="Arial"/>
                <w:b/>
                <w:bCs/>
                <w:color w:val="000000" w:themeColor="text1"/>
                <w:sz w:val="21"/>
                <w:highlight w:val="none"/>
                <w14:textFill>
                  <w14:solidFill>
                    <w14:schemeClr w14:val="tx1"/>
                  </w14:solidFill>
                </w14:textFill>
              </w:rPr>
              <w:t>响应文件中提供以上人员的响应文件递交截止之日</w:t>
            </w:r>
            <w:r>
              <w:rPr>
                <w:rFonts w:hint="eastAsia" w:hAnsi="宋体" w:cs="Arial"/>
                <w:b/>
                <w:bCs/>
                <w:color w:val="000000" w:themeColor="text1"/>
                <w:sz w:val="21"/>
                <w:highlight w:val="none"/>
                <w:lang w:val="en-US" w:eastAsia="zh-CN"/>
                <w14:textFill>
                  <w14:solidFill>
                    <w14:schemeClr w14:val="tx1"/>
                  </w14:solidFill>
                </w14:textFill>
              </w:rPr>
              <w:t>前</w:t>
            </w:r>
            <w:r>
              <w:rPr>
                <w:rFonts w:hint="eastAsia" w:ascii="Calibri" w:hAnsi="宋体" w:cs="Arial"/>
                <w:b/>
                <w:bCs/>
                <w:color w:val="000000" w:themeColor="text1"/>
                <w:szCs w:val="22"/>
                <w:highlight w:val="none"/>
                <w14:textFill>
                  <w14:solidFill>
                    <w14:schemeClr w14:val="tx1"/>
                  </w14:solidFill>
                </w14:textFill>
              </w:rPr>
              <w:t>半年内</w:t>
            </w:r>
            <w:r>
              <w:rPr>
                <w:rFonts w:hint="eastAsia" w:ascii="Calibri" w:hAnsi="宋体" w:cs="Arial"/>
                <w:b/>
                <w:bCs/>
                <w:color w:val="000000" w:themeColor="text1"/>
                <w:szCs w:val="22"/>
                <w:highlight w:val="none"/>
                <w:lang w:val="en-US" w:eastAsia="zh-CN"/>
                <w14:textFill>
                  <w14:solidFill>
                    <w14:schemeClr w14:val="tx1"/>
                  </w14:solidFill>
                </w14:textFill>
              </w:rPr>
              <w:t>连续3个</w:t>
            </w:r>
            <w:r>
              <w:rPr>
                <w:rFonts w:hint="eastAsia" w:ascii="Calibri" w:hAnsi="宋体" w:cs="Arial"/>
                <w:b/>
                <w:bCs/>
                <w:color w:val="000000" w:themeColor="text1"/>
                <w:szCs w:val="22"/>
                <w:highlight w:val="none"/>
                <w14:textFill>
                  <w14:solidFill>
                    <w14:schemeClr w14:val="tx1"/>
                  </w14:solidFill>
                </w14:textFill>
              </w:rPr>
              <w:t>月</w:t>
            </w:r>
            <w:r>
              <w:rPr>
                <w:rFonts w:hint="eastAsia" w:hAnsi="宋体" w:cs="Arial"/>
                <w:b/>
                <w:bCs/>
                <w:color w:val="000000" w:themeColor="text1"/>
                <w:sz w:val="21"/>
                <w:highlight w:val="none"/>
                <w14:textFill>
                  <w14:solidFill>
                    <w14:schemeClr w14:val="tx1"/>
                  </w14:solidFill>
                </w14:textFill>
              </w:rPr>
              <w:t>供应商为人员缴纳</w:t>
            </w:r>
            <w:r>
              <w:rPr>
                <w:rFonts w:hint="eastAsia" w:hAnsi="宋体" w:cs="Arial"/>
                <w:b/>
                <w:bCs/>
                <w:color w:val="000000" w:themeColor="text1"/>
                <w:sz w:val="21"/>
                <w:highlight w:val="none"/>
                <w:lang w:val="en-US" w:eastAsia="zh-CN"/>
                <w14:textFill>
                  <w14:solidFill>
                    <w14:schemeClr w14:val="tx1"/>
                  </w14:solidFill>
                </w14:textFill>
              </w:rPr>
              <w:t>的</w:t>
            </w:r>
            <w:r>
              <w:rPr>
                <w:rFonts w:hint="eastAsia" w:hAnsi="宋体" w:cs="Arial"/>
                <w:b/>
                <w:bCs/>
                <w:color w:val="000000" w:themeColor="text1"/>
                <w:sz w:val="21"/>
                <w:highlight w:val="none"/>
                <w14:textFill>
                  <w14:solidFill>
                    <w14:schemeClr w14:val="tx1"/>
                  </w14:solidFill>
                </w14:textFill>
              </w:rPr>
              <w:t>社保证明</w:t>
            </w:r>
            <w:r>
              <w:rPr>
                <w:rFonts w:hint="eastAsia" w:ascii="宋体" w:hAnsi="宋体"/>
                <w:bCs/>
                <w:color w:val="000000" w:themeColor="text1"/>
                <w:szCs w:val="21"/>
                <w:highlight w:val="none"/>
                <w14:textFill>
                  <w14:solidFill>
                    <w14:schemeClr w14:val="tx1"/>
                  </w14:solidFill>
                </w14:textFill>
              </w:rPr>
              <w:t>或供应商为其发放工资的银行流水证明或供应商代缴其个人所得税证明复印件</w:t>
            </w:r>
            <w:r>
              <w:rPr>
                <w:rFonts w:hint="eastAsia" w:hAnsi="宋体" w:cs="Arial"/>
                <w:b/>
                <w:bCs/>
                <w:color w:val="000000" w:themeColor="text1"/>
                <w:sz w:val="21"/>
                <w:highlight w:val="none"/>
                <w14:textFill>
                  <w14:solidFill>
                    <w14:schemeClr w14:val="tx1"/>
                  </w14:solidFill>
                </w14:textFill>
              </w:rPr>
              <w:t>，资格证书或职称证书等资料的复印件并加盖</w:t>
            </w:r>
            <w:r>
              <w:rPr>
                <w:rFonts w:hint="eastAsia" w:hAnsi="宋体" w:cs="Arial"/>
                <w:b/>
                <w:bCs/>
                <w:color w:val="000000" w:themeColor="text1"/>
                <w:sz w:val="21"/>
                <w:highlight w:val="none"/>
                <w:lang w:val="en-US" w:eastAsia="zh-CN"/>
                <w14:textFill>
                  <w14:solidFill>
                    <w14:schemeClr w14:val="tx1"/>
                  </w14:solidFill>
                </w14:textFill>
              </w:rPr>
              <w:t>单位</w:t>
            </w:r>
            <w:r>
              <w:rPr>
                <w:rFonts w:hint="eastAsia" w:hAnsi="宋体" w:cs="Arial"/>
                <w:b/>
                <w:bCs/>
                <w:color w:val="000000" w:themeColor="text1"/>
                <w:sz w:val="21"/>
                <w:highlight w:val="none"/>
                <w14:textFill>
                  <w14:solidFill>
                    <w14:schemeClr w14:val="tx1"/>
                  </w14:solidFill>
                </w14:textFill>
              </w:rPr>
              <w:t>公章</w:t>
            </w:r>
            <w:r>
              <w:rPr>
                <w:rFonts w:hAnsi="宋体" w:cs="Arial"/>
                <w:b/>
                <w:bCs/>
                <w:color w:val="000000" w:themeColor="text1"/>
                <w:sz w:val="21"/>
                <w:highlight w:val="none"/>
                <w14:textFill>
                  <w14:solidFill>
                    <w14:schemeClr w14:val="tx1"/>
                  </w14:solidFill>
                </w14:textFill>
              </w:rPr>
              <w:t>。</w:t>
            </w:r>
          </w:p>
        </w:tc>
        <w:tc>
          <w:tcPr>
            <w:tcW w:w="1250" w:type="dxa"/>
            <w:vAlign w:val="center"/>
          </w:tcPr>
          <w:p w14:paraId="468EE4E0">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分</w:t>
            </w:r>
          </w:p>
        </w:tc>
      </w:tr>
      <w:tr w14:paraId="283C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6210653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.3</w:t>
            </w:r>
          </w:p>
        </w:tc>
        <w:tc>
          <w:tcPr>
            <w:tcW w:w="930" w:type="dxa"/>
            <w:vAlign w:val="center"/>
          </w:tcPr>
          <w:p w14:paraId="2A089F7E">
            <w:pPr>
              <w:adjustRightInd w:val="0"/>
              <w:spacing w:line="440" w:lineRule="exact"/>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拟投入的主要物资计划、劳动力安排计划方案分</w:t>
            </w:r>
          </w:p>
        </w:tc>
        <w:tc>
          <w:tcPr>
            <w:tcW w:w="7000" w:type="dxa"/>
            <w:vAlign w:val="center"/>
          </w:tcPr>
          <w:p w14:paraId="64C63F68">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一档（</w:t>
            </w:r>
            <w:r>
              <w:rPr>
                <w:rFonts w:hint="eastAsia" w:ascii="宋体" w:hAnsi="宋体" w:cs="仿宋"/>
                <w:color w:val="000000" w:themeColor="text1"/>
                <w:szCs w:val="21"/>
                <w:highlight w:val="none"/>
                <w:lang w:val="en-US" w:eastAsia="zh-CN"/>
                <w14:textFill>
                  <w14:solidFill>
                    <w14:schemeClr w14:val="tx1"/>
                  </w14:solidFill>
                </w14:textFill>
              </w:rPr>
              <w:t>3</w:t>
            </w:r>
            <w:r>
              <w:rPr>
                <w:rFonts w:hint="eastAsia" w:ascii="宋体" w:hAnsi="宋体" w:cs="仿宋"/>
                <w:color w:val="000000" w:themeColor="text1"/>
                <w:szCs w:val="21"/>
                <w:highlight w:val="none"/>
                <w14:textFill>
                  <w14:solidFill>
                    <w14:schemeClr w14:val="tx1"/>
                  </w14:solidFill>
                </w14:textFill>
              </w:rPr>
              <w:t>分）：投入的施工材料有组织计划，基本满足施工需要。各主要施工工序有劳动力安排计划，有各工种劳动力安排计划，基本能满足施工需要。</w:t>
            </w:r>
          </w:p>
          <w:p w14:paraId="00F68DE5">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二档（</w:t>
            </w:r>
            <w:r>
              <w:rPr>
                <w:rFonts w:hint="eastAsia" w:ascii="宋体" w:hAnsi="宋体" w:cs="仿宋"/>
                <w:color w:val="000000" w:themeColor="text1"/>
                <w:szCs w:val="21"/>
                <w:highlight w:val="none"/>
                <w:lang w:val="en-US" w:eastAsia="zh-CN"/>
                <w14:textFill>
                  <w14:solidFill>
                    <w14:schemeClr w14:val="tx1"/>
                  </w14:solidFill>
                </w14:textFill>
              </w:rPr>
              <w:t>6</w:t>
            </w:r>
            <w:r>
              <w:rPr>
                <w:rFonts w:hint="eastAsia" w:ascii="宋体" w:hAnsi="宋体" w:cs="仿宋"/>
                <w:color w:val="000000" w:themeColor="text1"/>
                <w:szCs w:val="21"/>
                <w:highlight w:val="none"/>
                <w14:textFill>
                  <w14:solidFill>
                    <w14:schemeClr w14:val="tx1"/>
                  </w14:solidFill>
                </w14:textFill>
              </w:rPr>
              <w:t>分）：投入的主要物资计划与进度计划呼应，满足施工需要，定量定点堆放物资，各主要施工工序有周密的劳动力安排计划，不窝工，能满足施工需要，有各工种劳动力安排计划，能满足施工需要。</w:t>
            </w:r>
          </w:p>
          <w:p w14:paraId="08018554">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三档（10分）：投入的主要物资计划与进度计划呼应，满足施工需要，材料物资采购及供应保证措施，定量定点堆放物资，物资堆放有序，便于管理。各主要施工工序有周密的劳动力安排计划，不窝工，各工种劳动力安排计划切实高效，有切实有效的劳动力保障措施，能满足施工需要且衔接得当，物资投入主要设备属于公司名下或供应商通过租赁方式已落实的，提供采购计划、发票或相关租赁合同等佐证材料，佐证材料齐全，能够证明设备所有权和可用性。</w:t>
            </w:r>
          </w:p>
          <w:p w14:paraId="49842A29">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themeColor="text1"/>
                <w:szCs w:val="21"/>
                <w:highlight w:val="none"/>
                <w14:textFill>
                  <w14:solidFill>
                    <w14:schemeClr w14:val="tx1"/>
                  </w14:solidFill>
                </w14:textFill>
              </w:rPr>
            </w:pPr>
            <w:r>
              <w:rPr>
                <w:rFonts w:hint="eastAsia" w:hAnsi="宋体" w:cs="仿宋"/>
                <w:b/>
                <w:color w:val="000000" w:themeColor="text1"/>
                <w:sz w:val="21"/>
                <w:highlight w:val="none"/>
                <w14:textFill>
                  <w14:solidFill>
                    <w14:schemeClr w14:val="tx1"/>
                  </w14:solidFill>
                </w14:textFill>
              </w:rPr>
              <w:t>注：未提供方案或方案达不到入档要求的不得分。</w:t>
            </w:r>
          </w:p>
        </w:tc>
        <w:tc>
          <w:tcPr>
            <w:tcW w:w="1250" w:type="dxa"/>
            <w:vAlign w:val="center"/>
          </w:tcPr>
          <w:p w14:paraId="5B74A2B3">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10分</w:t>
            </w:r>
          </w:p>
        </w:tc>
      </w:tr>
      <w:tr w14:paraId="4037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25D5C17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.4</w:t>
            </w:r>
          </w:p>
        </w:tc>
        <w:tc>
          <w:tcPr>
            <w:tcW w:w="930" w:type="dxa"/>
            <w:vAlign w:val="center"/>
          </w:tcPr>
          <w:p w14:paraId="146BF0F0">
            <w:pPr>
              <w:adjustRightInd w:val="0"/>
              <w:spacing w:line="440" w:lineRule="exact"/>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确保工程质量的技术组织措施方案分</w:t>
            </w:r>
          </w:p>
        </w:tc>
        <w:tc>
          <w:tcPr>
            <w:tcW w:w="7000" w:type="dxa"/>
            <w:vAlign w:val="center"/>
          </w:tcPr>
          <w:p w14:paraId="315F7A8D">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一档（3分）：有质量技术管理班子和制度，主要工序有质量技术保证措施和手段。</w:t>
            </w:r>
          </w:p>
          <w:p w14:paraId="4CA07266">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二档（6分）：有质量技术管理班子和制度，主要工序有质量技术保证措施和手段，自控体系完整，有施工准备阶段和施工过程质量控制措施，能保证技术质量，满足采购需求文件的质量要求及验收规范要求。</w:t>
            </w:r>
          </w:p>
          <w:p w14:paraId="0F9EF011">
            <w:pPr>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三档（10分）：有质量验收流程图，根据本项目列出质量验收的重点，难点，措施得当；有专门的质量技术管理班子和制度，明确管理班子质量责任，主要工序有质量技术保证措施和手段，自控体系完整，有施工准备阶段、施工过程、竣工验收及交工阶段质量控制措施，隐蔽工程检查制度，有施工质量验收制度，工程质量保修方案，能有效保证技术质量，达到承诺的质量标准及验收规范要求。</w:t>
            </w:r>
          </w:p>
          <w:p w14:paraId="689B5E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olor w:val="000000" w:themeColor="text1"/>
                <w:szCs w:val="21"/>
                <w:highlight w:val="none"/>
                <w14:textFill>
                  <w14:solidFill>
                    <w14:schemeClr w14:val="tx1"/>
                  </w14:solidFill>
                </w14:textFill>
              </w:rPr>
            </w:pPr>
            <w:r>
              <w:rPr>
                <w:rFonts w:hint="eastAsia" w:hAnsi="宋体" w:cs="仿宋"/>
                <w:b/>
                <w:color w:val="000000" w:themeColor="text1"/>
                <w:highlight w:val="none"/>
                <w14:textFill>
                  <w14:solidFill>
                    <w14:schemeClr w14:val="tx1"/>
                  </w14:solidFill>
                </w14:textFill>
              </w:rPr>
              <w:t>注：未提供方案或方案达不到入档要求的不得分。</w:t>
            </w:r>
          </w:p>
        </w:tc>
        <w:tc>
          <w:tcPr>
            <w:tcW w:w="1250" w:type="dxa"/>
            <w:vAlign w:val="center"/>
          </w:tcPr>
          <w:p w14:paraId="15ED1CB9">
            <w:pPr>
              <w:spacing w:line="44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10</w:t>
            </w:r>
            <w:r>
              <w:rPr>
                <w:rFonts w:hint="eastAsia" w:ascii="宋体" w:hAnsi="宋体" w:cs="宋体"/>
                <w:bCs/>
                <w:color w:val="000000" w:themeColor="text1"/>
                <w:szCs w:val="21"/>
                <w:highlight w:val="none"/>
                <w14:textFill>
                  <w14:solidFill>
                    <w14:schemeClr w14:val="tx1"/>
                  </w14:solidFill>
                </w14:textFill>
              </w:rPr>
              <w:t>分</w:t>
            </w:r>
          </w:p>
        </w:tc>
      </w:tr>
      <w:tr w14:paraId="3A5E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2CD0F04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.5</w:t>
            </w:r>
          </w:p>
        </w:tc>
        <w:tc>
          <w:tcPr>
            <w:tcW w:w="930" w:type="dxa"/>
            <w:vAlign w:val="center"/>
          </w:tcPr>
          <w:p w14:paraId="669EA371">
            <w:pPr>
              <w:adjustRightInd w:val="0"/>
              <w:spacing w:line="440" w:lineRule="exact"/>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确保安全生产的技术组织措施方案分</w:t>
            </w:r>
          </w:p>
        </w:tc>
        <w:tc>
          <w:tcPr>
            <w:tcW w:w="7000" w:type="dxa"/>
            <w:vAlign w:val="center"/>
          </w:tcPr>
          <w:p w14:paraId="618AB41D">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一档（3分）：有专门的安全管理人员和制度，有各道工序安全技术措施。</w:t>
            </w:r>
          </w:p>
          <w:p w14:paraId="15824486">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二档（6分）：有专门的安全管理人员和制度，有各道工序安全技术措施，确保工程质量的技术组织措施符合实际且满足有关安全技术标准要求。有现场防火、应急救援、社会治安安全措施。</w:t>
            </w:r>
          </w:p>
          <w:p w14:paraId="74B424E3">
            <w:pPr>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三档（10分）：根据学校人员结构、管理模式等特点，制定符合学校的安全管理方案，有专门的安全管理人员和制度，各道工序安全技术措施具有针对性，确保工程质量的技术组织措施切合实际且优于有关安全技术标准要求。有得力的现场防火、应急救援、社会治安安全措施，有安全生产责任、安全生产教育培训制度、施工现场临时用电方案及安全用电措施、安全管理目标，有符合项目的安全事故应急方案、流程，应急部门、送医地点符合项目所在地。</w:t>
            </w:r>
          </w:p>
          <w:p w14:paraId="36564BF0">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themeColor="text1"/>
                <w:szCs w:val="21"/>
                <w:highlight w:val="none"/>
                <w14:textFill>
                  <w14:solidFill>
                    <w14:schemeClr w14:val="tx1"/>
                  </w14:solidFill>
                </w14:textFill>
              </w:rPr>
            </w:pPr>
            <w:r>
              <w:rPr>
                <w:rFonts w:hint="eastAsia" w:hAnsi="宋体" w:cs="仿宋"/>
                <w:b/>
                <w:color w:val="000000" w:themeColor="text1"/>
                <w:highlight w:val="none"/>
                <w14:textFill>
                  <w14:solidFill>
                    <w14:schemeClr w14:val="tx1"/>
                  </w14:solidFill>
                </w14:textFill>
              </w:rPr>
              <w:t>注：未提供方案或方案达不到入档要求的不得分。</w:t>
            </w:r>
          </w:p>
        </w:tc>
        <w:tc>
          <w:tcPr>
            <w:tcW w:w="1250" w:type="dxa"/>
            <w:vAlign w:val="center"/>
          </w:tcPr>
          <w:p w14:paraId="51290725">
            <w:pPr>
              <w:spacing w:line="44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10分</w:t>
            </w:r>
          </w:p>
        </w:tc>
      </w:tr>
      <w:tr w14:paraId="2F68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5EAF4C7C">
            <w:pPr>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bookmarkStart w:id="28" w:name="_Hlk195532109"/>
            <w:r>
              <w:rPr>
                <w:rFonts w:hint="eastAsia" w:ascii="宋体" w:hAnsi="宋体"/>
                <w:color w:val="000000" w:themeColor="text1"/>
                <w:szCs w:val="21"/>
                <w:highlight w:val="none"/>
                <w:lang w:val="en-US" w:eastAsia="zh-CN"/>
                <w14:textFill>
                  <w14:solidFill>
                    <w14:schemeClr w14:val="tx1"/>
                  </w14:solidFill>
                </w14:textFill>
              </w:rPr>
              <w:t>2.6</w:t>
            </w:r>
          </w:p>
        </w:tc>
        <w:tc>
          <w:tcPr>
            <w:tcW w:w="930" w:type="dxa"/>
            <w:vAlign w:val="center"/>
          </w:tcPr>
          <w:p w14:paraId="76D702D4">
            <w:pPr>
              <w:adjustRightInd w:val="0"/>
              <w:spacing w:line="440" w:lineRule="exact"/>
              <w:jc w:val="center"/>
              <w:textAlignment w:val="baseline"/>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确保工期的技术组织措施方案分</w:t>
            </w:r>
          </w:p>
        </w:tc>
        <w:tc>
          <w:tcPr>
            <w:tcW w:w="7000" w:type="dxa"/>
            <w:vAlign w:val="center"/>
          </w:tcPr>
          <w:p w14:paraId="52BE76A1">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一档（</w:t>
            </w:r>
            <w:r>
              <w:rPr>
                <w:rFonts w:hint="eastAsia" w:ascii="宋体" w:hAnsi="宋体" w:cs="仿宋"/>
                <w:color w:val="000000" w:themeColor="text1"/>
                <w:szCs w:val="21"/>
                <w:highlight w:val="none"/>
                <w:lang w:val="en-US" w:eastAsia="zh-CN"/>
                <w14:textFill>
                  <w14:solidFill>
                    <w14:schemeClr w14:val="tx1"/>
                  </w14:solidFill>
                </w14:textFill>
              </w:rPr>
              <w:t>3</w:t>
            </w:r>
            <w:r>
              <w:rPr>
                <w:rFonts w:hint="eastAsia" w:ascii="宋体" w:hAnsi="宋体" w:cs="仿宋"/>
                <w:color w:val="000000" w:themeColor="text1"/>
                <w:szCs w:val="21"/>
                <w:highlight w:val="none"/>
                <w14:textFill>
                  <w14:solidFill>
                    <w14:schemeClr w14:val="tx1"/>
                  </w14:solidFill>
                </w14:textFill>
              </w:rPr>
              <w:t>分）：在施工工艺、施工方法、材料选用、劳动力安排、技术方面有保证工期的措施，有控制工期的施工进度计划。</w:t>
            </w:r>
          </w:p>
          <w:p w14:paraId="5167100C">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二档（6分）：在施工工艺、施工方法、材料选用、劳动力安排、技术方面有保证工期的措施，有控制工期的施工进度计划，有施工总进度表或施工网络图。</w:t>
            </w:r>
          </w:p>
          <w:p w14:paraId="23330BB1">
            <w:pPr>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三档（10分）：有保障工期的经济措施，编制投入本项目的资金计划表，有保证工期的人员管理方案，若项目推进缓慢的处理方案，在施工工艺、施工方法、材料选用、劳动力安排、技术方面有保证工期的措施切实符合项目需求，具有针对性。有控制工期的施工进度计划，施工进度计划的执行与控制，进度偏差管理措施，有符合实际的施工总进度表或施工网络图，各项计划图表编制完善，进度计划切实可行，标出关键线路，标出节假日。</w:t>
            </w:r>
          </w:p>
          <w:p w14:paraId="72D7F2A3">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cs="宋体"/>
                <w:bCs/>
                <w:color w:val="000000" w:themeColor="text1"/>
                <w:sz w:val="21"/>
                <w:highlight w:val="none"/>
                <w:lang w:val="en-US" w:eastAsia="zh-CN"/>
                <w14:textFill>
                  <w14:solidFill>
                    <w14:schemeClr w14:val="tx1"/>
                  </w14:solidFill>
                </w14:textFill>
              </w:rPr>
            </w:pPr>
            <w:r>
              <w:rPr>
                <w:rFonts w:hint="eastAsia" w:hAnsi="宋体" w:cs="仿宋"/>
                <w:b/>
                <w:color w:val="000000" w:themeColor="text1"/>
                <w:sz w:val="21"/>
                <w:szCs w:val="21"/>
                <w:highlight w:val="none"/>
                <w14:textFill>
                  <w14:solidFill>
                    <w14:schemeClr w14:val="tx1"/>
                  </w14:solidFill>
                </w14:textFill>
              </w:rPr>
              <w:t>注：未提供方案或方案达不到入档要求的不得分。</w:t>
            </w:r>
          </w:p>
        </w:tc>
        <w:tc>
          <w:tcPr>
            <w:tcW w:w="1250" w:type="dxa"/>
            <w:vAlign w:val="center"/>
          </w:tcPr>
          <w:p w14:paraId="4A385D22">
            <w:pPr>
              <w:spacing w:line="440" w:lineRule="exact"/>
              <w:jc w:val="center"/>
              <w:rPr>
                <w:rFonts w:hint="eastAsia"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10分</w:t>
            </w:r>
          </w:p>
        </w:tc>
      </w:tr>
      <w:tr w14:paraId="5720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2903D56A">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930" w:type="dxa"/>
            <w:vAlign w:val="center"/>
          </w:tcPr>
          <w:p w14:paraId="131F1A94">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商务分</w:t>
            </w:r>
          </w:p>
        </w:tc>
        <w:tc>
          <w:tcPr>
            <w:tcW w:w="7000" w:type="dxa"/>
            <w:vAlign w:val="center"/>
          </w:tcPr>
          <w:p w14:paraId="2B4B55CA">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评审标准（商务分中未提供相应资料的，该部分分值不得分）</w:t>
            </w:r>
          </w:p>
        </w:tc>
        <w:tc>
          <w:tcPr>
            <w:tcW w:w="1250" w:type="dxa"/>
            <w:vAlign w:val="center"/>
          </w:tcPr>
          <w:p w14:paraId="0B0F17B2">
            <w:pPr>
              <w:spacing w:line="360" w:lineRule="auto"/>
              <w:jc w:val="center"/>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满分15分</w:t>
            </w:r>
          </w:p>
        </w:tc>
      </w:tr>
      <w:tr w14:paraId="556E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531" w:type="dxa"/>
            <w:vAlign w:val="center"/>
          </w:tcPr>
          <w:p w14:paraId="6709BED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.1</w:t>
            </w:r>
          </w:p>
        </w:tc>
        <w:tc>
          <w:tcPr>
            <w:tcW w:w="930" w:type="dxa"/>
            <w:vAlign w:val="center"/>
          </w:tcPr>
          <w:p w14:paraId="70DFB62E">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后续技术服务支持服务方案</w:t>
            </w:r>
            <w:r>
              <w:rPr>
                <w:rFonts w:hint="eastAsia" w:ascii="宋体" w:hAnsi="宋体"/>
                <w:color w:val="000000" w:themeColor="text1"/>
                <w:szCs w:val="21"/>
                <w:highlight w:val="none"/>
                <w:lang w:val="en-US" w:eastAsia="zh-CN"/>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企业</w:t>
            </w:r>
          </w:p>
          <w:p w14:paraId="7BEAF2B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业绩</w:t>
            </w:r>
          </w:p>
        </w:tc>
        <w:tc>
          <w:tcPr>
            <w:tcW w:w="7000" w:type="dxa"/>
            <w:vAlign w:val="center"/>
          </w:tcPr>
          <w:p w14:paraId="624D23A6">
            <w:pPr>
              <w:pStyle w:val="21"/>
              <w:numPr>
                <w:ilvl w:val="0"/>
                <w:numId w:val="2"/>
              </w:numPr>
              <w:spacing w:line="360" w:lineRule="auto"/>
              <w:ind w:firstLine="420" w:firstLineChars="200"/>
              <w:rPr>
                <w:rFonts w:hint="eastAsia" w:hAnsi="宋体" w:cs="Courier New"/>
                <w:color w:val="000000" w:themeColor="text1"/>
                <w:kern w:val="2"/>
                <w:sz w:val="21"/>
                <w:highlight w:val="none"/>
                <w14:textFill>
                  <w14:solidFill>
                    <w14:schemeClr w14:val="tx1"/>
                  </w14:solidFill>
                </w14:textFill>
              </w:rPr>
            </w:pP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设立专门的施工安装项目后续技术服务小组，配备专业的技术人员。在接到</w:t>
            </w:r>
            <w:r>
              <w:rPr>
                <w:rFonts w:hint="eastAsia" w:hAnsi="宋体" w:cs="Courier New"/>
                <w:i w:val="0"/>
                <w:iCs w:val="0"/>
                <w:caps w:val="0"/>
                <w:color w:val="000000" w:themeColor="text1"/>
                <w:spacing w:val="0"/>
                <w:kern w:val="2"/>
                <w:sz w:val="21"/>
                <w:szCs w:val="24"/>
                <w:highlight w:val="none"/>
                <w:shd w:val="clear"/>
                <w:lang w:val="en-US" w:eastAsia="zh-CN"/>
                <w14:textFill>
                  <w14:solidFill>
                    <w14:schemeClr w14:val="tx1"/>
                  </w14:solidFill>
                </w14:textFill>
              </w:rPr>
              <w:t>学院</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关于后续技术服务的需求后，承诺在 [</w:t>
            </w:r>
            <w:r>
              <w:rPr>
                <w:rFonts w:hint="eastAsia" w:hAnsi="宋体" w:cs="Courier New"/>
                <w:i w:val="0"/>
                <w:iCs w:val="0"/>
                <w:caps w:val="0"/>
                <w:color w:val="000000" w:themeColor="text1"/>
                <w:spacing w:val="0"/>
                <w:kern w:val="2"/>
                <w:sz w:val="21"/>
                <w:szCs w:val="24"/>
                <w:highlight w:val="none"/>
                <w:shd w:val="clear"/>
                <w:lang w:val="en-US" w:eastAsia="zh-CN"/>
                <w14:textFill>
                  <w14:solidFill>
                    <w14:schemeClr w14:val="tx1"/>
                  </w14:solidFill>
                </w14:textFill>
              </w:rPr>
              <w:t>4</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 小时内做出响应，[</w:t>
            </w:r>
            <w:r>
              <w:rPr>
                <w:rFonts w:hint="eastAsia" w:hAnsi="宋体" w:cs="Courier New"/>
                <w:i w:val="0"/>
                <w:iCs w:val="0"/>
                <w:caps w:val="0"/>
                <w:color w:val="000000" w:themeColor="text1"/>
                <w:spacing w:val="0"/>
                <w:kern w:val="2"/>
                <w:sz w:val="21"/>
                <w:szCs w:val="24"/>
                <w:highlight w:val="none"/>
                <w:shd w:val="clear"/>
                <w:lang w:val="en-US" w:eastAsia="zh-CN"/>
                <w14:textFill>
                  <w14:solidFill>
                    <w14:schemeClr w14:val="tx1"/>
                  </w14:solidFill>
                </w14:textFill>
              </w:rPr>
              <w:t>24</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 个</w:t>
            </w:r>
            <w:r>
              <w:rPr>
                <w:rFonts w:hint="eastAsia"/>
                <w:color w:val="000000" w:themeColor="text1"/>
                <w:highlight w:val="none"/>
                <w:lang w:eastAsia="zh-CN"/>
                <w14:textFill>
                  <w14:solidFill>
                    <w14:schemeClr w14:val="tx1"/>
                  </w14:solidFill>
                </w14:textFill>
              </w:rPr>
              <w:t>小时</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 xml:space="preserve">内安排技术人员到达现场（若涉及紧急情况，如影响消防设施正常使用等，应在更短时间内，比如 </w:t>
            </w:r>
            <w:r>
              <w:rPr>
                <w:rFonts w:hint="eastAsia" w:hAnsi="宋体" w:cs="Courier New"/>
                <w:i w:val="0"/>
                <w:iCs w:val="0"/>
                <w:caps w:val="0"/>
                <w:color w:val="000000" w:themeColor="text1"/>
                <w:spacing w:val="0"/>
                <w:kern w:val="2"/>
                <w:sz w:val="21"/>
                <w:szCs w:val="24"/>
                <w:highlight w:val="none"/>
                <w:shd w:val="clear"/>
                <w:lang w:val="en-US" w:eastAsia="zh-CN"/>
                <w14:textFill>
                  <w14:solidFill>
                    <w14:schemeClr w14:val="tx1"/>
                  </w14:solidFill>
                </w14:textFill>
              </w:rPr>
              <w:t>1</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 xml:space="preserve"> 小时内响应，</w:t>
            </w:r>
            <w:r>
              <w:rPr>
                <w:rFonts w:hint="eastAsia" w:hAnsi="宋体" w:cs="Courier New"/>
                <w:i w:val="0"/>
                <w:iCs w:val="0"/>
                <w:caps w:val="0"/>
                <w:color w:val="000000" w:themeColor="text1"/>
                <w:spacing w:val="0"/>
                <w:kern w:val="2"/>
                <w:sz w:val="21"/>
                <w:szCs w:val="24"/>
                <w:highlight w:val="none"/>
                <w:shd w:val="clear"/>
                <w:lang w:val="en-US" w:eastAsia="zh-CN"/>
                <w14:textFill>
                  <w14:solidFill>
                    <w14:schemeClr w14:val="tx1"/>
                  </w14:solidFill>
                </w14:textFill>
              </w:rPr>
              <w:t>2</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 xml:space="preserve"> 小时内到达现场</w:t>
            </w:r>
            <w:r>
              <w:rPr>
                <w:rFonts w:hint="eastAsia" w:hAnsi="宋体" w:cs="Courier New"/>
                <w:color w:val="000000" w:themeColor="text1"/>
                <w:kern w:val="2"/>
                <w:sz w:val="21"/>
                <w:highlight w:val="none"/>
                <w:lang w:val="en-US" w:eastAsia="zh-CN"/>
                <w14:textFill>
                  <w14:solidFill>
                    <w14:schemeClr w14:val="tx1"/>
                  </w14:solidFill>
                </w14:textFill>
              </w:rPr>
              <w:t>。</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项目竣工后</w:t>
            </w:r>
            <w:r>
              <w:rPr>
                <w:rFonts w:hint="eastAsia" w:ascii="宋体" w:hAnsi="宋体" w:eastAsia="宋体" w:cs="Courier New"/>
                <w:i w:val="0"/>
                <w:iCs w:val="0"/>
                <w:caps w:val="0"/>
                <w:color w:val="000000" w:themeColor="text1"/>
                <w:spacing w:val="0"/>
                <w:kern w:val="2"/>
                <w:sz w:val="21"/>
                <w:szCs w:val="24"/>
                <w:highlight w:val="none"/>
                <w:shd w:val="clear"/>
                <w:lang w:eastAsia="zh-CN"/>
                <w14:textFill>
                  <w14:solidFill>
                    <w14:schemeClr w14:val="tx1"/>
                  </w14:solidFill>
                </w14:textFill>
              </w:rPr>
              <w:t>，</w:t>
            </w:r>
            <w:r>
              <w:rPr>
                <w:rFonts w:hint="eastAsia" w:ascii="宋体" w:hAnsi="宋体" w:eastAsia="宋体" w:cs="Courier New"/>
                <w:i w:val="0"/>
                <w:iCs w:val="0"/>
                <w:caps w:val="0"/>
                <w:color w:val="000000" w:themeColor="text1"/>
                <w:spacing w:val="0"/>
                <w:kern w:val="2"/>
                <w:sz w:val="21"/>
                <w:szCs w:val="24"/>
                <w:highlight w:val="none"/>
                <w:shd w:val="clear"/>
                <w:lang w:val="en-US" w:eastAsia="zh-CN"/>
                <w14:textFill>
                  <w14:solidFill>
                    <w14:schemeClr w14:val="tx1"/>
                  </w14:solidFill>
                </w14:textFill>
              </w:rPr>
              <w:t>质保期内</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对施工安装的消防设施等进行</w:t>
            </w:r>
            <w:r>
              <w:rPr>
                <w:rFonts w:hint="eastAsia" w:ascii="宋体" w:hAnsi="宋体" w:eastAsia="宋体" w:cs="Courier New"/>
                <w:i w:val="0"/>
                <w:iCs w:val="0"/>
                <w:caps w:val="0"/>
                <w:color w:val="000000" w:themeColor="text1"/>
                <w:spacing w:val="0"/>
                <w:kern w:val="2"/>
                <w:sz w:val="21"/>
                <w:szCs w:val="24"/>
                <w:highlight w:val="none"/>
                <w:shd w:val="clear"/>
                <w:lang w:val="en-US" w:eastAsia="zh-CN"/>
                <w14:textFill>
                  <w14:solidFill>
                    <w14:schemeClr w14:val="tx1"/>
                  </w14:solidFill>
                </w14:textFill>
              </w:rPr>
              <w:t>月度</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巡检</w:t>
            </w:r>
            <w:r>
              <w:rPr>
                <w:rFonts w:hint="eastAsia" w:ascii="宋体" w:hAnsi="宋体" w:eastAsia="宋体" w:cs="Courier New"/>
                <w:i w:val="0"/>
                <w:iCs w:val="0"/>
                <w:caps w:val="0"/>
                <w:color w:val="000000" w:themeColor="text1"/>
                <w:spacing w:val="0"/>
                <w:kern w:val="2"/>
                <w:sz w:val="21"/>
                <w:szCs w:val="24"/>
                <w:highlight w:val="none"/>
                <w:shd w:val="clear"/>
                <w:lang w:eastAsia="zh-CN"/>
                <w14:textFill>
                  <w14:solidFill>
                    <w14:schemeClr w14:val="tx1"/>
                  </w14:solidFill>
                </w14:textFill>
              </w:rPr>
              <w:t>，</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每次巡检后，向</w:t>
            </w:r>
            <w:r>
              <w:rPr>
                <w:rFonts w:hint="eastAsia" w:hAnsi="宋体" w:cs="Courier New"/>
                <w:i w:val="0"/>
                <w:iCs w:val="0"/>
                <w:caps w:val="0"/>
                <w:color w:val="000000" w:themeColor="text1"/>
                <w:spacing w:val="0"/>
                <w:kern w:val="2"/>
                <w:sz w:val="21"/>
                <w:szCs w:val="24"/>
                <w:highlight w:val="none"/>
                <w:shd w:val="clear"/>
                <w:lang w:val="en-US" w:eastAsia="zh-CN"/>
                <w14:textFill>
                  <w14:solidFill>
                    <w14:schemeClr w14:val="tx1"/>
                  </w14:solidFill>
                </w14:textFill>
              </w:rPr>
              <w:t>学院</w:t>
            </w:r>
            <w:r>
              <w:rPr>
                <w:rFonts w:hint="eastAsia" w:ascii="宋体" w:hAnsi="宋体" w:eastAsia="宋体" w:cs="Courier New"/>
                <w:i w:val="0"/>
                <w:iCs w:val="0"/>
                <w:caps w:val="0"/>
                <w:color w:val="000000" w:themeColor="text1"/>
                <w:spacing w:val="0"/>
                <w:kern w:val="2"/>
                <w:sz w:val="21"/>
                <w:szCs w:val="24"/>
                <w:highlight w:val="none"/>
                <w:shd w:val="clear"/>
                <w14:textFill>
                  <w14:solidFill>
                    <w14:schemeClr w14:val="tx1"/>
                  </w14:solidFill>
                </w14:textFill>
              </w:rPr>
              <w:t>提交详细的巡检报告，说明设施状况、发现的问题及处理情况</w:t>
            </w:r>
            <w:r>
              <w:rPr>
                <w:rFonts w:hint="eastAsia" w:hAnsi="宋体" w:cs="Courier New"/>
                <w:i w:val="0"/>
                <w:iCs w:val="0"/>
                <w:caps w:val="0"/>
                <w:color w:val="000000" w:themeColor="text1"/>
                <w:spacing w:val="0"/>
                <w:kern w:val="2"/>
                <w:sz w:val="21"/>
                <w:szCs w:val="24"/>
                <w:highlight w:val="none"/>
                <w:shd w:val="clear"/>
                <w:lang w:eastAsia="zh-CN"/>
                <w14:textFill>
                  <w14:solidFill>
                    <w14:schemeClr w14:val="tx1"/>
                  </w14:solidFill>
                </w14:textFill>
              </w:rPr>
              <w:t>，</w:t>
            </w:r>
            <w:r>
              <w:rPr>
                <w:rFonts w:hint="eastAsia" w:hAnsi="宋体" w:cs="Courier New"/>
                <w:color w:val="000000" w:themeColor="text1"/>
                <w:kern w:val="2"/>
                <w:sz w:val="21"/>
                <w:highlight w:val="none"/>
                <w14:textFill>
                  <w14:solidFill>
                    <w14:schemeClr w14:val="tx1"/>
                  </w14:solidFill>
                </w14:textFill>
              </w:rPr>
              <w:t>得分</w:t>
            </w:r>
            <w:r>
              <w:rPr>
                <w:rFonts w:hint="eastAsia" w:hAnsi="宋体" w:cs="Courier New"/>
                <w:color w:val="000000" w:themeColor="text1"/>
                <w:kern w:val="2"/>
                <w:sz w:val="21"/>
                <w:highlight w:val="none"/>
                <w:lang w:val="en-US" w:eastAsia="zh-CN"/>
                <w14:textFill>
                  <w14:solidFill>
                    <w14:schemeClr w14:val="tx1"/>
                  </w14:solidFill>
                </w14:textFill>
              </w:rPr>
              <w:t>2</w:t>
            </w:r>
            <w:r>
              <w:rPr>
                <w:rFonts w:hint="eastAsia" w:hAnsi="宋体" w:cs="Courier New"/>
                <w:color w:val="000000" w:themeColor="text1"/>
                <w:kern w:val="2"/>
                <w:sz w:val="21"/>
                <w:highlight w:val="none"/>
                <w14:textFill>
                  <w14:solidFill>
                    <w14:schemeClr w14:val="tx1"/>
                  </w14:solidFill>
                </w14:textFill>
              </w:rPr>
              <w:t>分；此项满分</w:t>
            </w:r>
            <w:r>
              <w:rPr>
                <w:rFonts w:hint="eastAsia" w:hAnsi="宋体" w:cs="Courier New"/>
                <w:color w:val="000000" w:themeColor="text1"/>
                <w:kern w:val="2"/>
                <w:sz w:val="21"/>
                <w:highlight w:val="none"/>
                <w:lang w:val="en-US" w:eastAsia="zh-CN"/>
                <w14:textFill>
                  <w14:solidFill>
                    <w14:schemeClr w14:val="tx1"/>
                  </w14:solidFill>
                </w14:textFill>
              </w:rPr>
              <w:t>2</w:t>
            </w:r>
            <w:r>
              <w:rPr>
                <w:rFonts w:hint="eastAsia" w:hAnsi="宋体" w:cs="Courier New"/>
                <w:color w:val="000000" w:themeColor="text1"/>
                <w:kern w:val="2"/>
                <w:sz w:val="21"/>
                <w:highlight w:val="none"/>
                <w14:textFill>
                  <w14:solidFill>
                    <w14:schemeClr w14:val="tx1"/>
                  </w14:solidFill>
                </w14:textFill>
              </w:rPr>
              <w:t>分。</w:t>
            </w:r>
          </w:p>
          <w:p w14:paraId="1289DF50">
            <w:pPr>
              <w:pStyle w:val="21"/>
              <w:spacing w:line="360" w:lineRule="auto"/>
              <w:ind w:firstLine="420" w:firstLineChars="200"/>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（2）业绩分，自2022年1月1日以来供应商具有</w:t>
            </w:r>
            <w:r>
              <w:rPr>
                <w:rStyle w:val="46"/>
                <w:rFonts w:hint="eastAsia" w:ascii="Times New Roman" w:hAnsi="Times New Roman"/>
                <w:color w:val="000000" w:themeColor="text1"/>
                <w:kern w:val="2"/>
                <w:highlight w:val="none"/>
                <w:lang w:val="en-US" w:eastAsia="zh-CN"/>
                <w14:textFill>
                  <w14:solidFill>
                    <w14:schemeClr w14:val="tx1"/>
                  </w14:solidFill>
                </w14:textFill>
              </w:rPr>
              <w:t>类似相关业绩</w:t>
            </w:r>
            <w:r>
              <w:rPr>
                <w:rFonts w:hint="eastAsia" w:hAnsi="宋体" w:cs="Courier New"/>
                <w:color w:val="000000" w:themeColor="text1"/>
                <w:kern w:val="2"/>
                <w:sz w:val="21"/>
                <w:highlight w:val="none"/>
                <w14:textFill>
                  <w14:solidFill>
                    <w14:schemeClr w14:val="tx1"/>
                  </w14:solidFill>
                </w14:textFill>
              </w:rPr>
              <w:t>，每个</w:t>
            </w:r>
            <w:r>
              <w:rPr>
                <w:rFonts w:hint="eastAsia" w:hAnsi="宋体" w:cs="Courier New"/>
                <w:color w:val="000000" w:themeColor="text1"/>
                <w:kern w:val="2"/>
                <w:sz w:val="21"/>
                <w:highlight w:val="none"/>
                <w:lang w:val="en-US" w:eastAsia="zh-CN"/>
                <w14:textFill>
                  <w14:solidFill>
                    <w14:schemeClr w14:val="tx1"/>
                  </w14:solidFill>
                </w14:textFill>
              </w:rPr>
              <w:t>有效业绩</w:t>
            </w:r>
            <w:r>
              <w:rPr>
                <w:rFonts w:hint="eastAsia" w:hAnsi="宋体" w:cs="Courier New"/>
                <w:color w:val="000000" w:themeColor="text1"/>
                <w:kern w:val="2"/>
                <w:sz w:val="21"/>
                <w:highlight w:val="none"/>
                <w14:textFill>
                  <w14:solidFill>
                    <w14:schemeClr w14:val="tx1"/>
                  </w14:solidFill>
                </w14:textFill>
              </w:rPr>
              <w:t>得1分，本项满分</w:t>
            </w:r>
            <w:r>
              <w:rPr>
                <w:rFonts w:hint="eastAsia" w:hAnsi="宋体" w:cs="Courier New"/>
                <w:color w:val="000000" w:themeColor="text1"/>
                <w:kern w:val="2"/>
                <w:sz w:val="21"/>
                <w:highlight w:val="none"/>
                <w:lang w:val="en-US" w:eastAsia="zh-CN"/>
                <w14:textFill>
                  <w14:solidFill>
                    <w14:schemeClr w14:val="tx1"/>
                  </w14:solidFill>
                </w14:textFill>
              </w:rPr>
              <w:t>7</w:t>
            </w:r>
            <w:r>
              <w:rPr>
                <w:rFonts w:hint="eastAsia" w:hAnsi="宋体" w:cs="Courier New"/>
                <w:color w:val="000000" w:themeColor="text1"/>
                <w:kern w:val="2"/>
                <w:sz w:val="21"/>
                <w:highlight w:val="none"/>
                <w14:textFill>
                  <w14:solidFill>
                    <w14:schemeClr w14:val="tx1"/>
                  </w14:solidFill>
                </w14:textFill>
              </w:rPr>
              <w:t>分。（须提供中标/成交通知书或合同复印件加盖单位公章，不提供不得分）</w:t>
            </w:r>
          </w:p>
          <w:p w14:paraId="7DC1D09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3）供应商获得在有效期内的ISO9001质量管理体系认证、ISO14001环境管理体系认证、ISO45001职业健康安全管理体系认证的，每提供一项得2分，满分6分。（需在《全国认证认可信息公共服务平台http://cx.cnca.cn/》查询，并提供网站查询截图。</w:t>
            </w:r>
          </w:p>
        </w:tc>
        <w:tc>
          <w:tcPr>
            <w:tcW w:w="1250" w:type="dxa"/>
            <w:vAlign w:val="center"/>
          </w:tcPr>
          <w:p w14:paraId="2105D3B9">
            <w:pPr>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15分</w:t>
            </w:r>
          </w:p>
        </w:tc>
      </w:tr>
      <w:bookmarkEnd w:id="28"/>
      <w:tr w14:paraId="3D57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1" w:type="dxa"/>
            <w:gridSpan w:val="3"/>
            <w:vAlign w:val="center"/>
          </w:tcPr>
          <w:p w14:paraId="192C64A4">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总得分</w:t>
            </w:r>
            <w:r>
              <w:rPr>
                <w:rFonts w:ascii="宋体" w:hAnsi="宋体"/>
                <w:b/>
                <w:color w:val="000000" w:themeColor="text1"/>
                <w:szCs w:val="21"/>
                <w:highlight w:val="none"/>
                <w14:textFill>
                  <w14:solidFill>
                    <w14:schemeClr w14:val="tx1"/>
                  </w14:solidFill>
                </w14:textFill>
              </w:rPr>
              <w:t>100分＝1＋2+3项得分</w:t>
            </w:r>
          </w:p>
        </w:tc>
        <w:tc>
          <w:tcPr>
            <w:tcW w:w="1250" w:type="dxa"/>
            <w:vAlign w:val="center"/>
          </w:tcPr>
          <w:p w14:paraId="3EDFCCA6">
            <w:pPr>
              <w:spacing w:line="360" w:lineRule="auto"/>
              <w:jc w:val="center"/>
              <w:rPr>
                <w:rFonts w:hint="eastAsia" w:ascii="宋体" w:hAnsi="宋体"/>
                <w:b/>
                <w:color w:val="000000" w:themeColor="text1"/>
                <w:szCs w:val="21"/>
                <w:highlight w:val="none"/>
                <w14:textFill>
                  <w14:solidFill>
                    <w14:schemeClr w14:val="tx1"/>
                  </w14:solidFill>
                </w14:textFill>
              </w:rPr>
            </w:pPr>
          </w:p>
        </w:tc>
      </w:tr>
    </w:tbl>
    <w:p w14:paraId="39F270C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13535C0">
      <w:pPr>
        <w:pStyle w:val="2"/>
        <w:jc w:val="center"/>
        <w:rPr>
          <w:rFonts w:ascii="宋体" w:hAnsi="宋体" w:eastAsia="宋体"/>
          <w:color w:val="000000" w:themeColor="text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15BE529">
      <w:pPr>
        <w:pStyle w:val="2"/>
        <w:jc w:val="center"/>
        <w:rPr>
          <w:rFonts w:ascii="宋体" w:hAnsi="宋体" w:eastAsia="宋体"/>
          <w:color w:val="000000" w:themeColor="text1"/>
          <w:highlight w:val="none"/>
          <w14:textFill>
            <w14:solidFill>
              <w14:schemeClr w14:val="tx1"/>
            </w14:solidFill>
          </w14:textFill>
        </w:rPr>
      </w:pPr>
      <w:bookmarkStart w:id="29" w:name="_Toc547"/>
      <w:r>
        <w:rPr>
          <w:rFonts w:hint="eastAsia" w:ascii="宋体" w:hAnsi="宋体" w:eastAsia="宋体"/>
          <w:color w:val="000000" w:themeColor="text1"/>
          <w:highlight w:val="none"/>
          <w14:textFill>
            <w14:solidFill>
              <w14:schemeClr w14:val="tx1"/>
            </w14:solidFill>
          </w14:textFill>
        </w:rPr>
        <w:t>第五</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工程量清单、图纸</w:t>
      </w:r>
      <w:bookmarkEnd w:id="29"/>
    </w:p>
    <w:p w14:paraId="4D732AA3">
      <w:pPr>
        <w:spacing w:line="360" w:lineRule="auto"/>
        <w:ind w:firstLine="420" w:firstLineChars="200"/>
        <w:rPr>
          <w:rFonts w:ascii="宋体" w:hAnsi="宋体" w:eastAsia="宋体"/>
          <w:b/>
          <w:color w:val="000000" w:themeColor="text1"/>
          <w:szCs w:val="21"/>
          <w:highlight w:val="none"/>
          <w14:textFill>
            <w14:solidFill>
              <w14:schemeClr w14:val="tx1"/>
            </w14:solidFill>
          </w14:textFill>
        </w:rPr>
      </w:pPr>
      <w:bookmarkStart w:id="30" w:name="OLE_LINK59"/>
      <w:bookmarkStart w:id="31" w:name="OLE_LINK65"/>
      <w:r>
        <w:rPr>
          <w:rFonts w:hint="eastAsia" w:ascii="宋体" w:hAnsi="宋体" w:eastAsia="宋体"/>
          <w:color w:val="000000" w:themeColor="text1"/>
          <w:szCs w:val="21"/>
          <w:highlight w:val="none"/>
          <w14:textFill>
            <w14:solidFill>
              <w14:schemeClr w14:val="tx1"/>
            </w14:solidFill>
          </w14:textFill>
        </w:rPr>
        <w:t>与本项目有关的工程量清单</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图纸等附件资料获取方式：网上下载。供应商可自行在“广西政府采购云平台”平台自行下载。</w:t>
      </w:r>
      <w:bookmarkEnd w:id="30"/>
      <w:bookmarkEnd w:id="31"/>
    </w:p>
    <w:p w14:paraId="6B2201D9">
      <w:pPr>
        <w:jc w:val="center"/>
        <w:rPr>
          <w:rFonts w:hint="eastAsia" w:ascii="宋体" w:hAnsi="宋体" w:eastAsia="宋体"/>
          <w:color w:val="000000" w:themeColor="text1"/>
          <w:highlight w:val="none"/>
          <w14:textFill>
            <w14:solidFill>
              <w14:schemeClr w14:val="tx1"/>
            </w14:solidFill>
          </w14:textFill>
        </w:rPr>
      </w:pPr>
      <w:bookmarkStart w:id="32" w:name="_Toc32026"/>
      <w:r>
        <w:rPr>
          <w:rFonts w:hint="eastAsia" w:ascii="宋体" w:hAnsi="宋体" w:eastAsia="宋体"/>
          <w:color w:val="000000" w:themeColor="text1"/>
          <w:highlight w:val="none"/>
          <w14:textFill>
            <w14:solidFill>
              <w14:schemeClr w14:val="tx1"/>
            </w14:solidFill>
          </w14:textFill>
        </w:rPr>
        <w:br w:type="page"/>
      </w:r>
    </w:p>
    <w:p w14:paraId="1E66BC7C">
      <w:pPr>
        <w:pStyle w:val="2"/>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第六</w:t>
      </w:r>
      <w:r>
        <w:rPr>
          <w:rFonts w:hint="eastAsia" w:ascii="宋体" w:hAnsi="宋体" w:eastAsia="宋体"/>
          <w:color w:val="000000" w:themeColor="text1"/>
          <w:spacing w:val="10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响应文件格式</w:t>
      </w:r>
      <w:bookmarkEnd w:id="32"/>
    </w:p>
    <w:p w14:paraId="6659B617">
      <w:pPr>
        <w:pStyle w:val="3"/>
        <w:jc w:val="center"/>
        <w:rPr>
          <w:color w:val="000000" w:themeColor="text1"/>
          <w:highlight w:val="none"/>
          <w14:textFill>
            <w14:solidFill>
              <w14:schemeClr w14:val="tx1"/>
            </w14:solidFill>
          </w14:textFill>
        </w:rPr>
      </w:pPr>
      <w:bookmarkStart w:id="33" w:name="_Toc19499"/>
      <w:bookmarkStart w:id="34" w:name="_Toc2894"/>
      <w:r>
        <w:rPr>
          <w:rFonts w:hint="eastAsia"/>
          <w:color w:val="000000" w:themeColor="text1"/>
          <w:highlight w:val="none"/>
          <w14:textFill>
            <w14:solidFill>
              <w14:schemeClr w14:val="tx1"/>
            </w14:solidFill>
          </w14:textFill>
        </w:rPr>
        <w:t>一、资格证明文件格式</w:t>
      </w:r>
      <w:bookmarkEnd w:id="33"/>
      <w:bookmarkEnd w:id="34"/>
    </w:p>
    <w:p w14:paraId="1AAB706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E04671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9F42D0E">
      <w:pPr>
        <w:spacing w:line="360" w:lineRule="auto"/>
        <w:jc w:val="center"/>
        <w:rPr>
          <w:rFonts w:ascii="宋体" w:hAnsi="宋体" w:eastAsia="宋体"/>
          <w:b/>
          <w:color w:val="000000" w:themeColor="text1"/>
          <w:sz w:val="84"/>
          <w:szCs w:val="84"/>
          <w:highlight w:val="none"/>
          <w14:textFill>
            <w14:solidFill>
              <w14:schemeClr w14:val="tx1"/>
            </w14:solidFill>
          </w14:textFill>
        </w:rPr>
      </w:pPr>
      <w:r>
        <w:rPr>
          <w:rFonts w:hint="eastAsia" w:ascii="宋体" w:hAnsi="宋体" w:eastAsia="宋体"/>
          <w:b/>
          <w:color w:val="000000" w:themeColor="text1"/>
          <w:sz w:val="84"/>
          <w:szCs w:val="84"/>
          <w:highlight w:val="none"/>
          <w14:textFill>
            <w14:solidFill>
              <w14:schemeClr w14:val="tx1"/>
            </w14:solidFill>
          </w14:textFill>
        </w:rPr>
        <w:t>资格证明文件（封面）</w:t>
      </w:r>
    </w:p>
    <w:p w14:paraId="37715F6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365F32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92DAE8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88D53F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0DA62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4F33F2A">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项目名称：</w:t>
      </w:r>
    </w:p>
    <w:p w14:paraId="72CB0A6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25B94BE">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项目编号：</w:t>
      </w:r>
    </w:p>
    <w:p w14:paraId="3E66303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1538251">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所竞分标（如有则填写，无分标时填写“无”或者留空）：</w:t>
      </w:r>
    </w:p>
    <w:p w14:paraId="2BBB584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D37A457">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供应商名称：</w:t>
      </w:r>
    </w:p>
    <w:p w14:paraId="6AA88F0B">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p>
    <w:p w14:paraId="5F84995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CFBCAF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2A550B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B15B213">
      <w:pPr>
        <w:spacing w:line="360" w:lineRule="auto"/>
        <w:jc w:val="center"/>
        <w:rPr>
          <w:rFonts w:ascii="宋体" w:hAnsi="宋体" w:eastAsia="宋体" w:cs="Times New Roman"/>
          <w:color w:val="000000" w:themeColor="text1"/>
          <w:sz w:val="32"/>
          <w:szCs w:val="32"/>
          <w:highlight w:val="none"/>
          <w14:textFill>
            <w14:solidFill>
              <w14:schemeClr w14:val="tx1"/>
            </w14:solidFill>
          </w14:textFill>
        </w:rPr>
      </w:pPr>
      <w:r>
        <w:rPr>
          <w:rFonts w:ascii="宋体" w:hAnsi="宋体" w:eastAsia="宋体" w:cs="Times New Roman"/>
          <w:color w:val="000000" w:themeColor="text1"/>
          <w:sz w:val="32"/>
          <w:szCs w:val="32"/>
          <w:highlight w:val="none"/>
          <w:u w:val="single"/>
          <w14:textFill>
            <w14:solidFill>
              <w14:schemeClr w14:val="tx1"/>
            </w14:solidFill>
          </w14:textFill>
        </w:rPr>
        <w:t xml:space="preserve">   </w:t>
      </w:r>
      <w:r>
        <w:rPr>
          <w:rFonts w:hint="eastAsia" w:ascii="宋体" w:hAnsi="宋体" w:eastAsia="宋体" w:cs="Times New Roman"/>
          <w:color w:val="000000" w:themeColor="text1"/>
          <w:sz w:val="32"/>
          <w:szCs w:val="32"/>
          <w:highlight w:val="none"/>
          <w14:textFill>
            <w14:solidFill>
              <w14:schemeClr w14:val="tx1"/>
            </w14:solidFill>
          </w14:textFill>
        </w:rPr>
        <w:t>年</w:t>
      </w:r>
      <w:r>
        <w:rPr>
          <w:rFonts w:ascii="宋体" w:hAnsi="宋体" w:eastAsia="宋体" w:cs="Times New Roman"/>
          <w:color w:val="000000" w:themeColor="text1"/>
          <w:sz w:val="32"/>
          <w:szCs w:val="32"/>
          <w:highlight w:val="none"/>
          <w:u w:val="single"/>
          <w14:textFill>
            <w14:solidFill>
              <w14:schemeClr w14:val="tx1"/>
            </w14:solidFill>
          </w14:textFill>
        </w:rPr>
        <w:t xml:space="preserve">   </w:t>
      </w:r>
      <w:r>
        <w:rPr>
          <w:rFonts w:hint="eastAsia" w:ascii="宋体" w:hAnsi="宋体" w:eastAsia="宋体" w:cs="Times New Roman"/>
          <w:color w:val="000000" w:themeColor="text1"/>
          <w:sz w:val="32"/>
          <w:szCs w:val="32"/>
          <w:highlight w:val="none"/>
          <w14:textFill>
            <w14:solidFill>
              <w14:schemeClr w14:val="tx1"/>
            </w14:solidFill>
          </w14:textFill>
        </w:rPr>
        <w:t>月</w:t>
      </w:r>
      <w:r>
        <w:rPr>
          <w:rFonts w:ascii="宋体" w:hAnsi="宋体" w:eastAsia="宋体" w:cs="Times New Roman"/>
          <w:color w:val="000000" w:themeColor="text1"/>
          <w:sz w:val="32"/>
          <w:szCs w:val="32"/>
          <w:highlight w:val="none"/>
          <w:u w:val="single"/>
          <w14:textFill>
            <w14:solidFill>
              <w14:schemeClr w14:val="tx1"/>
            </w14:solidFill>
          </w14:textFill>
        </w:rPr>
        <w:t xml:space="preserve">   </w:t>
      </w:r>
      <w:r>
        <w:rPr>
          <w:rFonts w:hint="eastAsia" w:ascii="宋体" w:hAnsi="宋体" w:eastAsia="宋体" w:cs="Times New Roman"/>
          <w:color w:val="000000" w:themeColor="text1"/>
          <w:sz w:val="32"/>
          <w:szCs w:val="32"/>
          <w:highlight w:val="none"/>
          <w14:textFill>
            <w14:solidFill>
              <w14:schemeClr w14:val="tx1"/>
            </w14:solidFill>
          </w14:textFill>
        </w:rPr>
        <w:t>日</w:t>
      </w:r>
    </w:p>
    <w:p w14:paraId="0A5D74F2">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3E5C2D13">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资格证明文件目录</w:t>
      </w:r>
    </w:p>
    <w:p w14:paraId="7139FE7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根据磋商文件规定及供应商提供的材料自行编写目录（部分格式后附）。</w:t>
      </w:r>
    </w:p>
    <w:p w14:paraId="58E48096">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125D47B">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（一）供应商为法人或者其他组织的，提供营业执照等证明文件复印件（如营业执照或者事业单位法人证书或者执业许可证等）</w:t>
      </w:r>
    </w:p>
    <w:p w14:paraId="3355524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B42D86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E7469AA">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（二）符合参与政府采购活动的资格条件依法缴纳税收、社会保障资金等方面的材料</w:t>
      </w:r>
    </w:p>
    <w:p w14:paraId="530689F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CE8395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3EC0882">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（三）财务状况报告方面的材料</w:t>
      </w:r>
    </w:p>
    <w:p w14:paraId="010F3786">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3.1财务状况报告</w:t>
      </w:r>
    </w:p>
    <w:p w14:paraId="3FD1D06B">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p>
    <w:p w14:paraId="6F357050">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3.2财务状况承诺书</w:t>
      </w:r>
    </w:p>
    <w:p w14:paraId="70229164">
      <w:pPr>
        <w:spacing w:line="360" w:lineRule="auto"/>
        <w:ind w:firstLine="420" w:firstLineChars="200"/>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我公司郑重承诺：承诺合同履行过程中，由于账户问题导致工程款无法按时支付的，由我公司负责。</w:t>
      </w:r>
    </w:p>
    <w:p w14:paraId="79308B8E">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法定代表人（签字或者盖章或者电子签名）：</w:t>
      </w:r>
    </w:p>
    <w:p w14:paraId="5666CBE2">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40A87C56">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1AB6C3EA">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7086A539">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（四）供应商直接控股股东信息表</w:t>
      </w:r>
    </w:p>
    <w:p w14:paraId="787D64E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709"/>
        <w:gridCol w:w="1465"/>
        <w:gridCol w:w="3959"/>
        <w:gridCol w:w="1156"/>
      </w:tblGrid>
      <w:tr w14:paraId="60D9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7D94F304">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361" w:type="pct"/>
          </w:tcPr>
          <w:p w14:paraId="563BDF75">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直接控股股东名称</w:t>
            </w:r>
          </w:p>
        </w:tc>
        <w:tc>
          <w:tcPr>
            <w:tcW w:w="736" w:type="pct"/>
          </w:tcPr>
          <w:p w14:paraId="51F860D9">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出资比例</w:t>
            </w:r>
          </w:p>
        </w:tc>
        <w:tc>
          <w:tcPr>
            <w:tcW w:w="1989" w:type="pct"/>
          </w:tcPr>
          <w:p w14:paraId="40A83A67">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身份证号码或者统一社会信用代码</w:t>
            </w:r>
          </w:p>
        </w:tc>
        <w:tc>
          <w:tcPr>
            <w:tcW w:w="581" w:type="pct"/>
          </w:tcPr>
          <w:p w14:paraId="10D54588">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p>
        </w:tc>
      </w:tr>
      <w:tr w14:paraId="2C21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0632F9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361" w:type="pct"/>
          </w:tcPr>
          <w:p w14:paraId="6C96B916">
            <w:pPr>
              <w:spacing w:line="360" w:lineRule="auto"/>
              <w:jc w:val="center"/>
              <w:rPr>
                <w:rFonts w:ascii="宋体" w:hAnsi="宋体"/>
                <w:color w:val="000000" w:themeColor="text1"/>
                <w:szCs w:val="21"/>
                <w:highlight w:val="none"/>
                <w14:textFill>
                  <w14:solidFill>
                    <w14:schemeClr w14:val="tx1"/>
                  </w14:solidFill>
                </w14:textFill>
              </w:rPr>
            </w:pPr>
          </w:p>
        </w:tc>
        <w:tc>
          <w:tcPr>
            <w:tcW w:w="736" w:type="pct"/>
          </w:tcPr>
          <w:p w14:paraId="6D476492">
            <w:pPr>
              <w:spacing w:line="360" w:lineRule="auto"/>
              <w:jc w:val="center"/>
              <w:rPr>
                <w:rFonts w:ascii="宋体" w:hAnsi="宋体"/>
                <w:color w:val="000000" w:themeColor="text1"/>
                <w:szCs w:val="21"/>
                <w:highlight w:val="none"/>
                <w14:textFill>
                  <w14:solidFill>
                    <w14:schemeClr w14:val="tx1"/>
                  </w14:solidFill>
                </w14:textFill>
              </w:rPr>
            </w:pPr>
          </w:p>
        </w:tc>
        <w:tc>
          <w:tcPr>
            <w:tcW w:w="1989" w:type="pct"/>
          </w:tcPr>
          <w:p w14:paraId="66EA1E50">
            <w:pPr>
              <w:spacing w:line="360" w:lineRule="auto"/>
              <w:jc w:val="center"/>
              <w:rPr>
                <w:rFonts w:ascii="宋体" w:hAnsi="宋体"/>
                <w:color w:val="000000" w:themeColor="text1"/>
                <w:szCs w:val="21"/>
                <w:highlight w:val="none"/>
                <w14:textFill>
                  <w14:solidFill>
                    <w14:schemeClr w14:val="tx1"/>
                  </w14:solidFill>
                </w14:textFill>
              </w:rPr>
            </w:pPr>
          </w:p>
        </w:tc>
        <w:tc>
          <w:tcPr>
            <w:tcW w:w="581" w:type="pct"/>
          </w:tcPr>
          <w:p w14:paraId="3E99C4D8">
            <w:pPr>
              <w:spacing w:line="360" w:lineRule="auto"/>
              <w:jc w:val="center"/>
              <w:rPr>
                <w:rFonts w:ascii="宋体" w:hAnsi="宋体"/>
                <w:color w:val="000000" w:themeColor="text1"/>
                <w:szCs w:val="21"/>
                <w:highlight w:val="none"/>
                <w14:textFill>
                  <w14:solidFill>
                    <w14:schemeClr w14:val="tx1"/>
                  </w14:solidFill>
                </w14:textFill>
              </w:rPr>
            </w:pPr>
          </w:p>
        </w:tc>
      </w:tr>
      <w:tr w14:paraId="74D5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198141A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361" w:type="pct"/>
          </w:tcPr>
          <w:p w14:paraId="0EC0999C">
            <w:pPr>
              <w:spacing w:line="360" w:lineRule="auto"/>
              <w:jc w:val="center"/>
              <w:rPr>
                <w:rFonts w:ascii="宋体" w:hAnsi="宋体"/>
                <w:color w:val="000000" w:themeColor="text1"/>
                <w:szCs w:val="21"/>
                <w:highlight w:val="none"/>
                <w14:textFill>
                  <w14:solidFill>
                    <w14:schemeClr w14:val="tx1"/>
                  </w14:solidFill>
                </w14:textFill>
              </w:rPr>
            </w:pPr>
          </w:p>
        </w:tc>
        <w:tc>
          <w:tcPr>
            <w:tcW w:w="736" w:type="pct"/>
          </w:tcPr>
          <w:p w14:paraId="0DD1A568">
            <w:pPr>
              <w:spacing w:line="360" w:lineRule="auto"/>
              <w:jc w:val="center"/>
              <w:rPr>
                <w:rFonts w:ascii="宋体" w:hAnsi="宋体"/>
                <w:color w:val="000000" w:themeColor="text1"/>
                <w:szCs w:val="21"/>
                <w:highlight w:val="none"/>
                <w14:textFill>
                  <w14:solidFill>
                    <w14:schemeClr w14:val="tx1"/>
                  </w14:solidFill>
                </w14:textFill>
              </w:rPr>
            </w:pPr>
          </w:p>
        </w:tc>
        <w:tc>
          <w:tcPr>
            <w:tcW w:w="1989" w:type="pct"/>
          </w:tcPr>
          <w:p w14:paraId="3EC32EF1">
            <w:pPr>
              <w:spacing w:line="360" w:lineRule="auto"/>
              <w:jc w:val="center"/>
              <w:rPr>
                <w:rFonts w:ascii="宋体" w:hAnsi="宋体"/>
                <w:color w:val="000000" w:themeColor="text1"/>
                <w:szCs w:val="21"/>
                <w:highlight w:val="none"/>
                <w14:textFill>
                  <w14:solidFill>
                    <w14:schemeClr w14:val="tx1"/>
                  </w14:solidFill>
                </w14:textFill>
              </w:rPr>
            </w:pPr>
          </w:p>
        </w:tc>
        <w:tc>
          <w:tcPr>
            <w:tcW w:w="581" w:type="pct"/>
          </w:tcPr>
          <w:p w14:paraId="60ECBB2D">
            <w:pPr>
              <w:spacing w:line="360" w:lineRule="auto"/>
              <w:jc w:val="center"/>
              <w:rPr>
                <w:rFonts w:ascii="宋体" w:hAnsi="宋体"/>
                <w:color w:val="000000" w:themeColor="text1"/>
                <w:szCs w:val="21"/>
                <w:highlight w:val="none"/>
                <w14:textFill>
                  <w14:solidFill>
                    <w14:schemeClr w14:val="tx1"/>
                  </w14:solidFill>
                </w14:textFill>
              </w:rPr>
            </w:pPr>
          </w:p>
        </w:tc>
      </w:tr>
      <w:tr w14:paraId="06C4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3FE3A04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361" w:type="pct"/>
          </w:tcPr>
          <w:p w14:paraId="1A8863F1">
            <w:pPr>
              <w:spacing w:line="360" w:lineRule="auto"/>
              <w:jc w:val="center"/>
              <w:rPr>
                <w:rFonts w:ascii="宋体" w:hAnsi="宋体"/>
                <w:color w:val="000000" w:themeColor="text1"/>
                <w:szCs w:val="21"/>
                <w:highlight w:val="none"/>
                <w14:textFill>
                  <w14:solidFill>
                    <w14:schemeClr w14:val="tx1"/>
                  </w14:solidFill>
                </w14:textFill>
              </w:rPr>
            </w:pPr>
          </w:p>
        </w:tc>
        <w:tc>
          <w:tcPr>
            <w:tcW w:w="736" w:type="pct"/>
          </w:tcPr>
          <w:p w14:paraId="7D6EC51A">
            <w:pPr>
              <w:spacing w:line="360" w:lineRule="auto"/>
              <w:jc w:val="center"/>
              <w:rPr>
                <w:rFonts w:ascii="宋体" w:hAnsi="宋体"/>
                <w:color w:val="000000" w:themeColor="text1"/>
                <w:szCs w:val="21"/>
                <w:highlight w:val="none"/>
                <w14:textFill>
                  <w14:solidFill>
                    <w14:schemeClr w14:val="tx1"/>
                  </w14:solidFill>
                </w14:textFill>
              </w:rPr>
            </w:pPr>
          </w:p>
        </w:tc>
        <w:tc>
          <w:tcPr>
            <w:tcW w:w="1989" w:type="pct"/>
          </w:tcPr>
          <w:p w14:paraId="1D8C6B43">
            <w:pPr>
              <w:spacing w:line="360" w:lineRule="auto"/>
              <w:jc w:val="center"/>
              <w:rPr>
                <w:rFonts w:ascii="宋体" w:hAnsi="宋体"/>
                <w:color w:val="000000" w:themeColor="text1"/>
                <w:szCs w:val="21"/>
                <w:highlight w:val="none"/>
                <w14:textFill>
                  <w14:solidFill>
                    <w14:schemeClr w14:val="tx1"/>
                  </w14:solidFill>
                </w14:textFill>
              </w:rPr>
            </w:pPr>
          </w:p>
        </w:tc>
        <w:tc>
          <w:tcPr>
            <w:tcW w:w="581" w:type="pct"/>
          </w:tcPr>
          <w:p w14:paraId="2EFBA3B6">
            <w:pPr>
              <w:spacing w:line="360" w:lineRule="auto"/>
              <w:jc w:val="center"/>
              <w:rPr>
                <w:rFonts w:ascii="宋体" w:hAnsi="宋体"/>
                <w:color w:val="000000" w:themeColor="text1"/>
                <w:szCs w:val="21"/>
                <w:highlight w:val="none"/>
                <w14:textFill>
                  <w14:solidFill>
                    <w14:schemeClr w14:val="tx1"/>
                  </w14:solidFill>
                </w14:textFill>
              </w:rPr>
            </w:pPr>
          </w:p>
        </w:tc>
      </w:tr>
      <w:tr w14:paraId="351A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326607E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361" w:type="pct"/>
          </w:tcPr>
          <w:p w14:paraId="0F4A6657">
            <w:pPr>
              <w:spacing w:line="360" w:lineRule="auto"/>
              <w:jc w:val="center"/>
              <w:rPr>
                <w:rFonts w:ascii="宋体" w:hAnsi="宋体"/>
                <w:color w:val="000000" w:themeColor="text1"/>
                <w:szCs w:val="21"/>
                <w:highlight w:val="none"/>
                <w14:textFill>
                  <w14:solidFill>
                    <w14:schemeClr w14:val="tx1"/>
                  </w14:solidFill>
                </w14:textFill>
              </w:rPr>
            </w:pPr>
          </w:p>
        </w:tc>
        <w:tc>
          <w:tcPr>
            <w:tcW w:w="736" w:type="pct"/>
          </w:tcPr>
          <w:p w14:paraId="3444D246">
            <w:pPr>
              <w:spacing w:line="360" w:lineRule="auto"/>
              <w:jc w:val="center"/>
              <w:rPr>
                <w:rFonts w:ascii="宋体" w:hAnsi="宋体"/>
                <w:color w:val="000000" w:themeColor="text1"/>
                <w:szCs w:val="21"/>
                <w:highlight w:val="none"/>
                <w14:textFill>
                  <w14:solidFill>
                    <w14:schemeClr w14:val="tx1"/>
                  </w14:solidFill>
                </w14:textFill>
              </w:rPr>
            </w:pPr>
          </w:p>
        </w:tc>
        <w:tc>
          <w:tcPr>
            <w:tcW w:w="1989" w:type="pct"/>
          </w:tcPr>
          <w:p w14:paraId="4F43A9E3">
            <w:pPr>
              <w:spacing w:line="360" w:lineRule="auto"/>
              <w:jc w:val="center"/>
              <w:rPr>
                <w:rFonts w:ascii="宋体" w:hAnsi="宋体"/>
                <w:color w:val="000000" w:themeColor="text1"/>
                <w:szCs w:val="21"/>
                <w:highlight w:val="none"/>
                <w14:textFill>
                  <w14:solidFill>
                    <w14:schemeClr w14:val="tx1"/>
                  </w14:solidFill>
                </w14:textFill>
              </w:rPr>
            </w:pPr>
          </w:p>
        </w:tc>
        <w:tc>
          <w:tcPr>
            <w:tcW w:w="581" w:type="pct"/>
          </w:tcPr>
          <w:p w14:paraId="71D936DD">
            <w:pPr>
              <w:spacing w:line="360" w:lineRule="auto"/>
              <w:jc w:val="center"/>
              <w:rPr>
                <w:rFonts w:ascii="宋体" w:hAnsi="宋体"/>
                <w:color w:val="000000" w:themeColor="text1"/>
                <w:szCs w:val="21"/>
                <w:highlight w:val="none"/>
                <w14:textFill>
                  <w14:solidFill>
                    <w14:schemeClr w14:val="tx1"/>
                  </w14:solidFill>
                </w14:textFill>
              </w:rPr>
            </w:pPr>
          </w:p>
        </w:tc>
      </w:tr>
    </w:tbl>
    <w:p w14:paraId="5BA4514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49CE7A7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3CFC2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6BA129B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3.供应商不存在直接控股股东的，则填“无”。</w:t>
      </w:r>
    </w:p>
    <w:p w14:paraId="20CB613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55DA3A5">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645BC5E8">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2FC454BC">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19F38904">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（五）供应商直接管理关系信息表</w:t>
      </w:r>
    </w:p>
    <w:p w14:paraId="2EDC145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2488"/>
        <w:gridCol w:w="2488"/>
        <w:gridCol w:w="2488"/>
      </w:tblGrid>
      <w:tr w14:paraId="06CF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C04A4FE">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250" w:type="pct"/>
          </w:tcPr>
          <w:p w14:paraId="693A933D">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直接管理关系单位名称</w:t>
            </w:r>
          </w:p>
        </w:tc>
        <w:tc>
          <w:tcPr>
            <w:tcW w:w="1250" w:type="pct"/>
          </w:tcPr>
          <w:p w14:paraId="072F8BBE">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统一社会信用代码</w:t>
            </w:r>
          </w:p>
        </w:tc>
        <w:tc>
          <w:tcPr>
            <w:tcW w:w="1250" w:type="pct"/>
          </w:tcPr>
          <w:p w14:paraId="46109FCF">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p>
        </w:tc>
      </w:tr>
      <w:tr w14:paraId="27A6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9202D6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50" w:type="pct"/>
          </w:tcPr>
          <w:p w14:paraId="127BB579">
            <w:pPr>
              <w:spacing w:line="360" w:lineRule="auto"/>
              <w:jc w:val="center"/>
              <w:rPr>
                <w:rFonts w:ascii="宋体" w:hAnsi="宋体"/>
                <w:color w:val="000000" w:themeColor="text1"/>
                <w:szCs w:val="21"/>
                <w:highlight w:val="none"/>
                <w14:textFill>
                  <w14:solidFill>
                    <w14:schemeClr w14:val="tx1"/>
                  </w14:solidFill>
                </w14:textFill>
              </w:rPr>
            </w:pPr>
          </w:p>
        </w:tc>
        <w:tc>
          <w:tcPr>
            <w:tcW w:w="1250" w:type="pct"/>
          </w:tcPr>
          <w:p w14:paraId="2EED94A3">
            <w:pPr>
              <w:spacing w:line="360" w:lineRule="auto"/>
              <w:jc w:val="center"/>
              <w:rPr>
                <w:rFonts w:ascii="宋体" w:hAnsi="宋体"/>
                <w:color w:val="000000" w:themeColor="text1"/>
                <w:szCs w:val="21"/>
                <w:highlight w:val="none"/>
                <w14:textFill>
                  <w14:solidFill>
                    <w14:schemeClr w14:val="tx1"/>
                  </w14:solidFill>
                </w14:textFill>
              </w:rPr>
            </w:pPr>
          </w:p>
        </w:tc>
        <w:tc>
          <w:tcPr>
            <w:tcW w:w="1250" w:type="pct"/>
          </w:tcPr>
          <w:p w14:paraId="6B6BF519">
            <w:pPr>
              <w:spacing w:line="360" w:lineRule="auto"/>
              <w:jc w:val="center"/>
              <w:rPr>
                <w:rFonts w:ascii="宋体" w:hAnsi="宋体"/>
                <w:color w:val="000000" w:themeColor="text1"/>
                <w:szCs w:val="21"/>
                <w:highlight w:val="none"/>
                <w14:textFill>
                  <w14:solidFill>
                    <w14:schemeClr w14:val="tx1"/>
                  </w14:solidFill>
                </w14:textFill>
              </w:rPr>
            </w:pPr>
          </w:p>
        </w:tc>
      </w:tr>
      <w:tr w14:paraId="0082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0AD5EF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50" w:type="pct"/>
          </w:tcPr>
          <w:p w14:paraId="56217755">
            <w:pPr>
              <w:spacing w:line="360" w:lineRule="auto"/>
              <w:jc w:val="center"/>
              <w:rPr>
                <w:rFonts w:ascii="宋体" w:hAnsi="宋体"/>
                <w:color w:val="000000" w:themeColor="text1"/>
                <w:szCs w:val="21"/>
                <w:highlight w:val="none"/>
                <w14:textFill>
                  <w14:solidFill>
                    <w14:schemeClr w14:val="tx1"/>
                  </w14:solidFill>
                </w14:textFill>
              </w:rPr>
            </w:pPr>
          </w:p>
        </w:tc>
        <w:tc>
          <w:tcPr>
            <w:tcW w:w="1250" w:type="pct"/>
          </w:tcPr>
          <w:p w14:paraId="5CEBE1E7">
            <w:pPr>
              <w:spacing w:line="360" w:lineRule="auto"/>
              <w:jc w:val="center"/>
              <w:rPr>
                <w:rFonts w:ascii="宋体" w:hAnsi="宋体"/>
                <w:color w:val="000000" w:themeColor="text1"/>
                <w:szCs w:val="21"/>
                <w:highlight w:val="none"/>
                <w14:textFill>
                  <w14:solidFill>
                    <w14:schemeClr w14:val="tx1"/>
                  </w14:solidFill>
                </w14:textFill>
              </w:rPr>
            </w:pPr>
          </w:p>
        </w:tc>
        <w:tc>
          <w:tcPr>
            <w:tcW w:w="1250" w:type="pct"/>
          </w:tcPr>
          <w:p w14:paraId="60463594">
            <w:pPr>
              <w:spacing w:line="360" w:lineRule="auto"/>
              <w:jc w:val="center"/>
              <w:rPr>
                <w:rFonts w:ascii="宋体" w:hAnsi="宋体"/>
                <w:color w:val="000000" w:themeColor="text1"/>
                <w:szCs w:val="21"/>
                <w:highlight w:val="none"/>
                <w14:textFill>
                  <w14:solidFill>
                    <w14:schemeClr w14:val="tx1"/>
                  </w14:solidFill>
                </w14:textFill>
              </w:rPr>
            </w:pPr>
          </w:p>
        </w:tc>
      </w:tr>
      <w:tr w14:paraId="0771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25ABBFF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250" w:type="pct"/>
          </w:tcPr>
          <w:p w14:paraId="48F1459F">
            <w:pPr>
              <w:spacing w:line="360" w:lineRule="auto"/>
              <w:jc w:val="center"/>
              <w:rPr>
                <w:rFonts w:ascii="宋体" w:hAnsi="宋体"/>
                <w:color w:val="000000" w:themeColor="text1"/>
                <w:szCs w:val="21"/>
                <w:highlight w:val="none"/>
                <w14:textFill>
                  <w14:solidFill>
                    <w14:schemeClr w14:val="tx1"/>
                  </w14:solidFill>
                </w14:textFill>
              </w:rPr>
            </w:pPr>
          </w:p>
        </w:tc>
        <w:tc>
          <w:tcPr>
            <w:tcW w:w="1250" w:type="pct"/>
          </w:tcPr>
          <w:p w14:paraId="6B08BBA4">
            <w:pPr>
              <w:spacing w:line="360" w:lineRule="auto"/>
              <w:jc w:val="center"/>
              <w:rPr>
                <w:rFonts w:ascii="宋体" w:hAnsi="宋体"/>
                <w:color w:val="000000" w:themeColor="text1"/>
                <w:szCs w:val="21"/>
                <w:highlight w:val="none"/>
                <w14:textFill>
                  <w14:solidFill>
                    <w14:schemeClr w14:val="tx1"/>
                  </w14:solidFill>
                </w14:textFill>
              </w:rPr>
            </w:pPr>
          </w:p>
        </w:tc>
        <w:tc>
          <w:tcPr>
            <w:tcW w:w="1250" w:type="pct"/>
          </w:tcPr>
          <w:p w14:paraId="491360B0">
            <w:pPr>
              <w:spacing w:line="360" w:lineRule="auto"/>
              <w:jc w:val="center"/>
              <w:rPr>
                <w:rFonts w:ascii="宋体" w:hAnsi="宋体"/>
                <w:color w:val="000000" w:themeColor="text1"/>
                <w:szCs w:val="21"/>
                <w:highlight w:val="none"/>
                <w14:textFill>
                  <w14:solidFill>
                    <w14:schemeClr w14:val="tx1"/>
                  </w14:solidFill>
                </w14:textFill>
              </w:rPr>
            </w:pPr>
          </w:p>
        </w:tc>
      </w:tr>
      <w:tr w14:paraId="3903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9C5AFA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50" w:type="pct"/>
          </w:tcPr>
          <w:p w14:paraId="4FF07D3F">
            <w:pPr>
              <w:spacing w:line="360" w:lineRule="auto"/>
              <w:jc w:val="center"/>
              <w:rPr>
                <w:rFonts w:ascii="宋体" w:hAnsi="宋体"/>
                <w:color w:val="000000" w:themeColor="text1"/>
                <w:szCs w:val="21"/>
                <w:highlight w:val="none"/>
                <w14:textFill>
                  <w14:solidFill>
                    <w14:schemeClr w14:val="tx1"/>
                  </w14:solidFill>
                </w14:textFill>
              </w:rPr>
            </w:pPr>
          </w:p>
        </w:tc>
        <w:tc>
          <w:tcPr>
            <w:tcW w:w="1250" w:type="pct"/>
          </w:tcPr>
          <w:p w14:paraId="5801C316">
            <w:pPr>
              <w:spacing w:line="360" w:lineRule="auto"/>
              <w:jc w:val="center"/>
              <w:rPr>
                <w:rFonts w:ascii="宋体" w:hAnsi="宋体"/>
                <w:color w:val="000000" w:themeColor="text1"/>
                <w:szCs w:val="21"/>
                <w:highlight w:val="none"/>
                <w14:textFill>
                  <w14:solidFill>
                    <w14:schemeClr w14:val="tx1"/>
                  </w14:solidFill>
                </w14:textFill>
              </w:rPr>
            </w:pPr>
          </w:p>
        </w:tc>
        <w:tc>
          <w:tcPr>
            <w:tcW w:w="1250" w:type="pct"/>
          </w:tcPr>
          <w:p w14:paraId="56A5FDBB">
            <w:pPr>
              <w:spacing w:line="360" w:lineRule="auto"/>
              <w:jc w:val="center"/>
              <w:rPr>
                <w:rFonts w:ascii="宋体" w:hAnsi="宋体"/>
                <w:color w:val="000000" w:themeColor="text1"/>
                <w:szCs w:val="21"/>
                <w:highlight w:val="none"/>
                <w14:textFill>
                  <w14:solidFill>
                    <w14:schemeClr w14:val="tx1"/>
                  </w14:solidFill>
                </w14:textFill>
              </w:rPr>
            </w:pPr>
          </w:p>
        </w:tc>
      </w:tr>
    </w:tbl>
    <w:p w14:paraId="610947C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3C14563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733B840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2.本表所指的管理关系仅限于直接管理关系，不包括间接的管理关系。</w:t>
      </w:r>
    </w:p>
    <w:p w14:paraId="4D44951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3.供应商不存在直接管理关系的，则填“无”。</w:t>
      </w:r>
    </w:p>
    <w:p w14:paraId="5B17CB0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AD580B3">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2BB717BD">
      <w:pPr>
        <w:spacing w:line="360" w:lineRule="auto"/>
        <w:ind w:firstLine="420" w:firstLineChars="200"/>
        <w:jc w:val="right"/>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宋体" w:hAnsi="宋体"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宋体" w:hAnsi="宋体"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宋体" w:hAnsi="宋体"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2A1676CB">
      <w:pPr>
        <w:spacing w:line="360" w:lineRule="auto"/>
        <w:ind w:firstLine="560" w:firstLineChars="200"/>
        <w:jc w:val="right"/>
        <w:rPr>
          <w:rFonts w:ascii="宋体" w:hAnsi="宋体" w:eastAsia="宋体"/>
          <w:color w:val="000000" w:themeColor="text1"/>
          <w:sz w:val="28"/>
          <w:szCs w:val="28"/>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3AD80803">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（六）竞争性磋商声明</w:t>
      </w:r>
    </w:p>
    <w:p w14:paraId="0CB832C2">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竞争性磋商声明</w:t>
      </w:r>
    </w:p>
    <w:p w14:paraId="118003E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721D2E9">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（采购人名称）：</w:t>
      </w:r>
    </w:p>
    <w:p w14:paraId="67A51E5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w:t>
      </w:r>
      <w:r>
        <w:rPr>
          <w:rFonts w:hint="eastAsia" w:ascii="宋体" w:hAnsi="宋体" w:eastAsia="宋体"/>
          <w:color w:val="000000" w:themeColor="text1"/>
          <w:szCs w:val="21"/>
          <w:highlight w:val="none"/>
          <w:u w:val="single"/>
          <w14:textFill>
            <w14:solidFill>
              <w14:schemeClr w14:val="tx1"/>
            </w14:solidFill>
          </w14:textFill>
        </w:rPr>
        <w:t>（供应商名称）</w:t>
      </w:r>
      <w:r>
        <w:rPr>
          <w:rFonts w:hint="eastAsia" w:ascii="宋体" w:hAnsi="宋体" w:eastAsia="宋体"/>
          <w:color w:val="000000" w:themeColor="text1"/>
          <w:szCs w:val="21"/>
          <w:highlight w:val="none"/>
          <w14:textFill>
            <w14:solidFill>
              <w14:schemeClr w14:val="tx1"/>
            </w14:solidFill>
          </w14:textFill>
        </w:rPr>
        <w:t>系中华人民共和国合法供应商，经营地址</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w:t>
      </w:r>
    </w:p>
    <w:p w14:paraId="448AE16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我方愿意参加贵方组织的</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项目的竞争性磋商，为便于贵方公正、择优地确定成交供应商及其竞标产品和服务，我方就本次竞争性磋商有关事项郑重声明如下：</w:t>
      </w:r>
    </w:p>
    <w:p w14:paraId="1EF508E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1.我方向贵方提交的所有响应文件、资料都是准确的和真实的。</w:t>
      </w:r>
    </w:p>
    <w:p w14:paraId="396438E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4E7B05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3.在此，我方宣布同意如下：</w:t>
      </w:r>
    </w:p>
    <w:p w14:paraId="5765AD5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（1）将按磋商文件的约定履行合同责任和义务；</w:t>
      </w:r>
    </w:p>
    <w:p w14:paraId="72B7960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（2）已详细审查全部磋商文件，包括澄清或者更正公告（如有）；</w:t>
      </w:r>
    </w:p>
    <w:p w14:paraId="0802956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（3）同意提供按照贵方可能要求的与磋商有关的一切数据或者资料；</w:t>
      </w:r>
    </w:p>
    <w:p w14:paraId="662B7A8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（4）响应磋商文件规定的竞争性磋商有效期。</w:t>
      </w:r>
    </w:p>
    <w:p w14:paraId="2D0921A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4.我方承诺符合《中华人民共和国政府采购法》第二十二条规定：</w:t>
      </w:r>
    </w:p>
    <w:p w14:paraId="525DDB5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（1）具有独立承担民事责任的能力；</w:t>
      </w:r>
    </w:p>
    <w:p w14:paraId="75B55FB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（2）具有良好的商业信誉和健全的财务会计制度；</w:t>
      </w:r>
    </w:p>
    <w:p w14:paraId="4A26D78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（3）具有履行合同所必需的设备和专业技术能力；</w:t>
      </w:r>
    </w:p>
    <w:p w14:paraId="4F268E3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（4）有依法缴纳税收和社会保障资金的良好记录；</w:t>
      </w:r>
    </w:p>
    <w:p w14:paraId="152999D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（5）参加政府采购活动前三年内，在经营活动中没有重大违法记录；</w:t>
      </w:r>
    </w:p>
    <w:p w14:paraId="78005F4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（6）法律、行政法规规定的其他条件。</w:t>
      </w:r>
    </w:p>
    <w:p w14:paraId="4153A57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FED61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B6700E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□我方本次响应文件内容中未涉及商业秘密；</w:t>
      </w:r>
    </w:p>
    <w:p w14:paraId="09995BC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□我方本次响应文件涉及商业秘密的内容有：</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w:t>
      </w:r>
    </w:p>
    <w:p w14:paraId="5B62C94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7.与本磋商有关的一切正式往来信函请寄：</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邮政编号：</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77D1209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电话/传真：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电子函件：</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2CDBC1E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开户银行：</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账号</w:t>
      </w:r>
      <w:r>
        <w:rPr>
          <w:rFonts w:hint="eastAsia" w:ascii="宋体" w:hAnsi="宋体" w:eastAsia="宋体"/>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5AAA9B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8.我方若竞争性磋商成功，除非发生不可抗力，承诺与采购人及时签订《合同书》。如果放弃，自愿按照本文件之《供应商须知正文》第29.3条的要求承担法律责任和失信惩戒。</w:t>
      </w:r>
    </w:p>
    <w:p w14:paraId="7F3E83E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9.以上事项如有虚假或者隐瞒，我方愿意承担一切后果，并不再寻求任何旨在减轻或者免除法律责任的辩解。</w:t>
      </w:r>
    </w:p>
    <w:p w14:paraId="1C58649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特此承诺。</w:t>
      </w:r>
    </w:p>
    <w:p w14:paraId="06176C3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注：如为联合体参加竞争性磋商，盖章处须加盖联合体牵头人公章并由联合体牵头人法定代表人分别签字或者盖章或者电子签名，否则其响应文件按无效响应处理。</w:t>
      </w:r>
    </w:p>
    <w:p w14:paraId="4BA03E4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D81BC4C">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法定代表人（签字或者盖章或者电子签名）：</w:t>
      </w:r>
    </w:p>
    <w:p w14:paraId="5521AAA4">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079C3929">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0F499CBC">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160E8CAD">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（七）竞争性磋商公告对应的特定资格要求设置供应商提供的资格证明材料</w:t>
      </w:r>
    </w:p>
    <w:p w14:paraId="47377B0D">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p>
    <w:p w14:paraId="36787006">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456E68E7">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（八）承诺书</w:t>
      </w:r>
    </w:p>
    <w:p w14:paraId="37BB2DC6">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建设工程项目管理承诺书（1）</w:t>
      </w:r>
    </w:p>
    <w:p w14:paraId="22D7E630">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（采购人名称）：</w:t>
      </w:r>
    </w:p>
    <w:p w14:paraId="4FA6906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作为参与</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（项目名称）项目的供应商，根据国家、自治区相关文件规定，我方在此向采购人承诺：</w:t>
      </w:r>
    </w:p>
    <w:p w14:paraId="43FFD9B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一旦成交，我方保证按照政府相关部门的规定，在成交后7个工作日内，按照《保障农民工工资支付条例》规定及广西壮族自治区有关规定开设农民工工资专用账户，并按要求比例将农民工工资保证金存入账户，专项用于支付本工程提供劳动的农民工被拖欠的工资。按照与农民工依法约定的工资支付周期和具体支付日期支付工资，保证每月至少向农民工足额支付一次工资。</w:t>
      </w:r>
    </w:p>
    <w:p w14:paraId="4950818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3085BA1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53FBD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形，我方愿意按照相关规定接受建设单位及有关主管部门的处罚。</w:t>
      </w:r>
    </w:p>
    <w:p w14:paraId="494728C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49F41DF4">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法定代表人（签字或者盖章或者电子签名）：</w:t>
      </w:r>
    </w:p>
    <w:p w14:paraId="352DF44E">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3F0225EF">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5076143F">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CF3873B">
      <w:pPr>
        <w:spacing w:line="360" w:lineRule="auto"/>
        <w:jc w:val="center"/>
        <w:rPr>
          <w:rFonts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承诺书（</w:t>
      </w:r>
      <w:r>
        <w:rPr>
          <w:rFonts w:ascii="宋体" w:hAnsi="宋体" w:eastAsia="宋体"/>
          <w:b/>
          <w:color w:val="000000" w:themeColor="text1"/>
          <w:sz w:val="28"/>
          <w:szCs w:val="28"/>
          <w:highlight w:val="none"/>
          <w14:textFill>
            <w14:solidFill>
              <w14:schemeClr w14:val="tx1"/>
            </w14:solidFill>
          </w14:textFill>
        </w:rPr>
        <w:t>2</w:t>
      </w:r>
      <w:r>
        <w:rPr>
          <w:rFonts w:hint="eastAsia" w:ascii="宋体" w:hAnsi="宋体" w:eastAsia="宋体"/>
          <w:b/>
          <w:color w:val="000000" w:themeColor="text1"/>
          <w:sz w:val="28"/>
          <w:szCs w:val="28"/>
          <w:highlight w:val="none"/>
          <w14:textFill>
            <w14:solidFill>
              <w14:schemeClr w14:val="tx1"/>
            </w14:solidFill>
          </w14:textFill>
        </w:rPr>
        <w:t>）</w:t>
      </w:r>
    </w:p>
    <w:p w14:paraId="0597D4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依法足额支付农民工工资的承诺</w:t>
      </w:r>
    </w:p>
    <w:p w14:paraId="2CB391D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（本承诺不提供统一格式，由供应商自行编写，承诺依法足额支付农民工工资）</w:t>
      </w:r>
    </w:p>
    <w:p w14:paraId="7FEF00F4">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法定代表人（签字或者盖章或者电子签名）：</w:t>
      </w:r>
    </w:p>
    <w:p w14:paraId="0F0489A7">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3C218CA2">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6E1CE8D5">
      <w:pPr>
        <w:spacing w:line="360" w:lineRule="auto"/>
        <w:jc w:val="center"/>
        <w:rPr>
          <w:rFonts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承诺书（</w:t>
      </w:r>
      <w:r>
        <w:rPr>
          <w:rFonts w:ascii="宋体" w:hAnsi="宋体" w:eastAsia="宋体"/>
          <w:b/>
          <w:color w:val="000000" w:themeColor="text1"/>
          <w:sz w:val="28"/>
          <w:szCs w:val="28"/>
          <w:highlight w:val="none"/>
          <w14:textFill>
            <w14:solidFill>
              <w14:schemeClr w14:val="tx1"/>
            </w14:solidFill>
          </w14:textFill>
        </w:rPr>
        <w:t>3</w:t>
      </w:r>
      <w:r>
        <w:rPr>
          <w:rFonts w:hint="eastAsia" w:ascii="宋体" w:hAnsi="宋体" w:eastAsia="宋体"/>
          <w:b/>
          <w:color w:val="000000" w:themeColor="text1"/>
          <w:sz w:val="28"/>
          <w:szCs w:val="28"/>
          <w:highlight w:val="none"/>
          <w14:textFill>
            <w14:solidFill>
              <w14:schemeClr w14:val="tx1"/>
            </w14:solidFill>
          </w14:textFill>
        </w:rPr>
        <w:t>）</w:t>
      </w:r>
    </w:p>
    <w:p w14:paraId="661D263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现承诺我单位投入本工程的项目经理是本单位的在岗人员，且不在任何在建工程中担任任何管理职务。如我单位有不符合上述要求的，采购人有权依法依规取消我单位成交资格。</w:t>
      </w:r>
    </w:p>
    <w:p w14:paraId="075103E6">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法定代表人（签字或者盖章或者电子签名）：</w:t>
      </w:r>
    </w:p>
    <w:p w14:paraId="4A0F4D32">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48114B4F">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5A82EEDD">
      <w:pPr>
        <w:spacing w:line="360" w:lineRule="auto"/>
        <w:jc w:val="center"/>
        <w:rPr>
          <w:rFonts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承诺书（</w:t>
      </w:r>
      <w:r>
        <w:rPr>
          <w:rFonts w:ascii="宋体" w:hAnsi="宋体" w:eastAsia="宋体"/>
          <w:b/>
          <w:color w:val="000000" w:themeColor="text1"/>
          <w:sz w:val="28"/>
          <w:szCs w:val="28"/>
          <w:highlight w:val="none"/>
          <w14:textFill>
            <w14:solidFill>
              <w14:schemeClr w14:val="tx1"/>
            </w14:solidFill>
          </w14:textFill>
        </w:rPr>
        <w:t>4</w:t>
      </w:r>
      <w:r>
        <w:rPr>
          <w:rFonts w:hint="eastAsia" w:ascii="宋体" w:hAnsi="宋体" w:eastAsia="宋体"/>
          <w:b/>
          <w:color w:val="000000" w:themeColor="text1"/>
          <w:sz w:val="28"/>
          <w:szCs w:val="28"/>
          <w:highlight w:val="none"/>
          <w14:textFill>
            <w14:solidFill>
              <w14:schemeClr w14:val="tx1"/>
            </w14:solidFill>
          </w14:textFill>
        </w:rPr>
        <w:t>）</w:t>
      </w:r>
    </w:p>
    <w:p w14:paraId="6C1273F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单位在竞标和履行合同中主动接受有关行政监督部门依法依规实施的监督和查处，若出现以下情况，接受记入不良行为记录并予以公告，情节严重的接受依法依规取消我单位二年至五年内参加竞标资格并予以公告，直至由工商行政管理机关吊销营业执照等处罚。</w:t>
      </w:r>
    </w:p>
    <w:p w14:paraId="1AF7C93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（1）在承包工程项目过程中，未按合同或响应文件中承诺的人员、设备足额到位，或到工的人员、设备在工时间不足，导致工程实施进度受到严重影响的；</w:t>
      </w:r>
    </w:p>
    <w:p w14:paraId="2EEEE77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（2）工程项目经理无伤病等特殊原因，不履行职责或未经批准由其他人代替的；</w:t>
      </w:r>
    </w:p>
    <w:p w14:paraId="1E32D20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（3）工地现场管理混乱，施工人员玩忽职守，工程存在质量、安全隐患，导致发生一般质量、安全事故的；</w:t>
      </w:r>
    </w:p>
    <w:p w14:paraId="1EB0B5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（4）违反工程建设技术标准特别是工程建设强制性标准施工，并对工程的设计标准、质量和使用寿命造成严重影响的；</w:t>
      </w:r>
    </w:p>
    <w:p w14:paraId="7C33CB5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（5）使用不合格材料或者在施工中偷工减料，造成工程质量、安全事故和经济损失等后果的；</w:t>
      </w:r>
    </w:p>
    <w:p w14:paraId="6A0C556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（6）串标、围标、抬标或虚造业绩、资信以及借用资质等弄虚作假方式骗取中标的；</w:t>
      </w:r>
    </w:p>
    <w:p w14:paraId="7635C61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（7）违法分包和转包、挂靠和超越资质证书核定范围承接业务的；</w:t>
      </w:r>
    </w:p>
    <w:p w14:paraId="07FDEAA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（8）存在严重质量、安全事故隐患，导致发生工程质量、安全事故，或者发生事故后瞒报、谎报、拖延报告及破坏事故现场、阻碍事故调查的；</w:t>
      </w:r>
    </w:p>
    <w:p w14:paraId="331FD16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（9）恶意拖欠、克扣工程款或农民工工资的；</w:t>
      </w:r>
    </w:p>
    <w:p w14:paraId="66B2046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ascii="宋体" w:hAnsi="宋体" w:eastAsia="宋体"/>
          <w:color w:val="000000" w:themeColor="text1"/>
          <w:szCs w:val="21"/>
          <w:highlight w:val="none"/>
          <w14:textFill>
            <w14:solidFill>
              <w14:schemeClr w14:val="tx1"/>
            </w14:solidFill>
          </w14:textFill>
        </w:rPr>
        <w:t>0</w:t>
      </w:r>
      <w:r>
        <w:rPr>
          <w:rFonts w:hint="eastAsia" w:ascii="宋体" w:hAnsi="宋体" w:eastAsia="宋体"/>
          <w:color w:val="000000" w:themeColor="text1"/>
          <w:szCs w:val="21"/>
          <w:highlight w:val="none"/>
          <w14:textFill>
            <w14:solidFill>
              <w14:schemeClr w14:val="tx1"/>
            </w14:solidFill>
          </w14:textFill>
        </w:rPr>
        <w:t>）对各级行政主管部门以及国家和自治区其它相关部门在监督检查和稽查审计中发现的各类重大问题所提出的整改意见不落实，产生不良后果的；</w:t>
      </w:r>
    </w:p>
    <w:p w14:paraId="565F0FD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ascii="宋体" w:hAnsi="宋体" w:eastAsia="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）有其它违法违规行为的。</w:t>
      </w:r>
    </w:p>
    <w:p w14:paraId="17F0C9E9">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法定代表人（签字或者盖章或者电子签名）：</w:t>
      </w:r>
    </w:p>
    <w:p w14:paraId="0B7EB8B4">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178088B1">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3908A3BA">
      <w:pPr>
        <w:spacing w:line="360" w:lineRule="auto"/>
        <w:jc w:val="center"/>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承诺书（</w:t>
      </w:r>
      <w:r>
        <w:rPr>
          <w:rFonts w:ascii="宋体" w:hAnsi="宋体" w:eastAsia="宋体"/>
          <w:b/>
          <w:color w:val="000000" w:themeColor="text1"/>
          <w:sz w:val="32"/>
          <w:szCs w:val="32"/>
          <w:highlight w:val="none"/>
          <w14:textFill>
            <w14:solidFill>
              <w14:schemeClr w14:val="tx1"/>
            </w14:solidFill>
          </w14:textFill>
        </w:rPr>
        <w:t>5</w:t>
      </w:r>
      <w:r>
        <w:rPr>
          <w:rFonts w:hint="eastAsia" w:ascii="宋体" w:hAnsi="宋体" w:eastAsia="宋体"/>
          <w:b/>
          <w:color w:val="000000" w:themeColor="text1"/>
          <w:sz w:val="32"/>
          <w:szCs w:val="32"/>
          <w:highlight w:val="none"/>
          <w14:textFill>
            <w14:solidFill>
              <w14:schemeClr w14:val="tx1"/>
            </w14:solidFill>
          </w14:textFill>
        </w:rPr>
        <w:t>）</w:t>
      </w:r>
    </w:p>
    <w:p w14:paraId="1B7DDD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现承诺我单位在本项目响应文件使用的证件、证书、业绩、公章、印章、签字、扫描件及有关答疑等材料均为真实、有效。如我单位提供上述的材料有变造、伪造等造假行为，采购人和有关行政监督部门可以取消我单位竞标资格或成交资格。给采购人造成损失的，依法承担赔偿责任；情节严重的，接受依法取消一年至三年内参加依法必须进行竞标的工程项目的竞标资格的处罚；构成犯罪的，接受依法追究刑事责任。</w:t>
      </w:r>
    </w:p>
    <w:p w14:paraId="46AB3E47">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法定代表人（签字或者盖章或者电子签名）：</w:t>
      </w:r>
    </w:p>
    <w:p w14:paraId="328101C3">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1A2D52C2">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57CCA9CD">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19B08B1">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（九）联合体参加竞争性磋商协议书（如有）</w:t>
      </w:r>
    </w:p>
    <w:p w14:paraId="13A96BBC">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联合体参加竞争性磋商协议书（格式）</w:t>
      </w:r>
    </w:p>
    <w:p w14:paraId="6596C15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3833F3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（所有成员单位名称）自愿组成联合体，共同参加</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组织的</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（项目编号：</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）竞争性磋商采购。现就联合体竞争性磋商事宜订立如下协议：</w:t>
      </w:r>
    </w:p>
    <w:p w14:paraId="3D1C949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（某成员单位名称）为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（联合体名称）牵头人。</w:t>
      </w:r>
    </w:p>
    <w:p w14:paraId="0C7E4C5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联合体各成员授权牵头人代表联合体参加竞争性磋商活动，签署文件及对文件的盖章，提交和接收相关的资料、信息及指示，进行合同磋商活动，负责合同实施阶段的组织和协调工作，以及处理与本竞争性磋商项目有关的一切事宜。</w:t>
      </w:r>
    </w:p>
    <w:p w14:paraId="644452E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3.联合体牵头人在本项目中签署和盖章的一切文件和处理的一切事宜，联合体各成员均予以承认。联合体各成员将严格按照磋商文件、响应文件和合同的要求全面履行义务，并向采购人承担连带责任。</w:t>
      </w:r>
    </w:p>
    <w:p w14:paraId="2C2CDD2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4.联合体各成员单位内部的职责分工如下：</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w:t>
      </w:r>
    </w:p>
    <w:p w14:paraId="502C0ED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5.本联合体中，</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（某成员单位名称）为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（请填写：中型、小型、微型）企业，其协议合同金额占联合体协议合同总金额的</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%。【如联合体成员中有小型、微型企业的，请填写此条，否则无需填写；如联合体成员中有多个小型、微型企业的，请逐一列出。】</w:t>
      </w:r>
    </w:p>
    <w:p w14:paraId="4541E50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6.本协议书自所有成员单位法定代表人或者其委托代理人签字或者盖单位章之日起生效，合同履行完毕后自动失效。</w:t>
      </w:r>
    </w:p>
    <w:p w14:paraId="0BFC541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7.本协议书一式</w:t>
      </w:r>
      <w:bookmarkStart w:id="35" w:name="OLE_LINK15"/>
      <w:bookmarkStart w:id="36" w:name="OLE_LINK16"/>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bookmarkEnd w:id="35"/>
      <w:bookmarkEnd w:id="36"/>
      <w:r>
        <w:rPr>
          <w:rFonts w:hint="eastAsia" w:ascii="宋体" w:hAnsi="宋体" w:eastAsia="宋体"/>
          <w:color w:val="000000" w:themeColor="text1"/>
          <w:szCs w:val="21"/>
          <w:highlight w:val="none"/>
          <w14:textFill>
            <w14:solidFill>
              <w14:schemeClr w14:val="tx1"/>
            </w14:solidFill>
          </w14:textFill>
        </w:rPr>
        <w:t>份，联合体成员和采购人各执壹份。</w:t>
      </w:r>
    </w:p>
    <w:p w14:paraId="6A32338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注：本协议书由法定代表人签字的，应附法定代表人身份证明；本协议书由委托代理人签字的，应附法定代表人授权委托书。</w:t>
      </w:r>
    </w:p>
    <w:p w14:paraId="22EF4E4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牵头人名称：</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（盖单位公章或者电子签章）</w:t>
      </w:r>
    </w:p>
    <w:p w14:paraId="519A04C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法定代表人或其委托代理人：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（签字或者电子签名）</w:t>
      </w:r>
    </w:p>
    <w:p w14:paraId="1CB5449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成员一名称：</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（盖单位公章或者电子签章）</w:t>
      </w:r>
    </w:p>
    <w:p w14:paraId="711544F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法定代表人或其委托代理人：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（签字或者电子签名）</w:t>
      </w:r>
    </w:p>
    <w:p w14:paraId="5802EDE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成员二名称：</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（盖单位公章或者电子签章）</w:t>
      </w:r>
    </w:p>
    <w:p w14:paraId="036E7A3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法定代表人或其委托代理人：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（签字或者电子签名）</w:t>
      </w:r>
    </w:p>
    <w:p w14:paraId="4054212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D2ED736">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5902FCDF">
      <w:pPr>
        <w:pStyle w:val="3"/>
        <w:jc w:val="center"/>
        <w:rPr>
          <w:color w:val="000000" w:themeColor="text1"/>
          <w:highlight w:val="none"/>
          <w14:textFill>
            <w14:solidFill>
              <w14:schemeClr w14:val="tx1"/>
            </w14:solidFill>
          </w14:textFill>
        </w:rPr>
      </w:pPr>
      <w:bookmarkStart w:id="37" w:name="_Toc22157"/>
      <w:bookmarkStart w:id="38" w:name="_Toc19784"/>
      <w:r>
        <w:rPr>
          <w:rFonts w:hint="eastAsia"/>
          <w:color w:val="000000" w:themeColor="text1"/>
          <w:highlight w:val="none"/>
          <w14:textFill>
            <w14:solidFill>
              <w14:schemeClr w14:val="tx1"/>
            </w14:solidFill>
          </w14:textFill>
        </w:rPr>
        <w:t>二、报价文件格式</w:t>
      </w:r>
      <w:bookmarkEnd w:id="37"/>
      <w:bookmarkEnd w:id="38"/>
    </w:p>
    <w:p w14:paraId="62ABD11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480AC7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765B7B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4459077">
      <w:pPr>
        <w:spacing w:line="360" w:lineRule="auto"/>
        <w:jc w:val="center"/>
        <w:rPr>
          <w:rFonts w:ascii="宋体" w:hAnsi="宋体" w:eastAsia="宋体"/>
          <w:b/>
          <w:color w:val="000000" w:themeColor="text1"/>
          <w:sz w:val="84"/>
          <w:szCs w:val="84"/>
          <w:highlight w:val="none"/>
          <w14:textFill>
            <w14:solidFill>
              <w14:schemeClr w14:val="tx1"/>
            </w14:solidFill>
          </w14:textFill>
        </w:rPr>
      </w:pPr>
      <w:r>
        <w:rPr>
          <w:rFonts w:hint="eastAsia" w:ascii="宋体" w:hAnsi="宋体" w:eastAsia="宋体"/>
          <w:b/>
          <w:color w:val="000000" w:themeColor="text1"/>
          <w:sz w:val="84"/>
          <w:szCs w:val="84"/>
          <w:highlight w:val="none"/>
          <w14:textFill>
            <w14:solidFill>
              <w14:schemeClr w14:val="tx1"/>
            </w14:solidFill>
          </w14:textFill>
        </w:rPr>
        <w:t>报价文件（封面）</w:t>
      </w:r>
    </w:p>
    <w:p w14:paraId="5BC40CC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B2B2F8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2CBCE0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FAA9C0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F31BEE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276248B">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项目名称：</w:t>
      </w:r>
    </w:p>
    <w:p w14:paraId="3964ED4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FEF44CF">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项目编号：</w:t>
      </w:r>
    </w:p>
    <w:p w14:paraId="492FA3B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3A9BB9D">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所竞分标（如有则填写，无分标时填写“无”或者留空）：</w:t>
      </w:r>
    </w:p>
    <w:p w14:paraId="618F5F1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43F9BCB">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供应商名称：</w:t>
      </w:r>
    </w:p>
    <w:p w14:paraId="27489B8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784642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D026C7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1087564">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s="Times New Roman"/>
          <w:color w:val="000000" w:themeColor="text1"/>
          <w:sz w:val="32"/>
          <w:szCs w:val="32"/>
          <w:highlight w:val="none"/>
          <w:u w:val="single"/>
          <w14:textFill>
            <w14:solidFill>
              <w14:schemeClr w14:val="tx1"/>
            </w14:solidFill>
          </w14:textFill>
        </w:rPr>
        <w:t xml:space="preserve">   </w:t>
      </w:r>
      <w:r>
        <w:rPr>
          <w:rFonts w:hint="eastAsia" w:ascii="宋体" w:hAnsi="宋体" w:eastAsia="宋体" w:cs="Times New Roman"/>
          <w:color w:val="000000" w:themeColor="text1"/>
          <w:sz w:val="32"/>
          <w:szCs w:val="32"/>
          <w:highlight w:val="none"/>
          <w14:textFill>
            <w14:solidFill>
              <w14:schemeClr w14:val="tx1"/>
            </w14:solidFill>
          </w14:textFill>
        </w:rPr>
        <w:t>年</w:t>
      </w:r>
      <w:r>
        <w:rPr>
          <w:rFonts w:ascii="宋体" w:hAnsi="宋体" w:eastAsia="宋体" w:cs="Times New Roman"/>
          <w:color w:val="000000" w:themeColor="text1"/>
          <w:sz w:val="32"/>
          <w:szCs w:val="32"/>
          <w:highlight w:val="none"/>
          <w:u w:val="single"/>
          <w14:textFill>
            <w14:solidFill>
              <w14:schemeClr w14:val="tx1"/>
            </w14:solidFill>
          </w14:textFill>
        </w:rPr>
        <w:t xml:space="preserve">   </w:t>
      </w:r>
      <w:r>
        <w:rPr>
          <w:rFonts w:hint="eastAsia" w:ascii="宋体" w:hAnsi="宋体" w:eastAsia="宋体" w:cs="Times New Roman"/>
          <w:color w:val="000000" w:themeColor="text1"/>
          <w:sz w:val="32"/>
          <w:szCs w:val="32"/>
          <w:highlight w:val="none"/>
          <w14:textFill>
            <w14:solidFill>
              <w14:schemeClr w14:val="tx1"/>
            </w14:solidFill>
          </w14:textFill>
        </w:rPr>
        <w:t>月</w:t>
      </w:r>
      <w:r>
        <w:rPr>
          <w:rFonts w:ascii="宋体" w:hAnsi="宋体" w:eastAsia="宋体" w:cs="Times New Roman"/>
          <w:color w:val="000000" w:themeColor="text1"/>
          <w:sz w:val="32"/>
          <w:szCs w:val="32"/>
          <w:highlight w:val="none"/>
          <w:u w:val="single"/>
          <w14:textFill>
            <w14:solidFill>
              <w14:schemeClr w14:val="tx1"/>
            </w14:solidFill>
          </w14:textFill>
        </w:rPr>
        <w:t xml:space="preserve">   </w:t>
      </w:r>
      <w:r>
        <w:rPr>
          <w:rFonts w:hint="eastAsia" w:ascii="宋体" w:hAnsi="宋体" w:eastAsia="宋体" w:cs="Times New Roman"/>
          <w:color w:val="000000" w:themeColor="text1"/>
          <w:sz w:val="32"/>
          <w:szCs w:val="32"/>
          <w:highlight w:val="none"/>
          <w14:textFill>
            <w14:solidFill>
              <w14:schemeClr w14:val="tx1"/>
            </w14:solidFill>
          </w14:textFill>
        </w:rPr>
        <w:t>日</w:t>
      </w:r>
    </w:p>
    <w:p w14:paraId="3C8C347A">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9C5FA2B">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报价文件目录</w:t>
      </w:r>
    </w:p>
    <w:p w14:paraId="6B1B44B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根据磋商文件规定及供应商提供的材料自行编写目录（部分格式后附），竞标人不得对采购人的</w:t>
      </w:r>
      <w:r>
        <w:rPr>
          <w:rFonts w:hint="eastAsia" w:ascii="宋体" w:hAnsi="宋体" w:eastAsia="宋体"/>
          <w:color w:val="000000" w:themeColor="text1"/>
          <w:szCs w:val="21"/>
          <w:highlight w:val="none"/>
          <w:u w:val="single"/>
          <w14:textFill>
            <w14:solidFill>
              <w14:schemeClr w14:val="tx1"/>
            </w14:solidFill>
          </w14:textFill>
        </w:rPr>
        <w:t>固定</w:t>
      </w:r>
      <w:r>
        <w:rPr>
          <w:rFonts w:hint="eastAsia" w:ascii="宋体" w:hAnsi="宋体" w:eastAsia="宋体"/>
          <w:color w:val="000000" w:themeColor="text1"/>
          <w:szCs w:val="21"/>
          <w:highlight w:val="none"/>
          <w14:textFill>
            <w14:solidFill>
              <w14:schemeClr w14:val="tx1"/>
            </w14:solidFill>
          </w14:textFill>
        </w:rPr>
        <w:t>综合单价进行修改。</w:t>
      </w:r>
    </w:p>
    <w:p w14:paraId="102845C7">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74098B60">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（一）竞标函及竞标函附录</w:t>
      </w:r>
    </w:p>
    <w:p w14:paraId="2D34E8E6">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竞标函</w:t>
      </w:r>
    </w:p>
    <w:p w14:paraId="61D77F51">
      <w:pPr>
        <w:spacing w:line="360" w:lineRule="auto"/>
        <w:rPr>
          <w:rFonts w:ascii="宋体" w:hAnsi="宋体" w:eastAsia="宋体"/>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（采购人名称）：</w:t>
      </w:r>
    </w:p>
    <w:p w14:paraId="233C365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1.我方已仔细研究了</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（项目名称/项目编号）磋商文件的全部内容，愿意以（大写）人民币                （</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 xml:space="preserve">            元）的</w:t>
      </w:r>
      <w:r>
        <w:rPr>
          <w:rFonts w:hint="eastAsia" w:ascii="宋体" w:hAnsi="宋体" w:eastAsia="宋体"/>
          <w:color w:val="000000" w:themeColor="text1"/>
          <w:szCs w:val="21"/>
          <w:highlight w:val="none"/>
          <w:lang w:val="en-US" w:eastAsia="zh-CN"/>
          <w14:textFill>
            <w14:solidFill>
              <w14:schemeClr w14:val="tx1"/>
            </w14:solidFill>
          </w14:textFill>
        </w:rPr>
        <w:t>竞标报价</w:t>
      </w:r>
      <w:r>
        <w:rPr>
          <w:rFonts w:hint="eastAsia" w:ascii="宋体" w:hAnsi="宋体" w:eastAsia="宋体"/>
          <w:color w:val="000000" w:themeColor="text1"/>
          <w:szCs w:val="21"/>
          <w:highlight w:val="none"/>
          <w14:textFill>
            <w14:solidFill>
              <w14:schemeClr w14:val="tx1"/>
            </w14:solidFill>
          </w14:textFill>
        </w:rPr>
        <w:t>，工期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日历天，按合同约定实施和完成承包工程，修补工程中的任何缺陷，工程质量达到</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w:t>
      </w:r>
    </w:p>
    <w:p w14:paraId="57FE9C3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2.我方承认竞争性磋商报价表是我方竞争性磋商函的组成部分。</w:t>
      </w:r>
    </w:p>
    <w:p w14:paraId="5DBC1C0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3.如我方成交：</w:t>
      </w:r>
    </w:p>
    <w:p w14:paraId="148B68B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（1）我方承诺在收到成交通知书后，在成交通知书规定的期限内与你方签订合同。</w:t>
      </w:r>
    </w:p>
    <w:p w14:paraId="433E301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（2）在签订合同时不向你方提出附加条件。</w:t>
      </w:r>
    </w:p>
    <w:p w14:paraId="43C6DD5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（3）我方承诺按照磋商文件规定向你方递交履约担保。</w:t>
      </w:r>
    </w:p>
    <w:p w14:paraId="3F26DC7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（4）我方承诺在合同约定的期限内完成并移交全部合同工程。</w:t>
      </w:r>
    </w:p>
    <w:p w14:paraId="58C53D8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4.在合同书正式签署生效之前，本竞争性磋商函连同你方的成交通知书将构成我们双方之间共同遵守的文件，对双方具有约束力。</w:t>
      </w:r>
    </w:p>
    <w:p w14:paraId="21D7162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（其他补充说明）。</w:t>
      </w:r>
    </w:p>
    <w:p w14:paraId="5378A38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与本磋商有关的一切正式往来信函请寄：</w:t>
      </w:r>
    </w:p>
    <w:p w14:paraId="5626BDC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274B2A3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电话：</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99EB52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传真：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28977B3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邮政编码：</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565EF11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开户名称：</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13536F0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开户银行：</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2D6FC1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银行账号：</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C91E01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特此承诺。</w:t>
      </w:r>
    </w:p>
    <w:p w14:paraId="534D9A42">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6323BBA5">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6CE28626">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49415E82">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竞标函附录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88"/>
        <w:gridCol w:w="1322"/>
        <w:gridCol w:w="4215"/>
        <w:gridCol w:w="1128"/>
      </w:tblGrid>
      <w:tr w14:paraId="1BA0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6BD3810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988" w:type="dxa"/>
            <w:vAlign w:val="center"/>
          </w:tcPr>
          <w:p w14:paraId="2C0B028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条款内容</w:t>
            </w:r>
          </w:p>
        </w:tc>
        <w:tc>
          <w:tcPr>
            <w:tcW w:w="1322" w:type="dxa"/>
            <w:vAlign w:val="center"/>
          </w:tcPr>
          <w:p w14:paraId="3D6BD1A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合同条款号</w:t>
            </w:r>
          </w:p>
        </w:tc>
        <w:tc>
          <w:tcPr>
            <w:tcW w:w="4215" w:type="dxa"/>
            <w:vAlign w:val="center"/>
          </w:tcPr>
          <w:p w14:paraId="6C55BAE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约定内容</w:t>
            </w:r>
          </w:p>
        </w:tc>
        <w:tc>
          <w:tcPr>
            <w:tcW w:w="1128" w:type="dxa"/>
            <w:vAlign w:val="center"/>
          </w:tcPr>
          <w:p w14:paraId="2FEFBFE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供应商响应情况</w:t>
            </w:r>
          </w:p>
        </w:tc>
      </w:tr>
      <w:tr w14:paraId="2F58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070D77E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988" w:type="dxa"/>
            <w:vAlign w:val="center"/>
          </w:tcPr>
          <w:p w14:paraId="2ABC7E5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项目经理</w:t>
            </w:r>
          </w:p>
        </w:tc>
        <w:tc>
          <w:tcPr>
            <w:tcW w:w="1322" w:type="dxa"/>
            <w:vAlign w:val="center"/>
          </w:tcPr>
          <w:p w14:paraId="1C48227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165E9B3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姓名：</w:t>
            </w:r>
          </w:p>
        </w:tc>
        <w:tc>
          <w:tcPr>
            <w:tcW w:w="1128" w:type="dxa"/>
            <w:vAlign w:val="center"/>
          </w:tcPr>
          <w:p w14:paraId="4675C6CD">
            <w:pPr>
              <w:spacing w:line="360" w:lineRule="auto"/>
              <w:jc w:val="center"/>
              <w:rPr>
                <w:rFonts w:ascii="宋体" w:hAnsi="宋体"/>
                <w:color w:val="000000" w:themeColor="text1"/>
                <w:szCs w:val="21"/>
                <w:highlight w:val="none"/>
                <w14:textFill>
                  <w14:solidFill>
                    <w14:schemeClr w14:val="tx1"/>
                  </w14:solidFill>
                </w14:textFill>
              </w:rPr>
            </w:pPr>
          </w:p>
        </w:tc>
      </w:tr>
      <w:tr w14:paraId="0409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73F12FB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988" w:type="dxa"/>
            <w:vAlign w:val="center"/>
          </w:tcPr>
          <w:p w14:paraId="06BFA17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竞标有效期</w:t>
            </w:r>
          </w:p>
        </w:tc>
        <w:tc>
          <w:tcPr>
            <w:tcW w:w="1322" w:type="dxa"/>
            <w:vAlign w:val="center"/>
          </w:tcPr>
          <w:p w14:paraId="00A16DE8">
            <w:pPr>
              <w:spacing w:line="360" w:lineRule="auto"/>
              <w:jc w:val="center"/>
              <w:rPr>
                <w:rFonts w:ascii="宋体" w:hAnsi="宋体"/>
                <w:color w:val="000000" w:themeColor="text1"/>
                <w:szCs w:val="21"/>
                <w:highlight w:val="none"/>
                <w14:textFill>
                  <w14:solidFill>
                    <w14:schemeClr w14:val="tx1"/>
                  </w14:solidFill>
                </w14:textFill>
              </w:rPr>
            </w:pPr>
          </w:p>
        </w:tc>
        <w:tc>
          <w:tcPr>
            <w:tcW w:w="4215" w:type="dxa"/>
            <w:vAlign w:val="center"/>
          </w:tcPr>
          <w:p w14:paraId="4C020871">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自首次响应文件提交截止之日起</w:t>
            </w:r>
            <w:r>
              <w:rPr>
                <w:rFonts w:hint="eastAsia" w:ascii="宋体" w:hAnsi="宋体" w:eastAsia="宋体"/>
                <w:color w:val="000000" w:themeColor="text1"/>
                <w:szCs w:val="21"/>
                <w:highlight w:val="none"/>
                <w:lang w:eastAsia="zh-CN"/>
                <w14:textFill>
                  <w14:solidFill>
                    <w14:schemeClr w14:val="tx1"/>
                  </w14:solidFill>
                </w14:textFill>
              </w:rPr>
              <w:t>90日历天</w:t>
            </w:r>
          </w:p>
        </w:tc>
        <w:tc>
          <w:tcPr>
            <w:tcW w:w="1128" w:type="dxa"/>
            <w:vAlign w:val="center"/>
          </w:tcPr>
          <w:p w14:paraId="050AA282">
            <w:pPr>
              <w:spacing w:line="360" w:lineRule="auto"/>
              <w:jc w:val="center"/>
              <w:rPr>
                <w:rFonts w:ascii="宋体" w:hAnsi="宋体"/>
                <w:color w:val="000000" w:themeColor="text1"/>
                <w:szCs w:val="21"/>
                <w:highlight w:val="none"/>
                <w14:textFill>
                  <w14:solidFill>
                    <w14:schemeClr w14:val="tx1"/>
                  </w14:solidFill>
                </w14:textFill>
              </w:rPr>
            </w:pPr>
          </w:p>
        </w:tc>
      </w:tr>
      <w:tr w14:paraId="4D58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6AD6251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988" w:type="dxa"/>
            <w:vAlign w:val="center"/>
          </w:tcPr>
          <w:p w14:paraId="3459F26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工期</w:t>
            </w:r>
          </w:p>
        </w:tc>
        <w:tc>
          <w:tcPr>
            <w:tcW w:w="1322" w:type="dxa"/>
            <w:vAlign w:val="center"/>
          </w:tcPr>
          <w:p w14:paraId="79B4DD1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2A929160">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日历天</w:t>
            </w:r>
          </w:p>
        </w:tc>
        <w:tc>
          <w:tcPr>
            <w:tcW w:w="1128" w:type="dxa"/>
            <w:vAlign w:val="center"/>
          </w:tcPr>
          <w:p w14:paraId="53DFD76E">
            <w:pPr>
              <w:spacing w:line="360" w:lineRule="auto"/>
              <w:jc w:val="center"/>
              <w:rPr>
                <w:rFonts w:ascii="宋体" w:hAnsi="宋体"/>
                <w:color w:val="000000" w:themeColor="text1"/>
                <w:szCs w:val="21"/>
                <w:highlight w:val="none"/>
                <w14:textFill>
                  <w14:solidFill>
                    <w14:schemeClr w14:val="tx1"/>
                  </w14:solidFill>
                </w14:textFill>
              </w:rPr>
            </w:pPr>
          </w:p>
        </w:tc>
      </w:tr>
      <w:tr w14:paraId="6243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5" w:type="dxa"/>
            <w:vAlign w:val="center"/>
          </w:tcPr>
          <w:p w14:paraId="579B3B3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988" w:type="dxa"/>
            <w:vAlign w:val="center"/>
          </w:tcPr>
          <w:p w14:paraId="793C52B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缺陷责任期</w:t>
            </w:r>
          </w:p>
        </w:tc>
        <w:tc>
          <w:tcPr>
            <w:tcW w:w="1322" w:type="dxa"/>
            <w:vAlign w:val="center"/>
          </w:tcPr>
          <w:p w14:paraId="1A3D781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4333F2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24个月</w:t>
            </w:r>
          </w:p>
        </w:tc>
        <w:tc>
          <w:tcPr>
            <w:tcW w:w="1128" w:type="dxa"/>
            <w:vAlign w:val="center"/>
          </w:tcPr>
          <w:p w14:paraId="3AE4454D">
            <w:pPr>
              <w:spacing w:line="360" w:lineRule="auto"/>
              <w:jc w:val="center"/>
              <w:rPr>
                <w:rFonts w:ascii="宋体" w:hAnsi="宋体"/>
                <w:color w:val="000000" w:themeColor="text1"/>
                <w:szCs w:val="21"/>
                <w:highlight w:val="none"/>
                <w14:textFill>
                  <w14:solidFill>
                    <w14:schemeClr w14:val="tx1"/>
                  </w14:solidFill>
                </w14:textFill>
              </w:rPr>
            </w:pPr>
          </w:p>
        </w:tc>
      </w:tr>
      <w:tr w14:paraId="5AF2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5" w:type="dxa"/>
            <w:vAlign w:val="center"/>
          </w:tcPr>
          <w:p w14:paraId="3B86EC20">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1988" w:type="dxa"/>
            <w:vAlign w:val="center"/>
          </w:tcPr>
          <w:p w14:paraId="61ED7130">
            <w:pPr>
              <w:spacing w:line="360"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承包人履约担保</w:t>
            </w:r>
          </w:p>
          <w:p w14:paraId="7AAA9D8D">
            <w:pPr>
              <w:spacing w:line="360"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金额</w:t>
            </w:r>
          </w:p>
        </w:tc>
        <w:tc>
          <w:tcPr>
            <w:tcW w:w="1322" w:type="dxa"/>
            <w:vAlign w:val="center"/>
          </w:tcPr>
          <w:p w14:paraId="1B56B7FB">
            <w:pPr>
              <w:spacing w:line="360"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752E1203">
            <w:pPr>
              <w:spacing w:line="360"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签约合同价的</w:t>
            </w:r>
            <w:r>
              <w:rPr>
                <w:rFonts w:hint="eastAsia"/>
                <w:color w:val="000000" w:themeColor="text1"/>
                <w:highlight w:val="none"/>
                <w14:textFill>
                  <w14:solidFill>
                    <w14:schemeClr w14:val="tx1"/>
                  </w14:solidFill>
                </w14:textFill>
              </w:rPr>
              <w:t>5%（中小企业2%）</w:t>
            </w:r>
          </w:p>
        </w:tc>
        <w:tc>
          <w:tcPr>
            <w:tcW w:w="1128" w:type="dxa"/>
            <w:vAlign w:val="center"/>
          </w:tcPr>
          <w:p w14:paraId="19143707">
            <w:pPr>
              <w:spacing w:line="360" w:lineRule="auto"/>
              <w:jc w:val="center"/>
              <w:rPr>
                <w:rFonts w:ascii="宋体" w:hAnsi="宋体"/>
                <w:color w:val="000000" w:themeColor="text1"/>
                <w:szCs w:val="21"/>
                <w:highlight w:val="none"/>
                <w14:textFill>
                  <w14:solidFill>
                    <w14:schemeClr w14:val="tx1"/>
                  </w14:solidFill>
                </w14:textFill>
              </w:rPr>
            </w:pPr>
          </w:p>
        </w:tc>
      </w:tr>
      <w:tr w14:paraId="3DAF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3CA46BBD">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1988" w:type="dxa"/>
            <w:vAlign w:val="center"/>
          </w:tcPr>
          <w:p w14:paraId="0AC5F88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分包</w:t>
            </w:r>
          </w:p>
        </w:tc>
        <w:tc>
          <w:tcPr>
            <w:tcW w:w="1322" w:type="dxa"/>
            <w:vAlign w:val="center"/>
          </w:tcPr>
          <w:p w14:paraId="67DCBFE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1ABA6E0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见分包项目情况表</w:t>
            </w:r>
          </w:p>
        </w:tc>
        <w:tc>
          <w:tcPr>
            <w:tcW w:w="1128" w:type="dxa"/>
            <w:vAlign w:val="center"/>
          </w:tcPr>
          <w:p w14:paraId="7D1C31CC">
            <w:pPr>
              <w:spacing w:line="360" w:lineRule="auto"/>
              <w:jc w:val="center"/>
              <w:rPr>
                <w:rFonts w:ascii="宋体" w:hAnsi="宋体"/>
                <w:color w:val="000000" w:themeColor="text1"/>
                <w:szCs w:val="21"/>
                <w:highlight w:val="none"/>
                <w14:textFill>
                  <w14:solidFill>
                    <w14:schemeClr w14:val="tx1"/>
                  </w14:solidFill>
                </w14:textFill>
              </w:rPr>
            </w:pPr>
          </w:p>
        </w:tc>
      </w:tr>
      <w:tr w14:paraId="5A1C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0B167B54">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1988" w:type="dxa"/>
            <w:vAlign w:val="center"/>
          </w:tcPr>
          <w:p w14:paraId="788600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逾期竣工违约金</w:t>
            </w:r>
          </w:p>
        </w:tc>
        <w:tc>
          <w:tcPr>
            <w:tcW w:w="1322" w:type="dxa"/>
            <w:vAlign w:val="center"/>
          </w:tcPr>
          <w:p w14:paraId="47CA8D2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4095858E">
            <w:pPr>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每延误一天，按照合同价款的5‰向采购人支付违约金。</w:t>
            </w:r>
          </w:p>
        </w:tc>
        <w:tc>
          <w:tcPr>
            <w:tcW w:w="1128" w:type="dxa"/>
            <w:vAlign w:val="center"/>
          </w:tcPr>
          <w:p w14:paraId="43316C81">
            <w:pPr>
              <w:spacing w:line="360" w:lineRule="auto"/>
              <w:jc w:val="center"/>
              <w:rPr>
                <w:rFonts w:ascii="宋体" w:hAnsi="宋体"/>
                <w:color w:val="000000" w:themeColor="text1"/>
                <w:szCs w:val="21"/>
                <w:highlight w:val="none"/>
                <w14:textFill>
                  <w14:solidFill>
                    <w14:schemeClr w14:val="tx1"/>
                  </w14:solidFill>
                </w14:textFill>
              </w:rPr>
            </w:pPr>
          </w:p>
        </w:tc>
      </w:tr>
      <w:tr w14:paraId="20F7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11BA3019">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1988" w:type="dxa"/>
            <w:vAlign w:val="center"/>
          </w:tcPr>
          <w:p w14:paraId="2ED3DFB6">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逾期竣工违约金最高限额</w:t>
            </w:r>
          </w:p>
        </w:tc>
        <w:tc>
          <w:tcPr>
            <w:tcW w:w="1322" w:type="dxa"/>
            <w:vAlign w:val="center"/>
          </w:tcPr>
          <w:p w14:paraId="113A1E8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7DB24A4D">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不超过签约合同价扣除发包人材料价款、暂估专业工程、暂列金额后的的3%</w:t>
            </w:r>
          </w:p>
        </w:tc>
        <w:tc>
          <w:tcPr>
            <w:tcW w:w="1128" w:type="dxa"/>
            <w:vAlign w:val="center"/>
          </w:tcPr>
          <w:p w14:paraId="3BD978B0">
            <w:pPr>
              <w:spacing w:line="360" w:lineRule="auto"/>
              <w:jc w:val="center"/>
              <w:rPr>
                <w:rFonts w:ascii="宋体" w:hAnsi="宋体"/>
                <w:color w:val="000000" w:themeColor="text1"/>
                <w:szCs w:val="21"/>
                <w:highlight w:val="none"/>
                <w14:textFill>
                  <w14:solidFill>
                    <w14:schemeClr w14:val="tx1"/>
                  </w14:solidFill>
                </w14:textFill>
              </w:rPr>
            </w:pPr>
          </w:p>
        </w:tc>
      </w:tr>
      <w:tr w14:paraId="140B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5EEF88B0">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p>
        </w:tc>
        <w:tc>
          <w:tcPr>
            <w:tcW w:w="1988" w:type="dxa"/>
            <w:vAlign w:val="center"/>
          </w:tcPr>
          <w:p w14:paraId="265BA620">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质量标准</w:t>
            </w:r>
          </w:p>
        </w:tc>
        <w:tc>
          <w:tcPr>
            <w:tcW w:w="1322" w:type="dxa"/>
            <w:vAlign w:val="center"/>
          </w:tcPr>
          <w:p w14:paraId="2500D977">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2CA37AC8">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达到国家及地方现行消防工程验收合格标准，一次性通过</w:t>
            </w:r>
            <w:r>
              <w:rPr>
                <w:rFonts w:hint="eastAsia" w:ascii="宋体" w:hAnsi="宋体"/>
                <w:color w:val="000000" w:themeColor="text1"/>
                <w:szCs w:val="21"/>
                <w:highlight w:val="none"/>
                <w:lang w:val="en-US" w:eastAsia="zh-CN"/>
                <w14:textFill>
                  <w14:solidFill>
                    <w14:schemeClr w14:val="tx1"/>
                  </w14:solidFill>
                </w14:textFill>
              </w:rPr>
              <w:t>学校</w:t>
            </w:r>
            <w:r>
              <w:rPr>
                <w:rFonts w:hint="eastAsia" w:ascii="宋体" w:hAnsi="宋体"/>
                <w:color w:val="000000" w:themeColor="text1"/>
                <w:szCs w:val="21"/>
                <w:highlight w:val="none"/>
                <w14:textFill>
                  <w14:solidFill>
                    <w14:schemeClr w14:val="tx1"/>
                  </w14:solidFill>
                </w14:textFill>
              </w:rPr>
              <w:t>相关部门的验收。</w:t>
            </w:r>
          </w:p>
        </w:tc>
        <w:tc>
          <w:tcPr>
            <w:tcW w:w="1128" w:type="dxa"/>
            <w:vAlign w:val="center"/>
          </w:tcPr>
          <w:p w14:paraId="16AA0840">
            <w:pPr>
              <w:spacing w:line="360" w:lineRule="auto"/>
              <w:jc w:val="center"/>
              <w:rPr>
                <w:rFonts w:ascii="宋体" w:hAnsi="宋体"/>
                <w:color w:val="000000" w:themeColor="text1"/>
                <w:szCs w:val="21"/>
                <w:highlight w:val="none"/>
                <w14:textFill>
                  <w14:solidFill>
                    <w14:schemeClr w14:val="tx1"/>
                  </w14:solidFill>
                </w14:textFill>
              </w:rPr>
            </w:pPr>
          </w:p>
        </w:tc>
      </w:tr>
      <w:tr w14:paraId="4392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5" w:type="dxa"/>
            <w:vAlign w:val="center"/>
          </w:tcPr>
          <w:p w14:paraId="0E6C06D0">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p>
        </w:tc>
        <w:tc>
          <w:tcPr>
            <w:tcW w:w="1988" w:type="dxa"/>
            <w:vAlign w:val="center"/>
          </w:tcPr>
          <w:p w14:paraId="614E0DA3">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预付款</w:t>
            </w:r>
            <w:r>
              <w:rPr>
                <w:rFonts w:hint="eastAsia" w:hAnsi="宋体" w:cs="宋体"/>
                <w:color w:val="000000" w:themeColor="text1"/>
                <w:szCs w:val="21"/>
                <w:highlight w:val="none"/>
                <w14:textFill>
                  <w14:solidFill>
                    <w14:schemeClr w14:val="tx1"/>
                  </w14:solidFill>
                </w14:textFill>
              </w:rPr>
              <w:t>支付比例或金额</w:t>
            </w:r>
          </w:p>
        </w:tc>
        <w:tc>
          <w:tcPr>
            <w:tcW w:w="1322" w:type="dxa"/>
            <w:vAlign w:val="center"/>
          </w:tcPr>
          <w:p w14:paraId="0A6E0946">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3A667AD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合同签订后</w:t>
            </w:r>
            <w:r>
              <w:rPr>
                <w:rFonts w:hint="eastAsia" w:ascii="宋体" w:hAnsi="宋体" w:eastAsia="宋体"/>
                <w:color w:val="000000" w:themeColor="text1"/>
                <w:szCs w:val="21"/>
                <w:highlight w:val="none"/>
                <w:lang w:val="en-US" w:eastAsia="zh-CN"/>
                <w14:textFill>
                  <w14:solidFill>
                    <w14:schemeClr w14:val="tx1"/>
                  </w14:solidFill>
                </w14:textFill>
              </w:rPr>
              <w:t>15</w:t>
            </w:r>
            <w:r>
              <w:rPr>
                <w:rFonts w:hint="eastAsia" w:ascii="宋体" w:hAnsi="宋体" w:eastAsia="宋体"/>
                <w:color w:val="000000" w:themeColor="text1"/>
                <w:szCs w:val="21"/>
                <w:highlight w:val="none"/>
                <w14:textFill>
                  <w14:solidFill>
                    <w14:schemeClr w14:val="tx1"/>
                  </w14:solidFill>
                </w14:textFill>
              </w:rPr>
              <w:t>个工作日内，采购人向施工单位支付合同价款的</w:t>
            </w:r>
            <w:r>
              <w:rPr>
                <w:rFonts w:hint="eastAsia" w:ascii="宋体" w:hAnsi="宋体" w:eastAsia="宋体"/>
                <w:color w:val="000000" w:themeColor="text1"/>
                <w:szCs w:val="21"/>
                <w:highlight w:val="none"/>
                <w:lang w:val="en-US" w:eastAsia="zh-CN"/>
                <w14:textFill>
                  <w14:solidFill>
                    <w14:schemeClr w14:val="tx1"/>
                  </w14:solidFill>
                </w14:textFill>
              </w:rPr>
              <w:t>30</w:t>
            </w:r>
            <w:r>
              <w:rPr>
                <w:rFonts w:hint="eastAsia" w:ascii="宋体" w:hAnsi="宋体" w:eastAsia="宋体"/>
                <w:color w:val="000000" w:themeColor="text1"/>
                <w:szCs w:val="21"/>
                <w:highlight w:val="none"/>
                <w14:textFill>
                  <w14:solidFill>
                    <w14:schemeClr w14:val="tx1"/>
                  </w14:solidFill>
                </w14:textFill>
              </w:rPr>
              <w:t>%作为预付款，用于工程前期准备和材料采购。</w:t>
            </w:r>
          </w:p>
        </w:tc>
        <w:tc>
          <w:tcPr>
            <w:tcW w:w="1128" w:type="dxa"/>
            <w:vAlign w:val="center"/>
          </w:tcPr>
          <w:p w14:paraId="0883CE6C">
            <w:pPr>
              <w:spacing w:line="360" w:lineRule="auto"/>
              <w:jc w:val="center"/>
              <w:rPr>
                <w:rFonts w:ascii="宋体" w:hAnsi="宋体"/>
                <w:color w:val="000000" w:themeColor="text1"/>
                <w:szCs w:val="21"/>
                <w:highlight w:val="none"/>
                <w14:textFill>
                  <w14:solidFill>
                    <w14:schemeClr w14:val="tx1"/>
                  </w14:solidFill>
                </w14:textFill>
              </w:rPr>
            </w:pPr>
          </w:p>
        </w:tc>
      </w:tr>
      <w:tr w14:paraId="7CDE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6E2F7683">
            <w:pPr>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11</w:t>
            </w:r>
          </w:p>
        </w:tc>
        <w:tc>
          <w:tcPr>
            <w:tcW w:w="1988" w:type="dxa"/>
            <w:vAlign w:val="center"/>
          </w:tcPr>
          <w:p w14:paraId="2DE26F76">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质量保证金额度</w:t>
            </w:r>
          </w:p>
        </w:tc>
        <w:tc>
          <w:tcPr>
            <w:tcW w:w="1322" w:type="dxa"/>
            <w:vAlign w:val="center"/>
          </w:tcPr>
          <w:p w14:paraId="62DABCA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专用条款</w:t>
            </w:r>
          </w:p>
        </w:tc>
        <w:tc>
          <w:tcPr>
            <w:tcW w:w="4215" w:type="dxa"/>
            <w:vAlign w:val="center"/>
          </w:tcPr>
          <w:p w14:paraId="7C8575F7">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工程价款结算总额的3%</w:t>
            </w:r>
          </w:p>
        </w:tc>
        <w:tc>
          <w:tcPr>
            <w:tcW w:w="1128" w:type="dxa"/>
            <w:vAlign w:val="center"/>
          </w:tcPr>
          <w:p w14:paraId="270B7041">
            <w:pPr>
              <w:spacing w:line="360" w:lineRule="auto"/>
              <w:jc w:val="center"/>
              <w:rPr>
                <w:rFonts w:ascii="宋体" w:hAnsi="宋体"/>
                <w:color w:val="000000" w:themeColor="text1"/>
                <w:szCs w:val="21"/>
                <w:highlight w:val="none"/>
                <w14:textFill>
                  <w14:solidFill>
                    <w14:schemeClr w14:val="tx1"/>
                  </w14:solidFill>
                </w14:textFill>
              </w:rPr>
            </w:pPr>
          </w:p>
        </w:tc>
      </w:tr>
      <w:tr w14:paraId="7929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746E1592">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1988" w:type="dxa"/>
            <w:vAlign w:val="center"/>
          </w:tcPr>
          <w:p w14:paraId="3E3E7E58">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w:t>
            </w:r>
          </w:p>
        </w:tc>
        <w:tc>
          <w:tcPr>
            <w:tcW w:w="1322" w:type="dxa"/>
            <w:vAlign w:val="center"/>
          </w:tcPr>
          <w:p w14:paraId="7E81DCFE">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4215" w:type="dxa"/>
            <w:vAlign w:val="center"/>
          </w:tcPr>
          <w:p w14:paraId="5707F31C">
            <w:pPr>
              <w:spacing w:line="360" w:lineRule="auto"/>
              <w:jc w:val="left"/>
              <w:rPr>
                <w:rFonts w:ascii="宋体" w:hAnsi="宋体" w:eastAsia="宋体"/>
                <w:color w:val="000000" w:themeColor="text1"/>
                <w:szCs w:val="21"/>
                <w:highlight w:val="none"/>
                <w14:textFill>
                  <w14:solidFill>
                    <w14:schemeClr w14:val="tx1"/>
                  </w14:solidFill>
                </w14:textFill>
              </w:rPr>
            </w:pPr>
          </w:p>
        </w:tc>
        <w:tc>
          <w:tcPr>
            <w:tcW w:w="1128" w:type="dxa"/>
            <w:vAlign w:val="center"/>
          </w:tcPr>
          <w:p w14:paraId="6706564E">
            <w:pPr>
              <w:spacing w:line="360" w:lineRule="auto"/>
              <w:jc w:val="center"/>
              <w:rPr>
                <w:rFonts w:ascii="宋体" w:hAnsi="宋体"/>
                <w:color w:val="000000" w:themeColor="text1"/>
                <w:szCs w:val="21"/>
                <w:highlight w:val="none"/>
                <w14:textFill>
                  <w14:solidFill>
                    <w14:schemeClr w14:val="tx1"/>
                  </w14:solidFill>
                </w14:textFill>
              </w:rPr>
            </w:pPr>
          </w:p>
        </w:tc>
      </w:tr>
      <w:tr w14:paraId="6ABD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358" w:type="dxa"/>
            <w:gridSpan w:val="5"/>
            <w:vAlign w:val="center"/>
          </w:tcPr>
          <w:p w14:paraId="576C246B">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156C2D42">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法定代表人或者委托代理人（签字或者电子签名）：</w:t>
      </w:r>
    </w:p>
    <w:p w14:paraId="7210EC8E">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0E4FEA8A">
      <w:pPr>
        <w:wordWrap w:val="0"/>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2AE579CA">
      <w:pPr>
        <w:pStyle w:val="3"/>
        <w:jc w:val="center"/>
        <w:rPr>
          <w:color w:val="000000" w:themeColor="text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407E0310">
      <w:pPr>
        <w:pStyle w:val="12"/>
        <w:overflowPunct w:val="0"/>
        <w:spacing w:line="520" w:lineRule="exact"/>
        <w:ind w:firstLine="0"/>
        <w:jc w:val="center"/>
        <w:rPr>
          <w:rFonts w:ascii="宋体" w:hAnsi="宋体" w:cs="方正小标宋简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w:t>
      </w:r>
      <w:r>
        <w:rPr>
          <w:rFonts w:hint="eastAsia" w:ascii="宋体" w:hAnsi="宋体" w:cs="方正小标宋简体"/>
          <w:b/>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w:t>
      </w:r>
      <w:r>
        <w:rPr>
          <w:rFonts w:hint="eastAsia" w:ascii="宋体" w:hAnsi="宋体" w:cs="方正小标宋简体"/>
          <w:b/>
          <w:color w:val="000000" w:themeColor="text1"/>
          <w:sz w:val="32"/>
          <w:szCs w:val="32"/>
          <w:highlight w:val="none"/>
          <w14:textFill>
            <w14:solidFill>
              <w14:schemeClr w14:val="tx1"/>
            </w14:solidFill>
          </w14:textFill>
        </w:rPr>
        <w:t>竞标报价表</w:t>
      </w:r>
    </w:p>
    <w:p w14:paraId="3D485DF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C4AC9A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项目名称：</w:t>
      </w:r>
    </w:p>
    <w:p w14:paraId="7C276A4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项目编号：</w:t>
      </w:r>
    </w:p>
    <w:p w14:paraId="0F2518B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分标（如有）：</w:t>
      </w:r>
    </w:p>
    <w:p w14:paraId="1D32B05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2410"/>
        <w:gridCol w:w="3119"/>
        <w:gridCol w:w="993"/>
      </w:tblGrid>
      <w:tr w14:paraId="7742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CA42E2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417" w:type="dxa"/>
            <w:vAlign w:val="center"/>
          </w:tcPr>
          <w:p w14:paraId="018C917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标的名称</w:t>
            </w:r>
          </w:p>
        </w:tc>
        <w:tc>
          <w:tcPr>
            <w:tcW w:w="2410" w:type="dxa"/>
            <w:vAlign w:val="center"/>
          </w:tcPr>
          <w:p w14:paraId="08B5A4F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数量及单位</w:t>
            </w:r>
          </w:p>
        </w:tc>
        <w:tc>
          <w:tcPr>
            <w:tcW w:w="3119" w:type="dxa"/>
            <w:vAlign w:val="center"/>
          </w:tcPr>
          <w:p w14:paraId="3B86D261">
            <w:pPr>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投标报价（元）</w:t>
            </w:r>
          </w:p>
        </w:tc>
        <w:tc>
          <w:tcPr>
            <w:tcW w:w="993" w:type="dxa"/>
            <w:vAlign w:val="center"/>
          </w:tcPr>
          <w:p w14:paraId="3E41A42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538E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03957B5">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417" w:type="dxa"/>
            <w:vAlign w:val="center"/>
          </w:tcPr>
          <w:p w14:paraId="72E697E3">
            <w:pPr>
              <w:spacing w:line="360" w:lineRule="auto"/>
              <w:jc w:val="center"/>
              <w:rPr>
                <w:rFonts w:ascii="宋体" w:hAnsi="宋体"/>
                <w:color w:val="000000" w:themeColor="text1"/>
                <w:szCs w:val="21"/>
                <w:highlight w:val="none"/>
                <w14:textFill>
                  <w14:solidFill>
                    <w14:schemeClr w14:val="tx1"/>
                  </w14:solidFill>
                </w14:textFill>
              </w:rPr>
            </w:pPr>
          </w:p>
        </w:tc>
        <w:tc>
          <w:tcPr>
            <w:tcW w:w="2410" w:type="dxa"/>
            <w:vAlign w:val="center"/>
          </w:tcPr>
          <w:p w14:paraId="135DD73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w:t>
            </w:r>
          </w:p>
        </w:tc>
        <w:tc>
          <w:tcPr>
            <w:tcW w:w="3119" w:type="dxa"/>
            <w:vAlign w:val="center"/>
          </w:tcPr>
          <w:p w14:paraId="1215A38F">
            <w:pPr>
              <w:spacing w:line="360" w:lineRule="auto"/>
              <w:jc w:val="center"/>
              <w:rPr>
                <w:rFonts w:ascii="宋体" w:hAnsi="宋体"/>
                <w:color w:val="000000" w:themeColor="text1"/>
                <w:szCs w:val="21"/>
                <w:highlight w:val="none"/>
                <w14:textFill>
                  <w14:solidFill>
                    <w14:schemeClr w14:val="tx1"/>
                  </w14:solidFill>
                </w14:textFill>
              </w:rPr>
            </w:pPr>
          </w:p>
        </w:tc>
        <w:tc>
          <w:tcPr>
            <w:tcW w:w="993" w:type="dxa"/>
            <w:vAlign w:val="center"/>
          </w:tcPr>
          <w:p w14:paraId="63306B3B">
            <w:pPr>
              <w:spacing w:line="360" w:lineRule="auto"/>
              <w:jc w:val="center"/>
              <w:rPr>
                <w:rFonts w:ascii="宋体" w:hAnsi="宋体"/>
                <w:color w:val="000000" w:themeColor="text1"/>
                <w:szCs w:val="21"/>
                <w:highlight w:val="none"/>
                <w14:textFill>
                  <w14:solidFill>
                    <w14:schemeClr w14:val="tx1"/>
                  </w14:solidFill>
                </w14:textFill>
              </w:rPr>
            </w:pPr>
          </w:p>
        </w:tc>
      </w:tr>
    </w:tbl>
    <w:p w14:paraId="216F460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44DDC0A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1.供应商的报价表必须加盖供应商电子签章并由法定代表人或者委托代理人签字或者电子签名。</w:t>
      </w:r>
    </w:p>
    <w:p w14:paraId="0A33844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2.报价一经涂改，应在涂改处加盖供应商公章或者加盖电子签章或者由法定代表人或者授权委托人签字（或者电子签名）。</w:t>
      </w:r>
    </w:p>
    <w:p w14:paraId="7567776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3.如为联合体参加竞争性磋商，“供应商名称”处必须列明联合体各方名称，标注联合体牵头人名称。</w:t>
      </w:r>
    </w:p>
    <w:p w14:paraId="1D5DA1A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4.如为联合体参加竞争性磋商，盖章处须加盖联合体牵头人公章。</w:t>
      </w:r>
    </w:p>
    <w:p w14:paraId="2C0F9D0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5.如有多分标，分别列明各分标的报价表。</w:t>
      </w:r>
    </w:p>
    <w:p w14:paraId="6E08A83A">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法定代表人或者委托代理人（签字或者电子签名）：</w:t>
      </w:r>
    </w:p>
    <w:p w14:paraId="5D2AB53A">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4A774B29">
      <w:pPr>
        <w:wordWrap w:val="0"/>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5D8B3C9C">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1C8A38D">
      <w:pPr>
        <w:pStyle w:val="12"/>
        <w:overflowPunct w:val="0"/>
        <w:spacing w:line="520" w:lineRule="exact"/>
        <w:jc w:val="cente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pP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（三）已标价工程量清单；</w:t>
      </w:r>
      <w:r>
        <w:rPr>
          <w:rFonts w:hint="eastAsia" w:ascii="宋体" w:hAnsi="宋体" w:eastAsia="宋体" w:cs="Times New Roman"/>
          <w:b/>
          <w:color w:val="000000" w:themeColor="text1"/>
          <w:sz w:val="32"/>
          <w:szCs w:val="32"/>
          <w:highlight w:val="none"/>
          <w14:textFill>
            <w14:solidFill>
              <w14:schemeClr w14:val="tx1"/>
            </w14:solidFill>
          </w14:textFill>
        </w:rPr>
        <w:t>（必须提供，否则响应文件按无效处理）</w:t>
      </w:r>
    </w:p>
    <w:p w14:paraId="0C989322">
      <w:pPr>
        <w:rPr>
          <w:color w:val="000000" w:themeColor="text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41A108E9">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四</w:t>
      </w:r>
      <w:r>
        <w:rPr>
          <w:rFonts w:hint="eastAsia" w:ascii="宋体" w:hAnsi="宋体" w:eastAsia="宋体" w:cs="Times New Roman"/>
          <w:b/>
          <w:color w:val="000000" w:themeColor="text1"/>
          <w:sz w:val="32"/>
          <w:szCs w:val="32"/>
          <w:highlight w:val="none"/>
          <w14:textFill>
            <w14:solidFill>
              <w14:schemeClr w14:val="tx1"/>
            </w14:solidFill>
          </w14:textFill>
        </w:rPr>
        <w:t>）中小企业声明函（工程）</w:t>
      </w:r>
    </w:p>
    <w:p w14:paraId="59DF9D1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29B9D3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（单位名称）的</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（项目名称）采购活动，工程的施工单位全部为符合政策要求的中小企业。相关企业（含联合体中的中小企业、签订分包意向协议的中小企业）的具体情况如下：</w:t>
      </w:r>
    </w:p>
    <w:p w14:paraId="56EBBAA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（标的名称），属于</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（采购文件中明确的所属行业）；承建企业为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（企业名称），从业人员</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人，营业收入为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万元，资产总额为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万元，属于</w:t>
      </w:r>
      <w:r>
        <w:rPr>
          <w:rFonts w:hint="eastAsia" w:ascii="宋体" w:hAnsi="宋体" w:eastAsia="宋体"/>
          <w:color w:val="000000" w:themeColor="text1"/>
          <w:szCs w:val="21"/>
          <w:highlight w:val="none"/>
          <w:u w:val="single"/>
          <w14:textFill>
            <w14:solidFill>
              <w14:schemeClr w14:val="tx1"/>
            </w14:solidFill>
          </w14:textFill>
        </w:rPr>
        <w:t>（中型企业、小型企业、微型企业）</w:t>
      </w:r>
      <w:r>
        <w:rPr>
          <w:rFonts w:hint="eastAsia" w:ascii="宋体" w:hAnsi="宋体" w:eastAsia="宋体"/>
          <w:color w:val="000000" w:themeColor="text1"/>
          <w:szCs w:val="21"/>
          <w:highlight w:val="none"/>
          <w14:textFill>
            <w14:solidFill>
              <w14:schemeClr w14:val="tx1"/>
            </w14:solidFill>
          </w14:textFill>
        </w:rPr>
        <w:t>；</w:t>
      </w:r>
    </w:p>
    <w:p w14:paraId="2C64407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（标的名称），属于</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（采购文件中明确的所属行业）；承建企业为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（企业名称），从业人员</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人，营业收入为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万元，资产总额为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万元，属于</w:t>
      </w:r>
      <w:r>
        <w:rPr>
          <w:rFonts w:hint="eastAsia" w:ascii="宋体" w:hAnsi="宋体" w:eastAsia="宋体"/>
          <w:color w:val="000000" w:themeColor="text1"/>
          <w:szCs w:val="21"/>
          <w:highlight w:val="none"/>
          <w:u w:val="single"/>
          <w14:textFill>
            <w14:solidFill>
              <w14:schemeClr w14:val="tx1"/>
            </w14:solidFill>
          </w14:textFill>
        </w:rPr>
        <w:t>（中型企业、小型企业、微型企业）</w:t>
      </w:r>
      <w:r>
        <w:rPr>
          <w:rFonts w:hint="eastAsia" w:ascii="宋体" w:hAnsi="宋体" w:eastAsia="宋体"/>
          <w:color w:val="000000" w:themeColor="text1"/>
          <w:szCs w:val="21"/>
          <w:highlight w:val="none"/>
          <w14:textFill>
            <w14:solidFill>
              <w14:schemeClr w14:val="tx1"/>
            </w14:solidFill>
          </w14:textFill>
        </w:rPr>
        <w:t>；</w:t>
      </w:r>
    </w:p>
    <w:p w14:paraId="1D098D4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p w14:paraId="127E1FF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B9DC0B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本企业对上述声明内容的真实性负责。如有虚假，将依法承担相应责任。</w:t>
      </w:r>
    </w:p>
    <w:p w14:paraId="3DF61E5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5F6D9DB">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0A106FC4">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339C777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49ED73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CB3E094">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0BBB680F">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五</w:t>
      </w:r>
      <w:r>
        <w:rPr>
          <w:rFonts w:hint="eastAsia" w:ascii="宋体" w:hAnsi="宋体" w:eastAsia="宋体" w:cs="Times New Roman"/>
          <w:b/>
          <w:color w:val="000000" w:themeColor="text1"/>
          <w:sz w:val="32"/>
          <w:szCs w:val="32"/>
          <w:highlight w:val="none"/>
          <w14:textFill>
            <w14:solidFill>
              <w14:schemeClr w14:val="tx1"/>
            </w14:solidFill>
          </w14:textFill>
        </w:rPr>
        <w:t>）残疾人福利性单位声明函</w:t>
      </w:r>
    </w:p>
    <w:p w14:paraId="2F93B63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0C1CFE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单位的</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6523AD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本单位对上述声明的真实性负责。如有虚假，将依法承担相应责任。</w:t>
      </w:r>
    </w:p>
    <w:p w14:paraId="0BA84D7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2B044F0">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4F51974F">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bookmarkStart w:id="39" w:name="OLE_LINK19"/>
      <w:bookmarkStart w:id="40" w:name="OLE_LINK20"/>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bookmarkEnd w:id="39"/>
      <w:bookmarkEnd w:id="40"/>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08268FA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A6217B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注：请根据自己的真实情况出具《残疾人福利性单位声明函》。依法享受中小企业扶持政策的，采购人或者采购代理机构在公告成交结果时，同时公告其《残疾人福利性单位声明函》，接受社会监督。</w:t>
      </w:r>
    </w:p>
    <w:p w14:paraId="3033BE37">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4C150072">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监狱企业证明</w:t>
      </w:r>
    </w:p>
    <w:p w14:paraId="5CBF05A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748DB9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提供由省级以上监狱管理局、戒毒管理局（含新疆生产建设兵团）出具的属于监狱企业的证明文件。</w:t>
      </w:r>
    </w:p>
    <w:p w14:paraId="311E113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9875C7F">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08F45519">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2071553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6DEA3C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注：请根据自己的真实情况出具《监狱企业证明》。依法享受中小企业优惠政策的，采购人或者采购代理机构在公告成交结果时，同时公告其《监狱企业证明》，接受社会监督。</w:t>
      </w:r>
    </w:p>
    <w:p w14:paraId="163DD4C0">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D1779DA">
      <w:pPr>
        <w:pStyle w:val="3"/>
        <w:jc w:val="center"/>
        <w:rPr>
          <w:color w:val="000000" w:themeColor="text1"/>
          <w:highlight w:val="none"/>
          <w14:textFill>
            <w14:solidFill>
              <w14:schemeClr w14:val="tx1"/>
            </w14:solidFill>
          </w14:textFill>
        </w:rPr>
      </w:pPr>
      <w:bookmarkStart w:id="41" w:name="_Toc16524"/>
      <w:bookmarkStart w:id="42" w:name="_Toc13430"/>
      <w:r>
        <w:rPr>
          <w:rFonts w:hint="eastAsia"/>
          <w:color w:val="000000" w:themeColor="text1"/>
          <w:highlight w:val="none"/>
          <w14:textFill>
            <w14:solidFill>
              <w14:schemeClr w14:val="tx1"/>
            </w14:solidFill>
          </w14:textFill>
        </w:rPr>
        <w:t>三、商务技术文件格式</w:t>
      </w:r>
      <w:bookmarkEnd w:id="41"/>
      <w:bookmarkEnd w:id="42"/>
    </w:p>
    <w:p w14:paraId="68AA918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29F145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BDBE49B">
      <w:pPr>
        <w:spacing w:line="360" w:lineRule="auto"/>
        <w:jc w:val="center"/>
        <w:rPr>
          <w:rFonts w:ascii="宋体" w:hAnsi="宋体" w:eastAsia="宋体"/>
          <w:b/>
          <w:color w:val="000000" w:themeColor="text1"/>
          <w:sz w:val="84"/>
          <w:szCs w:val="84"/>
          <w:highlight w:val="none"/>
          <w14:textFill>
            <w14:solidFill>
              <w14:schemeClr w14:val="tx1"/>
            </w14:solidFill>
          </w14:textFill>
        </w:rPr>
      </w:pPr>
      <w:r>
        <w:rPr>
          <w:rFonts w:hint="eastAsia" w:ascii="宋体" w:hAnsi="宋体" w:eastAsia="宋体"/>
          <w:b/>
          <w:color w:val="000000" w:themeColor="text1"/>
          <w:sz w:val="84"/>
          <w:szCs w:val="84"/>
          <w:highlight w:val="none"/>
          <w14:textFill>
            <w14:solidFill>
              <w14:schemeClr w14:val="tx1"/>
            </w14:solidFill>
          </w14:textFill>
        </w:rPr>
        <w:t>商务技术文件（封面）</w:t>
      </w:r>
    </w:p>
    <w:p w14:paraId="1DDE058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98698C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BA005D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50D43D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8EFE85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6B23B95">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项目名称：</w:t>
      </w:r>
    </w:p>
    <w:p w14:paraId="3EA4B06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F0F2645">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项目编号：</w:t>
      </w:r>
    </w:p>
    <w:p w14:paraId="133C054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0A330F7">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所竞分标（如有则填写，无分标时填写“无”或者留空）：</w:t>
      </w:r>
    </w:p>
    <w:p w14:paraId="0F9A21B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70D175F">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供应商名称：</w:t>
      </w:r>
    </w:p>
    <w:p w14:paraId="3C464FF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076C4F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76FB84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3FD9FF6">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s="Times New Roman"/>
          <w:color w:val="000000" w:themeColor="text1"/>
          <w:sz w:val="32"/>
          <w:szCs w:val="32"/>
          <w:highlight w:val="none"/>
          <w:u w:val="single"/>
          <w14:textFill>
            <w14:solidFill>
              <w14:schemeClr w14:val="tx1"/>
            </w14:solidFill>
          </w14:textFill>
        </w:rPr>
        <w:t xml:space="preserve">   </w:t>
      </w:r>
      <w:r>
        <w:rPr>
          <w:rFonts w:hint="eastAsia" w:ascii="宋体" w:hAnsi="宋体" w:eastAsia="宋体"/>
          <w:color w:val="000000" w:themeColor="text1"/>
          <w:sz w:val="32"/>
          <w:szCs w:val="32"/>
          <w:highlight w:val="none"/>
          <w14:textFill>
            <w14:solidFill>
              <w14:schemeClr w14:val="tx1"/>
            </w14:solidFill>
          </w14:textFill>
        </w:rPr>
        <w:t>年</w:t>
      </w:r>
      <w:r>
        <w:rPr>
          <w:rFonts w:ascii="宋体" w:hAnsi="宋体" w:eastAsia="宋体" w:cs="Times New Roman"/>
          <w:color w:val="000000" w:themeColor="text1"/>
          <w:sz w:val="32"/>
          <w:szCs w:val="32"/>
          <w:highlight w:val="none"/>
          <w:u w:val="single"/>
          <w14:textFill>
            <w14:solidFill>
              <w14:schemeClr w14:val="tx1"/>
            </w14:solidFill>
          </w14:textFill>
        </w:rPr>
        <w:t xml:space="preserve">   </w:t>
      </w:r>
      <w:r>
        <w:rPr>
          <w:rFonts w:hint="eastAsia" w:ascii="宋体" w:hAnsi="宋体" w:eastAsia="宋体"/>
          <w:color w:val="000000" w:themeColor="text1"/>
          <w:sz w:val="32"/>
          <w:szCs w:val="32"/>
          <w:highlight w:val="none"/>
          <w14:textFill>
            <w14:solidFill>
              <w14:schemeClr w14:val="tx1"/>
            </w14:solidFill>
          </w14:textFill>
        </w:rPr>
        <w:t>月</w:t>
      </w:r>
      <w:r>
        <w:rPr>
          <w:rFonts w:ascii="宋体" w:hAnsi="宋体" w:eastAsia="宋体" w:cs="Times New Roman"/>
          <w:color w:val="000000" w:themeColor="text1"/>
          <w:sz w:val="32"/>
          <w:szCs w:val="32"/>
          <w:highlight w:val="none"/>
          <w:u w:val="single"/>
          <w14:textFill>
            <w14:solidFill>
              <w14:schemeClr w14:val="tx1"/>
            </w14:solidFill>
          </w14:textFill>
        </w:rPr>
        <w:t xml:space="preserve">   </w:t>
      </w:r>
      <w:r>
        <w:rPr>
          <w:rFonts w:hint="eastAsia" w:ascii="宋体" w:hAnsi="宋体" w:eastAsia="宋体"/>
          <w:color w:val="000000" w:themeColor="text1"/>
          <w:sz w:val="32"/>
          <w:szCs w:val="32"/>
          <w:highlight w:val="none"/>
          <w14:textFill>
            <w14:solidFill>
              <w14:schemeClr w14:val="tx1"/>
            </w14:solidFill>
          </w14:textFill>
        </w:rPr>
        <w:t>日</w:t>
      </w:r>
    </w:p>
    <w:p w14:paraId="23EE793C">
      <w:pPr>
        <w:spacing w:line="360" w:lineRule="auto"/>
        <w:jc w:val="center"/>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0EADB69C">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商务技术文件目录</w:t>
      </w:r>
    </w:p>
    <w:p w14:paraId="394340E9">
      <w:pPr>
        <w:spacing w:line="360" w:lineRule="auto"/>
        <w:ind w:firstLine="420" w:firstLineChars="200"/>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根据磋商文件规定及供应商提供的材料自行编写目录（部分格式后附）。</w:t>
      </w:r>
    </w:p>
    <w:p w14:paraId="641DF3FF">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C26772B">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（一）无串通参加竞争性磋商行为的承诺函</w:t>
      </w:r>
    </w:p>
    <w:p w14:paraId="1AB69E4A">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无串通参加竞争性磋商行为的承诺函</w:t>
      </w:r>
    </w:p>
    <w:p w14:paraId="6AE3457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BEDA6A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一、我方承诺无下列相互串通竞争性磋商的情形：</w:t>
      </w:r>
    </w:p>
    <w:p w14:paraId="571E164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1.不同供应商的响应文件由同一单位或者个人编制；</w:t>
      </w:r>
    </w:p>
    <w:p w14:paraId="3849669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2.不同供应商委托同一单位或者个人办理竞争性磋商事宜；</w:t>
      </w:r>
    </w:p>
    <w:p w14:paraId="72F10BD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3.不同供应商的响应文件载明的项目管理员为同一个人；</w:t>
      </w:r>
    </w:p>
    <w:p w14:paraId="2460FDC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4.不同供应商的响应文件异常一致或者竞争性磋商报价呈规律性差异；</w:t>
      </w:r>
    </w:p>
    <w:p w14:paraId="37F52CC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5.不同供应商的响应文件相互混装；</w:t>
      </w:r>
    </w:p>
    <w:p w14:paraId="53C4054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6.不同供应商的磋商保证金从同一单位或者个人账户转出。</w:t>
      </w:r>
    </w:p>
    <w:p w14:paraId="220AF14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二、我方承诺无下列恶意串通的情形：</w:t>
      </w:r>
    </w:p>
    <w:p w14:paraId="18D6CFA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03E9804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2.供应商按照采购人或者采购代理机构的授意撤换、修改响应文件；</w:t>
      </w:r>
    </w:p>
    <w:p w14:paraId="2FEBF81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3.供应商之间协商报价、技术方案等响应文件的实质性内容；</w:t>
      </w:r>
    </w:p>
    <w:p w14:paraId="0A9A713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61F5138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5.供应商之间事先约定一致抬高或者压低竞争性磋商报价，或者在竞争性磋商项目中事先约定轮流以高价位或者低价位成交，或者事先约定由某一特定供应商成交，然后再参加竞争性磋商；</w:t>
      </w:r>
    </w:p>
    <w:p w14:paraId="11FC159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6.供应商之间商定部分供应商放弃参加政府采购活动或者放弃成交；</w:t>
      </w:r>
    </w:p>
    <w:p w14:paraId="0ED5F88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41AB703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8FCB16A">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以上情形一经核查属实，我方愿意承担一切后果，并不再寻求任何旨在减轻或者免除法律责任的辩解。</w:t>
      </w:r>
    </w:p>
    <w:p w14:paraId="412F1BA1">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4743CD73">
      <w:pPr>
        <w:wordWrap w:val="0"/>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0F2D8614">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07D63D0">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（二）法定代表人身份证明书</w:t>
      </w:r>
    </w:p>
    <w:p w14:paraId="456B056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5BABD9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580767A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2F1F39F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姓名：</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w:t>
      </w:r>
      <w:r>
        <w:rPr>
          <w:rFonts w:hint="eastAsia" w:ascii="宋体" w:hAnsi="宋体" w:eastAsia="宋体"/>
          <w:color w:val="000000" w:themeColor="text1"/>
          <w:szCs w:val="21"/>
          <w:highlight w:val="none"/>
          <w14:textFill>
            <w14:solidFill>
              <w14:schemeClr w14:val="tx1"/>
            </w14:solidFill>
          </w14:textFill>
        </w:rPr>
        <w:t>性别：</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5BFEC41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年龄：</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w:t>
      </w:r>
      <w:r>
        <w:rPr>
          <w:rFonts w:hint="eastAsia" w:ascii="宋体" w:hAnsi="宋体" w:eastAsia="宋体"/>
          <w:color w:val="000000" w:themeColor="text1"/>
          <w:szCs w:val="21"/>
          <w:highlight w:val="none"/>
          <w14:textFill>
            <w14:solidFill>
              <w14:schemeClr w14:val="tx1"/>
            </w14:solidFill>
          </w14:textFill>
        </w:rPr>
        <w:t>职务：</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57B4A12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身份证号码：</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479670D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系</w:t>
      </w:r>
      <w:r>
        <w:rPr>
          <w:rFonts w:hint="eastAsia" w:ascii="宋体" w:hAnsi="宋体" w:eastAsia="宋体"/>
          <w:color w:val="000000" w:themeColor="text1"/>
          <w:szCs w:val="21"/>
          <w:highlight w:val="none"/>
          <w:u w:val="single"/>
          <w14:textFill>
            <w14:solidFill>
              <w14:schemeClr w14:val="tx1"/>
            </w14:solidFill>
          </w14:textFill>
        </w:rPr>
        <w:t>（供应商名称）</w:t>
      </w:r>
      <w:r>
        <w:rPr>
          <w:rFonts w:hint="eastAsia" w:ascii="宋体" w:hAnsi="宋体" w:eastAsia="宋体"/>
          <w:color w:val="000000" w:themeColor="text1"/>
          <w:szCs w:val="21"/>
          <w:highlight w:val="none"/>
          <w14:textFill>
            <w14:solidFill>
              <w14:schemeClr w14:val="tx1"/>
            </w14:solidFill>
          </w14:textFill>
        </w:rPr>
        <w:t>的法定代表人。</w:t>
      </w:r>
    </w:p>
    <w:p w14:paraId="7173B9A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特此证明。</w:t>
      </w:r>
    </w:p>
    <w:p w14:paraId="7FA520F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CED941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1572EC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8A9EB2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附件：法定代表人有效身份证正反面复印件</w:t>
      </w:r>
    </w:p>
    <w:p w14:paraId="39AED16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2A3D933">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62D03445">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6872247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DEED60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注：1.自然人竞标的无需提供，联合体竞标的只需牵头人出具。</w:t>
      </w:r>
    </w:p>
    <w:p w14:paraId="4E96C09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8670ABE">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7413E31A">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附件：</w:t>
      </w: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2"/>
      </w:tblGrid>
      <w:tr w14:paraId="1FF9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000" w:type="pct"/>
          </w:tcPr>
          <w:p w14:paraId="39FC529C">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法定代表身份证复印件粘贴处（正、反面）</w:t>
            </w:r>
          </w:p>
        </w:tc>
      </w:tr>
    </w:tbl>
    <w:p w14:paraId="52614BBB">
      <w:pPr>
        <w:spacing w:line="360" w:lineRule="auto"/>
        <w:jc w:val="center"/>
        <w:rPr>
          <w:rFonts w:ascii="宋体" w:hAnsi="宋体" w:eastAsia="宋体"/>
          <w:color w:val="000000" w:themeColor="text1"/>
          <w:szCs w:val="21"/>
          <w:highlight w:val="none"/>
          <w14:textFill>
            <w14:solidFill>
              <w14:schemeClr w14:val="tx1"/>
            </w14:solidFill>
          </w14:textFill>
        </w:rPr>
      </w:pPr>
    </w:p>
    <w:p w14:paraId="79A3298F">
      <w:pPr>
        <w:spacing w:line="360" w:lineRule="auto"/>
        <w:jc w:val="center"/>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037E50FC">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（三）授权委托书（非联合体参加竞争性磋商格式）</w:t>
      </w:r>
    </w:p>
    <w:p w14:paraId="1FF574BE">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（如有委托时）</w:t>
      </w:r>
    </w:p>
    <w:p w14:paraId="268C626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2A81143">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（采购人名称）：</w:t>
      </w:r>
    </w:p>
    <w:p w14:paraId="34AB1D3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（姓名）系</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（供应商名称）的（□法定代表人/□负责人），现授权</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（姓名）以我方的名义参加</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项目的竞争性磋商活动，并代表我方全权办理针对上述项目的所有采购程序和环节的具体事务和签署相关文件。</w:t>
      </w:r>
    </w:p>
    <w:p w14:paraId="238DAE9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我方对委托代理人的签字或者电子签名事项负全部责任。</w:t>
      </w:r>
    </w:p>
    <w:p w14:paraId="0D6E986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6D8F22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委托代理人无转委托权，特此委托。</w:t>
      </w:r>
    </w:p>
    <w:p w14:paraId="2BCE49A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附：法定代表人身份证明书及委托代理人有效身份证正反面复印件</w:t>
      </w:r>
    </w:p>
    <w:p w14:paraId="23ECB88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B6FEE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委托代理人（签字或者电子签名）：</w:t>
      </w:r>
    </w:p>
    <w:p w14:paraId="202188C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委托代理人身份证号码：</w:t>
      </w:r>
    </w:p>
    <w:p w14:paraId="4189E7C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法定代表人（签字或者盖章或者电子签名）：</w:t>
      </w:r>
    </w:p>
    <w:p w14:paraId="628EA0A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4B6FAB2">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4ABC3D14">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32800DD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5A0E32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注：1.法定代表人必须在授权委托书上签字或盖章，委托代理人必须在授权委托书上签字或盖章。</w:t>
      </w:r>
    </w:p>
    <w:p w14:paraId="383813E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A608E1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3.法人、其他组织竞标时“我方”是指“我单位”，自然人竞标时“我方”是指“本人”。</w:t>
      </w:r>
    </w:p>
    <w:p w14:paraId="4538B86A">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2C079818">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（三）授权委托书（联合体参加竞争性磋商格式）</w:t>
      </w:r>
    </w:p>
    <w:p w14:paraId="3A62A58A">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（如有委托时）</w:t>
      </w:r>
    </w:p>
    <w:p w14:paraId="75756A4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47B537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本授权委托书声明：根据</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（牵头人名称）与</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（联合体其他成员名称）签订的《联合体参加竞争性磋商协议书》的内容，</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（牵头人名称）的法定代表人</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（姓名）现授权</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（姓名）为联合委托代理人，并代表我方全权办理针对上述项目的所有采购程序和环节的具体事务和签署相关文件。</w:t>
      </w:r>
    </w:p>
    <w:p w14:paraId="7A3E4AF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我方对委托代理人的签字或者电子签名事项负全部责任。</w:t>
      </w:r>
    </w:p>
    <w:p w14:paraId="42CE787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05F0309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委托代理人无转委托权，特此委托。</w:t>
      </w:r>
    </w:p>
    <w:p w14:paraId="6A84F60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附：法定代表人身份证明书及委托代理人有效身份证正反面复印件</w:t>
      </w:r>
    </w:p>
    <w:p w14:paraId="09DE8CD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9CCB21F">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牵头人法定代表人（签字或盖章）：</w:t>
      </w:r>
    </w:p>
    <w:p w14:paraId="7CDA2FB1">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牵头人（电子签章）：</w:t>
      </w:r>
    </w:p>
    <w:p w14:paraId="596490BC">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02116AD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13BAAB1">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被授权人（签字）：</w:t>
      </w:r>
    </w:p>
    <w:p w14:paraId="19102F2F">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1CEED14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0DE606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注：1.法定代表人必须在授权委托书上签字或盖章，委托代理人必须在授权委托书上签字或盖章。</w:t>
      </w:r>
    </w:p>
    <w:p w14:paraId="3E25860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2.本授权委托书应由联合体牵头人的法定代表人按上述规定签署。</w:t>
      </w:r>
    </w:p>
    <w:p w14:paraId="40933A8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B39C05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4.法人、其他组织竞标时“我方”是指“我单位”，自然人竞标时“我方”是指“本人”。</w:t>
      </w:r>
    </w:p>
    <w:p w14:paraId="219474EB">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08988AB">
      <w:pPr>
        <w:spacing w:line="360" w:lineRule="auto"/>
        <w:jc w:val="center"/>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（四）磋商保证金缴纳凭证</w:t>
      </w:r>
    </w:p>
    <w:p w14:paraId="62D2D47C">
      <w:pPr>
        <w:spacing w:line="24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br w:type="page"/>
      </w:r>
      <w:r>
        <w:rPr>
          <w:rFonts w:hint="eastAsia" w:ascii="宋体" w:hAnsi="宋体" w:cs="宋体"/>
          <w:b/>
          <w:bCs/>
          <w:color w:val="000000" w:themeColor="text1"/>
          <w:sz w:val="32"/>
          <w:szCs w:val="32"/>
          <w:highlight w:val="none"/>
          <w:lang w:eastAsia="zh-CN"/>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五</w:t>
      </w:r>
      <w:r>
        <w:rPr>
          <w:rFonts w:hint="eastAsia" w:ascii="宋体" w:hAnsi="宋体" w:cs="宋体"/>
          <w:b/>
          <w:bCs/>
          <w:color w:val="000000" w:themeColor="text1"/>
          <w:sz w:val="32"/>
          <w:szCs w:val="32"/>
          <w:highlight w:val="none"/>
          <w:lang w:eastAsia="zh-CN"/>
          <w14:textFill>
            <w14:solidFill>
              <w14:schemeClr w14:val="tx1"/>
            </w14:solidFill>
          </w14:textFill>
        </w:rPr>
        <w:t>）</w:t>
      </w:r>
      <w:r>
        <w:rPr>
          <w:rFonts w:hint="eastAsia" w:ascii="宋体" w:hAnsi="宋体" w:cs="宋体"/>
          <w:b/>
          <w:bCs/>
          <w:color w:val="000000" w:themeColor="text1"/>
          <w:sz w:val="32"/>
          <w:szCs w:val="32"/>
          <w:highlight w:val="none"/>
          <w14:textFill>
            <w14:solidFill>
              <w14:schemeClr w14:val="tx1"/>
            </w14:solidFill>
          </w14:textFill>
        </w:rPr>
        <w:t>保证金汇款声明函(适用银行转账)</w:t>
      </w:r>
    </w:p>
    <w:p w14:paraId="7F600B78">
      <w:pPr>
        <w:pStyle w:val="35"/>
        <w:widowControl w:val="0"/>
        <w:spacing w:before="0" w:beforeAutospacing="0" w:after="0" w:afterAutospacing="0" w:line="360" w:lineRule="auto"/>
        <w:jc w:val="both"/>
        <w:rPr>
          <w:rFonts w:cs="宋体"/>
          <w:color w:val="000000" w:themeColor="text1"/>
          <w:sz w:val="21"/>
          <w:szCs w:val="21"/>
          <w:highlight w:val="none"/>
          <w14:textFill>
            <w14:solidFill>
              <w14:schemeClr w14:val="tx1"/>
            </w14:solidFill>
          </w14:textFill>
        </w:rPr>
      </w:pPr>
    </w:p>
    <w:p w14:paraId="275FFA68">
      <w:pPr>
        <w:pStyle w:val="35"/>
        <w:widowControl w:val="0"/>
        <w:spacing w:before="0" w:beforeAutospacing="0" w:after="0" w:afterAutospacing="0" w:line="360" w:lineRule="auto"/>
        <w:jc w:val="both"/>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致：</w:t>
      </w:r>
      <w:r>
        <w:rPr>
          <w:rFonts w:hint="eastAsia" w:cs="宋体"/>
          <w:color w:val="000000" w:themeColor="text1"/>
          <w:sz w:val="21"/>
          <w:szCs w:val="21"/>
          <w:highlight w:val="none"/>
          <w:u w:val="single"/>
          <w14:textFill>
            <w14:solidFill>
              <w14:schemeClr w14:val="tx1"/>
            </w14:solidFill>
          </w14:textFill>
        </w:rPr>
        <w:t>（采购代理机构名称）</w:t>
      </w:r>
    </w:p>
    <w:p w14:paraId="692D2B17">
      <w:pPr>
        <w:pStyle w:val="35"/>
        <w:widowControl w:val="0"/>
        <w:spacing w:before="0" w:beforeAutospacing="0" w:after="0" w:afterAutospacing="0" w:line="360" w:lineRule="auto"/>
        <w:ind w:firstLine="420" w:firstLineChars="200"/>
        <w:jc w:val="both"/>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我方为</w:t>
      </w:r>
      <w:r>
        <w:rPr>
          <w:rFonts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项目名称</w:t>
      </w:r>
      <w:r>
        <w:rPr>
          <w:rFonts w:cs="宋体"/>
          <w:color w:val="000000" w:themeColor="text1"/>
          <w:sz w:val="21"/>
          <w:szCs w:val="21"/>
          <w:highlight w:val="none"/>
          <w:u w:val="single"/>
          <w14:textFill>
            <w14:solidFill>
              <w14:schemeClr w14:val="tx1"/>
            </w14:solidFill>
          </w14:textFill>
        </w:rPr>
        <w:t xml:space="preserve">)      </w:t>
      </w:r>
      <w:r>
        <w:rPr>
          <w:rFonts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项目编号：</w:t>
      </w:r>
      <w:r>
        <w:rPr>
          <w:rFonts w:cs="宋体"/>
          <w:color w:val="000000" w:themeColor="text1"/>
          <w:sz w:val="21"/>
          <w:szCs w:val="21"/>
          <w:highlight w:val="none"/>
          <w:u w:val="single"/>
          <w14:textFill>
            <w14:solidFill>
              <w14:schemeClr w14:val="tx1"/>
            </w14:solidFill>
          </w14:textFill>
        </w:rPr>
        <w:t xml:space="preserve">         </w:t>
      </w:r>
      <w:r>
        <w:rPr>
          <w:rFonts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递交磋商保证金人民币大写</w:t>
      </w:r>
      <w:r>
        <w:rPr>
          <w:rFonts w:cs="宋体"/>
          <w:color w:val="000000" w:themeColor="text1"/>
          <w:sz w:val="21"/>
          <w:szCs w:val="21"/>
          <w:highlight w:val="none"/>
          <w:u w:val="single"/>
          <w14:textFill>
            <w14:solidFill>
              <w14:schemeClr w14:val="tx1"/>
            </w14:solidFill>
          </w14:textFill>
        </w:rPr>
        <w:t xml:space="preserve">        </w:t>
      </w:r>
      <w:r>
        <w:rPr>
          <w:rFonts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　　</w:t>
      </w:r>
      <w:r>
        <w:rPr>
          <w:rFonts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已于</w:t>
      </w:r>
      <w:r>
        <w:rPr>
          <w:rFonts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日以银行主动划账方式划入你方账户。</w:t>
      </w:r>
    </w:p>
    <w:p w14:paraId="39920746">
      <w:pPr>
        <w:pStyle w:val="35"/>
        <w:widowControl w:val="0"/>
        <w:spacing w:before="0" w:beforeAutospacing="0" w:after="0" w:afterAutospacing="0" w:line="360" w:lineRule="auto"/>
        <w:ind w:firstLine="420" w:firstLineChars="200"/>
        <w:jc w:val="both"/>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详见附件：银行出具的汇款单或转账凭证复印件。</w:t>
      </w:r>
    </w:p>
    <w:p w14:paraId="08F6722B">
      <w:pPr>
        <w:pStyle w:val="35"/>
        <w:widowControl w:val="0"/>
        <w:spacing w:before="0" w:beforeAutospacing="0" w:after="0" w:afterAutospacing="0" w:line="360" w:lineRule="auto"/>
        <w:ind w:firstLine="420" w:firstLineChars="200"/>
        <w:jc w:val="both"/>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退还保证金时请按以下内容划入我方账户。若因内容不全、错误、字迹潦草模糊导致该项目保证金未能及时退还或退还过程中发生错误，我方将承担全部责任和损失。</w:t>
      </w:r>
    </w:p>
    <w:tbl>
      <w:tblPr>
        <w:tblStyle w:val="38"/>
        <w:tblW w:w="9158" w:type="dxa"/>
        <w:jc w:val="center"/>
        <w:tblLayout w:type="fixed"/>
        <w:tblCellMar>
          <w:top w:w="0" w:type="dxa"/>
          <w:left w:w="108" w:type="dxa"/>
          <w:bottom w:w="0" w:type="dxa"/>
          <w:right w:w="108" w:type="dxa"/>
        </w:tblCellMar>
      </w:tblPr>
      <w:tblGrid>
        <w:gridCol w:w="1060"/>
        <w:gridCol w:w="479"/>
        <w:gridCol w:w="2561"/>
        <w:gridCol w:w="1080"/>
        <w:gridCol w:w="1481"/>
        <w:gridCol w:w="2497"/>
      </w:tblGrid>
      <w:tr w14:paraId="289C8323">
        <w:tblPrEx>
          <w:tblCellMar>
            <w:top w:w="0" w:type="dxa"/>
            <w:left w:w="108" w:type="dxa"/>
            <w:bottom w:w="0" w:type="dxa"/>
            <w:right w:w="108" w:type="dxa"/>
          </w:tblCellMar>
        </w:tblPrEx>
        <w:trPr>
          <w:jc w:val="center"/>
        </w:trPr>
        <w:tc>
          <w:tcPr>
            <w:tcW w:w="9158" w:type="dxa"/>
            <w:gridSpan w:val="6"/>
            <w:tcBorders>
              <w:top w:val="nil"/>
              <w:left w:val="nil"/>
              <w:bottom w:val="single" w:color="auto" w:sz="4" w:space="0"/>
              <w:right w:val="nil"/>
            </w:tcBorders>
            <w:vAlign w:val="center"/>
          </w:tcPr>
          <w:p w14:paraId="1EC63F56">
            <w:pPr>
              <w:spacing w:after="120" w:afterLines="50"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磋商保证金交款、退款函</w:t>
            </w:r>
          </w:p>
        </w:tc>
      </w:tr>
      <w:tr w14:paraId="1CBF8F76">
        <w:tblPrEx>
          <w:tblCellMar>
            <w:top w:w="0" w:type="dxa"/>
            <w:left w:w="108" w:type="dxa"/>
            <w:bottom w:w="0" w:type="dxa"/>
            <w:right w:w="108" w:type="dxa"/>
          </w:tblCellMar>
        </w:tblPrEx>
        <w:trPr>
          <w:trHeight w:val="397"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14:paraId="60FFB8F5">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项目名称</w:t>
            </w:r>
          </w:p>
        </w:tc>
        <w:tc>
          <w:tcPr>
            <w:tcW w:w="7619" w:type="dxa"/>
            <w:gridSpan w:val="4"/>
            <w:tcBorders>
              <w:top w:val="single" w:color="auto" w:sz="4" w:space="0"/>
              <w:left w:val="single" w:color="auto" w:sz="4" w:space="0"/>
              <w:bottom w:val="single" w:color="auto" w:sz="4" w:space="0"/>
              <w:right w:val="single" w:color="auto" w:sz="4" w:space="0"/>
            </w:tcBorders>
            <w:vAlign w:val="center"/>
          </w:tcPr>
          <w:p w14:paraId="179C70D1">
            <w:pPr>
              <w:widowControl/>
              <w:spacing w:line="360" w:lineRule="auto"/>
              <w:jc w:val="center"/>
              <w:rPr>
                <w:rFonts w:ascii="宋体" w:cs="宋体"/>
                <w:color w:val="000000" w:themeColor="text1"/>
                <w:kern w:val="0"/>
                <w:szCs w:val="21"/>
                <w:highlight w:val="none"/>
                <w14:textFill>
                  <w14:solidFill>
                    <w14:schemeClr w14:val="tx1"/>
                  </w14:solidFill>
                </w14:textFill>
              </w:rPr>
            </w:pPr>
          </w:p>
        </w:tc>
      </w:tr>
      <w:tr w14:paraId="0A1EF55A">
        <w:tblPrEx>
          <w:tblCellMar>
            <w:top w:w="0" w:type="dxa"/>
            <w:left w:w="108" w:type="dxa"/>
            <w:bottom w:w="0" w:type="dxa"/>
            <w:right w:w="108" w:type="dxa"/>
          </w:tblCellMar>
        </w:tblPrEx>
        <w:trPr>
          <w:trHeight w:val="397"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14:paraId="3A4F4094">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项目编号</w:t>
            </w:r>
          </w:p>
        </w:tc>
        <w:tc>
          <w:tcPr>
            <w:tcW w:w="2561" w:type="dxa"/>
            <w:tcBorders>
              <w:top w:val="single" w:color="auto" w:sz="4" w:space="0"/>
              <w:left w:val="single" w:color="auto" w:sz="4" w:space="0"/>
              <w:bottom w:val="single" w:color="auto" w:sz="4" w:space="0"/>
              <w:right w:val="single" w:color="auto" w:sz="4" w:space="0"/>
            </w:tcBorders>
            <w:vAlign w:val="center"/>
          </w:tcPr>
          <w:p w14:paraId="2E44EA7D">
            <w:pPr>
              <w:widowControl/>
              <w:spacing w:line="360" w:lineRule="auto"/>
              <w:jc w:val="center"/>
              <w:rPr>
                <w:rFonts w:ascii="宋体" w:cs="宋体"/>
                <w:color w:val="000000" w:themeColor="text1"/>
                <w:kern w:val="0"/>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6B657A8">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分标号</w:t>
            </w:r>
          </w:p>
        </w:tc>
        <w:tc>
          <w:tcPr>
            <w:tcW w:w="3978" w:type="dxa"/>
            <w:gridSpan w:val="2"/>
            <w:tcBorders>
              <w:top w:val="single" w:color="auto" w:sz="4" w:space="0"/>
              <w:left w:val="single" w:color="auto" w:sz="4" w:space="0"/>
              <w:bottom w:val="single" w:color="auto" w:sz="4" w:space="0"/>
              <w:right w:val="single" w:color="auto" w:sz="4" w:space="0"/>
            </w:tcBorders>
            <w:vAlign w:val="center"/>
          </w:tcPr>
          <w:p w14:paraId="5F65E391">
            <w:pPr>
              <w:widowControl/>
              <w:spacing w:line="360" w:lineRule="auto"/>
              <w:jc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（如有）</w:t>
            </w:r>
          </w:p>
        </w:tc>
      </w:tr>
      <w:tr w14:paraId="0314FEF6">
        <w:tblPrEx>
          <w:tblCellMar>
            <w:top w:w="0" w:type="dxa"/>
            <w:left w:w="108" w:type="dxa"/>
            <w:bottom w:w="0" w:type="dxa"/>
            <w:right w:w="108" w:type="dxa"/>
          </w:tblCellMar>
        </w:tblPrEx>
        <w:trPr>
          <w:trHeight w:val="397"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14:paraId="5C88E56D">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交款单位</w:t>
            </w:r>
          </w:p>
        </w:tc>
        <w:tc>
          <w:tcPr>
            <w:tcW w:w="3641" w:type="dxa"/>
            <w:gridSpan w:val="2"/>
            <w:tcBorders>
              <w:top w:val="single" w:color="auto" w:sz="4" w:space="0"/>
              <w:left w:val="single" w:color="auto" w:sz="4" w:space="0"/>
              <w:bottom w:val="single" w:color="auto" w:sz="4" w:space="0"/>
              <w:right w:val="single" w:color="auto" w:sz="4" w:space="0"/>
            </w:tcBorders>
            <w:vAlign w:val="center"/>
          </w:tcPr>
          <w:p w14:paraId="2D6AE77A">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　</w:t>
            </w:r>
          </w:p>
        </w:tc>
        <w:tc>
          <w:tcPr>
            <w:tcW w:w="1481" w:type="dxa"/>
            <w:tcBorders>
              <w:top w:val="single" w:color="auto" w:sz="4" w:space="0"/>
              <w:left w:val="single" w:color="auto" w:sz="4" w:space="0"/>
              <w:bottom w:val="single" w:color="auto" w:sz="4" w:space="0"/>
              <w:right w:val="single" w:color="auto" w:sz="4" w:space="0"/>
            </w:tcBorders>
            <w:vAlign w:val="center"/>
          </w:tcPr>
          <w:p w14:paraId="6028840C">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联系人及电话</w:t>
            </w:r>
          </w:p>
        </w:tc>
        <w:tc>
          <w:tcPr>
            <w:tcW w:w="2497" w:type="dxa"/>
            <w:tcBorders>
              <w:top w:val="single" w:color="auto" w:sz="4" w:space="0"/>
              <w:left w:val="single" w:color="auto" w:sz="4" w:space="0"/>
              <w:bottom w:val="single" w:color="auto" w:sz="4" w:space="0"/>
              <w:right w:val="single" w:color="auto" w:sz="4" w:space="0"/>
            </w:tcBorders>
            <w:vAlign w:val="center"/>
          </w:tcPr>
          <w:p w14:paraId="3684B966">
            <w:pPr>
              <w:widowControl/>
              <w:spacing w:line="360" w:lineRule="auto"/>
              <w:jc w:val="left"/>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　</w:t>
            </w:r>
          </w:p>
        </w:tc>
      </w:tr>
      <w:tr w14:paraId="4C18D217">
        <w:tblPrEx>
          <w:tblCellMar>
            <w:top w:w="0" w:type="dxa"/>
            <w:left w:w="108" w:type="dxa"/>
            <w:bottom w:w="0" w:type="dxa"/>
            <w:right w:w="108" w:type="dxa"/>
          </w:tblCellMar>
        </w:tblPrEx>
        <w:trPr>
          <w:trHeight w:val="397"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14:paraId="614B7CEA">
            <w:pPr>
              <w:widowControl/>
              <w:spacing w:line="360" w:lineRule="auto"/>
              <w:jc w:val="left"/>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保证金金额</w:t>
            </w:r>
          </w:p>
        </w:tc>
        <w:tc>
          <w:tcPr>
            <w:tcW w:w="3641" w:type="dxa"/>
            <w:gridSpan w:val="2"/>
            <w:tcBorders>
              <w:top w:val="single" w:color="auto" w:sz="4" w:space="0"/>
              <w:left w:val="single" w:color="auto" w:sz="4" w:space="0"/>
              <w:bottom w:val="single" w:color="auto" w:sz="4" w:space="0"/>
              <w:right w:val="single" w:color="auto" w:sz="4" w:space="0"/>
            </w:tcBorders>
            <w:vAlign w:val="center"/>
          </w:tcPr>
          <w:p w14:paraId="455E0A89">
            <w:pPr>
              <w:widowControl/>
              <w:spacing w:line="360" w:lineRule="auto"/>
              <w:jc w:val="left"/>
              <w:rPr>
                <w:rFonts w:ascii="宋体" w:cs="宋体"/>
                <w:bCs/>
                <w:color w:val="000000" w:themeColor="text1"/>
                <w:kern w:val="0"/>
                <w:szCs w:val="21"/>
                <w:highlight w:val="none"/>
                <w14:textFill>
                  <w14:solidFill>
                    <w14:schemeClr w14:val="tx1"/>
                  </w14:solidFill>
                </w14:textFill>
              </w:rPr>
            </w:pPr>
            <w:r>
              <w:rPr>
                <w:rFonts w:ascii="宋体" w:cs="宋体"/>
                <w:bCs/>
                <w:color w:val="000000" w:themeColor="text1"/>
                <w:kern w:val="0"/>
                <w:szCs w:val="21"/>
                <w:highlight w:val="none"/>
                <w14:textFill>
                  <w14:solidFill>
                    <w14:schemeClr w14:val="tx1"/>
                  </w14:solidFill>
                </w14:textFill>
              </w:rPr>
              <w:t>¥</w:t>
            </w:r>
          </w:p>
        </w:tc>
        <w:tc>
          <w:tcPr>
            <w:tcW w:w="3978" w:type="dxa"/>
            <w:gridSpan w:val="2"/>
            <w:vMerge w:val="restart"/>
            <w:tcBorders>
              <w:top w:val="single" w:color="auto" w:sz="4" w:space="0"/>
              <w:left w:val="single" w:color="auto" w:sz="4" w:space="0"/>
              <w:bottom w:val="single" w:color="auto" w:sz="4" w:space="0"/>
              <w:right w:val="single" w:color="auto" w:sz="4" w:space="0"/>
            </w:tcBorders>
          </w:tcPr>
          <w:p w14:paraId="2DC68407">
            <w:pPr>
              <w:widowControl/>
              <w:spacing w:line="360" w:lineRule="auto"/>
              <w:jc w:val="left"/>
              <w:rPr>
                <w:rFonts w:ascii="宋体" w:cs="宋体"/>
                <w:bCs/>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1.</w:t>
            </w:r>
            <w:r>
              <w:rPr>
                <w:rFonts w:hint="eastAsia" w:ascii="宋体" w:hAnsi="宋体" w:cs="宋体"/>
                <w:bCs/>
                <w:color w:val="000000" w:themeColor="text1"/>
                <w:kern w:val="0"/>
                <w:szCs w:val="21"/>
                <w:highlight w:val="none"/>
                <w14:textFill>
                  <w14:solidFill>
                    <w14:schemeClr w14:val="tx1"/>
                  </w14:solidFill>
                </w14:textFill>
              </w:rPr>
              <w:t>若我单位未成交请采购人或采购代理机构于该项目成交通知书发出后</w:t>
            </w:r>
            <w:r>
              <w:rPr>
                <w:rFonts w:ascii="宋体" w:hAnsi="宋体" w:cs="宋体"/>
                <w:bCs/>
                <w:color w:val="000000" w:themeColor="text1"/>
                <w:kern w:val="0"/>
                <w:szCs w:val="21"/>
                <w:highlight w:val="none"/>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个工作日内将保证金退回</w:t>
            </w:r>
            <w:r>
              <w:rPr>
                <w:rFonts w:hint="eastAsia" w:ascii="宋体" w:hAnsi="宋体" w:cs="宋体"/>
                <w:bCs/>
                <w:color w:val="000000" w:themeColor="text1"/>
                <w:kern w:val="0"/>
                <w:szCs w:val="21"/>
                <w:highlight w:val="none"/>
                <w:u w:val="single"/>
                <w14:textFill>
                  <w14:solidFill>
                    <w14:schemeClr w14:val="tx1"/>
                  </w14:solidFill>
                </w14:textFill>
              </w:rPr>
              <w:t>原交款人</w:t>
            </w:r>
            <w:r>
              <w:rPr>
                <w:rFonts w:hint="eastAsia" w:ascii="宋体" w:hAnsi="宋体" w:cs="宋体"/>
                <w:bCs/>
                <w:color w:val="000000" w:themeColor="text1"/>
                <w:kern w:val="0"/>
                <w:szCs w:val="21"/>
                <w:highlight w:val="none"/>
                <w14:textFill>
                  <w14:solidFill>
                    <w14:schemeClr w14:val="tx1"/>
                  </w14:solidFill>
                </w14:textFill>
              </w:rPr>
              <w:t>。</w:t>
            </w:r>
            <w:r>
              <w:rPr>
                <w:rFonts w:ascii="宋体" w:hAnsi="宋体" w:cs="宋体"/>
                <w:bCs/>
                <w:color w:val="000000" w:themeColor="text1"/>
                <w:kern w:val="0"/>
                <w:szCs w:val="21"/>
                <w:highlight w:val="none"/>
                <w14:textFill>
                  <w14:solidFill>
                    <w14:schemeClr w14:val="tx1"/>
                  </w14:solidFill>
                </w14:textFill>
              </w:rPr>
              <w:t xml:space="preserve"> </w:t>
            </w:r>
          </w:p>
          <w:p w14:paraId="3A4D35E5">
            <w:pPr>
              <w:spacing w:line="360" w:lineRule="auto"/>
              <w:jc w:val="left"/>
              <w:rPr>
                <w:rFonts w:ascii="宋体" w:cs="宋体"/>
                <w:bCs/>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若我单位成交，请采购人或采购代理机构收到我单位提交的合同后</w:t>
            </w:r>
            <w:r>
              <w:rPr>
                <w:rFonts w:ascii="宋体" w:hAnsi="宋体" w:cs="宋体"/>
                <w:bCs/>
                <w:color w:val="000000" w:themeColor="text1"/>
                <w:kern w:val="0"/>
                <w:szCs w:val="21"/>
                <w:highlight w:val="none"/>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个工作日内将保证金退回</w:t>
            </w:r>
            <w:r>
              <w:rPr>
                <w:rFonts w:hint="eastAsia" w:ascii="宋体" w:hAnsi="宋体" w:cs="宋体"/>
                <w:bCs/>
                <w:color w:val="000000" w:themeColor="text1"/>
                <w:kern w:val="0"/>
                <w:szCs w:val="21"/>
                <w:highlight w:val="none"/>
                <w:u w:val="single"/>
                <w14:textFill>
                  <w14:solidFill>
                    <w14:schemeClr w14:val="tx1"/>
                  </w14:solidFill>
                </w14:textFill>
              </w:rPr>
              <w:t>原交款人</w:t>
            </w:r>
            <w:r>
              <w:rPr>
                <w:rFonts w:hint="eastAsia" w:ascii="宋体" w:hAnsi="宋体" w:cs="宋体"/>
                <w:bCs/>
                <w:color w:val="000000" w:themeColor="text1"/>
                <w:kern w:val="0"/>
                <w:szCs w:val="21"/>
                <w:highlight w:val="none"/>
                <w14:textFill>
                  <w14:solidFill>
                    <w14:schemeClr w14:val="tx1"/>
                  </w14:solidFill>
                </w14:textFill>
              </w:rPr>
              <w:t>。</w:t>
            </w:r>
            <w:r>
              <w:rPr>
                <w:rFonts w:ascii="宋体" w:hAnsi="宋体" w:cs="宋体"/>
                <w:bCs/>
                <w:color w:val="000000" w:themeColor="text1"/>
                <w:kern w:val="0"/>
                <w:szCs w:val="21"/>
                <w:highlight w:val="none"/>
                <w14:textFill>
                  <w14:solidFill>
                    <w14:schemeClr w14:val="tx1"/>
                  </w14:solidFill>
                </w14:textFill>
              </w:rPr>
              <w:t xml:space="preserve">                                     </w:t>
            </w:r>
          </w:p>
          <w:p w14:paraId="3527C884">
            <w:pPr>
              <w:spacing w:line="360" w:lineRule="auto"/>
              <w:rPr>
                <w:rFonts w:ascii="宋体" w:hAnsi="宋体" w:cs="宋体"/>
                <w:b/>
                <w:bCs/>
                <w:color w:val="000000" w:themeColor="text1"/>
                <w:szCs w:val="21"/>
                <w:highlight w:val="none"/>
                <w14:textFill>
                  <w14:solidFill>
                    <w14:schemeClr w14:val="tx1"/>
                  </w14:solidFill>
                </w14:textFill>
              </w:rPr>
            </w:pPr>
          </w:p>
          <w:p w14:paraId="31056EC8">
            <w:pPr>
              <w:spacing w:line="360" w:lineRule="auto"/>
              <w:rPr>
                <w:rFonts w:asci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供供应商（盖公章）：</w:t>
            </w:r>
          </w:p>
          <w:p w14:paraId="2A70038D">
            <w:pPr>
              <w:spacing w:line="360" w:lineRule="auto"/>
              <w:ind w:firstLine="1476" w:firstLineChars="700"/>
              <w:rPr>
                <w:rFonts w:ascii="宋体" w:cs="宋体"/>
                <w:bCs/>
                <w:color w:val="000000" w:themeColor="text1"/>
                <w:kern w:val="0"/>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年</w:t>
            </w:r>
            <w:r>
              <w:rPr>
                <w:rFonts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月</w:t>
            </w:r>
            <w:r>
              <w:rPr>
                <w:rFonts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日</w:t>
            </w:r>
          </w:p>
        </w:tc>
      </w:tr>
      <w:tr w14:paraId="3A96BE53">
        <w:tblPrEx>
          <w:tblCellMar>
            <w:top w:w="0" w:type="dxa"/>
            <w:left w:w="108" w:type="dxa"/>
            <w:bottom w:w="0" w:type="dxa"/>
            <w:right w:w="108" w:type="dxa"/>
          </w:tblCellMar>
        </w:tblPrEx>
        <w:trPr>
          <w:trHeight w:val="397" w:hRule="atLeast"/>
          <w:jc w:val="center"/>
        </w:trPr>
        <w:tc>
          <w:tcPr>
            <w:tcW w:w="5180" w:type="dxa"/>
            <w:gridSpan w:val="4"/>
            <w:tcBorders>
              <w:top w:val="single" w:color="auto" w:sz="4" w:space="0"/>
              <w:left w:val="single" w:color="auto" w:sz="4" w:space="0"/>
              <w:bottom w:val="single" w:color="auto" w:sz="4" w:space="0"/>
              <w:right w:val="single" w:color="auto" w:sz="4" w:space="0"/>
            </w:tcBorders>
            <w:vAlign w:val="center"/>
          </w:tcPr>
          <w:p w14:paraId="111C3929">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退款信息</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00837DD5">
            <w:pPr>
              <w:rPr>
                <w:color w:val="000000" w:themeColor="text1"/>
                <w:highlight w:val="none"/>
                <w14:textFill>
                  <w14:solidFill>
                    <w14:schemeClr w14:val="tx1"/>
                  </w14:solidFill>
                </w14:textFill>
              </w:rPr>
            </w:pPr>
          </w:p>
        </w:tc>
      </w:tr>
      <w:tr w14:paraId="05AB9889">
        <w:tblPrEx>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790483C5">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户</w:t>
            </w:r>
            <w:r>
              <w:rPr>
                <w:rFonts w:ascii="宋体" w:hAnsi="宋体" w:cs="宋体"/>
                <w:bCs/>
                <w:color w:val="000000" w:themeColor="text1"/>
                <w:kern w:val="0"/>
                <w:szCs w:val="21"/>
                <w:highlight w:val="non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名</w:t>
            </w:r>
          </w:p>
        </w:tc>
        <w:tc>
          <w:tcPr>
            <w:tcW w:w="4120" w:type="dxa"/>
            <w:gridSpan w:val="3"/>
            <w:tcBorders>
              <w:top w:val="single" w:color="auto" w:sz="4" w:space="0"/>
              <w:left w:val="single" w:color="auto" w:sz="4" w:space="0"/>
              <w:bottom w:val="single" w:color="auto" w:sz="4" w:space="0"/>
              <w:right w:val="single" w:color="auto" w:sz="4" w:space="0"/>
            </w:tcBorders>
            <w:vAlign w:val="center"/>
          </w:tcPr>
          <w:p w14:paraId="4F48A17C">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　</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2D180913">
            <w:pPr>
              <w:rPr>
                <w:color w:val="000000" w:themeColor="text1"/>
                <w:highlight w:val="none"/>
                <w14:textFill>
                  <w14:solidFill>
                    <w14:schemeClr w14:val="tx1"/>
                  </w14:solidFill>
                </w14:textFill>
              </w:rPr>
            </w:pPr>
          </w:p>
        </w:tc>
      </w:tr>
      <w:tr w14:paraId="3CEDAE1B">
        <w:tblPrEx>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74E336F1">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账</w:t>
            </w:r>
            <w:r>
              <w:rPr>
                <w:rFonts w:ascii="宋体" w:hAnsi="宋体" w:cs="宋体"/>
                <w:bCs/>
                <w:color w:val="000000" w:themeColor="text1"/>
                <w:kern w:val="0"/>
                <w:szCs w:val="21"/>
                <w:highlight w:val="non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号</w:t>
            </w:r>
          </w:p>
        </w:tc>
        <w:tc>
          <w:tcPr>
            <w:tcW w:w="4120" w:type="dxa"/>
            <w:gridSpan w:val="3"/>
            <w:tcBorders>
              <w:top w:val="single" w:color="auto" w:sz="4" w:space="0"/>
              <w:left w:val="single" w:color="auto" w:sz="4" w:space="0"/>
              <w:bottom w:val="single" w:color="auto" w:sz="4" w:space="0"/>
              <w:right w:val="single" w:color="auto" w:sz="4" w:space="0"/>
            </w:tcBorders>
            <w:vAlign w:val="center"/>
          </w:tcPr>
          <w:p w14:paraId="22459EAB">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　</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29B777C5">
            <w:pPr>
              <w:rPr>
                <w:color w:val="000000" w:themeColor="text1"/>
                <w:highlight w:val="none"/>
                <w14:textFill>
                  <w14:solidFill>
                    <w14:schemeClr w14:val="tx1"/>
                  </w14:solidFill>
                </w14:textFill>
              </w:rPr>
            </w:pPr>
          </w:p>
        </w:tc>
      </w:tr>
      <w:tr w14:paraId="0A1D3677">
        <w:tblPrEx>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12A5F381">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汇入地点</w:t>
            </w:r>
          </w:p>
        </w:tc>
        <w:tc>
          <w:tcPr>
            <w:tcW w:w="4120" w:type="dxa"/>
            <w:gridSpan w:val="3"/>
            <w:tcBorders>
              <w:top w:val="single" w:color="auto" w:sz="4" w:space="0"/>
              <w:left w:val="nil"/>
              <w:bottom w:val="single" w:color="auto" w:sz="4" w:space="0"/>
              <w:right w:val="single" w:color="auto" w:sz="4" w:space="0"/>
            </w:tcBorders>
            <w:vAlign w:val="center"/>
          </w:tcPr>
          <w:p w14:paraId="354D5C59">
            <w:pPr>
              <w:widowControl/>
              <w:spacing w:line="360" w:lineRule="auto"/>
              <w:jc w:val="right"/>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省</w:t>
            </w:r>
            <w:r>
              <w:rPr>
                <w:rFonts w:ascii="宋体" w:hAnsi="宋体" w:cs="宋体"/>
                <w:bCs/>
                <w:color w:val="000000" w:themeColor="text1"/>
                <w:kern w:val="0"/>
                <w:szCs w:val="21"/>
                <w:highlight w:val="non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市（县）</w:t>
            </w:r>
            <w:r>
              <w:rPr>
                <w:rFonts w:ascii="宋体" w:hAnsi="宋体" w:cs="宋体"/>
                <w:bCs/>
                <w:color w:val="000000" w:themeColor="text1"/>
                <w:kern w:val="0"/>
                <w:szCs w:val="21"/>
                <w:highlight w:val="none"/>
                <w14:textFill>
                  <w14:solidFill>
                    <w14:schemeClr w14:val="tx1"/>
                  </w14:solidFill>
                </w14:textFill>
              </w:rPr>
              <w:t xml:space="preserve">  </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42B65AAF">
            <w:pPr>
              <w:rPr>
                <w:color w:val="000000" w:themeColor="text1"/>
                <w:highlight w:val="none"/>
                <w14:textFill>
                  <w14:solidFill>
                    <w14:schemeClr w14:val="tx1"/>
                  </w14:solidFill>
                </w14:textFill>
              </w:rPr>
            </w:pPr>
          </w:p>
        </w:tc>
      </w:tr>
      <w:tr w14:paraId="48804FF0">
        <w:tblPrEx>
          <w:tblCellMar>
            <w:top w:w="0" w:type="dxa"/>
            <w:left w:w="108" w:type="dxa"/>
            <w:bottom w:w="0" w:type="dxa"/>
            <w:right w:w="108" w:type="dxa"/>
          </w:tblCellMar>
        </w:tblPrEx>
        <w:trPr>
          <w:trHeight w:val="191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14B28DCF">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开户银行</w:t>
            </w:r>
          </w:p>
        </w:tc>
        <w:tc>
          <w:tcPr>
            <w:tcW w:w="4120" w:type="dxa"/>
            <w:gridSpan w:val="3"/>
            <w:tcBorders>
              <w:top w:val="single" w:color="auto" w:sz="4" w:space="0"/>
              <w:left w:val="nil"/>
              <w:bottom w:val="single" w:color="auto" w:sz="4" w:space="0"/>
              <w:right w:val="single" w:color="auto" w:sz="4" w:space="0"/>
            </w:tcBorders>
            <w:vAlign w:val="center"/>
          </w:tcPr>
          <w:p w14:paraId="1461FD31">
            <w:pPr>
              <w:widowControl/>
              <w:spacing w:line="360" w:lineRule="auto"/>
              <w:jc w:val="center"/>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　</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7D30A270">
            <w:pPr>
              <w:rPr>
                <w:color w:val="000000" w:themeColor="text1"/>
                <w:highlight w:val="none"/>
                <w14:textFill>
                  <w14:solidFill>
                    <w14:schemeClr w14:val="tx1"/>
                  </w14:solidFill>
                </w14:textFill>
              </w:rPr>
            </w:pPr>
          </w:p>
        </w:tc>
      </w:tr>
    </w:tbl>
    <w:p w14:paraId="52FBB0CE">
      <w:pPr>
        <w:pStyle w:val="35"/>
        <w:widowControl w:val="0"/>
        <w:spacing w:before="0" w:beforeAutospacing="0" w:after="0" w:afterAutospacing="0" w:line="360" w:lineRule="auto"/>
        <w:jc w:val="both"/>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注：</w:t>
      </w:r>
      <w:r>
        <w:rPr>
          <w:rFonts w:cs="宋体"/>
          <w:b/>
          <w:bCs/>
          <w:color w:val="000000" w:themeColor="text1"/>
          <w:sz w:val="21"/>
          <w:szCs w:val="21"/>
          <w:highlight w:val="none"/>
          <w14:textFill>
            <w14:solidFill>
              <w14:schemeClr w14:val="tx1"/>
            </w14:solidFill>
          </w14:textFill>
        </w:rPr>
        <w:t>1.</w:t>
      </w:r>
      <w:r>
        <w:rPr>
          <w:rFonts w:hint="eastAsia" w:cs="宋体"/>
          <w:b/>
          <w:bCs/>
          <w:color w:val="000000" w:themeColor="text1"/>
          <w:sz w:val="21"/>
          <w:szCs w:val="21"/>
          <w:highlight w:val="none"/>
          <w14:textFill>
            <w14:solidFill>
              <w14:schemeClr w14:val="tx1"/>
            </w14:solidFill>
          </w14:textFill>
        </w:rPr>
        <w:t>，磋商保证金退还账户必须与交款账户一致，否则由此造成磋商保证金不能及时退还或退错的后果由供应商自负。</w:t>
      </w:r>
      <w:r>
        <w:rPr>
          <w:rFonts w:cs="宋体"/>
          <w:b/>
          <w:bCs/>
          <w:color w:val="000000" w:themeColor="text1"/>
          <w:sz w:val="21"/>
          <w:szCs w:val="21"/>
          <w:highlight w:val="none"/>
          <w14:textFill>
            <w14:solidFill>
              <w14:schemeClr w14:val="tx1"/>
            </w14:solidFill>
          </w14:textFill>
        </w:rPr>
        <w:t xml:space="preserve">       </w:t>
      </w:r>
    </w:p>
    <w:p w14:paraId="51CBD9DD">
      <w:pPr>
        <w:pStyle w:val="35"/>
        <w:widowControl w:val="0"/>
        <w:spacing w:before="0" w:beforeAutospacing="0" w:after="0" w:afterAutospacing="0" w:line="360" w:lineRule="auto"/>
        <w:ind w:firstLine="422" w:firstLineChars="200"/>
        <w:jc w:val="both"/>
        <w:rPr>
          <w:color w:val="000000" w:themeColor="text1"/>
          <w:highlight w:val="none"/>
          <w14:textFill>
            <w14:solidFill>
              <w14:schemeClr w14:val="tx1"/>
            </w14:solidFill>
          </w14:textFill>
        </w:rPr>
      </w:pPr>
      <w:r>
        <w:rPr>
          <w:rFonts w:cs="宋体"/>
          <w:b/>
          <w:bCs/>
          <w:color w:val="000000" w:themeColor="text1"/>
          <w:sz w:val="21"/>
          <w:szCs w:val="21"/>
          <w:highlight w:val="none"/>
          <w14:textFill>
            <w14:solidFill>
              <w14:schemeClr w14:val="tx1"/>
            </w14:solidFill>
          </w14:textFill>
        </w:rPr>
        <w:t>2.</w:t>
      </w:r>
      <w:r>
        <w:rPr>
          <w:rFonts w:hint="eastAsia" w:cs="宋体"/>
          <w:b/>
          <w:bCs/>
          <w:color w:val="000000" w:themeColor="text1"/>
          <w:sz w:val="21"/>
          <w:szCs w:val="21"/>
          <w:highlight w:val="none"/>
          <w14:textFill>
            <w14:solidFill>
              <w14:schemeClr w14:val="tx1"/>
            </w14:solidFill>
          </w14:textFill>
        </w:rPr>
        <w:t>以银行转账递交磋商保证金请在备注栏写明采购项目编号、包号及用途(磋商保证金)。</w:t>
      </w:r>
    </w:p>
    <w:tbl>
      <w:tblPr>
        <w:tblStyle w:val="38"/>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400"/>
      </w:tblGrid>
      <w:tr w14:paraId="7E9BCA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1591" w:hRule="atLeast"/>
          <w:jc w:val="center"/>
        </w:trPr>
        <w:tc>
          <w:tcPr>
            <w:tcW w:w="8740" w:type="dxa"/>
            <w:tcBorders>
              <w:top w:val="single" w:color="auto" w:sz="4" w:space="0"/>
              <w:bottom w:val="single" w:color="auto" w:sz="4" w:space="0"/>
            </w:tcBorders>
            <w:vAlign w:val="center"/>
          </w:tcPr>
          <w:p w14:paraId="1640322A">
            <w:pPr>
              <w:pStyle w:val="35"/>
              <w:widowControl w:val="0"/>
              <w:spacing w:before="0" w:beforeAutospacing="0" w:after="0" w:afterAutospacing="0" w:line="360" w:lineRule="auto"/>
              <w:jc w:val="center"/>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汇款单或转账凭证复印件</w:t>
            </w:r>
          </w:p>
        </w:tc>
      </w:tr>
    </w:tbl>
    <w:p w14:paraId="3D7F73E9">
      <w:pPr>
        <w:rPr>
          <w:rFonts w:hint="eastAsia"/>
          <w:color w:val="000000" w:themeColor="text1"/>
          <w:highlight w:val="none"/>
          <w14:textFill>
            <w14:solidFill>
              <w14:schemeClr w14:val="tx1"/>
            </w14:solidFill>
          </w14:textFill>
        </w:rPr>
      </w:pPr>
    </w:p>
    <w:p w14:paraId="0929C2B2">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六</w:t>
      </w:r>
      <w:r>
        <w:rPr>
          <w:rFonts w:hint="eastAsia" w:ascii="宋体" w:hAnsi="宋体" w:eastAsia="宋体" w:cs="Times New Roman"/>
          <w:b/>
          <w:color w:val="000000" w:themeColor="text1"/>
          <w:sz w:val="32"/>
          <w:szCs w:val="32"/>
          <w:highlight w:val="none"/>
          <w14:textFill>
            <w14:solidFill>
              <w14:schemeClr w14:val="tx1"/>
            </w14:solidFill>
          </w14:textFill>
        </w:rPr>
        <w:t>）建筑材料和设备节能环保要求承诺书</w:t>
      </w:r>
    </w:p>
    <w:p w14:paraId="221ECD0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12AC5F63">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79D40445">
      <w:pPr>
        <w:wordWrap w:val="0"/>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55B4CAD1">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13D5A898">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七</w:t>
      </w:r>
      <w:r>
        <w:rPr>
          <w:rFonts w:hint="eastAsia" w:ascii="宋体" w:hAnsi="宋体" w:eastAsia="宋体" w:cs="Times New Roman"/>
          <w:b/>
          <w:color w:val="000000" w:themeColor="text1"/>
          <w:sz w:val="32"/>
          <w:szCs w:val="32"/>
          <w:highlight w:val="none"/>
          <w14:textFill>
            <w14:solidFill>
              <w14:schemeClr w14:val="tx1"/>
            </w14:solidFill>
          </w14:textFill>
        </w:rPr>
        <w:t>）商务条款偏离表</w:t>
      </w:r>
    </w:p>
    <w:p w14:paraId="06B17B95">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（注：按采购需求具体条款修改）</w:t>
      </w:r>
    </w:p>
    <w:p w14:paraId="61DEA49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55E490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项目编号：</w:t>
      </w:r>
    </w:p>
    <w:p w14:paraId="7D2415C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项目名称：</w:t>
      </w:r>
    </w:p>
    <w:p w14:paraId="6C65B3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分标号：</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519"/>
        <w:gridCol w:w="2787"/>
        <w:gridCol w:w="2916"/>
      </w:tblGrid>
      <w:tr w14:paraId="5246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vAlign w:val="center"/>
          </w:tcPr>
          <w:p w14:paraId="14B5D7A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项号</w:t>
            </w:r>
          </w:p>
        </w:tc>
        <w:tc>
          <w:tcPr>
            <w:tcW w:w="1768" w:type="pct"/>
            <w:vAlign w:val="center"/>
          </w:tcPr>
          <w:p w14:paraId="1F201D0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竞争性磋商采购文件的商务要求</w:t>
            </w:r>
          </w:p>
        </w:tc>
        <w:tc>
          <w:tcPr>
            <w:tcW w:w="1400" w:type="pct"/>
            <w:vAlign w:val="center"/>
          </w:tcPr>
          <w:p w14:paraId="2E06882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响应文件的承诺</w:t>
            </w:r>
          </w:p>
        </w:tc>
        <w:tc>
          <w:tcPr>
            <w:tcW w:w="1465" w:type="pct"/>
            <w:vAlign w:val="center"/>
          </w:tcPr>
          <w:p w14:paraId="4BA34977">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偏离说明</w:t>
            </w:r>
          </w:p>
        </w:tc>
      </w:tr>
      <w:tr w14:paraId="3B27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6CC3ABA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p>
        </w:tc>
        <w:tc>
          <w:tcPr>
            <w:tcW w:w="1768" w:type="pct"/>
            <w:vAlign w:val="center"/>
          </w:tcPr>
          <w:p w14:paraId="299C22D8">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65F18CE9">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7EB7BBAE">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69A7F7C5">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00" w:type="pct"/>
            <w:vAlign w:val="center"/>
          </w:tcPr>
          <w:p w14:paraId="6BD9409E">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0890D780">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37A804C5">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43CBC70B">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65" w:type="pct"/>
            <w:vAlign w:val="center"/>
          </w:tcPr>
          <w:p w14:paraId="7B9FC3CA">
            <w:pPr>
              <w:jc w:val="center"/>
              <w:rPr>
                <w:rFonts w:ascii="宋体" w:hAnsi="宋体"/>
                <w:color w:val="000000" w:themeColor="text1"/>
                <w:szCs w:val="21"/>
                <w:highlight w:val="none"/>
                <w14:textFill>
                  <w14:solidFill>
                    <w14:schemeClr w14:val="tx1"/>
                  </w14:solidFill>
                </w14:textFill>
              </w:rPr>
            </w:pPr>
          </w:p>
        </w:tc>
      </w:tr>
      <w:tr w14:paraId="441B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64D9EB2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w:t>
            </w:r>
          </w:p>
        </w:tc>
        <w:tc>
          <w:tcPr>
            <w:tcW w:w="1768" w:type="pct"/>
            <w:vAlign w:val="center"/>
          </w:tcPr>
          <w:p w14:paraId="171FEEB9">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3F15ECB9">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472753EB">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4ACB28A0">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00" w:type="pct"/>
            <w:vAlign w:val="center"/>
          </w:tcPr>
          <w:p w14:paraId="6EE25C30">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7CF78403">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3E905A8E">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42EECFFA">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65" w:type="pct"/>
            <w:vAlign w:val="center"/>
          </w:tcPr>
          <w:p w14:paraId="5EAD9438">
            <w:pPr>
              <w:jc w:val="center"/>
              <w:rPr>
                <w:rFonts w:ascii="宋体" w:hAnsi="宋体"/>
                <w:color w:val="000000" w:themeColor="text1"/>
                <w:szCs w:val="21"/>
                <w:highlight w:val="none"/>
                <w14:textFill>
                  <w14:solidFill>
                    <w14:schemeClr w14:val="tx1"/>
                  </w14:solidFill>
                </w14:textFill>
              </w:rPr>
            </w:pPr>
          </w:p>
        </w:tc>
      </w:tr>
      <w:tr w14:paraId="7C12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01251B6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768" w:type="pct"/>
            <w:vAlign w:val="center"/>
          </w:tcPr>
          <w:p w14:paraId="079912B7">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166FB739">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56D4C249">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3B2E5209">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00" w:type="pct"/>
            <w:vAlign w:val="center"/>
          </w:tcPr>
          <w:p w14:paraId="7B0DE773">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5F753238">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2E146988">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6021626B">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65" w:type="pct"/>
            <w:vAlign w:val="center"/>
          </w:tcPr>
          <w:p w14:paraId="7BC97ECE">
            <w:pPr>
              <w:jc w:val="center"/>
              <w:rPr>
                <w:rFonts w:ascii="宋体" w:hAnsi="宋体"/>
                <w:color w:val="000000" w:themeColor="text1"/>
                <w:szCs w:val="21"/>
                <w:highlight w:val="none"/>
                <w14:textFill>
                  <w14:solidFill>
                    <w14:schemeClr w14:val="tx1"/>
                  </w14:solidFill>
                </w14:textFill>
              </w:rPr>
            </w:pPr>
          </w:p>
        </w:tc>
      </w:tr>
    </w:tbl>
    <w:p w14:paraId="71976AD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58EB60A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1.说明：应对照采购文件“第三章采购需求”的</w:t>
      </w:r>
      <w:r>
        <w:rPr>
          <w:rFonts w:hint="eastAsia" w:ascii="宋体" w:hAnsi="宋体" w:eastAsia="宋体"/>
          <w:b/>
          <w:color w:val="000000" w:themeColor="text1"/>
          <w:szCs w:val="21"/>
          <w:highlight w:val="none"/>
          <w14:textFill>
            <w14:solidFill>
              <w14:schemeClr w14:val="tx1"/>
            </w14:solidFill>
          </w14:textFill>
        </w:rPr>
        <w:t>商务要求</w:t>
      </w:r>
      <w:r>
        <w:rPr>
          <w:rFonts w:hint="eastAsia" w:ascii="宋体" w:hAnsi="宋体" w:eastAsia="宋体"/>
          <w:color w:val="000000" w:themeColor="text1"/>
          <w:szCs w:val="21"/>
          <w:highlight w:val="none"/>
          <w14:textFill>
            <w14:solidFill>
              <w14:schemeClr w14:val="tx1"/>
            </w14:solidFill>
          </w14:textFill>
        </w:rPr>
        <w:t>条款</w:t>
      </w:r>
      <w:r>
        <w:rPr>
          <w:rFonts w:hint="eastAsia" w:ascii="宋体" w:hAnsi="宋体" w:eastAsia="宋体"/>
          <w:b/>
          <w:color w:val="000000" w:themeColor="text1"/>
          <w:szCs w:val="21"/>
          <w:highlight w:val="none"/>
          <w14:textFill>
            <w14:solidFill>
              <w14:schemeClr w14:val="tx1"/>
            </w14:solidFill>
          </w14:textFill>
        </w:rPr>
        <w:t>逐条</w:t>
      </w:r>
      <w:r>
        <w:rPr>
          <w:rFonts w:hint="eastAsia" w:ascii="宋体" w:hAnsi="宋体" w:eastAsia="宋体"/>
          <w:color w:val="000000" w:themeColor="text1"/>
          <w:szCs w:val="21"/>
          <w:highlight w:val="none"/>
          <w14:textFill>
            <w14:solidFill>
              <w14:schemeClr w14:val="tx1"/>
            </w14:solidFill>
          </w14:textFill>
        </w:rPr>
        <w:t>作出明确响应，并作出偏离说明，否则竞争性磋商无效。</w:t>
      </w:r>
    </w:p>
    <w:p w14:paraId="58E79B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14:paraId="483F4D0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3.表格内容均需按要求填写，不得留空。</w:t>
      </w:r>
    </w:p>
    <w:p w14:paraId="3F7B832D">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法定代表人或者委托代理人（签字）：</w:t>
      </w:r>
    </w:p>
    <w:p w14:paraId="00642992">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1D9B7FD0">
      <w:pPr>
        <w:wordWrap w:val="0"/>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718303C3">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4A3436B7">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八</w:t>
      </w:r>
      <w:r>
        <w:rPr>
          <w:rFonts w:hint="eastAsia" w:ascii="宋体" w:hAnsi="宋体" w:eastAsia="宋体" w:cs="Times New Roman"/>
          <w:b/>
          <w:color w:val="000000" w:themeColor="text1"/>
          <w:sz w:val="32"/>
          <w:szCs w:val="32"/>
          <w:highlight w:val="none"/>
          <w14:textFill>
            <w14:solidFill>
              <w14:schemeClr w14:val="tx1"/>
            </w14:solidFill>
          </w14:textFill>
        </w:rPr>
        <w:t>）技术要求偏离表</w:t>
      </w:r>
    </w:p>
    <w:p w14:paraId="5023F374">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（注：按采购需求具体条款修改）</w:t>
      </w:r>
    </w:p>
    <w:p w14:paraId="0E3F95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项目编号：</w:t>
      </w:r>
    </w:p>
    <w:p w14:paraId="3850E92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项目名称：</w:t>
      </w:r>
    </w:p>
    <w:p w14:paraId="130E0A2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分标号：</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172"/>
        <w:gridCol w:w="1170"/>
        <w:gridCol w:w="1907"/>
        <w:gridCol w:w="1244"/>
        <w:gridCol w:w="1244"/>
        <w:gridCol w:w="1244"/>
        <w:gridCol w:w="1237"/>
      </w:tblGrid>
      <w:tr w14:paraId="2511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restart"/>
            <w:vAlign w:val="center"/>
          </w:tcPr>
          <w:p w14:paraId="1CA8A42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项号</w:t>
            </w:r>
          </w:p>
        </w:tc>
        <w:tc>
          <w:tcPr>
            <w:tcW w:w="2135" w:type="pct"/>
            <w:gridSpan w:val="3"/>
            <w:vAlign w:val="center"/>
          </w:tcPr>
          <w:p w14:paraId="0CAF580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竞争性磋商采购文件需求</w:t>
            </w:r>
          </w:p>
        </w:tc>
        <w:tc>
          <w:tcPr>
            <w:tcW w:w="1875" w:type="pct"/>
            <w:gridSpan w:val="3"/>
            <w:vAlign w:val="center"/>
          </w:tcPr>
          <w:p w14:paraId="3DD0937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响应文件承诺</w:t>
            </w:r>
          </w:p>
        </w:tc>
        <w:tc>
          <w:tcPr>
            <w:tcW w:w="621" w:type="pct"/>
            <w:vMerge w:val="restart"/>
            <w:vAlign w:val="center"/>
          </w:tcPr>
          <w:p w14:paraId="05B5A89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偏离说明</w:t>
            </w:r>
          </w:p>
        </w:tc>
      </w:tr>
      <w:tr w14:paraId="4BEA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continue"/>
            <w:vAlign w:val="center"/>
          </w:tcPr>
          <w:p w14:paraId="39AAD8C0">
            <w:pPr>
              <w:spacing w:line="360" w:lineRule="auto"/>
              <w:jc w:val="center"/>
              <w:rPr>
                <w:rFonts w:ascii="宋体" w:hAnsi="宋体"/>
                <w:color w:val="000000" w:themeColor="text1"/>
                <w:szCs w:val="21"/>
                <w:highlight w:val="none"/>
                <w14:textFill>
                  <w14:solidFill>
                    <w14:schemeClr w14:val="tx1"/>
                  </w14:solidFill>
                </w14:textFill>
              </w:rPr>
            </w:pPr>
          </w:p>
        </w:tc>
        <w:tc>
          <w:tcPr>
            <w:tcW w:w="589" w:type="pct"/>
            <w:vAlign w:val="center"/>
          </w:tcPr>
          <w:p w14:paraId="6A4A01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tc>
        <w:tc>
          <w:tcPr>
            <w:tcW w:w="588" w:type="pct"/>
            <w:vAlign w:val="center"/>
          </w:tcPr>
          <w:p w14:paraId="3430734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958" w:type="pct"/>
            <w:vAlign w:val="center"/>
          </w:tcPr>
          <w:p w14:paraId="41C3C55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技术要求</w:t>
            </w:r>
          </w:p>
        </w:tc>
        <w:tc>
          <w:tcPr>
            <w:tcW w:w="625" w:type="pct"/>
            <w:vAlign w:val="center"/>
          </w:tcPr>
          <w:p w14:paraId="0E772E5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tc>
        <w:tc>
          <w:tcPr>
            <w:tcW w:w="625" w:type="pct"/>
            <w:vAlign w:val="center"/>
          </w:tcPr>
          <w:p w14:paraId="0D39AA3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625" w:type="pct"/>
            <w:vAlign w:val="center"/>
          </w:tcPr>
          <w:p w14:paraId="78445F1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技术参数</w:t>
            </w:r>
          </w:p>
        </w:tc>
        <w:tc>
          <w:tcPr>
            <w:tcW w:w="621" w:type="pct"/>
            <w:vMerge w:val="continue"/>
            <w:vAlign w:val="center"/>
          </w:tcPr>
          <w:p w14:paraId="7201D8E3">
            <w:pPr>
              <w:spacing w:line="360" w:lineRule="auto"/>
              <w:jc w:val="center"/>
              <w:rPr>
                <w:rFonts w:ascii="宋体" w:hAnsi="宋体"/>
                <w:color w:val="000000" w:themeColor="text1"/>
                <w:szCs w:val="21"/>
                <w:highlight w:val="none"/>
                <w14:textFill>
                  <w14:solidFill>
                    <w14:schemeClr w14:val="tx1"/>
                  </w14:solidFill>
                </w14:textFill>
              </w:rPr>
            </w:pPr>
          </w:p>
        </w:tc>
      </w:tr>
      <w:tr w14:paraId="1730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7D16C55E">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589" w:type="pct"/>
            <w:vAlign w:val="center"/>
          </w:tcPr>
          <w:p w14:paraId="6D9E9058">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588" w:type="pct"/>
            <w:vAlign w:val="center"/>
          </w:tcPr>
          <w:p w14:paraId="77148111">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958" w:type="pct"/>
            <w:vAlign w:val="center"/>
          </w:tcPr>
          <w:p w14:paraId="68A8682D">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p w14:paraId="1FB1820E">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77D728A7">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143F7925">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625" w:type="pct"/>
            <w:vAlign w:val="center"/>
          </w:tcPr>
          <w:p w14:paraId="62173843">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625" w:type="pct"/>
            <w:vAlign w:val="center"/>
          </w:tcPr>
          <w:p w14:paraId="2FD6488B">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625" w:type="pct"/>
            <w:vAlign w:val="center"/>
          </w:tcPr>
          <w:p w14:paraId="4AA9CD0B">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p w14:paraId="6F2C02F3">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067A09F5">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12DCC237">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621" w:type="pct"/>
            <w:vAlign w:val="center"/>
          </w:tcPr>
          <w:p w14:paraId="3A137306">
            <w:pPr>
              <w:spacing w:line="360" w:lineRule="auto"/>
              <w:jc w:val="center"/>
              <w:rPr>
                <w:rFonts w:ascii="宋体" w:hAnsi="宋体"/>
                <w:color w:val="000000" w:themeColor="text1"/>
                <w:szCs w:val="21"/>
                <w:highlight w:val="none"/>
                <w14:textFill>
                  <w14:solidFill>
                    <w14:schemeClr w14:val="tx1"/>
                  </w14:solidFill>
                </w14:textFill>
              </w:rPr>
            </w:pPr>
          </w:p>
        </w:tc>
      </w:tr>
      <w:tr w14:paraId="636D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3C7C13B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589" w:type="pct"/>
            <w:vAlign w:val="center"/>
          </w:tcPr>
          <w:p w14:paraId="7F0C615C">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588" w:type="pct"/>
            <w:vAlign w:val="center"/>
          </w:tcPr>
          <w:p w14:paraId="1900147D">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958" w:type="pct"/>
            <w:vAlign w:val="center"/>
          </w:tcPr>
          <w:p w14:paraId="331EC1DF">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p w14:paraId="3E006646">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3060523D">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7A3FBA95">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625" w:type="pct"/>
            <w:vAlign w:val="center"/>
          </w:tcPr>
          <w:p w14:paraId="79E5F0D1">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625" w:type="pct"/>
            <w:vAlign w:val="center"/>
          </w:tcPr>
          <w:p w14:paraId="05548A86">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625" w:type="pct"/>
            <w:vAlign w:val="center"/>
          </w:tcPr>
          <w:p w14:paraId="1752EF41">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p w14:paraId="63B14968">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p w14:paraId="235A0ED9">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p w14:paraId="50F85C2B">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621" w:type="pct"/>
            <w:vAlign w:val="center"/>
          </w:tcPr>
          <w:p w14:paraId="62F4C672">
            <w:pPr>
              <w:spacing w:line="360" w:lineRule="auto"/>
              <w:jc w:val="center"/>
              <w:rPr>
                <w:rFonts w:ascii="宋体" w:hAnsi="宋体"/>
                <w:color w:val="000000" w:themeColor="text1"/>
                <w:szCs w:val="21"/>
                <w:highlight w:val="none"/>
                <w14:textFill>
                  <w14:solidFill>
                    <w14:schemeClr w14:val="tx1"/>
                  </w14:solidFill>
                </w14:textFill>
              </w:rPr>
            </w:pPr>
          </w:p>
        </w:tc>
      </w:tr>
      <w:tr w14:paraId="2555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097770A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589" w:type="pct"/>
            <w:vAlign w:val="center"/>
          </w:tcPr>
          <w:p w14:paraId="4629A975">
            <w:pPr>
              <w:spacing w:line="360" w:lineRule="auto"/>
              <w:jc w:val="center"/>
              <w:rPr>
                <w:rFonts w:ascii="宋体" w:hAnsi="宋体"/>
                <w:color w:val="000000" w:themeColor="text1"/>
                <w:szCs w:val="21"/>
                <w:highlight w:val="none"/>
                <w14:textFill>
                  <w14:solidFill>
                    <w14:schemeClr w14:val="tx1"/>
                  </w14:solidFill>
                </w14:textFill>
              </w:rPr>
            </w:pPr>
          </w:p>
        </w:tc>
        <w:tc>
          <w:tcPr>
            <w:tcW w:w="588" w:type="pct"/>
            <w:vAlign w:val="center"/>
          </w:tcPr>
          <w:p w14:paraId="4756D1D5">
            <w:pPr>
              <w:spacing w:line="360" w:lineRule="auto"/>
              <w:jc w:val="center"/>
              <w:rPr>
                <w:rFonts w:ascii="宋体" w:hAnsi="宋体"/>
                <w:color w:val="000000" w:themeColor="text1"/>
                <w:szCs w:val="21"/>
                <w:highlight w:val="none"/>
                <w14:textFill>
                  <w14:solidFill>
                    <w14:schemeClr w14:val="tx1"/>
                  </w14:solidFill>
                </w14:textFill>
              </w:rPr>
            </w:pPr>
          </w:p>
        </w:tc>
        <w:tc>
          <w:tcPr>
            <w:tcW w:w="958" w:type="pct"/>
            <w:vAlign w:val="center"/>
          </w:tcPr>
          <w:p w14:paraId="68BCBA88">
            <w:pPr>
              <w:spacing w:line="360" w:lineRule="auto"/>
              <w:jc w:val="center"/>
              <w:rPr>
                <w:rFonts w:ascii="宋体" w:hAnsi="宋体"/>
                <w:color w:val="000000" w:themeColor="text1"/>
                <w:szCs w:val="21"/>
                <w:highlight w:val="none"/>
                <w14:textFill>
                  <w14:solidFill>
                    <w14:schemeClr w14:val="tx1"/>
                  </w14:solidFill>
                </w14:textFill>
              </w:rPr>
            </w:pPr>
          </w:p>
        </w:tc>
        <w:tc>
          <w:tcPr>
            <w:tcW w:w="625" w:type="pct"/>
            <w:vAlign w:val="center"/>
          </w:tcPr>
          <w:p w14:paraId="2B4CF1A9">
            <w:pPr>
              <w:spacing w:line="360" w:lineRule="auto"/>
              <w:jc w:val="center"/>
              <w:rPr>
                <w:rFonts w:ascii="宋体" w:hAnsi="宋体"/>
                <w:color w:val="000000" w:themeColor="text1"/>
                <w:szCs w:val="21"/>
                <w:highlight w:val="none"/>
                <w14:textFill>
                  <w14:solidFill>
                    <w14:schemeClr w14:val="tx1"/>
                  </w14:solidFill>
                </w14:textFill>
              </w:rPr>
            </w:pPr>
          </w:p>
        </w:tc>
        <w:tc>
          <w:tcPr>
            <w:tcW w:w="625" w:type="pct"/>
            <w:vAlign w:val="center"/>
          </w:tcPr>
          <w:p w14:paraId="41DFBCB5">
            <w:pPr>
              <w:spacing w:line="360" w:lineRule="auto"/>
              <w:jc w:val="center"/>
              <w:rPr>
                <w:rFonts w:ascii="宋体" w:hAnsi="宋体"/>
                <w:color w:val="000000" w:themeColor="text1"/>
                <w:szCs w:val="21"/>
                <w:highlight w:val="none"/>
                <w14:textFill>
                  <w14:solidFill>
                    <w14:schemeClr w14:val="tx1"/>
                  </w14:solidFill>
                </w14:textFill>
              </w:rPr>
            </w:pPr>
          </w:p>
        </w:tc>
        <w:tc>
          <w:tcPr>
            <w:tcW w:w="625" w:type="pct"/>
            <w:vAlign w:val="center"/>
          </w:tcPr>
          <w:p w14:paraId="3F573D34">
            <w:pPr>
              <w:spacing w:line="360" w:lineRule="auto"/>
              <w:jc w:val="center"/>
              <w:rPr>
                <w:rFonts w:ascii="宋体" w:hAnsi="宋体"/>
                <w:color w:val="000000" w:themeColor="text1"/>
                <w:szCs w:val="21"/>
                <w:highlight w:val="none"/>
                <w14:textFill>
                  <w14:solidFill>
                    <w14:schemeClr w14:val="tx1"/>
                  </w14:solidFill>
                </w14:textFill>
              </w:rPr>
            </w:pPr>
          </w:p>
        </w:tc>
        <w:tc>
          <w:tcPr>
            <w:tcW w:w="621" w:type="pct"/>
            <w:vAlign w:val="center"/>
          </w:tcPr>
          <w:p w14:paraId="10D3B861">
            <w:pPr>
              <w:spacing w:line="360" w:lineRule="auto"/>
              <w:jc w:val="center"/>
              <w:rPr>
                <w:rFonts w:ascii="宋体" w:hAnsi="宋体"/>
                <w:color w:val="000000" w:themeColor="text1"/>
                <w:szCs w:val="21"/>
                <w:highlight w:val="none"/>
                <w14:textFill>
                  <w14:solidFill>
                    <w14:schemeClr w14:val="tx1"/>
                  </w14:solidFill>
                </w14:textFill>
              </w:rPr>
            </w:pPr>
          </w:p>
        </w:tc>
      </w:tr>
    </w:tbl>
    <w:p w14:paraId="4C2540D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4C360E7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1.应对照采购文件“第三章采购需求”的</w:t>
      </w:r>
      <w:r>
        <w:rPr>
          <w:rFonts w:hint="eastAsia" w:ascii="宋体" w:hAnsi="宋体" w:eastAsia="宋体"/>
          <w:b/>
          <w:color w:val="000000" w:themeColor="text1"/>
          <w:szCs w:val="21"/>
          <w:highlight w:val="none"/>
          <w14:textFill>
            <w14:solidFill>
              <w14:schemeClr w14:val="tx1"/>
            </w14:solidFill>
          </w14:textFill>
        </w:rPr>
        <w:t>技术要求</w:t>
      </w:r>
      <w:r>
        <w:rPr>
          <w:rFonts w:hint="eastAsia" w:ascii="宋体" w:hAnsi="宋体" w:eastAsia="宋体"/>
          <w:color w:val="000000" w:themeColor="text1"/>
          <w:szCs w:val="21"/>
          <w:highlight w:val="none"/>
          <w14:textFill>
            <w14:solidFill>
              <w14:schemeClr w14:val="tx1"/>
            </w14:solidFill>
          </w14:textFill>
        </w:rPr>
        <w:t>条款</w:t>
      </w:r>
      <w:r>
        <w:rPr>
          <w:rFonts w:hint="eastAsia" w:ascii="宋体" w:hAnsi="宋体" w:eastAsia="宋体"/>
          <w:b/>
          <w:color w:val="000000" w:themeColor="text1"/>
          <w:szCs w:val="21"/>
          <w:highlight w:val="none"/>
          <w14:textFill>
            <w14:solidFill>
              <w14:schemeClr w14:val="tx1"/>
            </w14:solidFill>
          </w14:textFill>
        </w:rPr>
        <w:t>逐条</w:t>
      </w:r>
      <w:r>
        <w:rPr>
          <w:rFonts w:hint="eastAsia" w:ascii="宋体" w:hAnsi="宋体" w:eastAsia="宋体"/>
          <w:color w:val="000000" w:themeColor="text1"/>
          <w:szCs w:val="21"/>
          <w:highlight w:val="none"/>
          <w14:textFill>
            <w14:solidFill>
              <w14:schemeClr w14:val="tx1"/>
            </w14:solidFill>
          </w14:textFill>
        </w:rPr>
        <w:t>作出明确响应，并作出偏离说明，否则竞争性磋商无效。</w:t>
      </w:r>
    </w:p>
    <w:p w14:paraId="50D5BD3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应根据自身的承诺，对照采购文件要求，在“偏离说明”中注明“正偏离”、“负偏离”或者“无偏离”。既不属于“正偏离”也不属于“负偏离”即为“无偏离”。当响应文件的技术内容低于采购文件要求时，供应商应当如实写明“负偏离”，否则视为虚假应标。</w:t>
      </w:r>
    </w:p>
    <w:p w14:paraId="32C842C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3.表格内容均需按要求填写并盖章，不得留空。</w:t>
      </w:r>
    </w:p>
    <w:p w14:paraId="47B7237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4.如技术要求偏离表中的竞标响应与佐证材料不一致的，以佐证材料为准。</w:t>
      </w:r>
    </w:p>
    <w:p w14:paraId="57D93FA9">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法定代表人或者委托代理人（签字）：</w:t>
      </w:r>
    </w:p>
    <w:p w14:paraId="446C1AA6">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02472D7F">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7FA916C8">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14DBF8F6">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九</w:t>
      </w:r>
      <w:r>
        <w:rPr>
          <w:rFonts w:hint="eastAsia" w:ascii="宋体" w:hAnsi="宋体" w:eastAsia="宋体" w:cs="Times New Roman"/>
          <w:b/>
          <w:color w:val="000000" w:themeColor="text1"/>
          <w:sz w:val="32"/>
          <w:szCs w:val="32"/>
          <w:highlight w:val="none"/>
          <w14:textFill>
            <w14:solidFill>
              <w14:schemeClr w14:val="tx1"/>
            </w14:solidFill>
          </w14:textFill>
        </w:rPr>
        <w:t>）施工组织设计</w:t>
      </w:r>
    </w:p>
    <w:p w14:paraId="55EABAF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格式自拟。</w:t>
      </w:r>
    </w:p>
    <w:p w14:paraId="2913D8D8">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十</w:t>
      </w:r>
      <w:r>
        <w:rPr>
          <w:rFonts w:hint="eastAsia" w:ascii="宋体" w:hAnsi="宋体" w:eastAsia="宋体" w:cs="Times New Roman"/>
          <w:b/>
          <w:color w:val="000000" w:themeColor="text1"/>
          <w:sz w:val="32"/>
          <w:szCs w:val="32"/>
          <w:highlight w:val="none"/>
          <w14:textFill>
            <w14:solidFill>
              <w14:schemeClr w14:val="tx1"/>
            </w14:solidFill>
          </w14:textFill>
        </w:rPr>
        <w:t>）拟分包项目情况表</w:t>
      </w:r>
    </w:p>
    <w:p w14:paraId="7972B00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格式自拟。</w:t>
      </w:r>
    </w:p>
    <w:p w14:paraId="3FD718E4">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十一</w:t>
      </w:r>
      <w:r>
        <w:rPr>
          <w:rFonts w:hint="eastAsia" w:ascii="宋体" w:hAnsi="宋体" w:eastAsia="宋体" w:cs="Times New Roman"/>
          <w:b/>
          <w:color w:val="000000" w:themeColor="text1"/>
          <w:sz w:val="32"/>
          <w:szCs w:val="32"/>
          <w:highlight w:val="none"/>
          <w14:textFill>
            <w14:solidFill>
              <w14:schemeClr w14:val="tx1"/>
            </w14:solidFill>
          </w14:textFill>
        </w:rPr>
        <w:t>）项目管理机构配备情况表及主要人员简历表</w:t>
      </w:r>
    </w:p>
    <w:p w14:paraId="39E2A67D">
      <w:pPr>
        <w:spacing w:line="360" w:lineRule="auto"/>
        <w:ind w:firstLine="420" w:firstLineChars="200"/>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格式自拟。</w:t>
      </w:r>
    </w:p>
    <w:p w14:paraId="4719E413">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14:textFill>
            <w14:solidFill>
              <w14:schemeClr w14:val="tx1"/>
            </w14:solidFill>
          </w14:textFill>
        </w:rPr>
        <w:t>十</w:t>
      </w:r>
      <w:r>
        <w:rPr>
          <w:rFonts w:hint="eastAsia" w:ascii="宋体" w:hAnsi="宋体" w:eastAsia="宋体" w:cs="Times New Roman"/>
          <w:b/>
          <w:color w:val="000000" w:themeColor="text1"/>
          <w:sz w:val="32"/>
          <w:szCs w:val="32"/>
          <w:highlight w:val="none"/>
          <w:lang w:val="en-US" w:eastAsia="zh-CN"/>
          <w14:textFill>
            <w14:solidFill>
              <w14:schemeClr w14:val="tx1"/>
            </w14:solidFill>
          </w14:textFill>
        </w:rPr>
        <w:t>二</w:t>
      </w:r>
      <w:r>
        <w:rPr>
          <w:rFonts w:ascii="宋体" w:hAnsi="宋体" w:eastAsia="宋体" w:cs="Times New Roman"/>
          <w:b/>
          <w:color w:val="000000" w:themeColor="text1"/>
          <w:sz w:val="32"/>
          <w:szCs w:val="32"/>
          <w:highlight w:val="none"/>
          <w14:textFill>
            <w14:solidFill>
              <w14:schemeClr w14:val="tx1"/>
            </w14:solidFill>
          </w14:textFill>
        </w:rPr>
        <w:t>）</w:t>
      </w:r>
      <w:r>
        <w:rPr>
          <w:rFonts w:hint="eastAsia" w:ascii="宋体" w:hAnsi="宋体" w:eastAsia="宋体" w:cs="Times New Roman"/>
          <w:b/>
          <w:color w:val="000000" w:themeColor="text1"/>
          <w:sz w:val="32"/>
          <w:szCs w:val="32"/>
          <w:highlight w:val="none"/>
          <w14:textFill>
            <w14:solidFill>
              <w14:schemeClr w14:val="tx1"/>
            </w14:solidFill>
          </w14:textFill>
        </w:rPr>
        <w:t>供应商业绩一览表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14:paraId="4A4E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74F7E80">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采购人名称</w:t>
            </w:r>
          </w:p>
        </w:tc>
        <w:tc>
          <w:tcPr>
            <w:tcW w:w="1185" w:type="dxa"/>
            <w:vAlign w:val="center"/>
          </w:tcPr>
          <w:p w14:paraId="4FB4C6EC">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项目名称</w:t>
            </w:r>
          </w:p>
        </w:tc>
        <w:tc>
          <w:tcPr>
            <w:tcW w:w="1185" w:type="dxa"/>
            <w:vAlign w:val="center"/>
          </w:tcPr>
          <w:p w14:paraId="65401E14">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合同金额（万元）</w:t>
            </w:r>
          </w:p>
        </w:tc>
        <w:tc>
          <w:tcPr>
            <w:tcW w:w="1185" w:type="dxa"/>
            <w:vAlign w:val="center"/>
          </w:tcPr>
          <w:p w14:paraId="67CED701">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开工日期</w:t>
            </w:r>
          </w:p>
        </w:tc>
        <w:tc>
          <w:tcPr>
            <w:tcW w:w="1185" w:type="dxa"/>
            <w:vAlign w:val="center"/>
          </w:tcPr>
          <w:p w14:paraId="051B373B">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竣工日期</w:t>
            </w:r>
          </w:p>
        </w:tc>
        <w:tc>
          <w:tcPr>
            <w:tcW w:w="1185" w:type="dxa"/>
            <w:vAlign w:val="center"/>
          </w:tcPr>
          <w:p w14:paraId="00227B33">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在建或已完</w:t>
            </w:r>
          </w:p>
        </w:tc>
        <w:tc>
          <w:tcPr>
            <w:tcW w:w="1186" w:type="dxa"/>
            <w:vAlign w:val="center"/>
          </w:tcPr>
          <w:p w14:paraId="45DCFFC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采购人联系人及联系电话</w:t>
            </w:r>
          </w:p>
        </w:tc>
      </w:tr>
      <w:tr w14:paraId="2DF4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2E2228B">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7853FA5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48B71519">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32B13CEB">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547ADF3B">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08D2CECD">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6" w:type="dxa"/>
            <w:vAlign w:val="center"/>
          </w:tcPr>
          <w:p w14:paraId="1A544553">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47DD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0C5A58C0">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010B767A">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2FCCC6B1">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5DEF39C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3D87BB6E">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1B2E34FE">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6" w:type="dxa"/>
            <w:vAlign w:val="center"/>
          </w:tcPr>
          <w:p w14:paraId="56B3B96E">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0351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1CE5A0D3">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30577234">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25C50D88">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13A4EFAD">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398B8E73">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39E49A0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6" w:type="dxa"/>
            <w:vAlign w:val="center"/>
          </w:tcPr>
          <w:p w14:paraId="11F51C77">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210A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71E46609">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622B48FA">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319B8A58">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37171E8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0CFBACC4">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2E1F8EC1">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6" w:type="dxa"/>
            <w:vAlign w:val="center"/>
          </w:tcPr>
          <w:p w14:paraId="0BB45AC2">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0328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8F94534">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7DE0A41E">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2E051700">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14501778">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5FA12079">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43679F8B">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6" w:type="dxa"/>
            <w:vAlign w:val="center"/>
          </w:tcPr>
          <w:p w14:paraId="79606C50">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7795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36F650C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2286849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1D989315">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014F4F65">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5AA58319">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5" w:type="dxa"/>
            <w:vAlign w:val="center"/>
          </w:tcPr>
          <w:p w14:paraId="1AA332C6">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86" w:type="dxa"/>
            <w:vAlign w:val="center"/>
          </w:tcPr>
          <w:p w14:paraId="01DF88F6">
            <w:pPr>
              <w:spacing w:line="360" w:lineRule="auto"/>
              <w:jc w:val="center"/>
              <w:rPr>
                <w:rFonts w:ascii="宋体" w:hAnsi="宋体" w:eastAsia="宋体"/>
                <w:color w:val="000000" w:themeColor="text1"/>
                <w:szCs w:val="21"/>
                <w:highlight w:val="none"/>
                <w14:textFill>
                  <w14:solidFill>
                    <w14:schemeClr w14:val="tx1"/>
                  </w14:solidFill>
                </w14:textFill>
              </w:rPr>
            </w:pPr>
          </w:p>
        </w:tc>
      </w:tr>
    </w:tbl>
    <w:p w14:paraId="4DBABC30">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法定代表人或者委托代理人（签字）：</w:t>
      </w:r>
    </w:p>
    <w:p w14:paraId="0FD2606C">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14C9C0B1">
      <w:pPr>
        <w:spacing w:line="360" w:lineRule="auto"/>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日</w:t>
      </w:r>
    </w:p>
    <w:p w14:paraId="1AF1F549">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098B830">
      <w:pPr>
        <w:pStyle w:val="2"/>
        <w:jc w:val="center"/>
        <w:rPr>
          <w:color w:val="000000" w:themeColor="text1"/>
          <w:highlight w:val="none"/>
          <w14:textFill>
            <w14:solidFill>
              <w14:schemeClr w14:val="tx1"/>
            </w14:solidFill>
          </w14:textFill>
        </w:rPr>
      </w:pPr>
      <w:bookmarkStart w:id="43" w:name="_Toc24334"/>
      <w:r>
        <w:rPr>
          <w:rFonts w:hint="eastAsia"/>
          <w:color w:val="000000" w:themeColor="text1"/>
          <w:highlight w:val="none"/>
          <w14:textFill>
            <w14:solidFill>
              <w14:schemeClr w14:val="tx1"/>
            </w14:solidFill>
          </w14:textFill>
        </w:rPr>
        <w:t>第七</w:t>
      </w:r>
      <w:r>
        <w:rPr>
          <w:rFonts w:hint="eastAsia" w:ascii="宋体" w:hAnsi="宋体" w:eastAsia="宋体"/>
          <w:color w:val="000000" w:themeColor="text1"/>
          <w:spacing w:val="100"/>
          <w:highlight w:val="none"/>
          <w14:textFill>
            <w14:solidFill>
              <w14:schemeClr w14:val="tx1"/>
            </w14:solidFill>
          </w14:textFill>
        </w:rPr>
        <w:t>章</w:t>
      </w:r>
      <w:r>
        <w:rPr>
          <w:rFonts w:hint="eastAsia"/>
          <w:color w:val="000000" w:themeColor="text1"/>
          <w:highlight w:val="none"/>
          <w14:textFill>
            <w14:solidFill>
              <w14:schemeClr w14:val="tx1"/>
            </w14:solidFill>
          </w14:textFill>
        </w:rPr>
        <w:t>合同文本</w:t>
      </w:r>
      <w:bookmarkEnd w:id="43"/>
    </w:p>
    <w:p w14:paraId="0931C3AF">
      <w:pPr>
        <w:rPr>
          <w:rFonts w:eastAsia="仿宋_GB2312"/>
          <w:bCs/>
          <w:color w:val="000000" w:themeColor="text1"/>
          <w:sz w:val="32"/>
          <w:szCs w:val="32"/>
          <w:highlight w:val="none"/>
          <w14:textFill>
            <w14:solidFill>
              <w14:schemeClr w14:val="tx1"/>
            </w14:solidFill>
          </w14:textFill>
        </w:rPr>
      </w:pPr>
      <w:r>
        <w:rPr>
          <w:rFonts w:eastAsia="仿宋_GB2312"/>
          <w:bCs/>
          <w:color w:val="000000" w:themeColor="text1"/>
          <w:sz w:val="32"/>
          <w:szCs w:val="32"/>
          <w:highlight w:val="none"/>
          <w14:textFill>
            <w14:solidFill>
              <w14:schemeClr w14:val="tx1"/>
            </w14:solidFill>
          </w14:textFill>
        </w:rPr>
        <w:t>（GF—201</w:t>
      </w:r>
      <w:r>
        <w:rPr>
          <w:rFonts w:hint="eastAsia" w:eastAsia="仿宋_GB2312"/>
          <w:bCs/>
          <w:color w:val="000000" w:themeColor="text1"/>
          <w:sz w:val="32"/>
          <w:szCs w:val="32"/>
          <w:highlight w:val="none"/>
          <w14:textFill>
            <w14:solidFill>
              <w14:schemeClr w14:val="tx1"/>
            </w14:solidFill>
          </w14:textFill>
        </w:rPr>
        <w:t>7</w:t>
      </w:r>
      <w:r>
        <w:rPr>
          <w:rFonts w:eastAsia="仿宋_GB2312"/>
          <w:bCs/>
          <w:color w:val="000000" w:themeColor="text1"/>
          <w:sz w:val="32"/>
          <w:szCs w:val="32"/>
          <w:highlight w:val="none"/>
          <w14:textFill>
            <w14:solidFill>
              <w14:schemeClr w14:val="tx1"/>
            </w14:solidFill>
          </w14:textFill>
        </w:rPr>
        <w:t>—</w:t>
      </w:r>
      <w:r>
        <w:rPr>
          <w:rFonts w:hint="eastAsia" w:eastAsia="仿宋_GB2312"/>
          <w:bCs/>
          <w:color w:val="000000" w:themeColor="text1"/>
          <w:sz w:val="32"/>
          <w:szCs w:val="32"/>
          <w:highlight w:val="none"/>
          <w14:textFill>
            <w14:solidFill>
              <w14:schemeClr w14:val="tx1"/>
            </w14:solidFill>
          </w14:textFill>
        </w:rPr>
        <w:t>0201）</w:t>
      </w:r>
    </w:p>
    <w:p w14:paraId="552CC852">
      <w:pPr>
        <w:rPr>
          <w:rFonts w:eastAsia="仿宋_GB2312"/>
          <w:bCs/>
          <w:color w:val="000000" w:themeColor="text1"/>
          <w:sz w:val="32"/>
          <w:szCs w:val="32"/>
          <w:highlight w:val="none"/>
          <w14:textFill>
            <w14:solidFill>
              <w14:schemeClr w14:val="tx1"/>
            </w14:solidFill>
          </w14:textFill>
        </w:rPr>
      </w:pPr>
    </w:p>
    <w:p w14:paraId="320DD106">
      <w:pPr>
        <w:rPr>
          <w:rFonts w:eastAsia="仿宋_GB2312"/>
          <w:bCs/>
          <w:color w:val="000000" w:themeColor="text1"/>
          <w:sz w:val="32"/>
          <w:szCs w:val="32"/>
          <w:highlight w:val="none"/>
          <w14:textFill>
            <w14:solidFill>
              <w14:schemeClr w14:val="tx1"/>
            </w14:solidFill>
          </w14:textFill>
        </w:rPr>
      </w:pPr>
    </w:p>
    <w:p w14:paraId="5718A7D9">
      <w:pPr>
        <w:rPr>
          <w:rFonts w:eastAsia="仿宋_GB2312"/>
          <w:bCs/>
          <w:color w:val="000000" w:themeColor="text1"/>
          <w:sz w:val="32"/>
          <w:szCs w:val="32"/>
          <w:highlight w:val="none"/>
          <w14:textFill>
            <w14:solidFill>
              <w14:schemeClr w14:val="tx1"/>
            </w14:solidFill>
          </w14:textFill>
        </w:rPr>
      </w:pPr>
    </w:p>
    <w:p w14:paraId="67EC1369">
      <w:pPr>
        <w:jc w:val="center"/>
        <w:rPr>
          <w:rFonts w:eastAsia="华文中宋"/>
          <w:b/>
          <w:color w:val="000000" w:themeColor="text1"/>
          <w:sz w:val="72"/>
          <w:szCs w:val="52"/>
          <w:highlight w:val="none"/>
          <w14:textFill>
            <w14:solidFill>
              <w14:schemeClr w14:val="tx1"/>
            </w14:solidFill>
          </w14:textFill>
        </w:rPr>
      </w:pPr>
      <w:r>
        <w:rPr>
          <w:rFonts w:eastAsia="华文中宋"/>
          <w:b/>
          <w:color w:val="000000" w:themeColor="text1"/>
          <w:sz w:val="72"/>
          <w:szCs w:val="52"/>
          <w:highlight w:val="none"/>
          <w14:textFill>
            <w14:solidFill>
              <w14:schemeClr w14:val="tx1"/>
            </w14:solidFill>
          </w14:textFill>
        </w:rPr>
        <w:t>建设工程施工合同</w:t>
      </w:r>
    </w:p>
    <w:p w14:paraId="66B18C58">
      <w:pPr>
        <w:jc w:val="center"/>
        <w:rPr>
          <w:rFonts w:eastAsia="华文中宋"/>
          <w:b/>
          <w:color w:val="000000" w:themeColor="text1"/>
          <w:sz w:val="52"/>
          <w:szCs w:val="52"/>
          <w:highlight w:val="none"/>
          <w14:textFill>
            <w14:solidFill>
              <w14:schemeClr w14:val="tx1"/>
            </w14:solidFill>
          </w14:textFill>
        </w:rPr>
      </w:pPr>
      <w:r>
        <w:rPr>
          <w:rFonts w:eastAsia="华文中宋"/>
          <w:b/>
          <w:color w:val="000000" w:themeColor="text1"/>
          <w:sz w:val="52"/>
          <w:szCs w:val="52"/>
          <w:highlight w:val="none"/>
          <w14:textFill>
            <w14:solidFill>
              <w14:schemeClr w14:val="tx1"/>
            </w14:solidFill>
          </w14:textFill>
        </w:rPr>
        <w:t>（示范文本）</w:t>
      </w:r>
    </w:p>
    <w:p w14:paraId="4461E6B5">
      <w:pPr>
        <w:jc w:val="center"/>
        <w:rPr>
          <w:rFonts w:eastAsia="华文中宋"/>
          <w:b/>
          <w:color w:val="000000" w:themeColor="text1"/>
          <w:sz w:val="52"/>
          <w:szCs w:val="52"/>
          <w:highlight w:val="none"/>
          <w14:textFill>
            <w14:solidFill>
              <w14:schemeClr w14:val="tx1"/>
            </w14:solidFill>
          </w14:textFill>
        </w:rPr>
      </w:pPr>
    </w:p>
    <w:p w14:paraId="7ADC8651">
      <w:pPr>
        <w:jc w:val="center"/>
        <w:rPr>
          <w:rFonts w:eastAsia="黑体"/>
          <w:b/>
          <w:color w:val="000000" w:themeColor="text1"/>
          <w:sz w:val="72"/>
          <w:szCs w:val="72"/>
          <w:highlight w:val="none"/>
          <w14:textFill>
            <w14:solidFill>
              <w14:schemeClr w14:val="tx1"/>
            </w14:solidFill>
          </w14:textFill>
        </w:rPr>
      </w:pPr>
    </w:p>
    <w:p w14:paraId="7919C616">
      <w:pPr>
        <w:jc w:val="center"/>
        <w:rPr>
          <w:rFonts w:eastAsia="楷体_GB2312"/>
          <w:b/>
          <w:color w:val="000000" w:themeColor="text1"/>
          <w:sz w:val="72"/>
          <w:szCs w:val="72"/>
          <w:highlight w:val="none"/>
          <w14:textFill>
            <w14:solidFill>
              <w14:schemeClr w14:val="tx1"/>
            </w14:solidFill>
          </w14:textFill>
        </w:rPr>
      </w:pPr>
    </w:p>
    <w:p w14:paraId="6CD13326">
      <w:pPr>
        <w:jc w:val="center"/>
        <w:rPr>
          <w:rFonts w:eastAsia="黑体"/>
          <w:b/>
          <w:color w:val="000000" w:themeColor="text1"/>
          <w:sz w:val="52"/>
          <w:szCs w:val="52"/>
          <w:highlight w:val="none"/>
          <w14:textFill>
            <w14:solidFill>
              <w14:schemeClr w14:val="tx1"/>
            </w14:solidFill>
          </w14:textFill>
        </w:rPr>
      </w:pPr>
    </w:p>
    <w:p w14:paraId="30A42E12">
      <w:pPr>
        <w:rPr>
          <w:b/>
          <w:color w:val="000000" w:themeColor="text1"/>
          <w:sz w:val="28"/>
          <w:szCs w:val="28"/>
          <w:highlight w:val="none"/>
          <w14:textFill>
            <w14:solidFill>
              <w14:schemeClr w14:val="tx1"/>
            </w14:solidFill>
          </w14:textFill>
        </w:rPr>
      </w:pPr>
    </w:p>
    <w:p w14:paraId="2588265B">
      <w:pPr>
        <w:rPr>
          <w:b/>
          <w:color w:val="000000" w:themeColor="text1"/>
          <w:sz w:val="28"/>
          <w:szCs w:val="28"/>
          <w:highlight w:val="none"/>
          <w14:textFill>
            <w14:solidFill>
              <w14:schemeClr w14:val="tx1"/>
            </w14:solidFill>
          </w14:textFill>
        </w:rPr>
      </w:pPr>
    </w:p>
    <w:p w14:paraId="73344546">
      <w:pPr>
        <w:ind w:right="2719" w:rightChars="1295"/>
        <w:jc w:val="distribute"/>
        <w:rPr>
          <w:b/>
          <w:color w:val="000000" w:themeColor="text1"/>
          <w:sz w:val="32"/>
          <w:szCs w:val="28"/>
          <w:highlight w:val="none"/>
          <w14:textFill>
            <w14:solidFill>
              <w14:schemeClr w14:val="tx1"/>
            </w14:solidFill>
          </w14:textFill>
        </w:rPr>
      </w:pPr>
    </w:p>
    <w:p w14:paraId="375294ED">
      <w:pPr>
        <w:ind w:right="2719" w:rightChars="1295"/>
        <w:jc w:val="center"/>
        <w:rPr>
          <w:b/>
          <w:color w:val="000000" w:themeColor="text1"/>
          <w:sz w:val="32"/>
          <w:szCs w:val="28"/>
          <w:highlight w:val="none"/>
          <w14:textFill>
            <w14:solidFill>
              <w14:schemeClr w14:val="tx1"/>
            </w14:solidFill>
          </w14:textFill>
        </w:rPr>
      </w:pPr>
      <w:r>
        <w:rPr>
          <w:rFonts w:cs="黑体"/>
          <w:color w:val="000000" w:themeColor="text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4198620</wp:posOffset>
                </wp:positionH>
                <wp:positionV relativeFrom="paragraph">
                  <wp:posOffset>24765</wp:posOffset>
                </wp:positionV>
                <wp:extent cx="723900" cy="457200"/>
                <wp:effectExtent l="4445" t="4445" r="18415" b="10795"/>
                <wp:wrapNone/>
                <wp:docPr id="1026" name="矩形 9"/>
                <wp:cNvGraphicFramePr/>
                <a:graphic xmlns:a="http://schemas.openxmlformats.org/drawingml/2006/main">
                  <a:graphicData uri="http://schemas.microsoft.com/office/word/2010/wordprocessingShape">
                    <wps:wsp>
                      <wps:cNvSpPr/>
                      <wps:spPr>
                        <a:xfrm>
                          <a:off x="0" y="0"/>
                          <a:ext cx="723900" cy="457200"/>
                        </a:xfrm>
                        <a:prstGeom prst="rect">
                          <a:avLst/>
                        </a:prstGeom>
                        <a:ln w="9525" cap="flat" cmpd="sng">
                          <a:solidFill>
                            <a:srgbClr val="FFFFFF"/>
                          </a:solidFill>
                          <a:prstDash val="solid"/>
                          <a:miter/>
                          <a:headEnd type="none" w="med" len="med"/>
                          <a:tailEnd type="none" w="med" len="med"/>
                        </a:ln>
                      </wps:spPr>
                      <wps:txbx>
                        <w:txbxContent>
                          <w:p w14:paraId="615DF44E">
                            <w:pPr>
                              <w:rPr>
                                <w:b/>
                                <w:bCs/>
                                <w:sz w:val="32"/>
                              </w:rPr>
                            </w:pPr>
                            <w:r>
                              <w:rPr>
                                <w:rFonts w:hint="eastAsia"/>
                                <w:b/>
                                <w:bCs/>
                                <w:sz w:val="32"/>
                              </w:rPr>
                              <w:t>制定</w:t>
                            </w:r>
                          </w:p>
                        </w:txbxContent>
                      </wps:txbx>
                      <wps:bodyPr upright="1"/>
                    </wps:wsp>
                  </a:graphicData>
                </a:graphic>
              </wp:anchor>
            </w:drawing>
          </mc:Choice>
          <mc:Fallback>
            <w:pict>
              <v:rect id="矩形 9" o:spid="_x0000_s1026" o:spt="1" style="position:absolute;left:0pt;margin-left:330.6pt;margin-top:1.95pt;height:36pt;width:57pt;z-index:251659264;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LE4BTZAAAACAEAAA8AAAAAAAAAAQAgAAAAIgAAAGRycy9kb3ducmV2Lnht&#10;bFBLAQIUABQAAAAIAIdO4kA6noS6+AEAAPcDAAAOAAAAAAAAAAEAIAAAACgBAABkcnMvZTJvRG9j&#10;LnhtbFBLBQYAAAAABgAGAFkBAACSBQAAAAA=&#10;">
                <v:fill on="f" focussize="0,0"/>
                <v:stroke color="#FFFFFF" joinstyle="miter"/>
                <v:imagedata o:title=""/>
                <o:lock v:ext="edit" aspectratio="f"/>
                <v:textbox>
                  <w:txbxContent>
                    <w:p w14:paraId="615DF44E">
                      <w:pPr>
                        <w:rPr>
                          <w:b/>
                          <w:bCs/>
                          <w:sz w:val="32"/>
                        </w:rPr>
                      </w:pPr>
                      <w:r>
                        <w:rPr>
                          <w:rFonts w:hint="eastAsia"/>
                          <w:b/>
                          <w:bCs/>
                          <w:sz w:val="32"/>
                        </w:rPr>
                        <w:t>制定</w:t>
                      </w:r>
                    </w:p>
                  </w:txbxContent>
                </v:textbox>
              </v:rect>
            </w:pict>
          </mc:Fallback>
        </mc:AlternateContent>
      </w:r>
      <w:r>
        <w:rPr>
          <w:rFonts w:hint="eastAsia"/>
          <w:b/>
          <w:color w:val="000000" w:themeColor="text1"/>
          <w:sz w:val="32"/>
          <w:szCs w:val="28"/>
          <w:highlight w:val="none"/>
          <w14:textFill>
            <w14:solidFill>
              <w14:schemeClr w14:val="tx1"/>
            </w14:solidFill>
          </w14:textFill>
        </w:rPr>
        <w:t xml:space="preserve">            </w:t>
      </w:r>
      <w:r>
        <w:rPr>
          <w:b/>
          <w:color w:val="000000" w:themeColor="text1"/>
          <w:sz w:val="32"/>
          <w:szCs w:val="28"/>
          <w:highlight w:val="none"/>
          <w14:textFill>
            <w14:solidFill>
              <w14:schemeClr w14:val="tx1"/>
            </w14:solidFill>
          </w14:textFill>
        </w:rPr>
        <w:t>住房城乡建设部</w:t>
      </w:r>
    </w:p>
    <w:p w14:paraId="762823BB">
      <w:pPr>
        <w:ind w:right="2719" w:rightChars="1295"/>
        <w:jc w:val="center"/>
        <w:rPr>
          <w:color w:val="000000" w:themeColor="text1"/>
          <w:highlight w:val="none"/>
          <w14:textFill>
            <w14:solidFill>
              <w14:schemeClr w14:val="tx1"/>
            </w14:solidFill>
          </w14:textFill>
        </w:rPr>
      </w:pPr>
      <w:r>
        <w:rPr>
          <w:rFonts w:hint="eastAsia"/>
          <w:b/>
          <w:color w:val="000000" w:themeColor="text1"/>
          <w:sz w:val="32"/>
          <w:szCs w:val="28"/>
          <w:highlight w:val="none"/>
          <w14:textFill>
            <w14:solidFill>
              <w14:schemeClr w14:val="tx1"/>
            </w14:solidFill>
          </w14:textFill>
        </w:rPr>
        <w:t xml:space="preserve">              </w:t>
      </w:r>
      <w:r>
        <w:rPr>
          <w:b/>
          <w:color w:val="000000" w:themeColor="text1"/>
          <w:sz w:val="32"/>
          <w:szCs w:val="28"/>
          <w:highlight w:val="none"/>
          <w14:textFill>
            <w14:solidFill>
              <w14:schemeClr w14:val="tx1"/>
            </w14:solidFill>
          </w14:textFill>
        </w:rPr>
        <w:t>国家工商行政管理总局</w:t>
      </w:r>
    </w:p>
    <w:p w14:paraId="7CEFC2C1">
      <w:pPr>
        <w:pStyle w:val="16"/>
        <w:ind w:left="63" w:right="63"/>
        <w:rPr>
          <w:rFonts w:ascii="黑体" w:hAnsi="宋体" w:eastAsia="黑体" w:cs="黑体"/>
          <w:b/>
          <w:color w:val="000000" w:themeColor="text1"/>
          <w:sz w:val="32"/>
          <w:szCs w:val="32"/>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150F4FD7">
      <w:pPr>
        <w:pStyle w:val="3"/>
        <w:spacing w:before="0" w:after="0" w:line="240" w:lineRule="auto"/>
        <w:jc w:val="center"/>
        <w:rPr>
          <w:rFonts w:ascii="宋体" w:hAnsi="宋体" w:eastAsia="宋体"/>
          <w:color w:val="000000" w:themeColor="text1"/>
          <w:sz w:val="30"/>
          <w:szCs w:val="30"/>
          <w:highlight w:val="none"/>
          <w14:textFill>
            <w14:solidFill>
              <w14:schemeClr w14:val="tx1"/>
            </w14:solidFill>
          </w14:textFill>
        </w:rPr>
      </w:pPr>
      <w:bookmarkStart w:id="44" w:name="_Toc8139"/>
      <w:r>
        <w:rPr>
          <w:rFonts w:hint="eastAsia" w:ascii="宋体" w:hAnsi="宋体" w:eastAsia="宋体"/>
          <w:color w:val="000000" w:themeColor="text1"/>
          <w:sz w:val="30"/>
          <w:szCs w:val="30"/>
          <w:highlight w:val="none"/>
          <w14:textFill>
            <w14:solidFill>
              <w14:schemeClr w14:val="tx1"/>
            </w14:solidFill>
          </w14:textFill>
        </w:rPr>
        <w:t>第一部分</w:t>
      </w:r>
      <w:r>
        <w:rPr>
          <w:rFonts w:ascii="宋体" w:hAnsi="宋体" w:eastAsia="宋体"/>
          <w:color w:val="000000" w:themeColor="text1"/>
          <w:sz w:val="30"/>
          <w:szCs w:val="30"/>
          <w:highlight w:val="none"/>
          <w14:textFill>
            <w14:solidFill>
              <w14:schemeClr w14:val="tx1"/>
            </w14:solidFill>
          </w14:textFill>
        </w:rPr>
        <w:t xml:space="preserve"> </w:t>
      </w:r>
      <w:r>
        <w:rPr>
          <w:rFonts w:hint="eastAsia" w:ascii="宋体" w:hAnsi="宋体" w:eastAsia="宋体"/>
          <w:color w:val="000000" w:themeColor="text1"/>
          <w:sz w:val="30"/>
          <w:szCs w:val="30"/>
          <w:highlight w:val="none"/>
          <w14:textFill>
            <w14:solidFill>
              <w14:schemeClr w14:val="tx1"/>
            </w14:solidFill>
          </w14:textFill>
        </w:rPr>
        <w:t>合同协议书</w:t>
      </w:r>
      <w:bookmarkEnd w:id="44"/>
    </w:p>
    <w:p w14:paraId="0776A9F9">
      <w:pPr>
        <w:pStyle w:val="141"/>
        <w:rPr>
          <w:color w:val="000000" w:themeColor="text1"/>
          <w:highlight w:val="none"/>
          <w14:textFill>
            <w14:solidFill>
              <w14:schemeClr w14:val="tx1"/>
            </w14:solidFill>
          </w14:textFill>
        </w:rPr>
      </w:pPr>
    </w:p>
    <w:p w14:paraId="6E637824">
      <w:pPr>
        <w:spacing w:line="440" w:lineRule="exact"/>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发包人（全称）：</w:t>
      </w:r>
      <w:r>
        <w:rPr>
          <w:rFonts w:hint="eastAsia" w:ascii="宋体" w:hAnsi="宋体" w:cs="宋体"/>
          <w:color w:val="000000" w:themeColor="text1"/>
          <w:szCs w:val="21"/>
          <w:highlight w:val="none"/>
          <w:u w:val="single"/>
          <w:lang w:eastAsia="zh-CN"/>
          <w14:textFill>
            <w14:solidFill>
              <w14:schemeClr w14:val="tx1"/>
            </w14:solidFill>
          </w14:textFill>
        </w:rPr>
        <w:t>广西艺术学院</w:t>
      </w:r>
    </w:p>
    <w:p w14:paraId="7904F03D">
      <w:pPr>
        <w:spacing w:line="44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承包人（全称）：</w:t>
      </w:r>
      <w:r>
        <w:rPr>
          <w:rFonts w:hint="eastAsia" w:ascii="宋体" w:hAnsi="宋体" w:cs="宋体"/>
          <w:color w:val="000000" w:themeColor="text1"/>
          <w:szCs w:val="21"/>
          <w:highlight w:val="none"/>
          <w:u w:val="single"/>
          <w14:textFill>
            <w14:solidFill>
              <w14:schemeClr w14:val="tx1"/>
            </w14:solidFill>
          </w14:textFill>
        </w:rPr>
        <w:t></w:t>
      </w:r>
    </w:p>
    <w:p w14:paraId="4D815B68">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color w:val="000000" w:themeColor="text1"/>
          <w:szCs w:val="21"/>
          <w:highlight w:val="none"/>
          <w:u w:val="single"/>
          <w:lang w:eastAsia="zh-CN"/>
          <w14:textFill>
            <w14:solidFill>
              <w14:schemeClr w14:val="tx1"/>
            </w14:solidFill>
          </w14:textFill>
        </w:rPr>
        <w:t>广西艺术学院相思湖校区消防管道维修改造项目</w:t>
      </w:r>
      <w:r>
        <w:rPr>
          <w:rFonts w:hint="eastAsia" w:ascii="宋体" w:hAnsi="宋体" w:cs="宋体"/>
          <w:color w:val="000000" w:themeColor="text1"/>
          <w:szCs w:val="21"/>
          <w:highlight w:val="none"/>
          <w14:textFill>
            <w14:solidFill>
              <w14:schemeClr w14:val="tx1"/>
            </w14:solidFill>
          </w14:textFill>
        </w:rPr>
        <w:t>施工及有关事项协商一致，共同达成如下协议：</w:t>
      </w:r>
      <w:bookmarkStart w:id="45" w:name="_Toc351203481"/>
    </w:p>
    <w:p w14:paraId="769C795F">
      <w:pPr>
        <w:spacing w:line="44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一、工程概况</w:t>
      </w:r>
      <w:bookmarkEnd w:id="45"/>
    </w:p>
    <w:p w14:paraId="6BE9347C">
      <w:pPr>
        <w:spacing w:line="440" w:lineRule="exact"/>
        <w:ind w:firstLine="411"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1.工程名称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lang w:eastAsia="zh-CN"/>
          <w14:textFill>
            <w14:solidFill>
              <w14:schemeClr w14:val="tx1"/>
            </w14:solidFill>
          </w14:textFill>
        </w:rPr>
        <w:t>广西艺术学院相思湖校区消防管道维修改造项目</w:t>
      </w:r>
      <w:r>
        <w:rPr>
          <w:rFonts w:hint="eastAsia" w:ascii="宋体" w:hAnsi="宋体" w:cs="宋体"/>
          <w:color w:val="000000" w:themeColor="text1"/>
          <w:szCs w:val="21"/>
          <w:highlight w:val="none"/>
          <w14:textFill>
            <w14:solidFill>
              <w14:schemeClr w14:val="tx1"/>
            </w14:solidFill>
          </w14:textFill>
        </w:rPr>
        <w:t>。</w:t>
      </w:r>
    </w:p>
    <w:p w14:paraId="6C8F665D">
      <w:pPr>
        <w:spacing w:line="440" w:lineRule="exact"/>
        <w:ind w:firstLine="411" w:firstLineChars="19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2.工程地点：</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w:t>
      </w:r>
    </w:p>
    <w:p w14:paraId="5456FE96">
      <w:pPr>
        <w:spacing w:line="440" w:lineRule="exact"/>
        <w:ind w:firstLine="411" w:firstLineChars="19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3.工程立项批准文号：</w:t>
      </w:r>
      <w:r>
        <w:rPr>
          <w:rFonts w:hint="eastAsia" w:ascii="宋体" w:hAnsi="宋体" w:cs="宋体"/>
          <w:bCs/>
          <w:color w:val="000000" w:themeColor="text1"/>
          <w:szCs w:val="21"/>
          <w:highlight w:val="none"/>
          <w:u w:val="single"/>
          <w14:textFill>
            <w14:solidFill>
              <w14:schemeClr w14:val="tx1"/>
            </w14:solidFill>
          </w14:textFill>
        </w:rPr>
        <w:t xml:space="preserve">       \         </w:t>
      </w:r>
      <w:r>
        <w:rPr>
          <w:rFonts w:hint="eastAsia" w:ascii="宋体" w:hAnsi="宋体" w:cs="宋体"/>
          <w:bCs/>
          <w:color w:val="000000" w:themeColor="text1"/>
          <w:szCs w:val="21"/>
          <w:highlight w:val="none"/>
          <w14:textFill>
            <w14:solidFill>
              <w14:schemeClr w14:val="tx1"/>
            </w14:solidFill>
          </w14:textFill>
        </w:rPr>
        <w:t>。</w:t>
      </w:r>
    </w:p>
    <w:p w14:paraId="2871A3A0">
      <w:pPr>
        <w:spacing w:line="440" w:lineRule="exact"/>
        <w:ind w:firstLine="411" w:firstLineChars="19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4.资金来源：</w:t>
      </w:r>
      <w:r>
        <w:rPr>
          <w:rFonts w:hint="eastAsia" w:ascii="宋体" w:hAnsi="宋体" w:cs="宋体"/>
          <w:color w:val="000000" w:themeColor="text1"/>
          <w:szCs w:val="21"/>
          <w:highlight w:val="none"/>
          <w:u w:val="single"/>
          <w14:textFill>
            <w14:solidFill>
              <w14:schemeClr w14:val="tx1"/>
            </w14:solidFill>
          </w14:textFill>
        </w:rPr>
        <w:t>财政资金</w:t>
      </w:r>
      <w:r>
        <w:rPr>
          <w:rFonts w:hint="eastAsia" w:ascii="宋体" w:hAnsi="宋体" w:cs="宋体"/>
          <w:bCs/>
          <w:color w:val="000000" w:themeColor="text1"/>
          <w:szCs w:val="21"/>
          <w:highlight w:val="none"/>
          <w14:textFill>
            <w14:solidFill>
              <w14:schemeClr w14:val="tx1"/>
            </w14:solidFill>
          </w14:textFill>
        </w:rPr>
        <w:t>。</w:t>
      </w:r>
    </w:p>
    <w:p w14:paraId="2A9EF084">
      <w:pPr>
        <w:spacing w:line="440" w:lineRule="exact"/>
        <w:ind w:firstLine="411" w:firstLineChars="19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5.工程内容：</w:t>
      </w:r>
      <w:r>
        <w:rPr>
          <w:rFonts w:hint="eastAsia" w:ascii="宋体" w:hAnsi="宋体" w:cs="宋体"/>
          <w:bCs/>
          <w:color w:val="000000" w:themeColor="text1"/>
          <w:szCs w:val="21"/>
          <w:highlight w:val="none"/>
          <w:u w:val="single"/>
          <w:lang w:eastAsia="zh-CN"/>
          <w14:textFill>
            <w14:solidFill>
              <w14:schemeClr w14:val="tx1"/>
            </w14:solidFill>
          </w14:textFill>
        </w:rPr>
        <w:t>广西艺术学院相思湖校区消防管道维修改造项目</w:t>
      </w:r>
      <w:r>
        <w:rPr>
          <w:rFonts w:hint="eastAsia" w:ascii="宋体" w:hAnsi="宋体" w:cs="宋体"/>
          <w:bCs/>
          <w:color w:val="000000" w:themeColor="text1"/>
          <w:szCs w:val="21"/>
          <w:highlight w:val="none"/>
          <w:u w:val="single"/>
          <w14:textFill>
            <w14:solidFill>
              <w14:schemeClr w14:val="tx1"/>
            </w14:solidFill>
          </w14:textFill>
        </w:rPr>
        <w:t>施工内容：</w:t>
      </w:r>
      <w:r>
        <w:rPr>
          <w:rFonts w:hint="eastAsia" w:ascii="宋体" w:hAnsi="宋体" w:cs="宋体"/>
          <w:bCs/>
          <w:color w:val="000000" w:themeColor="text1"/>
          <w:szCs w:val="21"/>
          <w:highlight w:val="none"/>
          <w:u w:val="single"/>
          <w:lang w:val="en-US" w:eastAsia="zh-CN"/>
          <w14:textFill>
            <w14:solidFill>
              <w14:schemeClr w14:val="tx1"/>
            </w14:solidFill>
          </w14:textFill>
        </w:rPr>
        <w:t>拆除工程、明装敷设工程、系统测试与调试、防腐与标识</w:t>
      </w:r>
      <w:r>
        <w:rPr>
          <w:rFonts w:hint="eastAsia" w:ascii="宋体" w:hAnsi="宋体" w:cs="宋体"/>
          <w:bCs/>
          <w:color w:val="000000" w:themeColor="text1"/>
          <w:szCs w:val="21"/>
          <w:highlight w:val="none"/>
          <w:u w:val="single"/>
          <w14:textFill>
            <w14:solidFill>
              <w14:schemeClr w14:val="tx1"/>
            </w14:solidFill>
          </w14:textFill>
        </w:rPr>
        <w:t>等施工图纸</w:t>
      </w:r>
      <w:r>
        <w:rPr>
          <w:rFonts w:hint="eastAsia" w:ascii="宋体" w:hAnsi="宋体" w:cs="宋体"/>
          <w:bCs/>
          <w:color w:val="000000" w:themeColor="text1"/>
          <w:szCs w:val="21"/>
          <w:highlight w:val="none"/>
          <w:u w:val="single"/>
          <w:lang w:val="en-US" w:eastAsia="zh-CN"/>
          <w14:textFill>
            <w14:solidFill>
              <w14:schemeClr w14:val="tx1"/>
            </w14:solidFill>
          </w14:textFill>
        </w:rPr>
        <w:t>及工程量清单</w:t>
      </w:r>
      <w:r>
        <w:rPr>
          <w:rFonts w:hint="eastAsia" w:ascii="宋体" w:hAnsi="宋体" w:cs="宋体"/>
          <w:bCs/>
          <w:color w:val="000000" w:themeColor="text1"/>
          <w:szCs w:val="21"/>
          <w:highlight w:val="none"/>
          <w:u w:val="single"/>
          <w14:textFill>
            <w14:solidFill>
              <w14:schemeClr w14:val="tx1"/>
            </w14:solidFill>
          </w14:textFill>
        </w:rPr>
        <w:t>所包含内容。</w:t>
      </w:r>
      <w:r>
        <w:rPr>
          <w:rFonts w:hint="eastAsia" w:ascii="宋体" w:hAnsi="宋体" w:cs="宋体"/>
          <w:bCs/>
          <w:color w:val="000000" w:themeColor="text1"/>
          <w:szCs w:val="21"/>
          <w:highlight w:val="none"/>
          <w14:textFill>
            <w14:solidFill>
              <w14:schemeClr w14:val="tx1"/>
            </w14:solidFill>
          </w14:textFill>
        </w:rPr>
        <w:t>群体工程应附《承包人承揽工程项目一览表》（附件1）。</w:t>
      </w:r>
    </w:p>
    <w:p w14:paraId="2E7DC50E">
      <w:pPr>
        <w:spacing w:line="440" w:lineRule="exact"/>
        <w:ind w:firstLine="411" w:firstLineChars="196"/>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6.工程承包范围：</w:t>
      </w:r>
      <w:bookmarkStart w:id="46" w:name="_Toc351203482"/>
      <w:r>
        <w:rPr>
          <w:rFonts w:hint="eastAsia" w:ascii="宋体" w:hAnsi="宋体" w:cs="宋体"/>
          <w:bCs/>
          <w:color w:val="000000" w:themeColor="text1"/>
          <w:szCs w:val="21"/>
          <w:highlight w:val="none"/>
          <w:u w:val="single"/>
          <w:lang w:eastAsia="zh-CN"/>
          <w14:textFill>
            <w14:solidFill>
              <w14:schemeClr w14:val="tx1"/>
            </w14:solidFill>
          </w14:textFill>
        </w:rPr>
        <w:t>广西艺术学院相思湖校区消防管道维修改造项目</w:t>
      </w:r>
      <w:r>
        <w:rPr>
          <w:rFonts w:hint="eastAsia" w:ascii="宋体" w:hAnsi="宋体" w:cs="宋体"/>
          <w:bCs/>
          <w:color w:val="000000" w:themeColor="text1"/>
          <w:szCs w:val="21"/>
          <w:highlight w:val="none"/>
          <w:u w:val="single"/>
          <w14:textFill>
            <w14:solidFill>
              <w14:schemeClr w14:val="tx1"/>
            </w14:solidFill>
          </w14:textFill>
        </w:rPr>
        <w:t>施工内容：</w:t>
      </w:r>
      <w:r>
        <w:rPr>
          <w:rFonts w:hint="eastAsia" w:ascii="宋体" w:hAnsi="宋体" w:cs="宋体"/>
          <w:bCs/>
          <w:color w:val="000000" w:themeColor="text1"/>
          <w:szCs w:val="21"/>
          <w:highlight w:val="none"/>
          <w:u w:val="single"/>
          <w:lang w:val="en-US" w:eastAsia="zh-CN"/>
          <w14:textFill>
            <w14:solidFill>
              <w14:schemeClr w14:val="tx1"/>
            </w14:solidFill>
          </w14:textFill>
        </w:rPr>
        <w:t>拆除工程、明装敷设工程、系统测试与调试、防腐与标识</w:t>
      </w:r>
      <w:r>
        <w:rPr>
          <w:rFonts w:hint="eastAsia" w:ascii="宋体" w:hAnsi="宋体" w:cs="宋体"/>
          <w:bCs/>
          <w:color w:val="000000" w:themeColor="text1"/>
          <w:szCs w:val="21"/>
          <w:highlight w:val="none"/>
          <w:u w:val="single"/>
          <w14:textFill>
            <w14:solidFill>
              <w14:schemeClr w14:val="tx1"/>
            </w14:solidFill>
          </w14:textFill>
        </w:rPr>
        <w:t>等施工图纸</w:t>
      </w:r>
      <w:r>
        <w:rPr>
          <w:rFonts w:hint="eastAsia" w:ascii="宋体" w:hAnsi="宋体" w:cs="宋体"/>
          <w:bCs/>
          <w:color w:val="000000" w:themeColor="text1"/>
          <w:szCs w:val="21"/>
          <w:highlight w:val="none"/>
          <w:u w:val="single"/>
          <w:lang w:val="en-US" w:eastAsia="zh-CN"/>
          <w14:textFill>
            <w14:solidFill>
              <w14:schemeClr w14:val="tx1"/>
            </w14:solidFill>
          </w14:textFill>
        </w:rPr>
        <w:t>及工程量清单</w:t>
      </w:r>
      <w:r>
        <w:rPr>
          <w:rFonts w:hint="eastAsia" w:ascii="宋体" w:hAnsi="宋体" w:cs="宋体"/>
          <w:bCs/>
          <w:color w:val="000000" w:themeColor="text1"/>
          <w:szCs w:val="21"/>
          <w:highlight w:val="none"/>
          <w:u w:val="single"/>
          <w14:textFill>
            <w14:solidFill>
              <w14:schemeClr w14:val="tx1"/>
            </w14:solidFill>
          </w14:textFill>
        </w:rPr>
        <w:t>所包含内容</w:t>
      </w:r>
      <w:r>
        <w:rPr>
          <w:rFonts w:hint="eastAsia" w:ascii="宋体" w:hAnsi="宋体"/>
          <w:color w:val="000000" w:themeColor="text1"/>
          <w:szCs w:val="21"/>
          <w:highlight w:val="none"/>
          <w:u w:val="single"/>
          <w14:textFill>
            <w14:solidFill>
              <w14:schemeClr w14:val="tx1"/>
            </w14:solidFill>
          </w14:textFill>
        </w:rPr>
        <w:t>，以及经发包人同意变更的事项</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p>
    <w:p w14:paraId="29FD8068">
      <w:pPr>
        <w:spacing w:line="440" w:lineRule="exact"/>
        <w:ind w:firstLine="407" w:firstLineChars="193"/>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二、合同工期</w:t>
      </w:r>
      <w:bookmarkEnd w:id="46"/>
    </w:p>
    <w:p w14:paraId="7D33D2D8">
      <w:pPr>
        <w:spacing w:line="440" w:lineRule="exact"/>
        <w:ind w:firstLine="45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计划开工日期：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日。</w:t>
      </w:r>
    </w:p>
    <w:p w14:paraId="482CAA18">
      <w:pPr>
        <w:spacing w:line="440" w:lineRule="exact"/>
        <w:ind w:firstLine="45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计划竣工日期：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日。</w:t>
      </w:r>
    </w:p>
    <w:p w14:paraId="74863DD9">
      <w:pPr>
        <w:spacing w:line="440" w:lineRule="exact"/>
        <w:ind w:firstLine="45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工期总日历天数：</w:t>
      </w:r>
      <w:r>
        <w:rPr>
          <w:rFonts w:hint="eastAsia" w:ascii="宋体" w:hAnsi="宋体" w:cs="宋体"/>
          <w:color w:val="000000" w:themeColor="text1"/>
          <w:szCs w:val="21"/>
          <w:highlight w:val="none"/>
          <w:u w:val="single"/>
          <w:lang w:val="en-US" w:eastAsia="zh-CN"/>
          <w14:textFill>
            <w14:solidFill>
              <w14:schemeClr w14:val="tx1"/>
            </w14:solidFill>
          </w14:textFill>
        </w:rPr>
        <w:t>60</w:t>
      </w:r>
      <w:r>
        <w:rPr>
          <w:rFonts w:hint="eastAsia" w:ascii="宋体" w:hAnsi="宋体" w:cs="宋体"/>
          <w:color w:val="000000" w:themeColor="text1"/>
          <w:szCs w:val="21"/>
          <w:highlight w:val="none"/>
          <w:lang w:val="en-US" w:eastAsia="zh-CN"/>
          <w14:textFill>
            <w14:solidFill>
              <w14:schemeClr w14:val="tx1"/>
            </w14:solidFill>
          </w14:textFill>
        </w:rPr>
        <w:t>日历天</w:t>
      </w:r>
      <w:r>
        <w:rPr>
          <w:rFonts w:hint="eastAsia" w:ascii="宋体" w:hAnsi="宋体" w:cs="宋体"/>
          <w:color w:val="000000" w:themeColor="text1"/>
          <w:szCs w:val="21"/>
          <w:highlight w:val="none"/>
          <w14:textFill>
            <w14:solidFill>
              <w14:schemeClr w14:val="tx1"/>
            </w14:solidFill>
          </w14:textFill>
        </w:rPr>
        <w:t>。工期总日历天数与根据前述计划开竣工日期计算的工期天数不一致的，以工期总日历天数为准。</w:t>
      </w:r>
    </w:p>
    <w:p w14:paraId="5CFF9395">
      <w:pPr>
        <w:spacing w:line="440" w:lineRule="exact"/>
        <w:ind w:firstLine="459"/>
        <w:rPr>
          <w:rFonts w:ascii="宋体" w:hAnsi="宋体" w:cs="宋体"/>
          <w:b/>
          <w:color w:val="000000" w:themeColor="text1"/>
          <w:szCs w:val="21"/>
          <w:highlight w:val="none"/>
          <w14:textFill>
            <w14:solidFill>
              <w14:schemeClr w14:val="tx1"/>
            </w14:solidFill>
          </w14:textFill>
        </w:rPr>
      </w:pPr>
      <w:bookmarkStart w:id="47" w:name="_Toc351203483"/>
      <w:r>
        <w:rPr>
          <w:rFonts w:hint="eastAsia" w:ascii="宋体" w:hAnsi="宋体" w:cs="宋体"/>
          <w:b/>
          <w:color w:val="000000" w:themeColor="text1"/>
          <w:szCs w:val="21"/>
          <w:highlight w:val="none"/>
          <w14:textFill>
            <w14:solidFill>
              <w14:schemeClr w14:val="tx1"/>
            </w14:solidFill>
          </w14:textFill>
        </w:rPr>
        <w:t>三、质量标准</w:t>
      </w:r>
      <w:bookmarkEnd w:id="47"/>
    </w:p>
    <w:p w14:paraId="0FF6CAF1">
      <w:pPr>
        <w:spacing w:line="440" w:lineRule="exact"/>
        <w:ind w:firstLine="459"/>
        <w:rPr>
          <w:rFonts w:hint="eastAsia" w:ascii="宋体" w:hAnsi="宋体" w:cs="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达到国家及地方现行消防工程验收合格标准，一次性通过</w:t>
      </w:r>
      <w:r>
        <w:rPr>
          <w:rFonts w:hint="eastAsia" w:ascii="宋体" w:hAnsi="宋体"/>
          <w:color w:val="000000" w:themeColor="text1"/>
          <w:szCs w:val="21"/>
          <w:highlight w:val="none"/>
          <w:lang w:val="en-US" w:eastAsia="zh-CN"/>
          <w14:textFill>
            <w14:solidFill>
              <w14:schemeClr w14:val="tx1"/>
            </w14:solidFill>
          </w14:textFill>
        </w:rPr>
        <w:t>学校</w:t>
      </w:r>
      <w:r>
        <w:rPr>
          <w:rFonts w:hint="eastAsia" w:ascii="宋体" w:hAnsi="宋体"/>
          <w:color w:val="000000" w:themeColor="text1"/>
          <w:szCs w:val="21"/>
          <w:highlight w:val="none"/>
          <w14:textFill>
            <w14:solidFill>
              <w14:schemeClr w14:val="tx1"/>
            </w14:solidFill>
          </w14:textFill>
        </w:rPr>
        <w:t>相关部门的验收。</w:t>
      </w:r>
      <w:bookmarkStart w:id="48" w:name="_Toc351203484"/>
    </w:p>
    <w:p w14:paraId="14B59348">
      <w:pPr>
        <w:spacing w:line="440" w:lineRule="exact"/>
        <w:ind w:firstLine="459"/>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四、签约合同价与合同价格形式</w:t>
      </w:r>
      <w:bookmarkEnd w:id="48"/>
    </w:p>
    <w:p w14:paraId="14DFE5FC">
      <w:pPr>
        <w:spacing w:line="440" w:lineRule="exact"/>
        <w:ind w:firstLine="45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1.签约合同价为：</w:t>
      </w:r>
    </w:p>
    <w:p w14:paraId="6C86AA31">
      <w:pPr>
        <w:spacing w:line="44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14:paraId="053C1C1B">
      <w:pPr>
        <w:spacing w:line="44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w:t>
      </w:r>
    </w:p>
    <w:p w14:paraId="6E0EE67D">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（1）建安劳保费：</w:t>
      </w:r>
    </w:p>
    <w:p w14:paraId="4CAD2978">
      <w:pPr>
        <w:spacing w:line="44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14:paraId="2A1CB557">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（2）安全文明施工费：</w:t>
      </w:r>
    </w:p>
    <w:p w14:paraId="2A658ECB">
      <w:pPr>
        <w:spacing w:line="44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14:paraId="1523C077">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（3）材料和工程设备暂估价金额：</w:t>
      </w:r>
    </w:p>
    <w:p w14:paraId="179B49FC">
      <w:pPr>
        <w:spacing w:line="440" w:lineRule="exact"/>
        <w:ind w:firstLine="945" w:firstLineChars="4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14:paraId="3B71F73A">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（4）专业工程暂估价金额：</w:t>
      </w:r>
    </w:p>
    <w:p w14:paraId="1E264C21">
      <w:pPr>
        <w:spacing w:line="440" w:lineRule="exact"/>
        <w:ind w:firstLine="945" w:firstLineChars="4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14:paraId="3E436295">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（5）暂列金额：</w:t>
      </w:r>
    </w:p>
    <w:p w14:paraId="3A29CABE">
      <w:pPr>
        <w:spacing w:line="440" w:lineRule="exact"/>
        <w:ind w:firstLine="945" w:firstLineChars="4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14:paraId="7053A1FA">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2.合同价格形式：</w:t>
      </w:r>
      <w:r>
        <w:rPr>
          <w:rFonts w:hint="eastAsia" w:ascii="宋体" w:hAnsi="宋体"/>
          <w:color w:val="000000" w:themeColor="text1"/>
          <w:highlight w:val="none"/>
          <w:u w:val="single"/>
          <w14:textFill>
            <w14:solidFill>
              <w14:schemeClr w14:val="tx1"/>
            </w14:solidFill>
          </w14:textFill>
        </w:rPr>
        <w:t>固定综合单价</w:t>
      </w:r>
      <w:r>
        <w:rPr>
          <w:rFonts w:hint="eastAsia" w:ascii="宋体" w:hAnsi="宋体" w:cs="宋体"/>
          <w:color w:val="000000" w:themeColor="text1"/>
          <w:szCs w:val="21"/>
          <w:highlight w:val="none"/>
          <w14:textFill>
            <w14:solidFill>
              <w14:schemeClr w14:val="tx1"/>
            </w14:solidFill>
          </w14:textFill>
        </w:rPr>
        <w:t>。</w:t>
      </w:r>
    </w:p>
    <w:p w14:paraId="5379F48C">
      <w:pPr>
        <w:spacing w:line="440" w:lineRule="exact"/>
        <w:ind w:firstLine="422" w:firstLineChars="200"/>
        <w:rPr>
          <w:rFonts w:ascii="宋体" w:hAnsi="宋体" w:cs="宋体"/>
          <w:b/>
          <w:color w:val="000000" w:themeColor="text1"/>
          <w:szCs w:val="21"/>
          <w:highlight w:val="none"/>
          <w14:textFill>
            <w14:solidFill>
              <w14:schemeClr w14:val="tx1"/>
            </w14:solidFill>
          </w14:textFill>
        </w:rPr>
      </w:pPr>
      <w:bookmarkStart w:id="49" w:name="_Toc351203485"/>
      <w:r>
        <w:rPr>
          <w:rFonts w:hint="eastAsia" w:ascii="宋体" w:hAnsi="宋体" w:cs="宋体"/>
          <w:b/>
          <w:color w:val="000000" w:themeColor="text1"/>
          <w:szCs w:val="21"/>
          <w:highlight w:val="none"/>
          <w14:textFill>
            <w14:solidFill>
              <w14:schemeClr w14:val="tx1"/>
            </w14:solidFill>
          </w14:textFill>
        </w:rPr>
        <w:t>五、</w:t>
      </w:r>
      <w:bookmarkEnd w:id="49"/>
      <w:r>
        <w:rPr>
          <w:rFonts w:hint="eastAsia" w:ascii="宋体" w:hAnsi="宋体" w:cs="宋体"/>
          <w:b/>
          <w:color w:val="000000" w:themeColor="text1"/>
          <w:szCs w:val="21"/>
          <w:highlight w:val="none"/>
          <w14:textFill>
            <w14:solidFill>
              <w14:schemeClr w14:val="tx1"/>
            </w14:solidFill>
          </w14:textFill>
        </w:rPr>
        <w:t>项目经理</w:t>
      </w:r>
    </w:p>
    <w:p w14:paraId="08A77B1A">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承包人项目经理：</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1C2A3890">
      <w:pPr>
        <w:spacing w:line="440" w:lineRule="exact"/>
        <w:ind w:firstLine="422" w:firstLineChars="200"/>
        <w:rPr>
          <w:rFonts w:ascii="宋体" w:hAnsi="宋体" w:cs="宋体"/>
          <w:b/>
          <w:color w:val="000000" w:themeColor="text1"/>
          <w:szCs w:val="21"/>
          <w:highlight w:val="none"/>
          <w14:textFill>
            <w14:solidFill>
              <w14:schemeClr w14:val="tx1"/>
            </w14:solidFill>
          </w14:textFill>
        </w:rPr>
      </w:pPr>
      <w:bookmarkStart w:id="50" w:name="_Toc351203486"/>
      <w:r>
        <w:rPr>
          <w:rFonts w:hint="eastAsia" w:ascii="宋体" w:hAnsi="宋体" w:cs="宋体"/>
          <w:b/>
          <w:color w:val="000000" w:themeColor="text1"/>
          <w:szCs w:val="21"/>
          <w:highlight w:val="none"/>
          <w14:textFill>
            <w14:solidFill>
              <w14:schemeClr w14:val="tx1"/>
            </w14:solidFill>
          </w14:textFill>
        </w:rPr>
        <w:t>六、合同文件构成</w:t>
      </w:r>
      <w:bookmarkEnd w:id="50"/>
    </w:p>
    <w:p w14:paraId="1AC8B4EC">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本协议书与下列文件一起构成合同文件：</w:t>
      </w:r>
    </w:p>
    <w:p w14:paraId="20D17596">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（1）成交通知书（如果有）；</w:t>
      </w:r>
    </w:p>
    <w:p w14:paraId="1E98C9A5">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（2）投标函及其附录（如果有）；</w:t>
      </w:r>
    </w:p>
    <w:p w14:paraId="667C83B9">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（3）专用合同条款及其附件；</w:t>
      </w:r>
    </w:p>
    <w:p w14:paraId="51D646AB">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（4）通用合同条款；</w:t>
      </w:r>
    </w:p>
    <w:p w14:paraId="2461EEA1">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（5）技术标准和要求；</w:t>
      </w:r>
    </w:p>
    <w:p w14:paraId="5C0C6E87">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（6）图纸；</w:t>
      </w:r>
    </w:p>
    <w:p w14:paraId="63F91B4A">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（7）已标价工程量清单或预算书；</w:t>
      </w:r>
    </w:p>
    <w:p w14:paraId="6698D573">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（8）其他合同文件。</w:t>
      </w:r>
    </w:p>
    <w:p w14:paraId="10418861">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在合同订立及履行过程中形成的与合同有关的文件均构成合同文件组成部分。</w:t>
      </w:r>
    </w:p>
    <w:p w14:paraId="3D199E6C">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1ADF5D05">
      <w:pPr>
        <w:autoSpaceDE w:val="0"/>
        <w:autoSpaceDN w:val="0"/>
        <w:adjustRightInd w:val="0"/>
        <w:spacing w:line="440" w:lineRule="exact"/>
        <w:ind w:firstLine="422"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七、承诺</w:t>
      </w:r>
    </w:p>
    <w:p w14:paraId="06003CBF">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1.发包人承诺按照法律规定履行项目审批手续、筹集工程建设资金并按照合同约定的期限和方式支付合同价款。</w:t>
      </w:r>
    </w:p>
    <w:p w14:paraId="52271A24">
      <w:pPr>
        <w:autoSpaceDE w:val="0"/>
        <w:autoSpaceDN w:val="0"/>
        <w:adjustRightIn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向发包人承诺按本项目投标文件所约定的人员、机械设备数量到位并按照法律规定及合同约定组织完成工程施工，确保工程质量和安全，不进行转包及违法分包，并在缺陷责任期及保修期内承担相应的工程维修责任。</w:t>
      </w:r>
    </w:p>
    <w:p w14:paraId="4122BE1B">
      <w:pPr>
        <w:autoSpaceDE w:val="0"/>
        <w:autoSpaceDN w:val="0"/>
        <w:adjustRightInd w:val="0"/>
        <w:spacing w:line="440" w:lineRule="exact"/>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3.发包人和承包人通过招投标形式签订合同的，双</w:t>
      </w:r>
      <w:r>
        <w:rPr>
          <w:rFonts w:hint="eastAsia"/>
          <w:color w:val="000000" w:themeColor="text1"/>
          <w:szCs w:val="21"/>
          <w:highlight w:val="none"/>
          <w14:textFill>
            <w14:solidFill>
              <w14:schemeClr w14:val="tx1"/>
            </w14:solidFill>
          </w14:textFill>
        </w:rPr>
        <w:t>方理解并承诺不再就同一工程另行签订与合同实质性内容相背离的协议。</w:t>
      </w:r>
    </w:p>
    <w:p w14:paraId="6CE3E247">
      <w:pPr>
        <w:spacing w:line="360" w:lineRule="auto"/>
        <w:ind w:firstLine="520"/>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八、词语含义</w:t>
      </w:r>
    </w:p>
    <w:p w14:paraId="7D6CC124">
      <w:pPr>
        <w:spacing w:line="360" w:lineRule="auto"/>
        <w:ind w:firstLine="5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本协议书中词语含义与第二部分通用合同条款中赋予的含义相同。</w:t>
      </w:r>
    </w:p>
    <w:p w14:paraId="503A6BF3">
      <w:pPr>
        <w:spacing w:line="360" w:lineRule="auto"/>
        <w:ind w:firstLine="520"/>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九、签订时间</w:t>
      </w:r>
    </w:p>
    <w:p w14:paraId="6C4C3C71">
      <w:pPr>
        <w:spacing w:line="360" w:lineRule="auto"/>
        <w:ind w:firstLine="5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本合同于</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年 </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日签订。</w:t>
      </w:r>
    </w:p>
    <w:p w14:paraId="43B79BDC">
      <w:pPr>
        <w:spacing w:line="360" w:lineRule="auto"/>
        <w:ind w:firstLine="520"/>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十、签订地点</w:t>
      </w:r>
    </w:p>
    <w:p w14:paraId="75E31478">
      <w:pPr>
        <w:spacing w:line="360" w:lineRule="auto"/>
        <w:ind w:firstLine="5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本合同在</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签订。</w:t>
      </w:r>
    </w:p>
    <w:p w14:paraId="23953FB9">
      <w:pPr>
        <w:spacing w:line="360" w:lineRule="auto"/>
        <w:ind w:firstLine="520"/>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十一、补充协议</w:t>
      </w:r>
    </w:p>
    <w:p w14:paraId="2FBA6710">
      <w:pPr>
        <w:spacing w:line="360" w:lineRule="auto"/>
        <w:ind w:firstLine="5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合同未尽事宜，合同当事人另行签订补充协议，补充协议是合同的组成部分。</w:t>
      </w:r>
    </w:p>
    <w:p w14:paraId="1D1095E6">
      <w:pPr>
        <w:spacing w:line="360" w:lineRule="auto"/>
        <w:ind w:firstLine="52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十二、合同生效</w:t>
      </w:r>
    </w:p>
    <w:p w14:paraId="20535E2A">
      <w:pPr>
        <w:spacing w:line="360" w:lineRule="auto"/>
        <w:ind w:firstLine="5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本合同自</w:t>
      </w:r>
      <w:r>
        <w:rPr>
          <w:rFonts w:hint="eastAsia"/>
          <w:color w:val="000000" w:themeColor="text1"/>
          <w:szCs w:val="21"/>
          <w:highlight w:val="none"/>
          <w:u w:val="single"/>
          <w14:textFill>
            <w14:solidFill>
              <w14:schemeClr w14:val="tx1"/>
            </w14:solidFill>
          </w14:textFill>
        </w:rPr>
        <w:t>双方法定代表人或委托代理人签字或盖章并加盖双方单位公章后</w:t>
      </w:r>
      <w:r>
        <w:rPr>
          <w:rFonts w:hint="eastAsia"/>
          <w:color w:val="000000" w:themeColor="text1"/>
          <w:szCs w:val="21"/>
          <w:highlight w:val="none"/>
          <w14:textFill>
            <w14:solidFill>
              <w14:schemeClr w14:val="tx1"/>
            </w14:solidFill>
          </w14:textFill>
        </w:rPr>
        <w:t>生效。</w:t>
      </w:r>
    </w:p>
    <w:p w14:paraId="39504148">
      <w:pPr>
        <w:spacing w:line="360" w:lineRule="auto"/>
        <w:ind w:firstLine="520"/>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十三、合同份数</w:t>
      </w:r>
    </w:p>
    <w:p w14:paraId="56E540B2">
      <w:pPr>
        <w:spacing w:line="360" w:lineRule="auto"/>
        <w:ind w:firstLine="5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本合同一式</w:t>
      </w:r>
      <w:r>
        <w:rPr>
          <w:rFonts w:hint="eastAsia"/>
          <w:color w:val="000000" w:themeColor="text1"/>
          <w:szCs w:val="21"/>
          <w:highlight w:val="none"/>
          <w:u w:val="single"/>
          <w14:textFill>
            <w14:solidFill>
              <w14:schemeClr w14:val="tx1"/>
            </w14:solidFill>
          </w14:textFill>
        </w:rPr>
        <w:t>拾</w:t>
      </w:r>
      <w:r>
        <w:rPr>
          <w:rFonts w:hint="eastAsia"/>
          <w:color w:val="000000" w:themeColor="text1"/>
          <w:szCs w:val="21"/>
          <w:highlight w:val="none"/>
          <w14:textFill>
            <w14:solidFill>
              <w14:schemeClr w14:val="tx1"/>
            </w14:solidFill>
          </w14:textFill>
        </w:rPr>
        <w:t>份，均具有同等法律效力，正本</w:t>
      </w:r>
      <w:r>
        <w:rPr>
          <w:rFonts w:hint="eastAsia"/>
          <w:color w:val="000000" w:themeColor="text1"/>
          <w:szCs w:val="21"/>
          <w:highlight w:val="none"/>
          <w:u w:val="single"/>
          <w14:textFill>
            <w14:solidFill>
              <w14:schemeClr w14:val="tx1"/>
            </w14:solidFill>
          </w14:textFill>
        </w:rPr>
        <w:t>贰</w:t>
      </w:r>
      <w:r>
        <w:rPr>
          <w:rFonts w:hint="eastAsia"/>
          <w:color w:val="000000" w:themeColor="text1"/>
          <w:szCs w:val="21"/>
          <w:highlight w:val="none"/>
          <w14:textFill>
            <w14:solidFill>
              <w14:schemeClr w14:val="tx1"/>
            </w14:solidFill>
          </w14:textFill>
        </w:rPr>
        <w:t>份，合同双方各执</w:t>
      </w:r>
      <w:r>
        <w:rPr>
          <w:rFonts w:hint="eastAsia"/>
          <w:color w:val="000000" w:themeColor="text1"/>
          <w:szCs w:val="21"/>
          <w:highlight w:val="none"/>
          <w:u w:val="single"/>
          <w14:textFill>
            <w14:solidFill>
              <w14:schemeClr w14:val="tx1"/>
            </w14:solidFill>
          </w14:textFill>
        </w:rPr>
        <w:t>壹</w:t>
      </w:r>
      <w:r>
        <w:rPr>
          <w:rFonts w:hint="eastAsia"/>
          <w:color w:val="000000" w:themeColor="text1"/>
          <w:szCs w:val="21"/>
          <w:highlight w:val="none"/>
          <w14:textFill>
            <w14:solidFill>
              <w14:schemeClr w14:val="tx1"/>
            </w14:solidFill>
          </w14:textFill>
        </w:rPr>
        <w:t>份，副本</w:t>
      </w:r>
      <w:r>
        <w:rPr>
          <w:rFonts w:hint="eastAsia"/>
          <w:color w:val="000000" w:themeColor="text1"/>
          <w:szCs w:val="21"/>
          <w:highlight w:val="none"/>
          <w:u w:val="single"/>
          <w14:textFill>
            <w14:solidFill>
              <w14:schemeClr w14:val="tx1"/>
            </w14:solidFill>
          </w14:textFill>
        </w:rPr>
        <w:t>捌</w:t>
      </w:r>
      <w:r>
        <w:rPr>
          <w:rFonts w:hint="eastAsia"/>
          <w:color w:val="000000" w:themeColor="text1"/>
          <w:szCs w:val="21"/>
          <w:highlight w:val="none"/>
          <w14:textFill>
            <w14:solidFill>
              <w14:schemeClr w14:val="tx1"/>
            </w14:solidFill>
          </w14:textFill>
        </w:rPr>
        <w:t>份，发包人执</w:t>
      </w:r>
      <w:r>
        <w:rPr>
          <w:rFonts w:hint="eastAsia"/>
          <w:color w:val="000000" w:themeColor="text1"/>
          <w:szCs w:val="21"/>
          <w:highlight w:val="none"/>
          <w:u w:val="single"/>
          <w14:textFill>
            <w14:solidFill>
              <w14:schemeClr w14:val="tx1"/>
            </w14:solidFill>
          </w14:textFill>
        </w:rPr>
        <w:t>陆</w:t>
      </w:r>
      <w:r>
        <w:rPr>
          <w:rFonts w:hint="eastAsia"/>
          <w:color w:val="000000" w:themeColor="text1"/>
          <w:szCs w:val="21"/>
          <w:highlight w:val="none"/>
          <w14:textFill>
            <w14:solidFill>
              <w14:schemeClr w14:val="tx1"/>
            </w14:solidFill>
          </w14:textFill>
        </w:rPr>
        <w:t>份，承包人执</w:t>
      </w:r>
      <w:r>
        <w:rPr>
          <w:rFonts w:hint="eastAsia"/>
          <w:color w:val="000000" w:themeColor="text1"/>
          <w:szCs w:val="21"/>
          <w:highlight w:val="none"/>
          <w:u w:val="single"/>
          <w14:textFill>
            <w14:solidFill>
              <w14:schemeClr w14:val="tx1"/>
            </w14:solidFill>
          </w14:textFill>
        </w:rPr>
        <w:t>壹</w:t>
      </w:r>
      <w:r>
        <w:rPr>
          <w:rFonts w:hint="eastAsia"/>
          <w:color w:val="000000" w:themeColor="text1"/>
          <w:szCs w:val="21"/>
          <w:highlight w:val="none"/>
          <w14:textFill>
            <w14:solidFill>
              <w14:schemeClr w14:val="tx1"/>
            </w14:solidFill>
          </w14:textFill>
        </w:rPr>
        <w:t>份，</w:t>
      </w:r>
      <w:r>
        <w:rPr>
          <w:rFonts w:hint="eastAsia" w:ascii="宋体" w:hAnsi="宋体" w:eastAsia="宋体"/>
          <w:color w:val="000000" w:themeColor="text1"/>
          <w:szCs w:val="21"/>
          <w:highlight w:val="none"/>
          <w14:textFill>
            <w14:solidFill>
              <w14:schemeClr w14:val="tx1"/>
            </w14:solidFill>
          </w14:textFill>
        </w:rPr>
        <w:t>代理机构壹份</w:t>
      </w:r>
      <w:r>
        <w:rPr>
          <w:rFonts w:hint="eastAsia"/>
          <w:color w:val="000000" w:themeColor="text1"/>
          <w:szCs w:val="21"/>
          <w:highlight w:val="none"/>
          <w14:textFill>
            <w14:solidFill>
              <w14:schemeClr w14:val="tx1"/>
            </w14:solidFill>
          </w14:textFill>
        </w:rPr>
        <w:t>。当正本与副本内容不一致时，以正本为准。</w:t>
      </w:r>
    </w:p>
    <w:p w14:paraId="33EFC8D4">
      <w:pPr>
        <w:spacing w:line="360" w:lineRule="auto"/>
        <w:ind w:firstLine="520"/>
        <w:rPr>
          <w:color w:val="000000" w:themeColor="text1"/>
          <w:szCs w:val="21"/>
          <w:highlight w:val="none"/>
          <w14:textFill>
            <w14:solidFill>
              <w14:schemeClr w14:val="tx1"/>
            </w14:solidFill>
          </w14:textFill>
        </w:rPr>
      </w:pPr>
    </w:p>
    <w:p w14:paraId="10F83087">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发包人：</w:t>
      </w:r>
      <w:r>
        <w:rPr>
          <w:rFonts w:hint="eastAsia" w:hAnsi="宋体" w:cs="宋体"/>
          <w:color w:val="000000" w:themeColor="text1"/>
          <w:highlight w:val="none"/>
          <w:lang w:eastAsia="zh-CN"/>
          <w14:textFill>
            <w14:solidFill>
              <w14:schemeClr w14:val="tx1"/>
            </w14:solidFill>
          </w14:textFill>
        </w:rPr>
        <w:t>广西艺术学院</w:t>
      </w:r>
      <w:r>
        <w:rPr>
          <w:rFonts w:hint="eastAsia" w:ascii="宋体" w:hAnsi="宋体"/>
          <w:color w:val="000000" w:themeColor="text1"/>
          <w:highlight w:val="none"/>
          <w14:textFill>
            <w14:solidFill>
              <w14:schemeClr w14:val="tx1"/>
            </w14:solidFill>
          </w14:textFill>
        </w:rPr>
        <w:t xml:space="preserve"> （盖章）    承包人：         （盖章）</w:t>
      </w:r>
    </w:p>
    <w:p w14:paraId="1C6A77C6">
      <w:pPr>
        <w:pStyle w:val="74"/>
        <w:spacing w:line="440" w:lineRule="exact"/>
        <w:rPr>
          <w:rFonts w:ascii="宋体" w:hAnsi="宋体"/>
          <w:color w:val="000000" w:themeColor="text1"/>
          <w:highlight w:val="none"/>
          <w14:textFill>
            <w14:solidFill>
              <w14:schemeClr w14:val="tx1"/>
            </w14:solidFill>
          </w14:textFill>
        </w:rPr>
      </w:pPr>
    </w:p>
    <w:p w14:paraId="3B819A68">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法定代表人或其委托代理人：              法定代表人或其委托代理人：</w:t>
      </w:r>
    </w:p>
    <w:p w14:paraId="760D5973">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（签章）                                   （签章）</w:t>
      </w:r>
    </w:p>
    <w:p w14:paraId="792D9087">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统一社会信用代码：</w:t>
      </w:r>
      <w:r>
        <w:rPr>
          <w:rFonts w:hint="eastAsia" w:ascii="宋体" w:hAnsi="宋体"/>
          <w:color w:val="000000" w:themeColor="text1"/>
          <w:spacing w:val="-12"/>
          <w:highlight w:val="none"/>
          <w:u w:val="single"/>
          <w14:textFill>
            <w14:solidFill>
              <w14:schemeClr w14:val="tx1"/>
            </w14:solidFill>
          </w14:textFill>
        </w:rPr>
        <w:t xml:space="preserve"> </w:t>
      </w:r>
      <w:r>
        <w:rPr>
          <w:rFonts w:hint="eastAsia" w:ascii="宋体" w:hAnsi="宋体"/>
          <w:color w:val="000000" w:themeColor="text1"/>
          <w:spacing w:val="-12"/>
          <w:highlight w:val="none"/>
          <w:u w:val="single"/>
          <w:lang w:val="en-US" w:eastAsia="zh-CN"/>
          <w14:textFill>
            <w14:solidFill>
              <w14:schemeClr w14:val="tx1"/>
            </w14:solidFill>
          </w14:textFill>
        </w:rPr>
        <w:t xml:space="preserve">                       </w:t>
      </w:r>
      <w:r>
        <w:rPr>
          <w:rFonts w:hint="eastAsia" w:ascii="宋体" w:hAnsi="宋体"/>
          <w:color w:val="000000" w:themeColor="text1"/>
          <w:spacing w:val="-12"/>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统一社会信用代码：</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spacing w:val="-12"/>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p>
    <w:p w14:paraId="640E7FB4">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地  址：</w:t>
      </w:r>
      <w:r>
        <w:rPr>
          <w:rFonts w:hint="eastAsia" w:ascii="宋体" w:hAnsi="宋体"/>
          <w:color w:val="000000" w:themeColor="text1"/>
          <w:spacing w:val="-12"/>
          <w:highlight w:val="none"/>
          <w:u w:val="single"/>
          <w14:textFill>
            <w14:solidFill>
              <w14:schemeClr w14:val="tx1"/>
            </w14:solidFill>
          </w14:textFill>
        </w:rPr>
        <w:t xml:space="preserve"> </w:t>
      </w:r>
      <w:r>
        <w:rPr>
          <w:rFonts w:hint="eastAsia" w:ascii="宋体" w:hAnsi="宋体"/>
          <w:color w:val="000000" w:themeColor="text1"/>
          <w:spacing w:val="-12"/>
          <w:highlight w:val="none"/>
          <w:u w:val="single"/>
          <w:lang w:val="en-US" w:eastAsia="zh-CN"/>
          <w14:textFill>
            <w14:solidFill>
              <w14:schemeClr w14:val="tx1"/>
            </w14:solidFill>
          </w14:textFill>
        </w:rPr>
        <w:t xml:space="preserve">                            </w:t>
      </w:r>
      <w:r>
        <w:rPr>
          <w:rFonts w:hint="eastAsia" w:ascii="宋体" w:hAnsi="宋体"/>
          <w:color w:val="000000" w:themeColor="text1"/>
          <w:spacing w:val="-12"/>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地  址：</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u w:val="single"/>
          <w14:textFill>
            <w14:solidFill>
              <w14:schemeClr w14:val="tx1"/>
            </w14:solidFill>
          </w14:textFill>
        </w:rPr>
        <w:t xml:space="preserve">    </w:t>
      </w:r>
    </w:p>
    <w:p w14:paraId="1B46158D">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邮政编码：</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邮政编码：</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6AB5910C">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法定代表人：</w:t>
      </w:r>
      <w:r>
        <w:rPr>
          <w:rFonts w:hint="eastAsia" w:ascii="宋体" w:hAnsi="宋体"/>
          <w:color w:val="000000" w:themeColor="text1"/>
          <w:highlight w:val="none"/>
          <w:u w:val="single"/>
          <w14:textFill>
            <w14:solidFill>
              <w14:schemeClr w14:val="tx1"/>
            </w14:solidFill>
          </w14:textFill>
        </w:rPr>
        <w:t xml:space="preserve">                              </w:t>
      </w:r>
    </w:p>
    <w:p w14:paraId="528A567F">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或委托代理人：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或委托代理人：</w:t>
      </w:r>
      <w:r>
        <w:rPr>
          <w:rFonts w:hint="eastAsia" w:ascii="宋体" w:hAnsi="宋体"/>
          <w:color w:val="000000" w:themeColor="text1"/>
          <w:highlight w:val="none"/>
          <w:u w:val="single"/>
          <w14:textFill>
            <w14:solidFill>
              <w14:schemeClr w14:val="tx1"/>
            </w14:solidFill>
          </w14:textFill>
        </w:rPr>
        <w:t xml:space="preserve">                            </w:t>
      </w:r>
    </w:p>
    <w:p w14:paraId="20251783">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  话</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16"/>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电  话：</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u w:val="single"/>
          <w14:textFill>
            <w14:solidFill>
              <w14:schemeClr w14:val="tx1"/>
            </w14:solidFill>
          </w14:textFill>
        </w:rPr>
        <w:t xml:space="preserve">  </w:t>
      </w:r>
    </w:p>
    <w:p w14:paraId="4A03BA1B">
      <w:pPr>
        <w:pStyle w:val="74"/>
        <w:spacing w:line="440" w:lineRule="exact"/>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传  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传  真：</w:t>
      </w:r>
      <w:r>
        <w:rPr>
          <w:rFonts w:hint="eastAsia" w:ascii="宋体" w:hAnsi="宋体"/>
          <w:color w:val="000000" w:themeColor="text1"/>
          <w:highlight w:val="none"/>
          <w:u w:val="single"/>
          <w14:textFill>
            <w14:solidFill>
              <w14:schemeClr w14:val="tx1"/>
            </w14:solidFill>
          </w14:textFill>
        </w:rPr>
        <w:t xml:space="preserve">                              </w:t>
      </w:r>
      <w:r>
        <w:rPr>
          <w:rFonts w:hint="eastAsia" w:ascii="MingLiU_HKSCS" w:hAnsi="MingLiU_HKSCS"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0C077C85">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电子信箱：</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电子信箱：</w:t>
      </w:r>
      <w:r>
        <w:rPr>
          <w:rFonts w:hint="eastAsia" w:ascii="宋体" w:hAnsi="宋体"/>
          <w:color w:val="000000" w:themeColor="text1"/>
          <w:highlight w:val="none"/>
          <w:u w:val="single"/>
          <w14:textFill>
            <w14:solidFill>
              <w14:schemeClr w14:val="tx1"/>
            </w14:solidFill>
          </w14:textFill>
        </w:rPr>
        <w:t xml:space="preserve">                           </w:t>
      </w:r>
      <w:r>
        <w:rPr>
          <w:rFonts w:hint="eastAsia" w:ascii="MingLiU_HKSCS" w:hAnsi="MingLiU_HKSCS"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1640C493">
      <w:pPr>
        <w:pStyle w:val="74"/>
        <w:spacing w:line="440" w:lineRule="exact"/>
        <w:ind w:left="5880" w:hanging="5880" w:hangingChars="28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开户银行：</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开户银行：</w:t>
      </w:r>
      <w:r>
        <w:rPr>
          <w:rFonts w:hint="eastAsia" w:ascii="宋体" w:hAnsi="宋体"/>
          <w:color w:val="000000" w:themeColor="text1"/>
          <w:highlight w:val="none"/>
          <w:u w:val="single"/>
          <w14:textFill>
            <w14:solidFill>
              <w14:schemeClr w14:val="tx1"/>
            </w14:solidFill>
          </w14:textFill>
        </w:rPr>
        <w:t xml:space="preserve">                                </w:t>
      </w:r>
    </w:p>
    <w:p w14:paraId="4DC1EF1A">
      <w:pPr>
        <w:pStyle w:val="74"/>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账  号：</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账  号：</w:t>
      </w:r>
      <w:r>
        <w:rPr>
          <w:rFonts w:hint="eastAsia" w:ascii="宋体" w:hAnsi="宋体"/>
          <w:color w:val="000000" w:themeColor="text1"/>
          <w:highlight w:val="none"/>
          <w:u w:val="single"/>
          <w14:textFill>
            <w14:solidFill>
              <w14:schemeClr w14:val="tx1"/>
            </w14:solidFill>
          </w14:textFill>
        </w:rPr>
        <w:t xml:space="preserve">                                  </w:t>
      </w:r>
    </w:p>
    <w:p w14:paraId="23FE9F06">
      <w:pPr>
        <w:jc w:val="center"/>
        <w:rPr>
          <w:rFonts w:ascii="Tahoma" w:hAnsi="Tahoma" w:cs="宋体"/>
          <w:b/>
          <w:color w:val="000000" w:themeColor="text1"/>
          <w:kern w:val="0"/>
          <w:sz w:val="32"/>
          <w:szCs w:val="32"/>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bookmarkStart w:id="51" w:name="_Toc8614"/>
      <w:bookmarkStart w:id="52" w:name="_Toc351203632"/>
      <w:bookmarkStart w:id="53" w:name="_Toc373478338"/>
      <w:bookmarkStart w:id="54" w:name="_Toc373227691"/>
    </w:p>
    <w:p w14:paraId="7A277634">
      <w:pPr>
        <w:pStyle w:val="3"/>
        <w:spacing w:before="0" w:after="0" w:line="240" w:lineRule="auto"/>
        <w:jc w:val="center"/>
        <w:rPr>
          <w:rFonts w:ascii="宋体" w:hAnsi="宋体" w:eastAsia="宋体"/>
          <w:color w:val="000000" w:themeColor="text1"/>
          <w:sz w:val="30"/>
          <w:szCs w:val="30"/>
          <w:highlight w:val="none"/>
          <w14:textFill>
            <w14:solidFill>
              <w14:schemeClr w14:val="tx1"/>
            </w14:solidFill>
          </w14:textFill>
        </w:rPr>
      </w:pPr>
      <w:bookmarkStart w:id="55" w:name="_Toc14645"/>
      <w:r>
        <w:rPr>
          <w:rFonts w:hint="eastAsia" w:ascii="宋体" w:hAnsi="宋体" w:eastAsia="宋体"/>
          <w:color w:val="000000" w:themeColor="text1"/>
          <w:sz w:val="30"/>
          <w:szCs w:val="30"/>
          <w:highlight w:val="none"/>
          <w14:textFill>
            <w14:solidFill>
              <w14:schemeClr w14:val="tx1"/>
            </w14:solidFill>
          </w14:textFill>
        </w:rPr>
        <w:t>第二部分 通用合同条款</w:t>
      </w:r>
      <w:bookmarkEnd w:id="51"/>
      <w:bookmarkEnd w:id="55"/>
    </w:p>
    <w:p w14:paraId="56EE9E9A">
      <w:pPr>
        <w:spacing w:line="360" w:lineRule="auto"/>
        <w:ind w:firstLine="420" w:firstLineChars="200"/>
        <w:rPr>
          <w:rFonts w:hAnsi="宋体"/>
          <w:color w:val="000000" w:themeColor="text1"/>
          <w:kern w:val="0"/>
          <w:szCs w:val="21"/>
          <w:highlight w:val="none"/>
          <w14:textFill>
            <w14:solidFill>
              <w14:schemeClr w14:val="tx1"/>
            </w14:solidFill>
          </w14:textFill>
        </w:rPr>
      </w:pPr>
    </w:p>
    <w:p w14:paraId="1B476193">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采用《</w:t>
      </w:r>
      <w:r>
        <w:rPr>
          <w:rFonts w:hAnsi="宋体"/>
          <w:color w:val="000000" w:themeColor="text1"/>
          <w:kern w:val="0"/>
          <w:szCs w:val="21"/>
          <w:highlight w:val="none"/>
          <w14:textFill>
            <w14:solidFill>
              <w14:schemeClr w14:val="tx1"/>
            </w14:solidFill>
          </w14:textFill>
        </w:rPr>
        <w:t>建设工程施工合同（示范文本）</w:t>
      </w:r>
      <w:r>
        <w:rPr>
          <w:rFonts w:hint="eastAsia" w:hAnsi="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（GF—201</w:t>
      </w:r>
      <w:r>
        <w:rPr>
          <w:rFonts w:hint="eastAsia" w:hAnsi="宋体"/>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0201）。</w:t>
      </w:r>
    </w:p>
    <w:p w14:paraId="1C76FFE6">
      <w:pPr>
        <w:rPr>
          <w:rFonts w:hAnsi="宋体"/>
          <w:color w:val="000000" w:themeColor="text1"/>
          <w:sz w:val="30"/>
          <w:szCs w:val="30"/>
          <w:highlight w:val="none"/>
          <w14:textFill>
            <w14:solidFill>
              <w14:schemeClr w14:val="tx1"/>
            </w14:solidFill>
          </w14:textFill>
        </w:rPr>
      </w:pPr>
    </w:p>
    <w:bookmarkEnd w:id="52"/>
    <w:bookmarkEnd w:id="53"/>
    <w:bookmarkEnd w:id="54"/>
    <w:p w14:paraId="1C43D693">
      <w:pPr>
        <w:pStyle w:val="3"/>
        <w:spacing w:before="0" w:after="0" w:line="240" w:lineRule="auto"/>
        <w:jc w:val="center"/>
        <w:rPr>
          <w:rFonts w:ascii="宋体" w:hAnsi="宋体" w:eastAsia="宋体"/>
          <w:color w:val="000000" w:themeColor="text1"/>
          <w:sz w:val="30"/>
          <w:szCs w:val="30"/>
          <w:highlight w:val="none"/>
          <w14:textFill>
            <w14:solidFill>
              <w14:schemeClr w14:val="tx1"/>
            </w14:solidFill>
          </w14:textFill>
        </w:rPr>
      </w:pPr>
      <w:bookmarkStart w:id="56" w:name="_Toc17032"/>
      <w:r>
        <w:rPr>
          <w:rFonts w:hint="eastAsia" w:ascii="宋体" w:hAnsi="宋体" w:eastAsia="宋体"/>
          <w:color w:val="000000" w:themeColor="text1"/>
          <w:sz w:val="30"/>
          <w:szCs w:val="30"/>
          <w:highlight w:val="none"/>
          <w14:textFill>
            <w14:solidFill>
              <w14:schemeClr w14:val="tx1"/>
            </w14:solidFill>
          </w14:textFill>
        </w:rPr>
        <w:t>第三部分 专用合同条款</w:t>
      </w:r>
      <w:bookmarkEnd w:id="56"/>
    </w:p>
    <w:p w14:paraId="718B8BD5">
      <w:pPr>
        <w:pStyle w:val="4"/>
        <w:jc w:val="left"/>
        <w:rPr>
          <w:rFonts w:ascii="宋体" w:hAnsi="宋体" w:eastAsia="宋体"/>
          <w:color w:val="000000" w:themeColor="text1"/>
          <w:sz w:val="28"/>
          <w:szCs w:val="28"/>
          <w:highlight w:val="none"/>
          <w14:textFill>
            <w14:solidFill>
              <w14:schemeClr w14:val="tx1"/>
            </w14:solidFill>
          </w14:textFill>
        </w:rPr>
      </w:pPr>
      <w:bookmarkStart w:id="57" w:name="_Toc351203633"/>
      <w:bookmarkStart w:id="58" w:name="_Toc373478339"/>
      <w:bookmarkStart w:id="59" w:name="_Toc389065258"/>
      <w:bookmarkStart w:id="60" w:name="_Toc114058831"/>
      <w:bookmarkStart w:id="61" w:name="_Toc78449780"/>
      <w:bookmarkStart w:id="62" w:name="_Toc373227692"/>
      <w:bookmarkStart w:id="63" w:name="_Toc407135194"/>
      <w:bookmarkStart w:id="64" w:name="_Toc11403"/>
      <w:r>
        <w:rPr>
          <w:rFonts w:ascii="宋体" w:hAnsi="宋体" w:eastAsia="宋体"/>
          <w:color w:val="000000" w:themeColor="text1"/>
          <w:sz w:val="28"/>
          <w:szCs w:val="28"/>
          <w:highlight w:val="none"/>
          <w14:textFill>
            <w14:solidFill>
              <w14:schemeClr w14:val="tx1"/>
            </w14:solidFill>
          </w14:textFill>
        </w:rPr>
        <w:t>1</w:t>
      </w:r>
      <w:bookmarkStart w:id="65" w:name="_Toc296891196"/>
      <w:bookmarkStart w:id="66" w:name="_Toc292559361"/>
      <w:bookmarkStart w:id="67" w:name="_Toc296944495"/>
      <w:bookmarkStart w:id="68" w:name="_Toc297120456"/>
      <w:bookmarkStart w:id="69" w:name="_Toc296890984"/>
      <w:bookmarkStart w:id="70" w:name="_Toc297048342"/>
      <w:bookmarkStart w:id="71" w:name="_Toc296347155"/>
      <w:bookmarkStart w:id="72" w:name="_Toc296503156"/>
      <w:bookmarkStart w:id="73" w:name="_Toc296346657"/>
      <w:bookmarkStart w:id="74" w:name="_Toc292559866"/>
      <w:r>
        <w:rPr>
          <w:rFonts w:ascii="宋体" w:hAnsi="宋体" w:eastAsia="宋体"/>
          <w:color w:val="000000" w:themeColor="text1"/>
          <w:sz w:val="28"/>
          <w:szCs w:val="28"/>
          <w:highlight w:val="none"/>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一般约定</w:t>
      </w:r>
      <w:bookmarkEnd w:id="57"/>
      <w:bookmarkEnd w:id="58"/>
      <w:bookmarkEnd w:id="59"/>
      <w:bookmarkEnd w:id="60"/>
      <w:bookmarkEnd w:id="61"/>
      <w:bookmarkEnd w:id="62"/>
      <w:bookmarkEnd w:id="63"/>
      <w:bookmarkEnd w:id="64"/>
    </w:p>
    <w:bookmarkEnd w:id="65"/>
    <w:bookmarkEnd w:id="66"/>
    <w:bookmarkEnd w:id="67"/>
    <w:bookmarkEnd w:id="68"/>
    <w:bookmarkEnd w:id="69"/>
    <w:bookmarkEnd w:id="70"/>
    <w:bookmarkEnd w:id="71"/>
    <w:bookmarkEnd w:id="72"/>
    <w:bookmarkEnd w:id="73"/>
    <w:bookmarkEnd w:id="74"/>
    <w:p w14:paraId="118060B2">
      <w:pPr>
        <w:pStyle w:val="5"/>
        <w:ind w:firstLine="422" w:firstLineChars="200"/>
        <w:rPr>
          <w:rFonts w:ascii="宋体" w:hAnsi="宋体"/>
          <w:color w:val="000000" w:themeColor="text1"/>
          <w:sz w:val="21"/>
          <w:szCs w:val="21"/>
          <w:highlight w:val="none"/>
          <w14:textFill>
            <w14:solidFill>
              <w14:schemeClr w14:val="tx1"/>
            </w14:solidFill>
          </w14:textFill>
        </w:rPr>
      </w:pPr>
      <w:bookmarkStart w:id="75" w:name="_Toc407135195"/>
      <w:bookmarkStart w:id="76" w:name="_Toc373227693"/>
      <w:bookmarkStart w:id="77" w:name="_Toc373478340"/>
      <w:bookmarkStart w:id="78" w:name="_Toc389065259"/>
      <w:bookmarkStart w:id="79" w:name="_Toc78449781"/>
      <w:bookmarkStart w:id="80" w:name="_Toc114058832"/>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词语定义</w:t>
      </w:r>
      <w:bookmarkEnd w:id="75"/>
      <w:bookmarkEnd w:id="76"/>
      <w:bookmarkEnd w:id="77"/>
      <w:bookmarkEnd w:id="78"/>
      <w:bookmarkEnd w:id="79"/>
      <w:bookmarkEnd w:id="80"/>
    </w:p>
    <w:p w14:paraId="050A38F3">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1.1.1</w:t>
      </w:r>
      <w:r>
        <w:rPr>
          <w:rFonts w:hint="eastAsia" w:hAnsi="宋体" w:cs="宋体"/>
          <w:color w:val="000000" w:themeColor="text1"/>
          <w:kern w:val="0"/>
          <w:szCs w:val="21"/>
          <w:highlight w:val="none"/>
          <w14:textFill>
            <w14:solidFill>
              <w14:schemeClr w14:val="tx1"/>
            </w14:solidFill>
          </w14:textFill>
        </w:rPr>
        <w:t>合同</w:t>
      </w:r>
    </w:p>
    <w:p w14:paraId="7437832A">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1.1.1.10</w:t>
      </w:r>
      <w:r>
        <w:rPr>
          <w:rFonts w:hint="eastAsia"/>
          <w:color w:val="000000" w:themeColor="text1"/>
          <w:kern w:val="0"/>
          <w:szCs w:val="21"/>
          <w:highlight w:val="none"/>
          <w14:textFill>
            <w14:solidFill>
              <w14:schemeClr w14:val="tx1"/>
            </w14:solidFill>
          </w14:textFill>
        </w:rPr>
        <w:t>其他合同文件包括：</w:t>
      </w:r>
      <w:r>
        <w:rPr>
          <w:rFonts w:hint="eastAsia"/>
          <w:color w:val="000000" w:themeColor="text1"/>
          <w:kern w:val="0"/>
          <w:szCs w:val="21"/>
          <w:highlight w:val="none"/>
          <w:u w:val="single"/>
          <w14:textFill>
            <w14:solidFill>
              <w14:schemeClr w14:val="tx1"/>
            </w14:solidFill>
          </w14:textFill>
        </w:rPr>
        <w:t>①发包人、承包人双方确认工程报价单或预算书；②发包人、承包人、监理单位会签的工程签证单；③发包人、承包人双方就本工程及有关合同文件进行协商、洽谈、变更、解除等所形成的补充协议等书面资料</w:t>
      </w:r>
      <w:r>
        <w:rPr>
          <w:color w:val="000000" w:themeColor="text1"/>
          <w:kern w:val="0"/>
          <w:szCs w:val="21"/>
          <w:highlight w:val="none"/>
          <w:u w:val="single"/>
          <w14:textFill>
            <w14:solidFill>
              <w14:schemeClr w14:val="tx1"/>
            </w14:solidFill>
          </w14:textFill>
        </w:rPr>
        <w:t>。</w:t>
      </w:r>
      <w:r>
        <w:rPr>
          <w:rFonts w:hint="eastAsia"/>
          <w:color w:val="000000" w:themeColor="text1"/>
          <w:kern w:val="0"/>
          <w:szCs w:val="21"/>
          <w:highlight w:val="none"/>
          <w:u w:val="single"/>
          <w14:textFill>
            <w14:solidFill>
              <w14:schemeClr w14:val="tx1"/>
            </w14:solidFill>
          </w14:textFill>
        </w:rPr>
        <w:t>采购文件及附件（含所有补充通知）</w:t>
      </w:r>
      <w:r>
        <w:rPr>
          <w:rFonts w:hint="eastAsia"/>
          <w:color w:val="000000" w:themeColor="text1"/>
          <w:kern w:val="0"/>
          <w:szCs w:val="21"/>
          <w:highlight w:val="none"/>
          <w14:textFill>
            <w14:solidFill>
              <w14:schemeClr w14:val="tx1"/>
            </w14:solidFill>
          </w14:textFill>
        </w:rPr>
        <w:t>。</w:t>
      </w:r>
    </w:p>
    <w:p w14:paraId="10AFC7A4">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1.1.2</w:t>
      </w:r>
      <w:r>
        <w:rPr>
          <w:rFonts w:hint="eastAsia" w:hAnsi="宋体" w:cs="宋体"/>
          <w:color w:val="000000" w:themeColor="text1"/>
          <w:szCs w:val="21"/>
          <w:highlight w:val="none"/>
          <w14:textFill>
            <w14:solidFill>
              <w14:schemeClr w14:val="tx1"/>
            </w14:solidFill>
          </w14:textFill>
        </w:rPr>
        <w:t>合同当事人及其他相关方</w:t>
      </w:r>
    </w:p>
    <w:p w14:paraId="428A88EA">
      <w:pPr>
        <w:spacing w:line="360" w:lineRule="auto"/>
        <w:ind w:firstLine="420" w:firstLineChars="200"/>
        <w:rPr>
          <w:color w:val="000000" w:themeColor="text1"/>
          <w:szCs w:val="21"/>
          <w:highlight w:val="none"/>
          <w14:textFill>
            <w14:solidFill>
              <w14:schemeClr w14:val="tx1"/>
            </w14:solidFill>
          </w14:textFill>
        </w:rPr>
      </w:pPr>
      <w:bookmarkStart w:id="81" w:name="_Toc24174"/>
      <w:bookmarkStart w:id="82" w:name="_Toc16493"/>
      <w:r>
        <w:rPr>
          <w:color w:val="000000" w:themeColor="text1"/>
          <w:szCs w:val="21"/>
          <w:highlight w:val="none"/>
          <w14:textFill>
            <w14:solidFill>
              <w14:schemeClr w14:val="tx1"/>
            </w14:solidFill>
          </w14:textFill>
        </w:rPr>
        <w:t>1.1.2.4</w:t>
      </w:r>
      <w:r>
        <w:rPr>
          <w:rFonts w:hint="eastAsia"/>
          <w:color w:val="000000" w:themeColor="text1"/>
          <w:szCs w:val="21"/>
          <w:highlight w:val="none"/>
          <w14:textFill>
            <w14:solidFill>
              <w14:schemeClr w14:val="tx1"/>
            </w14:solidFill>
          </w14:textFill>
        </w:rPr>
        <w:t>监理人：</w:t>
      </w:r>
      <w:bookmarkEnd w:id="81"/>
      <w:bookmarkEnd w:id="82"/>
    </w:p>
    <w:p w14:paraId="57B34489">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名称：</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13591935">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资质类别和等级：</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C28CD22">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联系电话：</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4528B1D">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电子信箱：</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DAF9162">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通信地址：</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36918C5">
      <w:pPr>
        <w:spacing w:line="360" w:lineRule="auto"/>
        <w:ind w:firstLine="420" w:firstLineChars="200"/>
        <w:rPr>
          <w:color w:val="000000" w:themeColor="text1"/>
          <w:szCs w:val="21"/>
          <w:highlight w:val="none"/>
          <w14:textFill>
            <w14:solidFill>
              <w14:schemeClr w14:val="tx1"/>
            </w14:solidFill>
          </w14:textFill>
        </w:rPr>
      </w:pPr>
      <w:bookmarkStart w:id="83" w:name="_Toc26263"/>
      <w:bookmarkStart w:id="84" w:name="_Toc6652"/>
      <w:r>
        <w:rPr>
          <w:color w:val="000000" w:themeColor="text1"/>
          <w:szCs w:val="21"/>
          <w:highlight w:val="none"/>
          <w14:textFill>
            <w14:solidFill>
              <w14:schemeClr w14:val="tx1"/>
            </w14:solidFill>
          </w14:textFill>
        </w:rPr>
        <w:t>1.1.2.5</w:t>
      </w:r>
      <w:r>
        <w:rPr>
          <w:rFonts w:hint="eastAsia"/>
          <w:color w:val="000000" w:themeColor="text1"/>
          <w:szCs w:val="21"/>
          <w:highlight w:val="none"/>
          <w14:textFill>
            <w14:solidFill>
              <w14:schemeClr w14:val="tx1"/>
            </w14:solidFill>
          </w14:textFill>
        </w:rPr>
        <w:t>设计人：</w:t>
      </w:r>
      <w:bookmarkEnd w:id="83"/>
      <w:bookmarkEnd w:id="84"/>
    </w:p>
    <w:p w14:paraId="11E811F0">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名称：</w:t>
      </w:r>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0F04EBE6">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资质类别和等级：</w:t>
      </w:r>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4ADA8383">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联系电话：</w:t>
      </w:r>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3BF411D4">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电子信箱：</w:t>
      </w:r>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1D5CD8AB">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通信地址：</w:t>
      </w:r>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0DF0EC1E">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1.1.3</w:t>
      </w:r>
      <w:r>
        <w:rPr>
          <w:rFonts w:hint="eastAsia" w:hAnsi="宋体" w:cs="宋体"/>
          <w:color w:val="000000" w:themeColor="text1"/>
          <w:szCs w:val="21"/>
          <w:highlight w:val="none"/>
          <w14:textFill>
            <w14:solidFill>
              <w14:schemeClr w14:val="tx1"/>
            </w14:solidFill>
          </w14:textFill>
        </w:rPr>
        <w:t>工程和设备</w:t>
      </w:r>
    </w:p>
    <w:p w14:paraId="6E9F0620">
      <w:pPr>
        <w:spacing w:line="360" w:lineRule="auto"/>
        <w:ind w:firstLine="420" w:firstLineChars="200"/>
        <w:rPr>
          <w:color w:val="000000" w:themeColor="text1"/>
          <w:szCs w:val="21"/>
          <w:highlight w:val="none"/>
          <w14:textFill>
            <w14:solidFill>
              <w14:schemeClr w14:val="tx1"/>
            </w14:solidFill>
          </w14:textFill>
        </w:rPr>
      </w:pPr>
      <w:bookmarkStart w:id="85" w:name="_Toc13903"/>
      <w:bookmarkStart w:id="86" w:name="_Toc20173"/>
      <w:r>
        <w:rPr>
          <w:color w:val="000000" w:themeColor="text1"/>
          <w:szCs w:val="21"/>
          <w:highlight w:val="none"/>
          <w14:textFill>
            <w14:solidFill>
              <w14:schemeClr w14:val="tx1"/>
            </w14:solidFill>
          </w14:textFill>
        </w:rPr>
        <w:t>1.1.3.7作为施工现场组成部分的其他场所包括：</w:t>
      </w:r>
      <w:r>
        <w:rPr>
          <w:rFonts w:hint="eastAsia"/>
          <w:color w:val="000000" w:themeColor="text1"/>
          <w:szCs w:val="21"/>
          <w:highlight w:val="none"/>
          <w:u w:val="single"/>
          <w14:textFill>
            <w14:solidFill>
              <w14:schemeClr w14:val="tx1"/>
            </w14:solidFill>
          </w14:textFill>
        </w:rPr>
        <w:t>按通用条款</w:t>
      </w:r>
      <w:r>
        <w:rPr>
          <w:color w:val="000000" w:themeColor="text1"/>
          <w:szCs w:val="21"/>
          <w:highlight w:val="none"/>
          <w14:textFill>
            <w14:solidFill>
              <w14:schemeClr w14:val="tx1"/>
            </w14:solidFill>
          </w14:textFill>
        </w:rPr>
        <w:t>。</w:t>
      </w:r>
      <w:bookmarkEnd w:id="85"/>
      <w:bookmarkEnd w:id="86"/>
    </w:p>
    <w:p w14:paraId="65BAE18C">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1.1.3.9</w:t>
      </w:r>
      <w:r>
        <w:rPr>
          <w:rFonts w:hAnsi="宋体"/>
          <w:color w:val="000000" w:themeColor="text1"/>
          <w:kern w:val="0"/>
          <w:szCs w:val="21"/>
          <w:highlight w:val="none"/>
          <w14:textFill>
            <w14:solidFill>
              <w14:schemeClr w14:val="tx1"/>
            </w14:solidFill>
          </w14:textFill>
        </w:rPr>
        <w:t>永久占地包括：</w:t>
      </w:r>
      <w:r>
        <w:rPr>
          <w:rFonts w:hint="eastAsia"/>
          <w:color w:val="000000" w:themeColor="text1"/>
          <w:szCs w:val="21"/>
          <w:highlight w:val="none"/>
          <w:u w:val="single"/>
          <w14:textFill>
            <w14:solidFill>
              <w14:schemeClr w14:val="tx1"/>
            </w14:solidFill>
          </w14:textFill>
        </w:rPr>
        <w:t>依据设计图纸确定</w:t>
      </w:r>
      <w:r>
        <w:rPr>
          <w:rFonts w:hAnsi="宋体"/>
          <w:color w:val="000000" w:themeColor="text1"/>
          <w:kern w:val="0"/>
          <w:szCs w:val="21"/>
          <w:highlight w:val="none"/>
          <w14:textFill>
            <w14:solidFill>
              <w14:schemeClr w14:val="tx1"/>
            </w14:solidFill>
          </w14:textFill>
        </w:rPr>
        <w:t>。</w:t>
      </w:r>
    </w:p>
    <w:p w14:paraId="4D6BB5AA">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1.1.3.10</w:t>
      </w:r>
      <w:r>
        <w:rPr>
          <w:rFonts w:hAnsi="宋体"/>
          <w:color w:val="000000" w:themeColor="text1"/>
          <w:kern w:val="0"/>
          <w:szCs w:val="21"/>
          <w:highlight w:val="none"/>
          <w14:textFill>
            <w14:solidFill>
              <w14:schemeClr w14:val="tx1"/>
            </w14:solidFill>
          </w14:textFill>
        </w:rPr>
        <w:t>临时占地包括：</w:t>
      </w:r>
      <w:r>
        <w:rPr>
          <w:rFonts w:hint="eastAsia"/>
          <w:color w:val="000000" w:themeColor="text1"/>
          <w:szCs w:val="21"/>
          <w:highlight w:val="none"/>
          <w:u w:val="single"/>
          <w14:textFill>
            <w14:solidFill>
              <w14:schemeClr w14:val="tx1"/>
            </w14:solidFill>
          </w14:textFill>
        </w:rPr>
        <w:t>双方在合同履行过程中确定</w:t>
      </w:r>
      <w:r>
        <w:rPr>
          <w:rFonts w:hint="eastAsia" w:hAnsi="宋体" w:cs="宋体"/>
          <w:color w:val="000000" w:themeColor="text1"/>
          <w:kern w:val="0"/>
          <w:szCs w:val="21"/>
          <w:highlight w:val="none"/>
          <w14:textFill>
            <w14:solidFill>
              <w14:schemeClr w14:val="tx1"/>
            </w14:solidFill>
          </w14:textFill>
        </w:rPr>
        <w:t>。</w:t>
      </w:r>
    </w:p>
    <w:p w14:paraId="382513A0">
      <w:pPr>
        <w:pStyle w:val="5"/>
        <w:ind w:firstLine="422" w:firstLineChars="200"/>
        <w:rPr>
          <w:rFonts w:ascii="宋体" w:hAnsi="宋体"/>
          <w:color w:val="000000" w:themeColor="text1"/>
          <w:sz w:val="21"/>
          <w:szCs w:val="21"/>
          <w:highlight w:val="none"/>
          <w14:textFill>
            <w14:solidFill>
              <w14:schemeClr w14:val="tx1"/>
            </w14:solidFill>
          </w14:textFill>
        </w:rPr>
      </w:pPr>
      <w:bookmarkStart w:id="87" w:name="_Toc407135196"/>
      <w:bookmarkStart w:id="88" w:name="_Toc114058833"/>
      <w:bookmarkStart w:id="89" w:name="_Toc373478341"/>
      <w:bookmarkStart w:id="90" w:name="_Toc373227694"/>
      <w:bookmarkStart w:id="91" w:name="_Toc78449782"/>
      <w:bookmarkStart w:id="92" w:name="_Toc389065260"/>
      <w:r>
        <w:rPr>
          <w:rFonts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法律</w:t>
      </w:r>
      <w:bookmarkEnd w:id="87"/>
      <w:bookmarkEnd w:id="88"/>
      <w:bookmarkEnd w:id="89"/>
      <w:bookmarkEnd w:id="90"/>
      <w:bookmarkEnd w:id="91"/>
      <w:bookmarkEnd w:id="92"/>
    </w:p>
    <w:p w14:paraId="016EA4F0">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适用于合同的其他规范性文件：</w:t>
      </w:r>
      <w:r>
        <w:rPr>
          <w:rFonts w:hint="eastAsia"/>
          <w:color w:val="000000" w:themeColor="text1"/>
          <w:kern w:val="0"/>
          <w:szCs w:val="21"/>
          <w:highlight w:val="none"/>
          <w:u w:val="single"/>
          <w14:textFill>
            <w14:solidFill>
              <w14:schemeClr w14:val="tx1"/>
            </w14:solidFill>
          </w14:textFill>
        </w:rPr>
        <w:t>国家、地方、行政主管部门对建设工程项目的有关规范性文件</w:t>
      </w:r>
      <w:r>
        <w:rPr>
          <w:rFonts w:hint="eastAsia"/>
          <w:color w:val="000000" w:themeColor="text1"/>
          <w:kern w:val="0"/>
          <w:szCs w:val="21"/>
          <w:highlight w:val="none"/>
          <w14:textFill>
            <w14:solidFill>
              <w14:schemeClr w14:val="tx1"/>
            </w14:solidFill>
          </w14:textFill>
        </w:rPr>
        <w:t>。</w:t>
      </w:r>
    </w:p>
    <w:p w14:paraId="0CBA4D6D">
      <w:pPr>
        <w:pStyle w:val="5"/>
        <w:ind w:firstLine="422" w:firstLineChars="200"/>
        <w:rPr>
          <w:rFonts w:ascii="宋体" w:hAnsi="宋体"/>
          <w:color w:val="000000" w:themeColor="text1"/>
          <w:sz w:val="21"/>
          <w:szCs w:val="21"/>
          <w:highlight w:val="none"/>
          <w14:textFill>
            <w14:solidFill>
              <w14:schemeClr w14:val="tx1"/>
            </w14:solidFill>
          </w14:textFill>
        </w:rPr>
      </w:pPr>
      <w:bookmarkStart w:id="93" w:name="_Toc373478342"/>
      <w:bookmarkStart w:id="94" w:name="_Toc407135197"/>
      <w:bookmarkStart w:id="95" w:name="_Toc78449783"/>
      <w:bookmarkStart w:id="96" w:name="_Toc389065261"/>
      <w:bookmarkStart w:id="97" w:name="_Toc373227695"/>
      <w:bookmarkStart w:id="98" w:name="_Toc114058834"/>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标准和规范</w:t>
      </w:r>
      <w:bookmarkEnd w:id="93"/>
      <w:bookmarkEnd w:id="94"/>
      <w:bookmarkEnd w:id="95"/>
      <w:bookmarkEnd w:id="96"/>
      <w:bookmarkEnd w:id="97"/>
      <w:bookmarkEnd w:id="98"/>
    </w:p>
    <w:p w14:paraId="623917F4">
      <w:pPr>
        <w:spacing w:line="360" w:lineRule="auto"/>
        <w:ind w:firstLine="420" w:firstLineChars="200"/>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1.4.1</w:t>
      </w:r>
      <w:r>
        <w:rPr>
          <w:rFonts w:hAnsi="宋体"/>
          <w:color w:val="000000" w:themeColor="text1"/>
          <w:szCs w:val="21"/>
          <w:highlight w:val="none"/>
          <w14:textFill>
            <w14:solidFill>
              <w14:schemeClr w14:val="tx1"/>
            </w14:solidFill>
          </w14:textFill>
        </w:rPr>
        <w:t>适用于工程的标准规范包括：</w:t>
      </w:r>
      <w:r>
        <w:rPr>
          <w:rFonts w:hint="eastAsia" w:hAnsi="宋体"/>
          <w:color w:val="000000" w:themeColor="text1"/>
          <w:szCs w:val="21"/>
          <w:highlight w:val="none"/>
          <w:u w:val="single"/>
          <w14:textFill>
            <w14:solidFill>
              <w14:schemeClr w14:val="tx1"/>
            </w14:solidFill>
          </w14:textFill>
        </w:rPr>
        <w:t>经审查的设计施工图规定的各类国标标准和规范，且不仅限于此</w:t>
      </w:r>
      <w:r>
        <w:rPr>
          <w:rFonts w:hAnsi="宋体"/>
          <w:color w:val="000000" w:themeColor="text1"/>
          <w:szCs w:val="21"/>
          <w:highlight w:val="none"/>
          <w14:textFill>
            <w14:solidFill>
              <w14:schemeClr w14:val="tx1"/>
            </w14:solidFill>
          </w14:textFill>
        </w:rPr>
        <w:t>。</w:t>
      </w:r>
    </w:p>
    <w:p w14:paraId="4358CA50">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1.4.2</w:t>
      </w:r>
      <w:r>
        <w:rPr>
          <w:rFonts w:hAnsi="宋体"/>
          <w:color w:val="000000" w:themeColor="text1"/>
          <w:kern w:val="0"/>
          <w:szCs w:val="21"/>
          <w:highlight w:val="none"/>
          <w14:textFill>
            <w14:solidFill>
              <w14:schemeClr w14:val="tx1"/>
            </w14:solidFill>
          </w14:textFill>
        </w:rPr>
        <w:t>发包人提供国外标准、规范的名称：</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14:textFill>
            <w14:solidFill>
              <w14:schemeClr w14:val="tx1"/>
            </w14:solidFill>
          </w14:textFill>
        </w:rPr>
        <w:t>；</w:t>
      </w:r>
    </w:p>
    <w:p w14:paraId="405638FA">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发包人提供国外标准、规范的份数：</w:t>
      </w:r>
      <w:r>
        <w:rPr>
          <w:rFonts w:hint="eastAsia"/>
          <w:color w:val="000000" w:themeColor="text1"/>
          <w:kern w:val="0"/>
          <w:szCs w:val="21"/>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p w14:paraId="46D4A776">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发包人提供国外标准、规范的名称：</w:t>
      </w:r>
      <w:r>
        <w:rPr>
          <w:rFonts w:hint="eastAsia"/>
          <w:color w:val="000000" w:themeColor="text1"/>
          <w:kern w:val="0"/>
          <w:szCs w:val="21"/>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p w14:paraId="67292F22">
      <w:pPr>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1.4.3</w:t>
      </w:r>
      <w:r>
        <w:rPr>
          <w:rFonts w:hAnsi="宋体"/>
          <w:color w:val="000000" w:themeColor="text1"/>
          <w:szCs w:val="21"/>
          <w:highlight w:val="none"/>
          <w14:textFill>
            <w14:solidFill>
              <w14:schemeClr w14:val="tx1"/>
            </w14:solidFill>
          </w14:textFill>
        </w:rPr>
        <w:t>发包人对工程的技术标准和功能要求的特殊要求：</w:t>
      </w:r>
      <w:r>
        <w:rPr>
          <w:rFonts w:hint="eastAsia" w:hAnsi="宋体"/>
          <w:color w:val="000000" w:themeColor="text1"/>
          <w:szCs w:val="21"/>
          <w:highlight w:val="none"/>
          <w:u w:val="single"/>
          <w14:textFill>
            <w14:solidFill>
              <w14:schemeClr w14:val="tx1"/>
            </w14:solidFill>
          </w14:textFill>
        </w:rPr>
        <w:t>无</w:t>
      </w:r>
      <w:r>
        <w:rPr>
          <w:rFonts w:hint="eastAsia" w:hAnsi="宋体" w:cs="宋体"/>
          <w:color w:val="000000" w:themeColor="text1"/>
          <w:szCs w:val="21"/>
          <w:highlight w:val="none"/>
          <w14:textFill>
            <w14:solidFill>
              <w14:schemeClr w14:val="tx1"/>
            </w14:solidFill>
          </w14:textFill>
        </w:rPr>
        <w:t>。</w:t>
      </w:r>
    </w:p>
    <w:p w14:paraId="2355F04C">
      <w:pPr>
        <w:spacing w:line="360" w:lineRule="auto"/>
        <w:ind w:firstLine="420" w:firstLineChars="200"/>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1.4.4 消防管道维修改造项目需要消防设计审查、第三方查验公司查验、需要备案验收。</w:t>
      </w:r>
    </w:p>
    <w:p w14:paraId="32022051">
      <w:pPr>
        <w:pStyle w:val="5"/>
        <w:ind w:firstLine="422" w:firstLineChars="200"/>
        <w:rPr>
          <w:rFonts w:ascii="宋体" w:hAnsi="宋体"/>
          <w:color w:val="000000" w:themeColor="text1"/>
          <w:sz w:val="21"/>
          <w:szCs w:val="21"/>
          <w:highlight w:val="none"/>
          <w14:textFill>
            <w14:solidFill>
              <w14:schemeClr w14:val="tx1"/>
            </w14:solidFill>
          </w14:textFill>
        </w:rPr>
      </w:pPr>
      <w:bookmarkStart w:id="99" w:name="_Toc78449784"/>
      <w:bookmarkStart w:id="100" w:name="_Toc389065262"/>
      <w:bookmarkStart w:id="101" w:name="_Toc373227696"/>
      <w:bookmarkStart w:id="102" w:name="_Toc114058835"/>
      <w:bookmarkStart w:id="103" w:name="_Toc373478343"/>
      <w:bookmarkStart w:id="104" w:name="_Toc407135198"/>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合同文件的优先顺序</w:t>
      </w:r>
      <w:bookmarkEnd w:id="99"/>
      <w:bookmarkEnd w:id="100"/>
      <w:bookmarkEnd w:id="101"/>
      <w:bookmarkEnd w:id="102"/>
      <w:bookmarkEnd w:id="103"/>
      <w:bookmarkEnd w:id="104"/>
    </w:p>
    <w:p w14:paraId="169E8BA9">
      <w:pPr>
        <w:spacing w:line="360" w:lineRule="auto"/>
        <w:ind w:firstLine="420" w:firstLineChars="200"/>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合同文件组成及优先顺序为：</w:t>
      </w:r>
    </w:p>
    <w:p w14:paraId="5B6089C4">
      <w:pPr>
        <w:autoSpaceDE w:val="0"/>
        <w:autoSpaceDN w:val="0"/>
        <w:adjustRightInd w:val="0"/>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（1）合同协议书；</w:t>
      </w:r>
    </w:p>
    <w:p w14:paraId="219206F6">
      <w:pPr>
        <w:autoSpaceDE w:val="0"/>
        <w:autoSpaceDN w:val="0"/>
        <w:adjustRightInd w:val="0"/>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（2）成交通知书；</w:t>
      </w:r>
    </w:p>
    <w:p w14:paraId="7A21CE46">
      <w:pPr>
        <w:autoSpaceDE w:val="0"/>
        <w:autoSpaceDN w:val="0"/>
        <w:adjustRightInd w:val="0"/>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（3）竞标函及竞标函附录；</w:t>
      </w:r>
    </w:p>
    <w:p w14:paraId="7DF35B7F">
      <w:pPr>
        <w:autoSpaceDE w:val="0"/>
        <w:autoSpaceDN w:val="0"/>
        <w:adjustRightInd w:val="0"/>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（4）专用合同条款及其附件；</w:t>
      </w:r>
    </w:p>
    <w:p w14:paraId="7C0A11F1">
      <w:pPr>
        <w:autoSpaceDE w:val="0"/>
        <w:autoSpaceDN w:val="0"/>
        <w:adjustRightInd w:val="0"/>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（5）通用合同条款；</w:t>
      </w:r>
    </w:p>
    <w:p w14:paraId="295F3FAA">
      <w:pPr>
        <w:autoSpaceDE w:val="0"/>
        <w:autoSpaceDN w:val="0"/>
        <w:adjustRightInd w:val="0"/>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（6）技术标准和要求；</w:t>
      </w:r>
    </w:p>
    <w:p w14:paraId="461A3300">
      <w:pPr>
        <w:autoSpaceDE w:val="0"/>
        <w:autoSpaceDN w:val="0"/>
        <w:adjustRightInd w:val="0"/>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（7）图纸；</w:t>
      </w:r>
    </w:p>
    <w:p w14:paraId="76236375">
      <w:pPr>
        <w:autoSpaceDE w:val="0"/>
        <w:autoSpaceDN w:val="0"/>
        <w:adjustRightInd w:val="0"/>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（8）已标价工程量清单或预算书；</w:t>
      </w:r>
    </w:p>
    <w:p w14:paraId="46AB8540">
      <w:pPr>
        <w:autoSpaceDE w:val="0"/>
        <w:autoSpaceDN w:val="0"/>
        <w:adjustRightInd w:val="0"/>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（9）磋商文件（含补充通知和答疑）；</w:t>
      </w:r>
    </w:p>
    <w:p w14:paraId="212CEEC5">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10</w:t>
      </w:r>
      <w:r>
        <w:rPr>
          <w:rFonts w:hint="eastAsia" w:hAnsi="宋体" w:cs="宋体"/>
          <w:color w:val="000000" w:themeColor="text1"/>
          <w:highlight w:val="none"/>
          <w14:textFill>
            <w14:solidFill>
              <w14:schemeClr w14:val="tx1"/>
            </w14:solidFill>
          </w14:textFill>
        </w:rPr>
        <w:t>）其他合同文</w:t>
      </w:r>
      <w:r>
        <w:rPr>
          <w:rFonts w:hint="eastAsia" w:ascii="宋体" w:hAnsi="宋体" w:cs="宋体"/>
          <w:color w:val="000000" w:themeColor="text1"/>
          <w:highlight w:val="none"/>
          <w14:textFill>
            <w14:solidFill>
              <w14:schemeClr w14:val="tx1"/>
            </w14:solidFill>
          </w14:textFill>
        </w:rPr>
        <w:t>件（</w:t>
      </w:r>
      <w:r>
        <w:rPr>
          <w:rFonts w:hint="eastAsia" w:ascii="宋体" w:hAnsi="宋体"/>
          <w:color w:val="000000" w:themeColor="text1"/>
          <w:highlight w:val="none"/>
          <w14:textFill>
            <w14:solidFill>
              <w14:schemeClr w14:val="tx1"/>
            </w14:solidFill>
          </w14:textFill>
        </w:rPr>
        <w:t>在合同订立及履行过程中形成的与合同有关的文件均构成合同文件组成部分。</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p>
    <w:p w14:paraId="197AAB1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履约保证金缴纳证明。</w:t>
      </w:r>
    </w:p>
    <w:p w14:paraId="53D0BB08">
      <w:pPr>
        <w:spacing w:line="360" w:lineRule="auto"/>
        <w:ind w:left="539" w:leftChars="200" w:hanging="119" w:hangingChars="57"/>
        <w:rPr>
          <w:rFonts w:ascii="宋体" w:hAnsi="宋体" w:eastAsia="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设计变更文件一律采取书面形式。包括：</w:t>
      </w:r>
    </w:p>
    <w:p w14:paraId="09A3F5FB">
      <w:pPr>
        <w:spacing w:line="360" w:lineRule="auto"/>
        <w:ind w:left="539" w:leftChars="200" w:hanging="119" w:hangingChars="57"/>
        <w:rPr>
          <w:rFonts w:ascii="宋体" w:hAnsi="宋体"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w:t>
      </w:r>
      <w:r>
        <w:rPr>
          <w:rFonts w:ascii="宋体" w:hAnsi="宋体"/>
          <w:color w:val="000000" w:themeColor="text1"/>
          <w:highlight w:val="none"/>
          <w14:textFill>
            <w14:solidFill>
              <w14:schemeClr w14:val="tx1"/>
            </w14:solidFill>
          </w14:textFill>
        </w:rPr>
        <w:t>设计单位作出的设计变更通知单；</w:t>
      </w:r>
    </w:p>
    <w:p w14:paraId="72204A04">
      <w:pPr>
        <w:spacing w:line="360" w:lineRule="auto"/>
        <w:ind w:left="539" w:leftChars="200" w:hanging="119" w:hangingChars="57"/>
        <w:rPr>
          <w:rFonts w:ascii="宋体" w:hAnsi="宋体"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w:t>
      </w:r>
      <w:r>
        <w:rPr>
          <w:rFonts w:ascii="宋体" w:hAnsi="宋体"/>
          <w:color w:val="000000" w:themeColor="text1"/>
          <w:highlight w:val="none"/>
          <w14:textFill>
            <w14:solidFill>
              <w14:schemeClr w14:val="tx1"/>
            </w14:solidFill>
          </w14:textFill>
        </w:rPr>
        <w:t>根据洽商结果写成的洽商记录；</w:t>
      </w:r>
    </w:p>
    <w:p w14:paraId="5BC45F42">
      <w:pPr>
        <w:spacing w:line="360" w:lineRule="auto"/>
        <w:ind w:left="539" w:leftChars="200" w:hanging="119" w:hangingChars="57"/>
        <w:rPr>
          <w:rFonts w:ascii="宋体" w:hAnsi="宋体"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w:t>
      </w:r>
      <w:r>
        <w:rPr>
          <w:rFonts w:ascii="宋体" w:hAnsi="宋体"/>
          <w:color w:val="000000" w:themeColor="text1"/>
          <w:highlight w:val="none"/>
          <w14:textFill>
            <w14:solidFill>
              <w14:schemeClr w14:val="tx1"/>
            </w14:solidFill>
          </w14:textFill>
        </w:rPr>
        <w:t>比较重要的设计变更和洽商记录所附的变更后的施工图。</w:t>
      </w:r>
    </w:p>
    <w:p w14:paraId="17873EB8">
      <w:pPr>
        <w:spacing w:line="360" w:lineRule="auto"/>
        <w:ind w:left="539" w:leftChars="200" w:hanging="119" w:hangingChars="57"/>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设计变更文件经过三方或双方签证认可后生效，并作为施工和编审增减工程预算的依据。</w:t>
      </w:r>
    </w:p>
    <w:p w14:paraId="3A7DE738">
      <w:pPr>
        <w:spacing w:line="360" w:lineRule="auto"/>
        <w:ind w:firstLine="420" w:firstLineChars="200"/>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上述各项合同文件包括合同当事人就该项合同文件所作出的补充和修改，属于同一类内容的文件，应以最新签署的为准（违反采购文件</w:t>
      </w:r>
      <w:r>
        <w:rPr>
          <w:rFonts w:hAnsi="宋体" w:cs="宋体"/>
          <w:color w:val="000000" w:themeColor="text1"/>
          <w:kern w:val="0"/>
          <w:szCs w:val="21"/>
          <w:highlight w:val="none"/>
          <w14:textFill>
            <w14:solidFill>
              <w14:schemeClr w14:val="tx1"/>
            </w14:solidFill>
          </w14:textFill>
        </w:rPr>
        <w:t>实质性内容的约定除外</w:t>
      </w:r>
      <w:r>
        <w:rPr>
          <w:rFonts w:hint="eastAsia" w:hAnsi="宋体" w:cs="宋体"/>
          <w:color w:val="000000" w:themeColor="text1"/>
          <w:kern w:val="0"/>
          <w:szCs w:val="21"/>
          <w:highlight w:val="none"/>
          <w14:textFill>
            <w14:solidFill>
              <w14:schemeClr w14:val="tx1"/>
            </w14:solidFill>
          </w14:textFill>
        </w:rPr>
        <w:t>）。专用合同条款及其附件须经合同当事人签字或盖章。</w:t>
      </w:r>
    </w:p>
    <w:p w14:paraId="0B1C2909">
      <w:pPr>
        <w:pStyle w:val="5"/>
        <w:ind w:firstLine="422" w:firstLineChars="200"/>
        <w:rPr>
          <w:rFonts w:ascii="宋体" w:hAnsi="宋体"/>
          <w:color w:val="000000" w:themeColor="text1"/>
          <w:sz w:val="21"/>
          <w:szCs w:val="21"/>
          <w:highlight w:val="none"/>
          <w14:textFill>
            <w14:solidFill>
              <w14:schemeClr w14:val="tx1"/>
            </w14:solidFill>
          </w14:textFill>
        </w:rPr>
      </w:pPr>
      <w:bookmarkStart w:id="105" w:name="_Toc114058836"/>
      <w:bookmarkStart w:id="106" w:name="_Toc78449785"/>
      <w:bookmarkStart w:id="107" w:name="_Toc373478344"/>
      <w:bookmarkStart w:id="108" w:name="_Toc407135199"/>
      <w:bookmarkStart w:id="109" w:name="_Toc373227697"/>
      <w:bookmarkStart w:id="110" w:name="_Toc389065263"/>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图纸和承包人文件</w:t>
      </w:r>
      <w:bookmarkEnd w:id="105"/>
      <w:bookmarkEnd w:id="106"/>
      <w:bookmarkEnd w:id="107"/>
      <w:bookmarkEnd w:id="108"/>
      <w:bookmarkEnd w:id="109"/>
      <w:bookmarkEnd w:id="110"/>
    </w:p>
    <w:p w14:paraId="525F0201">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w:t>
      </w:r>
      <w:r>
        <w:rPr>
          <w:rFonts w:hint="eastAsia" w:hAnsi="宋体" w:cs="宋体"/>
          <w:color w:val="000000" w:themeColor="text1"/>
          <w:szCs w:val="21"/>
          <w:highlight w:val="none"/>
          <w14:textFill>
            <w14:solidFill>
              <w14:schemeClr w14:val="tx1"/>
            </w14:solidFill>
          </w14:textFill>
        </w:rPr>
        <w:t>图纸的提供</w:t>
      </w:r>
    </w:p>
    <w:p w14:paraId="21DCC1FF">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发包人向承包人提供图纸的期限：</w:t>
      </w:r>
      <w:r>
        <w:rPr>
          <w:rFonts w:hint="eastAsia" w:hAnsi="宋体"/>
          <w:color w:val="000000" w:themeColor="text1"/>
          <w:szCs w:val="21"/>
          <w:highlight w:val="none"/>
          <w:u w:val="single"/>
          <w14:textFill>
            <w14:solidFill>
              <w14:schemeClr w14:val="tx1"/>
            </w14:solidFill>
          </w14:textFill>
        </w:rPr>
        <w:t>合同签订之日起</w:t>
      </w:r>
      <w:r>
        <w:rPr>
          <w:rFonts w:hint="eastAsia" w:hAnsi="宋体"/>
          <w:color w:val="000000" w:themeColor="text1"/>
          <w:szCs w:val="21"/>
          <w:highlight w:val="none"/>
          <w:u w:val="single"/>
          <w:lang w:val="en-US" w:eastAsia="zh-CN"/>
          <w14:textFill>
            <w14:solidFill>
              <w14:schemeClr w14:val="tx1"/>
            </w14:solidFill>
          </w14:textFill>
        </w:rPr>
        <w:t xml:space="preserve"> / </w:t>
      </w:r>
      <w:r>
        <w:rPr>
          <w:rFonts w:hint="eastAsia" w:hAnsi="宋体"/>
          <w:color w:val="000000" w:themeColor="text1"/>
          <w:szCs w:val="21"/>
          <w:highlight w:val="none"/>
          <w:u w:val="single"/>
          <w14:textFill>
            <w14:solidFill>
              <w14:schemeClr w14:val="tx1"/>
            </w14:solidFill>
          </w14:textFill>
        </w:rPr>
        <w:t>个工作日内</w:t>
      </w:r>
      <w:r>
        <w:rPr>
          <w:rFonts w:hint="eastAsia" w:hAnsi="宋体" w:cs="宋体"/>
          <w:color w:val="000000" w:themeColor="text1"/>
          <w:szCs w:val="21"/>
          <w:highlight w:val="none"/>
          <w14:textFill>
            <w14:solidFill>
              <w14:schemeClr w14:val="tx1"/>
            </w14:solidFill>
          </w14:textFill>
        </w:rPr>
        <w:t>；</w:t>
      </w:r>
    </w:p>
    <w:p w14:paraId="2D0B211D">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发包人向承包人提供图纸的数量：</w:t>
      </w:r>
      <w:r>
        <w:rPr>
          <w:rFonts w:hint="eastAsia" w:hAnsi="宋体" w:cs="宋体"/>
          <w:color w:val="000000" w:themeColor="text1"/>
          <w:szCs w:val="21"/>
          <w:highlight w:val="none"/>
          <w:lang w:val="en-US" w:eastAsia="zh-CN"/>
          <w14:textFill>
            <w14:solidFill>
              <w14:schemeClr w14:val="tx1"/>
            </w14:solidFill>
          </w14:textFill>
        </w:rPr>
        <w:t xml:space="preserve"> </w:t>
      </w:r>
      <w:r>
        <w:rPr>
          <w:rFonts w:hint="eastAsia" w:hAnsi="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套（承包人需要增加图纸套数的，发包人应代为复制，复制费用由承包人承担）；</w:t>
      </w:r>
    </w:p>
    <w:p w14:paraId="1F022855">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发包人向承包人提供图纸的内容：</w:t>
      </w:r>
      <w:r>
        <w:rPr>
          <w:rFonts w:hint="eastAsia" w:hAnsi="宋体"/>
          <w:color w:val="000000" w:themeColor="text1"/>
          <w:szCs w:val="21"/>
          <w:highlight w:val="none"/>
          <w:u w:val="single"/>
          <w14:textFill>
            <w14:solidFill>
              <w14:schemeClr w14:val="tx1"/>
            </w14:solidFill>
          </w14:textFill>
        </w:rPr>
        <w:t>本合同发包内容中的全部图纸（含设计变更）</w:t>
      </w:r>
      <w:r>
        <w:rPr>
          <w:rFonts w:hint="eastAsia" w:hAnsi="宋体" w:cs="宋体"/>
          <w:color w:val="000000" w:themeColor="text1"/>
          <w:szCs w:val="21"/>
          <w:highlight w:val="none"/>
          <w14:textFill>
            <w14:solidFill>
              <w14:schemeClr w14:val="tx1"/>
            </w14:solidFill>
          </w14:textFill>
        </w:rPr>
        <w:t>。</w:t>
      </w:r>
    </w:p>
    <w:p w14:paraId="30D213B4">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1.6.4</w:t>
      </w:r>
      <w:r>
        <w:rPr>
          <w:rFonts w:hint="eastAsia" w:hAnsi="宋体" w:cs="宋体"/>
          <w:color w:val="000000" w:themeColor="text1"/>
          <w:szCs w:val="21"/>
          <w:highlight w:val="none"/>
          <w14:textFill>
            <w14:solidFill>
              <w14:schemeClr w14:val="tx1"/>
            </w14:solidFill>
          </w14:textFill>
        </w:rPr>
        <w:t>承包人文件</w:t>
      </w:r>
    </w:p>
    <w:p w14:paraId="064ABD88">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需要由承包人提供的文件，包括：</w:t>
      </w:r>
      <w:r>
        <w:rPr>
          <w:rFonts w:hint="eastAsia" w:ascii="宋体" w:hAnsi="宋体" w:cs="宋体"/>
          <w:bCs/>
          <w:color w:val="000000" w:themeColor="text1"/>
          <w:szCs w:val="21"/>
          <w:highlight w:val="none"/>
          <w:u w:val="single"/>
          <w14:textFill>
            <w14:solidFill>
              <w14:schemeClr w14:val="tx1"/>
            </w14:solidFill>
          </w14:textFill>
        </w:rPr>
        <w:t>实施性施工组织设计及方案；建设项目竣工验收前，承包人应根据合同工作内容要求，分别整理竣工验收资料（含竣工图），汇总为完整的建设项目竣工资料报发包人（费用由承包人负责）</w:t>
      </w:r>
      <w:r>
        <w:rPr>
          <w:rFonts w:hAnsi="宋体"/>
          <w:color w:val="000000" w:themeColor="text1"/>
          <w:szCs w:val="21"/>
          <w:highlight w:val="none"/>
          <w14:textFill>
            <w14:solidFill>
              <w14:schemeClr w14:val="tx1"/>
            </w14:solidFill>
          </w14:textFill>
        </w:rPr>
        <w:t>；</w:t>
      </w:r>
    </w:p>
    <w:p w14:paraId="7C55B569">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承包人提供的文件的期限为：</w:t>
      </w:r>
      <w:r>
        <w:rPr>
          <w:rFonts w:hint="eastAsia" w:ascii="宋体" w:hAnsi="宋体"/>
          <w:color w:val="000000" w:themeColor="text1"/>
          <w:szCs w:val="21"/>
          <w:highlight w:val="none"/>
          <w:u w:val="single"/>
          <w14:textFill>
            <w14:solidFill>
              <w14:schemeClr w14:val="tx1"/>
            </w14:solidFill>
          </w14:textFill>
        </w:rPr>
        <w:t>开工前及</w:t>
      </w:r>
      <w:r>
        <w:rPr>
          <w:rFonts w:ascii="宋体" w:hAnsi="宋体" w:cs="宋体"/>
          <w:bCs/>
          <w:color w:val="000000" w:themeColor="text1"/>
          <w:szCs w:val="21"/>
          <w:highlight w:val="none"/>
          <w:u w:val="single"/>
          <w14:textFill>
            <w14:solidFill>
              <w14:schemeClr w14:val="tx1"/>
            </w14:solidFill>
          </w14:textFill>
        </w:rPr>
        <w:t>竣工验收正式通过后15</w:t>
      </w:r>
      <w:r>
        <w:rPr>
          <w:rFonts w:hint="eastAsia" w:ascii="宋体" w:hAnsi="宋体" w:cs="宋体"/>
          <w:bCs/>
          <w:color w:val="000000" w:themeColor="text1"/>
          <w:szCs w:val="21"/>
          <w:highlight w:val="none"/>
          <w:u w:val="single"/>
          <w14:textFill>
            <w14:solidFill>
              <w14:schemeClr w14:val="tx1"/>
            </w14:solidFill>
          </w14:textFill>
        </w:rPr>
        <w:t>天</w:t>
      </w:r>
      <w:r>
        <w:rPr>
          <w:rFonts w:hAnsi="宋体"/>
          <w:color w:val="000000" w:themeColor="text1"/>
          <w:szCs w:val="21"/>
          <w:highlight w:val="none"/>
          <w14:textFill>
            <w14:solidFill>
              <w14:schemeClr w14:val="tx1"/>
            </w14:solidFill>
          </w14:textFill>
        </w:rPr>
        <w:t>；</w:t>
      </w:r>
    </w:p>
    <w:p w14:paraId="7F1D8762">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承包人提供的文件的数量为：</w:t>
      </w:r>
      <w:r>
        <w:rPr>
          <w:rFonts w:hint="eastAsia" w:hAnsi="宋体"/>
          <w:color w:val="000000" w:themeColor="text1"/>
          <w:szCs w:val="21"/>
          <w:highlight w:val="none"/>
          <w:u w:val="single"/>
          <w14:textFill>
            <w14:solidFill>
              <w14:schemeClr w14:val="tx1"/>
            </w14:solidFill>
          </w14:textFill>
        </w:rPr>
        <w:t>提供6套</w:t>
      </w:r>
      <w:r>
        <w:rPr>
          <w:rFonts w:hAnsi="宋体"/>
          <w:color w:val="000000" w:themeColor="text1"/>
          <w:szCs w:val="21"/>
          <w:highlight w:val="none"/>
          <w14:textFill>
            <w14:solidFill>
              <w14:schemeClr w14:val="tx1"/>
            </w14:solidFill>
          </w14:textFill>
        </w:rPr>
        <w:t>；</w:t>
      </w:r>
    </w:p>
    <w:p w14:paraId="2ADFBFC0">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承包人提供的文件的形式为：</w:t>
      </w:r>
      <w:r>
        <w:rPr>
          <w:rFonts w:hint="eastAsia" w:hAnsi="宋体"/>
          <w:color w:val="000000" w:themeColor="text1"/>
          <w:szCs w:val="21"/>
          <w:highlight w:val="none"/>
          <w:u w:val="single"/>
          <w14:textFill>
            <w14:solidFill>
              <w14:schemeClr w14:val="tx1"/>
            </w14:solidFill>
          </w14:textFill>
        </w:rPr>
        <w:t>书面形式和电子版</w:t>
      </w:r>
      <w:r>
        <w:rPr>
          <w:rFonts w:hAnsi="宋体"/>
          <w:color w:val="000000" w:themeColor="text1"/>
          <w:szCs w:val="21"/>
          <w:highlight w:val="none"/>
          <w14:textFill>
            <w14:solidFill>
              <w14:schemeClr w14:val="tx1"/>
            </w14:solidFill>
          </w14:textFill>
        </w:rPr>
        <w:t>；</w:t>
      </w:r>
    </w:p>
    <w:p w14:paraId="64CBFA0C">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发包人审批承包人文件的期限：</w:t>
      </w:r>
      <w:r>
        <w:rPr>
          <w:rFonts w:hint="eastAsia" w:hAnsi="宋体"/>
          <w:color w:val="000000" w:themeColor="text1"/>
          <w:szCs w:val="21"/>
          <w:highlight w:val="none"/>
          <w:u w:val="single"/>
          <w14:textFill>
            <w14:solidFill>
              <w14:schemeClr w14:val="tx1"/>
            </w14:solidFill>
          </w14:textFill>
        </w:rPr>
        <w:t>提交文件后14个工作日内</w:t>
      </w:r>
      <w:r>
        <w:rPr>
          <w:rFonts w:hint="eastAsia" w:hAnsi="宋体" w:cs="宋体"/>
          <w:color w:val="000000" w:themeColor="text1"/>
          <w:szCs w:val="21"/>
          <w:highlight w:val="none"/>
          <w14:textFill>
            <w14:solidFill>
              <w14:schemeClr w14:val="tx1"/>
            </w14:solidFill>
          </w14:textFill>
        </w:rPr>
        <w:t>。</w:t>
      </w:r>
    </w:p>
    <w:p w14:paraId="00447B46">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1.6.5</w:t>
      </w:r>
      <w:r>
        <w:rPr>
          <w:rFonts w:hint="eastAsia" w:hAnsi="宋体" w:cs="宋体"/>
          <w:color w:val="000000" w:themeColor="text1"/>
          <w:szCs w:val="21"/>
          <w:highlight w:val="none"/>
          <w14:textFill>
            <w14:solidFill>
              <w14:schemeClr w14:val="tx1"/>
            </w14:solidFill>
          </w14:textFill>
        </w:rPr>
        <w:t>现场图纸准备</w:t>
      </w:r>
    </w:p>
    <w:p w14:paraId="5E39E8E5">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关于现场图纸准备的约定：</w:t>
      </w:r>
      <w:r>
        <w:rPr>
          <w:rFonts w:hint="eastAsia" w:hAnsi="宋体"/>
          <w:color w:val="000000" w:themeColor="text1"/>
          <w:szCs w:val="21"/>
          <w:highlight w:val="none"/>
          <w:u w:val="single"/>
          <w14:textFill>
            <w14:solidFill>
              <w14:schemeClr w14:val="tx1"/>
            </w14:solidFill>
          </w14:textFill>
        </w:rPr>
        <w:t>承包人在施工现场保留一套完整图纸和承包人文件，供发包人、监理人及有关人员进行工程检查时使用</w:t>
      </w:r>
      <w:r>
        <w:rPr>
          <w:rFonts w:hint="eastAsia" w:hAnsi="宋体" w:cs="宋体"/>
          <w:color w:val="000000" w:themeColor="text1"/>
          <w:szCs w:val="21"/>
          <w:highlight w:val="none"/>
          <w14:textFill>
            <w14:solidFill>
              <w14:schemeClr w14:val="tx1"/>
            </w14:solidFill>
          </w14:textFill>
        </w:rPr>
        <w:t>。</w:t>
      </w:r>
    </w:p>
    <w:p w14:paraId="6EA8896F">
      <w:pPr>
        <w:pStyle w:val="5"/>
        <w:ind w:firstLine="422" w:firstLineChars="200"/>
        <w:rPr>
          <w:rFonts w:ascii="宋体" w:hAnsi="宋体"/>
          <w:color w:val="000000" w:themeColor="text1"/>
          <w:sz w:val="21"/>
          <w:szCs w:val="21"/>
          <w:highlight w:val="none"/>
          <w14:textFill>
            <w14:solidFill>
              <w14:schemeClr w14:val="tx1"/>
            </w14:solidFill>
          </w14:textFill>
        </w:rPr>
      </w:pPr>
      <w:bookmarkStart w:id="111" w:name="_Toc389065264"/>
      <w:bookmarkStart w:id="112" w:name="_Toc373227698"/>
      <w:bookmarkStart w:id="113" w:name="_Toc78449786"/>
      <w:bookmarkStart w:id="114" w:name="_Toc373478345"/>
      <w:bookmarkStart w:id="115" w:name="_Toc114058837"/>
      <w:bookmarkStart w:id="116" w:name="_Toc407135200"/>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联络</w:t>
      </w:r>
      <w:bookmarkEnd w:id="111"/>
      <w:bookmarkEnd w:id="112"/>
      <w:bookmarkEnd w:id="113"/>
      <w:bookmarkEnd w:id="114"/>
      <w:bookmarkEnd w:id="115"/>
      <w:bookmarkEnd w:id="116"/>
    </w:p>
    <w:p w14:paraId="52AD534C">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1.7.1</w:t>
      </w:r>
      <w:r>
        <w:rPr>
          <w:rFonts w:hint="eastAsia" w:hAnsi="宋体" w:cs="宋体"/>
          <w:color w:val="000000" w:themeColor="text1"/>
          <w:kern w:val="0"/>
          <w:szCs w:val="21"/>
          <w:highlight w:val="none"/>
          <w14:textFill>
            <w14:solidFill>
              <w14:schemeClr w14:val="tx1"/>
            </w14:solidFill>
          </w14:textFill>
        </w:rPr>
        <w:t>发包人和承包人应当在</w:t>
      </w:r>
      <w:r>
        <w:rPr>
          <w:rFonts w:hint="eastAsia"/>
          <w:color w:val="000000" w:themeColor="text1"/>
          <w:szCs w:val="21"/>
          <w:highlight w:val="none"/>
          <w:u w:val="single"/>
          <w14:textFill>
            <w14:solidFill>
              <w14:schemeClr w14:val="tx1"/>
            </w14:solidFill>
          </w14:textFill>
        </w:rPr>
        <w:t>7日历</w:t>
      </w:r>
      <w:r>
        <w:rPr>
          <w:rFonts w:hint="eastAsia" w:hAnsi="宋体" w:cs="宋体"/>
          <w:color w:val="000000" w:themeColor="text1"/>
          <w:kern w:val="0"/>
          <w:szCs w:val="21"/>
          <w:highlight w:val="none"/>
          <w14:textFill>
            <w14:solidFill>
              <w14:schemeClr w14:val="tx1"/>
            </w14:solidFill>
          </w14:textFill>
        </w:rPr>
        <w:t>天内将与合同有关的通知、批准、证明、证书、指示、指令、要求、请求、同意、意见、确定和决定等书面函件送达对方当事人。</w:t>
      </w:r>
    </w:p>
    <w:p w14:paraId="5E615AB5">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1.7.2</w:t>
      </w:r>
      <w:r>
        <w:rPr>
          <w:rFonts w:hAnsi="宋体"/>
          <w:color w:val="000000" w:themeColor="text1"/>
          <w:kern w:val="0"/>
          <w:szCs w:val="21"/>
          <w:highlight w:val="none"/>
          <w14:textFill>
            <w14:solidFill>
              <w14:schemeClr w14:val="tx1"/>
            </w14:solidFill>
          </w14:textFill>
        </w:rPr>
        <w:t>发包人接收文件的地点：</w:t>
      </w:r>
      <w:r>
        <w:rPr>
          <w:rFonts w:hint="eastAsia" w:hAnsi="宋体"/>
          <w:color w:val="000000" w:themeColor="text1"/>
          <w:szCs w:val="21"/>
          <w:highlight w:val="none"/>
          <w:u w:val="single"/>
          <w14:textFill>
            <w14:solidFill>
              <w14:schemeClr w14:val="tx1"/>
            </w14:solidFill>
          </w14:textFill>
        </w:rPr>
        <w:t>施工现场发包人办公室</w:t>
      </w:r>
      <w:r>
        <w:rPr>
          <w:rFonts w:hAnsi="宋体"/>
          <w:color w:val="000000" w:themeColor="text1"/>
          <w:kern w:val="0"/>
          <w:szCs w:val="21"/>
          <w:highlight w:val="none"/>
          <w14:textFill>
            <w14:solidFill>
              <w14:schemeClr w14:val="tx1"/>
            </w14:solidFill>
          </w14:textFill>
        </w:rPr>
        <w:t>；</w:t>
      </w:r>
    </w:p>
    <w:p w14:paraId="57E1B243">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发包人指定的接收人为：</w:t>
      </w:r>
      <w:r>
        <w:rPr>
          <w:rFonts w:hint="eastAsia" w:hAnsi="宋体"/>
          <w:color w:val="000000" w:themeColor="text1"/>
          <w:szCs w:val="21"/>
          <w:highlight w:val="none"/>
          <w:u w:val="single"/>
          <w14:textFill>
            <w14:solidFill>
              <w14:schemeClr w14:val="tx1"/>
            </w14:solidFill>
          </w14:textFill>
        </w:rPr>
        <w:t>业主代表（现场）</w:t>
      </w:r>
      <w:r>
        <w:rPr>
          <w:rFonts w:hAnsi="宋体"/>
          <w:color w:val="000000" w:themeColor="text1"/>
          <w:kern w:val="0"/>
          <w:szCs w:val="21"/>
          <w:highlight w:val="none"/>
          <w14:textFill>
            <w14:solidFill>
              <w14:schemeClr w14:val="tx1"/>
            </w14:solidFill>
          </w14:textFill>
        </w:rPr>
        <w:t>。</w:t>
      </w:r>
    </w:p>
    <w:p w14:paraId="08808C62">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承包人接收文件的地点：</w:t>
      </w:r>
      <w:r>
        <w:rPr>
          <w:rFonts w:hint="eastAsia" w:hAnsi="宋体"/>
          <w:color w:val="000000" w:themeColor="text1"/>
          <w:szCs w:val="21"/>
          <w:highlight w:val="none"/>
          <w:u w:val="single"/>
          <w14:textFill>
            <w14:solidFill>
              <w14:schemeClr w14:val="tx1"/>
            </w14:solidFill>
          </w14:textFill>
        </w:rPr>
        <w:t>施工现场承包人办公室</w:t>
      </w:r>
      <w:r>
        <w:rPr>
          <w:rFonts w:hAnsi="宋体"/>
          <w:color w:val="000000" w:themeColor="text1"/>
          <w:kern w:val="0"/>
          <w:szCs w:val="21"/>
          <w:highlight w:val="none"/>
          <w14:textFill>
            <w14:solidFill>
              <w14:schemeClr w14:val="tx1"/>
            </w14:solidFill>
          </w14:textFill>
        </w:rPr>
        <w:t>；</w:t>
      </w:r>
    </w:p>
    <w:p w14:paraId="46964F7D">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承包人指定的接收人为：</w:t>
      </w:r>
      <w:r>
        <w:rPr>
          <w:rFonts w:hint="eastAsia" w:hAnsi="宋体"/>
          <w:color w:val="000000" w:themeColor="text1"/>
          <w:szCs w:val="21"/>
          <w:highlight w:val="none"/>
          <w:u w:val="single"/>
          <w14:textFill>
            <w14:solidFill>
              <w14:schemeClr w14:val="tx1"/>
            </w14:solidFill>
          </w14:textFill>
        </w:rPr>
        <w:t>承包人项目经理</w:t>
      </w:r>
      <w:r>
        <w:rPr>
          <w:rFonts w:hAnsi="宋体"/>
          <w:color w:val="000000" w:themeColor="text1"/>
          <w:kern w:val="0"/>
          <w:szCs w:val="21"/>
          <w:highlight w:val="none"/>
          <w14:textFill>
            <w14:solidFill>
              <w14:schemeClr w14:val="tx1"/>
            </w14:solidFill>
          </w14:textFill>
        </w:rPr>
        <w:t>。</w:t>
      </w:r>
    </w:p>
    <w:p w14:paraId="0F74379E">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监理人接收文件的地点：</w:t>
      </w:r>
      <w:r>
        <w:rPr>
          <w:rFonts w:hint="eastAsia" w:hAnsi="宋体"/>
          <w:color w:val="000000" w:themeColor="text1"/>
          <w:szCs w:val="21"/>
          <w:highlight w:val="none"/>
          <w:u w:val="single"/>
          <w14:textFill>
            <w14:solidFill>
              <w14:schemeClr w14:val="tx1"/>
            </w14:solidFill>
          </w14:textFill>
        </w:rPr>
        <w:t>施工现场监理人办公室</w:t>
      </w:r>
      <w:r>
        <w:rPr>
          <w:rFonts w:hAnsi="宋体"/>
          <w:color w:val="000000" w:themeColor="text1"/>
          <w:kern w:val="0"/>
          <w:szCs w:val="21"/>
          <w:highlight w:val="none"/>
          <w14:textFill>
            <w14:solidFill>
              <w14:schemeClr w14:val="tx1"/>
            </w14:solidFill>
          </w14:textFill>
        </w:rPr>
        <w:t>；</w:t>
      </w:r>
    </w:p>
    <w:p w14:paraId="78866DA1">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监理人指定的接收人为：</w:t>
      </w:r>
      <w:r>
        <w:rPr>
          <w:rFonts w:hint="eastAsia" w:hAnsi="宋体"/>
          <w:color w:val="000000" w:themeColor="text1"/>
          <w:szCs w:val="21"/>
          <w:highlight w:val="none"/>
          <w:u w:val="single"/>
          <w14:textFill>
            <w14:solidFill>
              <w14:schemeClr w14:val="tx1"/>
            </w14:solidFill>
          </w14:textFill>
        </w:rPr>
        <w:t>总监理工程师或总监代表</w:t>
      </w:r>
      <w:r>
        <w:rPr>
          <w:rFonts w:hint="eastAsia" w:hAnsi="宋体" w:cs="宋体"/>
          <w:color w:val="000000" w:themeColor="text1"/>
          <w:kern w:val="0"/>
          <w:szCs w:val="21"/>
          <w:highlight w:val="none"/>
          <w14:textFill>
            <w14:solidFill>
              <w14:schemeClr w14:val="tx1"/>
            </w14:solidFill>
          </w14:textFill>
        </w:rPr>
        <w:t>。</w:t>
      </w:r>
    </w:p>
    <w:p w14:paraId="5828B365">
      <w:pPr>
        <w:pStyle w:val="5"/>
        <w:ind w:firstLine="422" w:firstLineChars="200"/>
        <w:rPr>
          <w:rFonts w:ascii="宋体" w:hAnsi="宋体"/>
          <w:color w:val="000000" w:themeColor="text1"/>
          <w:sz w:val="21"/>
          <w:szCs w:val="21"/>
          <w:highlight w:val="none"/>
          <w14:textFill>
            <w14:solidFill>
              <w14:schemeClr w14:val="tx1"/>
            </w14:solidFill>
          </w14:textFill>
        </w:rPr>
      </w:pPr>
      <w:bookmarkStart w:id="117" w:name="_Toc389065265"/>
      <w:bookmarkStart w:id="118" w:name="_Toc78449787"/>
      <w:bookmarkStart w:id="119" w:name="_Toc373227699"/>
      <w:bookmarkStart w:id="120" w:name="_Toc373478346"/>
      <w:bookmarkStart w:id="121" w:name="_Toc114058838"/>
      <w:bookmarkStart w:id="122" w:name="_Toc407135201"/>
      <w:r>
        <w:rPr>
          <w:rFonts w:ascii="宋体" w:hAnsi="宋体"/>
          <w:color w:val="000000" w:themeColor="text1"/>
          <w:sz w:val="21"/>
          <w:szCs w:val="21"/>
          <w:highlight w:val="none"/>
          <w14:textFill>
            <w14:solidFill>
              <w14:schemeClr w14:val="tx1"/>
            </w14:solidFill>
          </w14:textFill>
        </w:rPr>
        <w:t>1.10</w:t>
      </w:r>
      <w:r>
        <w:rPr>
          <w:rFonts w:hint="eastAsia" w:ascii="宋体" w:hAnsi="宋体"/>
          <w:color w:val="000000" w:themeColor="text1"/>
          <w:sz w:val="21"/>
          <w:szCs w:val="21"/>
          <w:highlight w:val="none"/>
          <w14:textFill>
            <w14:solidFill>
              <w14:schemeClr w14:val="tx1"/>
            </w14:solidFill>
          </w14:textFill>
        </w:rPr>
        <w:t>交通运输</w:t>
      </w:r>
      <w:bookmarkEnd w:id="117"/>
      <w:bookmarkEnd w:id="118"/>
      <w:bookmarkEnd w:id="119"/>
      <w:bookmarkEnd w:id="120"/>
      <w:bookmarkEnd w:id="121"/>
      <w:bookmarkEnd w:id="122"/>
    </w:p>
    <w:p w14:paraId="2C7717EA">
      <w:pPr>
        <w:spacing w:line="360" w:lineRule="auto"/>
        <w:ind w:firstLine="420" w:firstLineChars="200"/>
        <w:rPr>
          <w:color w:val="000000" w:themeColor="text1"/>
          <w:szCs w:val="21"/>
          <w:highlight w:val="none"/>
          <w14:textFill>
            <w14:solidFill>
              <w14:schemeClr w14:val="tx1"/>
            </w14:solidFill>
          </w14:textFill>
        </w:rPr>
      </w:pPr>
      <w:bookmarkStart w:id="123" w:name="_Toc318581157"/>
      <w:r>
        <w:rPr>
          <w:color w:val="000000" w:themeColor="text1"/>
          <w:szCs w:val="21"/>
          <w:highlight w:val="none"/>
          <w14:textFill>
            <w14:solidFill>
              <w14:schemeClr w14:val="tx1"/>
            </w14:solidFill>
          </w14:textFill>
        </w:rPr>
        <w:t>1</w:t>
      </w:r>
      <w:bookmarkStart w:id="124" w:name="_Toc318581155"/>
      <w:bookmarkStart w:id="125" w:name="_Toc312677986"/>
      <w:bookmarkStart w:id="126" w:name="_Toc300934943"/>
      <w:bookmarkStart w:id="127" w:name="_Toc303539100"/>
      <w:bookmarkStart w:id="128" w:name="_Toc304295521"/>
      <w:r>
        <w:rPr>
          <w:color w:val="000000" w:themeColor="text1"/>
          <w:szCs w:val="21"/>
          <w:highlight w:val="none"/>
          <w14:textFill>
            <w14:solidFill>
              <w14:schemeClr w14:val="tx1"/>
            </w14:solidFill>
          </w14:textFill>
        </w:rPr>
        <w:t>.10.1</w:t>
      </w:r>
      <w:r>
        <w:rPr>
          <w:rFonts w:hAnsi="宋体"/>
          <w:color w:val="000000" w:themeColor="text1"/>
          <w:szCs w:val="21"/>
          <w:highlight w:val="none"/>
          <w14:textFill>
            <w14:solidFill>
              <w14:schemeClr w14:val="tx1"/>
            </w14:solidFill>
          </w14:textFill>
        </w:rPr>
        <w:t>出入现场的权利</w:t>
      </w:r>
    </w:p>
    <w:p w14:paraId="6FDD26E6">
      <w:pPr>
        <w:spacing w:line="360" w:lineRule="auto"/>
        <w:ind w:firstLine="420" w:firstLineChars="200"/>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关于出入现场的权利的约定：</w:t>
      </w:r>
      <w:r>
        <w:rPr>
          <w:rFonts w:hint="eastAsia" w:hAnsi="宋体"/>
          <w:color w:val="000000" w:themeColor="text1"/>
          <w:szCs w:val="21"/>
          <w:highlight w:val="none"/>
          <w:u w:val="single"/>
          <w14:textFill>
            <w14:solidFill>
              <w14:schemeClr w14:val="tx1"/>
            </w14:solidFill>
          </w14:textFill>
        </w:rPr>
        <w:t>承包人根据工程建设需要，负责施工场地范围内的照明、砖砌围墙设施、临时给排水敷设、施工道路硬化、施工场地硬化施工，并承担因此而发生的费用，同时负责安全保卫工作。发包人和监理人有权无偿使用承包人修建的临时道路和交通设施，不需要缴纳任何费用</w:t>
      </w:r>
      <w:r>
        <w:rPr>
          <w:rFonts w:hAnsi="宋体"/>
          <w:color w:val="000000" w:themeColor="text1"/>
          <w:szCs w:val="21"/>
          <w:highlight w:val="none"/>
          <w14:textFill>
            <w14:solidFill>
              <w14:schemeClr w14:val="tx1"/>
            </w14:solidFill>
          </w14:textFill>
        </w:rPr>
        <w:t>。</w:t>
      </w:r>
    </w:p>
    <w:bookmarkEnd w:id="124"/>
    <w:bookmarkEnd w:id="125"/>
    <w:bookmarkEnd w:id="126"/>
    <w:bookmarkEnd w:id="127"/>
    <w:bookmarkEnd w:id="128"/>
    <w:p w14:paraId="122A3CEB">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bookmarkStart w:id="129" w:name="_Toc318581156"/>
      <w:bookmarkStart w:id="130" w:name="_Toc312677987"/>
      <w:bookmarkStart w:id="131" w:name="_Toc304295522"/>
      <w:bookmarkStart w:id="132" w:name="_Toc303539101"/>
      <w:bookmarkStart w:id="133" w:name="_Toc300934944"/>
      <w:r>
        <w:rPr>
          <w:color w:val="000000" w:themeColor="text1"/>
          <w:szCs w:val="21"/>
          <w:highlight w:val="none"/>
          <w14:textFill>
            <w14:solidFill>
              <w14:schemeClr w14:val="tx1"/>
            </w14:solidFill>
          </w14:textFill>
        </w:rPr>
        <w:t>.10.3</w:t>
      </w:r>
      <w:r>
        <w:rPr>
          <w:rFonts w:hAnsi="宋体"/>
          <w:color w:val="000000" w:themeColor="text1"/>
          <w:szCs w:val="21"/>
          <w:highlight w:val="none"/>
          <w14:textFill>
            <w14:solidFill>
              <w14:schemeClr w14:val="tx1"/>
            </w14:solidFill>
          </w14:textFill>
        </w:rPr>
        <w:t>场内交通</w:t>
      </w:r>
    </w:p>
    <w:p w14:paraId="796FC47B">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关于场外交通和场内交通的边界的约定：</w:t>
      </w:r>
      <w:r>
        <w:rPr>
          <w:rFonts w:hint="eastAsia" w:ascii="宋体" w:hAnsi="宋体" w:cs="宋体"/>
          <w:bCs/>
          <w:color w:val="000000" w:themeColor="text1"/>
          <w:szCs w:val="21"/>
          <w:highlight w:val="none"/>
          <w:u w:val="single"/>
          <w14:textFill>
            <w14:solidFill>
              <w14:schemeClr w14:val="tx1"/>
            </w14:solidFill>
          </w14:textFill>
        </w:rPr>
        <w:t>以工程用地红线界定</w:t>
      </w:r>
      <w:r>
        <w:rPr>
          <w:rFonts w:hAnsi="宋体"/>
          <w:color w:val="000000" w:themeColor="text1"/>
          <w:szCs w:val="21"/>
          <w:highlight w:val="none"/>
          <w14:textFill>
            <w14:solidFill>
              <w14:schemeClr w14:val="tx1"/>
            </w14:solidFill>
          </w14:textFill>
        </w:rPr>
        <w:t>。</w:t>
      </w:r>
    </w:p>
    <w:p w14:paraId="4FD19CF7">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关于发包人向承包人免费提供满足工程施工需要的场内道路和交通设施的约定：</w:t>
      </w:r>
      <w:r>
        <w:rPr>
          <w:rFonts w:hint="eastAsia"/>
          <w:color w:val="000000" w:themeColor="text1"/>
          <w:highlight w:val="none"/>
          <w:u w:val="single"/>
          <w14:textFill>
            <w14:solidFill>
              <w14:schemeClr w14:val="tx1"/>
            </w14:solidFill>
          </w14:textFill>
        </w:rPr>
        <w:t>施工现场内临时道路由承包人负责建设及拆除并承担相关费用</w:t>
      </w:r>
      <w:r>
        <w:rPr>
          <w:rFonts w:hAnsi="宋体"/>
          <w:color w:val="000000" w:themeColor="text1"/>
          <w:szCs w:val="21"/>
          <w:highlight w:val="none"/>
          <w14:textFill>
            <w14:solidFill>
              <w14:schemeClr w14:val="tx1"/>
            </w14:solidFill>
          </w14:textFill>
        </w:rPr>
        <w:t>。</w:t>
      </w:r>
      <w:bookmarkEnd w:id="129"/>
      <w:bookmarkEnd w:id="130"/>
      <w:bookmarkEnd w:id="131"/>
      <w:bookmarkEnd w:id="132"/>
      <w:bookmarkEnd w:id="133"/>
    </w:p>
    <w:p w14:paraId="377F9A5B">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1.10.4</w:t>
      </w:r>
      <w:r>
        <w:rPr>
          <w:rFonts w:hAnsi="宋体"/>
          <w:color w:val="000000" w:themeColor="text1"/>
          <w:szCs w:val="21"/>
          <w:highlight w:val="none"/>
          <w14:textFill>
            <w14:solidFill>
              <w14:schemeClr w14:val="tx1"/>
            </w14:solidFill>
          </w14:textFill>
        </w:rPr>
        <w:t>超大件和超重件的运输</w:t>
      </w:r>
    </w:p>
    <w:p w14:paraId="35515ABE">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运输超大件或超重件所需的道路和桥梁临时加固改造费用和其他有关费用由</w:t>
      </w:r>
      <w:r>
        <w:rPr>
          <w:rFonts w:hint="eastAsia"/>
          <w:color w:val="000000" w:themeColor="text1"/>
          <w:szCs w:val="21"/>
          <w:highlight w:val="none"/>
          <w:u w:val="single"/>
          <w14:textFill>
            <w14:solidFill>
              <w14:schemeClr w14:val="tx1"/>
            </w14:solidFill>
          </w14:textFill>
        </w:rPr>
        <w:t>承包人</w:t>
      </w:r>
      <w:r>
        <w:rPr>
          <w:rFonts w:hAnsi="宋体"/>
          <w:color w:val="000000" w:themeColor="text1"/>
          <w:szCs w:val="21"/>
          <w:highlight w:val="none"/>
          <w14:textFill>
            <w14:solidFill>
              <w14:schemeClr w14:val="tx1"/>
            </w14:solidFill>
          </w14:textFill>
        </w:rPr>
        <w:t>承担</w:t>
      </w:r>
      <w:r>
        <w:rPr>
          <w:rFonts w:hint="eastAsia" w:hAnsi="宋体" w:cs="宋体"/>
          <w:color w:val="000000" w:themeColor="text1"/>
          <w:szCs w:val="21"/>
          <w:highlight w:val="none"/>
          <w14:textFill>
            <w14:solidFill>
              <w14:schemeClr w14:val="tx1"/>
            </w14:solidFill>
          </w14:textFill>
        </w:rPr>
        <w:t>。</w:t>
      </w:r>
    </w:p>
    <w:bookmarkEnd w:id="123"/>
    <w:p w14:paraId="0D130205">
      <w:pPr>
        <w:pStyle w:val="5"/>
        <w:ind w:firstLine="422" w:firstLineChars="200"/>
        <w:rPr>
          <w:rFonts w:ascii="宋体" w:hAnsi="宋体"/>
          <w:color w:val="000000" w:themeColor="text1"/>
          <w:sz w:val="21"/>
          <w:szCs w:val="21"/>
          <w:highlight w:val="none"/>
          <w14:textFill>
            <w14:solidFill>
              <w14:schemeClr w14:val="tx1"/>
            </w14:solidFill>
          </w14:textFill>
        </w:rPr>
      </w:pPr>
      <w:bookmarkStart w:id="134" w:name="_Toc373227700"/>
      <w:bookmarkStart w:id="135" w:name="_Toc373478347"/>
      <w:bookmarkStart w:id="136" w:name="_Toc78449788"/>
      <w:bookmarkStart w:id="137" w:name="_Toc407135202"/>
      <w:bookmarkStart w:id="138" w:name="_Toc389065266"/>
      <w:bookmarkStart w:id="139" w:name="_Toc114058839"/>
      <w:r>
        <w:rPr>
          <w:rFonts w:ascii="宋体" w:hAnsi="宋体"/>
          <w:color w:val="000000" w:themeColor="text1"/>
          <w:sz w:val="21"/>
          <w:szCs w:val="21"/>
          <w:highlight w:val="none"/>
          <w14:textFill>
            <w14:solidFill>
              <w14:schemeClr w14:val="tx1"/>
            </w14:solidFill>
          </w14:textFill>
        </w:rPr>
        <w:t>1.11</w:t>
      </w:r>
      <w:r>
        <w:rPr>
          <w:rFonts w:hint="eastAsia" w:ascii="宋体" w:hAnsi="宋体"/>
          <w:color w:val="000000" w:themeColor="text1"/>
          <w:sz w:val="21"/>
          <w:szCs w:val="21"/>
          <w:highlight w:val="none"/>
          <w14:textFill>
            <w14:solidFill>
              <w14:schemeClr w14:val="tx1"/>
            </w14:solidFill>
          </w14:textFill>
        </w:rPr>
        <w:t>知识产权</w:t>
      </w:r>
      <w:bookmarkEnd w:id="134"/>
      <w:bookmarkEnd w:id="135"/>
      <w:bookmarkEnd w:id="136"/>
      <w:bookmarkEnd w:id="137"/>
      <w:bookmarkEnd w:id="138"/>
      <w:bookmarkEnd w:id="139"/>
    </w:p>
    <w:p w14:paraId="2D4128DF">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1.11.1</w:t>
      </w:r>
      <w:r>
        <w:rPr>
          <w:rFonts w:hint="eastAsia" w:hAnsi="宋体" w:cs="宋体"/>
          <w:color w:val="000000" w:themeColor="text1"/>
          <w:szCs w:val="21"/>
          <w:highlight w:val="none"/>
          <w14:textFill>
            <w14:solidFill>
              <w14:schemeClr w14:val="tx1"/>
            </w14:solidFill>
          </w14:textFill>
        </w:rPr>
        <w:t>关于发包人提供给承包人的图纸、发包人为实施工程自行编制或委托编制的技术规范以及反映发包人关于合同要求或其他类似性质的文件的著作权的归属：</w:t>
      </w:r>
      <w:r>
        <w:rPr>
          <w:rFonts w:hint="eastAsia" w:hAnsi="宋体"/>
          <w:color w:val="000000" w:themeColor="text1"/>
          <w:szCs w:val="21"/>
          <w:highlight w:val="none"/>
          <w:u w:val="single"/>
          <w14:textFill>
            <w14:solidFill>
              <w14:schemeClr w14:val="tx1"/>
            </w14:solidFill>
          </w14:textFill>
        </w:rPr>
        <w:t>按通用条款</w:t>
      </w:r>
      <w:r>
        <w:rPr>
          <w:rFonts w:hint="eastAsia" w:hAnsi="宋体" w:cs="宋体"/>
          <w:color w:val="000000" w:themeColor="text1"/>
          <w:szCs w:val="21"/>
          <w:highlight w:val="none"/>
          <w14:textFill>
            <w14:solidFill>
              <w14:schemeClr w14:val="tx1"/>
            </w14:solidFill>
          </w14:textFill>
        </w:rPr>
        <w:t>。</w:t>
      </w:r>
    </w:p>
    <w:p w14:paraId="37C9CF8D">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关于发包人提供的上述文件的使用限制的要求：</w:t>
      </w:r>
      <w:r>
        <w:rPr>
          <w:rFonts w:hint="eastAsia"/>
          <w:color w:val="000000" w:themeColor="text1"/>
          <w:szCs w:val="21"/>
          <w:highlight w:val="none"/>
          <w:u w:val="single"/>
          <w14:textFill>
            <w14:solidFill>
              <w14:schemeClr w14:val="tx1"/>
            </w14:solidFill>
          </w14:textFill>
        </w:rPr>
        <w:t>仅限该项工程</w:t>
      </w:r>
      <w:r>
        <w:rPr>
          <w:rFonts w:hint="eastAsia" w:hAnsi="宋体" w:cs="宋体"/>
          <w:color w:val="000000" w:themeColor="text1"/>
          <w:szCs w:val="21"/>
          <w:highlight w:val="none"/>
          <w14:textFill>
            <w14:solidFill>
              <w14:schemeClr w14:val="tx1"/>
            </w14:solidFill>
          </w14:textFill>
        </w:rPr>
        <w:t>。</w:t>
      </w:r>
    </w:p>
    <w:p w14:paraId="542C1436">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1.11.2</w:t>
      </w:r>
      <w:r>
        <w:rPr>
          <w:rFonts w:hint="eastAsia" w:hAnsi="宋体" w:cs="宋体"/>
          <w:color w:val="000000" w:themeColor="text1"/>
          <w:szCs w:val="21"/>
          <w:highlight w:val="none"/>
          <w14:textFill>
            <w14:solidFill>
              <w14:schemeClr w14:val="tx1"/>
            </w14:solidFill>
          </w14:textFill>
        </w:rPr>
        <w:t>关于承包人为实施工程所编制文件的著作权的归属：</w:t>
      </w:r>
      <w:r>
        <w:rPr>
          <w:rFonts w:hint="eastAsia" w:hAnsi="宋体"/>
          <w:color w:val="000000" w:themeColor="text1"/>
          <w:szCs w:val="21"/>
          <w:highlight w:val="none"/>
          <w:u w:val="single"/>
          <w14:textFill>
            <w14:solidFill>
              <w14:schemeClr w14:val="tx1"/>
            </w14:solidFill>
          </w14:textFill>
        </w:rPr>
        <w:t>按通用条款</w:t>
      </w:r>
      <w:r>
        <w:rPr>
          <w:rFonts w:hint="eastAsia" w:hAnsi="宋体" w:cs="宋体"/>
          <w:color w:val="000000" w:themeColor="text1"/>
          <w:szCs w:val="21"/>
          <w:highlight w:val="none"/>
          <w14:textFill>
            <w14:solidFill>
              <w14:schemeClr w14:val="tx1"/>
            </w14:solidFill>
          </w14:textFill>
        </w:rPr>
        <w:t>。</w:t>
      </w:r>
    </w:p>
    <w:p w14:paraId="3A103A1A">
      <w:pPr>
        <w:spacing w:line="360" w:lineRule="auto"/>
        <w:ind w:firstLine="420" w:firstLineChars="200"/>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关于承包人提供的上述文件的使用限制的要求：</w:t>
      </w:r>
      <w:r>
        <w:rPr>
          <w:rFonts w:hint="eastAsia" w:hAnsi="宋体"/>
          <w:color w:val="000000" w:themeColor="text1"/>
          <w:szCs w:val="21"/>
          <w:highlight w:val="none"/>
          <w:u w:val="single"/>
          <w14:textFill>
            <w14:solidFill>
              <w14:schemeClr w14:val="tx1"/>
            </w14:solidFill>
          </w14:textFill>
        </w:rPr>
        <w:t>按通用条款</w:t>
      </w:r>
      <w:r>
        <w:rPr>
          <w:rFonts w:hint="eastAsia" w:hAnsi="宋体" w:cs="宋体"/>
          <w:color w:val="000000" w:themeColor="text1"/>
          <w:szCs w:val="21"/>
          <w:highlight w:val="none"/>
          <w14:textFill>
            <w14:solidFill>
              <w14:schemeClr w14:val="tx1"/>
            </w14:solidFill>
          </w14:textFill>
        </w:rPr>
        <w:t>。</w:t>
      </w:r>
    </w:p>
    <w:p w14:paraId="1B91D329">
      <w:pPr>
        <w:spacing w:line="360" w:lineRule="auto"/>
        <w:ind w:firstLine="420" w:firstLineChars="200"/>
        <w:rPr>
          <w:rFonts w:hAns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1.11.4</w:t>
      </w:r>
      <w:r>
        <w:rPr>
          <w:rFonts w:hint="eastAsia" w:hAnsi="宋体" w:cs="宋体"/>
          <w:color w:val="000000" w:themeColor="text1"/>
          <w:szCs w:val="21"/>
          <w:highlight w:val="none"/>
          <w14:textFill>
            <w14:solidFill>
              <w14:schemeClr w14:val="tx1"/>
            </w14:solidFill>
          </w14:textFill>
        </w:rPr>
        <w:t>承包人在施工过程中所采用的专利、专有技术、技术秘密的使用费的承担方式：</w:t>
      </w:r>
    </w:p>
    <w:p w14:paraId="445E8BF5">
      <w:pPr>
        <w:spacing w:line="360" w:lineRule="auto"/>
        <w:rPr>
          <w:color w:val="000000" w:themeColor="text1"/>
          <w:kern w:val="0"/>
          <w:szCs w:val="21"/>
          <w:highlight w:val="non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由承包人负责</w:t>
      </w:r>
      <w:r>
        <w:rPr>
          <w:rFonts w:hint="eastAsia" w:hAnsi="宋体" w:cs="宋体"/>
          <w:color w:val="000000" w:themeColor="text1"/>
          <w:kern w:val="0"/>
          <w:szCs w:val="21"/>
          <w:highlight w:val="none"/>
          <w14:textFill>
            <w14:solidFill>
              <w14:schemeClr w14:val="tx1"/>
            </w14:solidFill>
          </w14:textFill>
        </w:rPr>
        <w:t>。</w:t>
      </w:r>
    </w:p>
    <w:p w14:paraId="7A2C1B74">
      <w:pPr>
        <w:pStyle w:val="5"/>
        <w:ind w:firstLine="422" w:firstLineChars="200"/>
        <w:rPr>
          <w:rFonts w:ascii="宋体" w:hAnsi="宋体"/>
          <w:color w:val="000000" w:themeColor="text1"/>
          <w:sz w:val="21"/>
          <w:szCs w:val="21"/>
          <w:highlight w:val="none"/>
          <w14:textFill>
            <w14:solidFill>
              <w14:schemeClr w14:val="tx1"/>
            </w14:solidFill>
          </w14:textFill>
        </w:rPr>
      </w:pPr>
      <w:bookmarkStart w:id="140" w:name="_Toc389065267"/>
      <w:bookmarkStart w:id="141" w:name="_Toc114058840"/>
      <w:bookmarkStart w:id="142" w:name="_Toc78449789"/>
      <w:bookmarkStart w:id="143" w:name="_Toc373478348"/>
      <w:bookmarkStart w:id="144" w:name="_Toc407135203"/>
      <w:bookmarkStart w:id="145" w:name="_Toc373227701"/>
      <w:r>
        <w:rPr>
          <w:rFonts w:ascii="宋体" w:hAnsi="宋体"/>
          <w:color w:val="000000" w:themeColor="text1"/>
          <w:sz w:val="21"/>
          <w:szCs w:val="21"/>
          <w:highlight w:val="none"/>
          <w14:textFill>
            <w14:solidFill>
              <w14:schemeClr w14:val="tx1"/>
            </w14:solidFill>
          </w14:textFill>
        </w:rPr>
        <w:t>1.13</w:t>
      </w:r>
      <w:r>
        <w:rPr>
          <w:rFonts w:hint="eastAsia" w:ascii="宋体" w:hAnsi="宋体"/>
          <w:color w:val="000000" w:themeColor="text1"/>
          <w:sz w:val="21"/>
          <w:szCs w:val="21"/>
          <w:highlight w:val="none"/>
          <w14:textFill>
            <w14:solidFill>
              <w14:schemeClr w14:val="tx1"/>
            </w14:solidFill>
          </w14:textFill>
        </w:rPr>
        <w:t>工程量清单错误的修正</w:t>
      </w:r>
      <w:bookmarkEnd w:id="140"/>
      <w:bookmarkEnd w:id="141"/>
      <w:bookmarkEnd w:id="142"/>
      <w:bookmarkEnd w:id="143"/>
      <w:bookmarkEnd w:id="144"/>
      <w:bookmarkEnd w:id="145"/>
    </w:p>
    <w:p w14:paraId="09262F19">
      <w:pPr>
        <w:spacing w:line="360" w:lineRule="auto"/>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出现工程量清单错误时，是否调整</w:t>
      </w:r>
      <w:r>
        <w:rPr>
          <w:rFonts w:hint="eastAsia"/>
          <w:color w:val="000000" w:themeColor="text1"/>
          <w:szCs w:val="21"/>
          <w:highlight w:val="none"/>
          <w14:textFill>
            <w14:solidFill>
              <w14:schemeClr w14:val="tx1"/>
            </w14:solidFill>
          </w14:textFill>
        </w:rPr>
        <w:t>清单综合单价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合同履行期间，由于工程量清单缺项、漏项，新增分部分项工程清单项目的，按照以下规定确定单价，并调整</w:t>
      </w:r>
      <w:r>
        <w:rPr>
          <w:rFonts w:hint="eastAsia"/>
          <w:color w:val="000000" w:themeColor="text1"/>
          <w:szCs w:val="21"/>
          <w:highlight w:val="none"/>
          <w:u w:val="single"/>
          <w14:textFill>
            <w14:solidFill>
              <w14:schemeClr w14:val="tx1"/>
            </w14:solidFill>
          </w14:textFill>
        </w:rPr>
        <w:t>清单综合单价</w:t>
      </w:r>
      <w:r>
        <w:rPr>
          <w:rFonts w:hint="eastAsia" w:ascii="宋体"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）合同中已有相同子目的，按合同该子目价格进行计算；（</w:t>
      </w:r>
      <w:r>
        <w:rPr>
          <w:rFonts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）合同中只有类似子目的，参照该类似子目价格进行计算；（</w:t>
      </w:r>
      <w:r>
        <w:rPr>
          <w:rFonts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合同中没有适用或类似子目的价格计算方法：有定额的套定额（含石方工程），其中材料价格按施工期间的《南宁建设工程造价信息》相应价格信息计算；《南宁建设工程造价信息》没有相应价格信息的按市场价计算；无定额可套的，根据市场价格协商确定综合价格；新增项目的单价必须事前经招标人审定。除以上情况之外出现工程量清单错误的，不调整</w:t>
      </w:r>
      <w:r>
        <w:rPr>
          <w:rFonts w:hint="eastAsia"/>
          <w:color w:val="000000" w:themeColor="text1"/>
          <w:szCs w:val="21"/>
          <w:highlight w:val="none"/>
          <w:u w:val="single"/>
          <w14:textFill>
            <w14:solidFill>
              <w14:schemeClr w14:val="tx1"/>
            </w14:solidFill>
          </w14:textFill>
        </w:rPr>
        <w:t>清单综合单价</w:t>
      </w:r>
    </w:p>
    <w:p w14:paraId="18E99299">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出现工程量清单工程量偏差时，是否调整合同价格：</w:t>
      </w:r>
      <w:r>
        <w:rPr>
          <w:rFonts w:hint="eastAsia" w:ascii="MS Mincho" w:hAnsi="MS Mincho" w:eastAsia="宋体" w:cs="MS Mincho"/>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s="宋体"/>
          <w:color w:val="000000" w:themeColor="text1"/>
          <w:kern w:val="0"/>
          <w:szCs w:val="21"/>
          <w:highlight w:val="none"/>
          <w14:textFill>
            <w14:solidFill>
              <w14:schemeClr w14:val="tx1"/>
            </w14:solidFill>
          </w14:textFill>
        </w:rPr>
        <w:t>。</w:t>
      </w:r>
    </w:p>
    <w:p w14:paraId="53A9BA1E">
      <w:pPr>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允许调整合同价格的工程量偏差范围及其调整办法：</w:t>
      </w:r>
    </w:p>
    <w:p w14:paraId="3155F621">
      <w:pPr>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允许调整合同价格的工程量偏差范围及其调整办法：</w:t>
      </w:r>
      <w:r>
        <w:rPr>
          <w:rFonts w:hint="eastAsia" w:ascii="宋体" w:hAnsi="宋体" w:eastAsia="宋体"/>
          <w:color w:val="000000" w:themeColor="text1"/>
          <w:highlight w:val="none"/>
          <w:u w:val="single"/>
          <w14:textFill>
            <w14:solidFill>
              <w14:schemeClr w14:val="tx1"/>
            </w14:solidFill>
          </w14:textFill>
        </w:rPr>
        <w:t>按专用条款第12.1款执行</w:t>
      </w:r>
      <w:r>
        <w:rPr>
          <w:rFonts w:hint="eastAsia" w:hAnsi="宋体" w:cs="宋体"/>
          <w:color w:val="000000" w:themeColor="text1"/>
          <w:kern w:val="0"/>
          <w:szCs w:val="21"/>
          <w:highlight w:val="none"/>
          <w14:textFill>
            <w14:solidFill>
              <w14:schemeClr w14:val="tx1"/>
            </w14:solidFill>
          </w14:textFill>
        </w:rPr>
        <w:t>。</w:t>
      </w:r>
    </w:p>
    <w:p w14:paraId="49D012AD">
      <w:pPr>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hint="eastAsia" w:ascii="MS Mincho" w:hAnsi="MS Mincho" w:eastAsia="宋体" w:cs="MS Mincho"/>
          <w:color w:val="000000" w:themeColor="text1"/>
          <w:szCs w:val="21"/>
          <w:highlight w:val="none"/>
          <w:lang w:eastAsia="zh-CN"/>
          <w14:textFill>
            <w14:solidFill>
              <w14:schemeClr w14:val="tx1"/>
            </w14:solidFill>
          </w14:textFill>
        </w:rPr>
        <w:t>□</w:t>
      </w:r>
      <w:r>
        <w:rPr>
          <w:rFonts w:hint="eastAsia" w:hAnsi="宋体" w:cs="宋体"/>
          <w:b/>
          <w:bCs/>
          <w:color w:val="000000" w:themeColor="text1"/>
          <w:szCs w:val="21"/>
          <w:highlight w:val="none"/>
          <w:u w:val="single"/>
          <w14:textFill>
            <w14:solidFill>
              <w14:schemeClr w14:val="tx1"/>
            </w14:solidFill>
          </w14:textFill>
        </w:rPr>
        <w:t>承包人实际完成的某单项清单项目工程量与工程量清单工程量偏差超过15%且该单项清单造价超过合同总价1%以上的，超过后增加部分工程量或减少后剩余部分工程量的综合单价按以下方法调整：</w:t>
      </w:r>
      <w:r>
        <w:rPr>
          <w:rFonts w:hint="eastAsia" w:ascii="宋体" w:hAnsi="宋体"/>
          <w:b/>
          <w:bCs/>
          <w:color w:val="000000" w:themeColor="text1"/>
          <w:szCs w:val="21"/>
          <w:highlight w:val="none"/>
          <w14:textFill>
            <w14:solidFill>
              <w14:schemeClr w14:val="tx1"/>
            </w14:solidFill>
          </w14:textFill>
        </w:rPr>
        <w:t>有定额的套定额计算，执行本采购文件工程计价参考依据，其中材料价格有信息价的按施工期间信息价的算数平均价计取，无信息价的由发包人、监理单位及承包人根据市场价格协商议定</w:t>
      </w:r>
      <w:r>
        <w:rPr>
          <w:rFonts w:hint="eastAsia" w:ascii="Calibri" w:hAnsi="宋体" w:cs="宋体"/>
          <w:color w:val="000000" w:themeColor="text1"/>
          <w:szCs w:val="21"/>
          <w:highlight w:val="none"/>
          <w14:textFill>
            <w14:solidFill>
              <w14:schemeClr w14:val="tx1"/>
            </w14:solidFill>
          </w14:textFill>
        </w:rPr>
        <w:t>。</w:t>
      </w:r>
    </w:p>
    <w:p w14:paraId="4E6943A6">
      <w:pPr>
        <w:pStyle w:val="4"/>
        <w:jc w:val="left"/>
        <w:rPr>
          <w:rFonts w:ascii="宋体" w:hAnsi="宋体" w:eastAsia="宋体"/>
          <w:color w:val="000000" w:themeColor="text1"/>
          <w:sz w:val="28"/>
          <w:szCs w:val="28"/>
          <w:highlight w:val="none"/>
          <w14:textFill>
            <w14:solidFill>
              <w14:schemeClr w14:val="tx1"/>
            </w14:solidFill>
          </w14:textFill>
        </w:rPr>
      </w:pPr>
      <w:bookmarkStart w:id="146" w:name="_Toc373478349"/>
      <w:bookmarkStart w:id="147" w:name="_Toc351203634"/>
      <w:bookmarkStart w:id="148" w:name="_Toc407135204"/>
      <w:bookmarkStart w:id="149" w:name="_Toc389065268"/>
      <w:bookmarkStart w:id="150" w:name="_Toc114058841"/>
      <w:bookmarkStart w:id="151" w:name="_Toc78449790"/>
      <w:bookmarkStart w:id="152" w:name="_Toc373227702"/>
      <w:bookmarkStart w:id="153" w:name="_Toc2179"/>
      <w:r>
        <w:rPr>
          <w:rFonts w:ascii="宋体" w:hAnsi="宋体" w:eastAsia="宋体"/>
          <w:color w:val="000000" w:themeColor="text1"/>
          <w:sz w:val="28"/>
          <w:szCs w:val="28"/>
          <w:highlight w:val="none"/>
          <w14:textFill>
            <w14:solidFill>
              <w14:schemeClr w14:val="tx1"/>
            </w14:solidFill>
          </w14:textFill>
        </w:rPr>
        <w:t>2</w:t>
      </w:r>
      <w:bookmarkStart w:id="154" w:name="_Toc296891197"/>
      <w:bookmarkStart w:id="155" w:name="_Toc296347156"/>
      <w:bookmarkStart w:id="156" w:name="_Toc297048343"/>
      <w:bookmarkStart w:id="157" w:name="_Toc296890985"/>
      <w:bookmarkStart w:id="158" w:name="_Toc292559867"/>
      <w:bookmarkStart w:id="159" w:name="_Toc296944496"/>
      <w:bookmarkStart w:id="160" w:name="_Toc292559362"/>
      <w:bookmarkStart w:id="161" w:name="_Toc296503157"/>
      <w:bookmarkStart w:id="162" w:name="_Toc297120457"/>
      <w:bookmarkStart w:id="163" w:name="_Toc296346658"/>
      <w:r>
        <w:rPr>
          <w:rFonts w:ascii="宋体" w:hAnsi="宋体" w:eastAsia="宋体"/>
          <w:color w:val="000000" w:themeColor="text1"/>
          <w:sz w:val="28"/>
          <w:szCs w:val="28"/>
          <w:highlight w:val="none"/>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发包人</w:t>
      </w:r>
      <w:bookmarkEnd w:id="146"/>
      <w:bookmarkEnd w:id="147"/>
      <w:bookmarkEnd w:id="148"/>
      <w:bookmarkEnd w:id="149"/>
      <w:bookmarkEnd w:id="150"/>
      <w:bookmarkEnd w:id="151"/>
      <w:bookmarkEnd w:id="152"/>
      <w:bookmarkEnd w:id="153"/>
    </w:p>
    <w:bookmarkEnd w:id="154"/>
    <w:bookmarkEnd w:id="155"/>
    <w:bookmarkEnd w:id="156"/>
    <w:bookmarkEnd w:id="157"/>
    <w:bookmarkEnd w:id="158"/>
    <w:bookmarkEnd w:id="159"/>
    <w:bookmarkEnd w:id="160"/>
    <w:bookmarkEnd w:id="161"/>
    <w:bookmarkEnd w:id="162"/>
    <w:bookmarkEnd w:id="163"/>
    <w:p w14:paraId="3755181D">
      <w:pPr>
        <w:pStyle w:val="5"/>
        <w:ind w:firstLine="422" w:firstLineChars="200"/>
        <w:rPr>
          <w:rFonts w:ascii="宋体" w:hAnsi="宋体"/>
          <w:color w:val="000000" w:themeColor="text1"/>
          <w:sz w:val="21"/>
          <w:szCs w:val="21"/>
          <w:highlight w:val="none"/>
          <w14:textFill>
            <w14:solidFill>
              <w14:schemeClr w14:val="tx1"/>
            </w14:solidFill>
          </w14:textFill>
        </w:rPr>
      </w:pPr>
      <w:bookmarkStart w:id="164" w:name="_Toc114058842"/>
      <w:bookmarkStart w:id="165" w:name="_Toc407135205"/>
      <w:bookmarkStart w:id="166" w:name="_Toc389065269"/>
      <w:bookmarkStart w:id="167" w:name="_Toc78449791"/>
      <w:bookmarkStart w:id="168" w:name="_Toc373227703"/>
      <w:bookmarkStart w:id="169" w:name="_Toc373478350"/>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发包人代表</w:t>
      </w:r>
      <w:bookmarkEnd w:id="164"/>
      <w:bookmarkEnd w:id="165"/>
      <w:bookmarkEnd w:id="166"/>
      <w:bookmarkEnd w:id="167"/>
      <w:bookmarkEnd w:id="168"/>
      <w:bookmarkEnd w:id="169"/>
    </w:p>
    <w:p w14:paraId="568ADE16">
      <w:pPr>
        <w:spacing w:line="360" w:lineRule="auto"/>
        <w:ind w:firstLine="420" w:firstLineChars="200"/>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发包人代表姓名：</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876CBC2">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身份证号：</w:t>
      </w:r>
      <w:r>
        <w:rPr>
          <w:rFonts w:hint="eastAsia" w:hAnsi="宋体" w:cs="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70739C2D">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职</w:t>
      </w:r>
      <w:r>
        <w:rPr>
          <w:rFonts w:hint="eastAsia" w:hAnsi="宋体"/>
          <w:color w:val="000000" w:themeColor="text1"/>
          <w:szCs w:val="21"/>
          <w:highlight w:val="none"/>
          <w14:textFill>
            <w14:solidFill>
              <w14:schemeClr w14:val="tx1"/>
            </w14:solidFill>
          </w14:textFill>
        </w:rPr>
        <w:t>称</w:t>
      </w:r>
      <w:r>
        <w:rPr>
          <w:rFonts w:hAnsi="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1E3B6E39">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int="eastAsia" w:hAnsi="宋体" w:cs="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69004E8E">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int="eastAsia" w:hAnsi="宋体" w:cs="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4BD29339">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int="eastAsia" w:hAnsi="宋体" w:cs="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6866D24A">
      <w:pPr>
        <w:spacing w:line="360" w:lineRule="auto"/>
        <w:ind w:firstLine="420" w:firstLineChars="200"/>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发包人对发包人代表的授权范围如下：</w:t>
      </w:r>
      <w:r>
        <w:rPr>
          <w:rFonts w:hint="eastAsia" w:hAnsi="宋体"/>
          <w:color w:val="000000" w:themeColor="text1"/>
          <w:szCs w:val="21"/>
          <w:highlight w:val="none"/>
          <w:u w:val="single"/>
          <w14:textFill>
            <w14:solidFill>
              <w14:schemeClr w14:val="tx1"/>
            </w14:solidFill>
          </w14:textFill>
        </w:rPr>
        <w:t>代表发包人与监理工程师协调与本工程有关的事宜，并行使合同约定的发包人权利，履行合同约定发包人的职责</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督促指导监理工程师行使职权，协调施工现场各方面的关系，协调工程质量，进度和安全文明施工中存在的问题，解决有关设计和技术签证，办理、签认现场经济技术签证，审核工程进度报表</w:t>
      </w:r>
      <w:r>
        <w:rPr>
          <w:rFonts w:hint="eastAsia" w:hAnsi="宋体" w:cs="宋体"/>
          <w:color w:val="000000" w:themeColor="text1"/>
          <w:szCs w:val="21"/>
          <w:highlight w:val="none"/>
          <w14:textFill>
            <w14:solidFill>
              <w14:schemeClr w14:val="tx1"/>
            </w14:solidFill>
          </w14:textFill>
        </w:rPr>
        <w:t>。</w:t>
      </w:r>
    </w:p>
    <w:p w14:paraId="4B9E3FE4">
      <w:pPr>
        <w:pStyle w:val="5"/>
        <w:ind w:firstLine="422" w:firstLineChars="200"/>
        <w:rPr>
          <w:rFonts w:ascii="宋体" w:hAnsi="宋体"/>
          <w:color w:val="000000" w:themeColor="text1"/>
          <w:sz w:val="21"/>
          <w:szCs w:val="21"/>
          <w:highlight w:val="none"/>
          <w14:textFill>
            <w14:solidFill>
              <w14:schemeClr w14:val="tx1"/>
            </w14:solidFill>
          </w14:textFill>
        </w:rPr>
      </w:pPr>
      <w:bookmarkStart w:id="170" w:name="_Toc78449792"/>
      <w:bookmarkStart w:id="171" w:name="_Toc407135206"/>
      <w:bookmarkStart w:id="172" w:name="_Toc373478351"/>
      <w:bookmarkStart w:id="173" w:name="_Toc389065270"/>
      <w:bookmarkStart w:id="174" w:name="_Toc373227704"/>
      <w:bookmarkStart w:id="175" w:name="_Toc114058843"/>
      <w:r>
        <w:rPr>
          <w:rFonts w:ascii="宋体" w:hAnsi="宋体"/>
          <w:color w:val="000000" w:themeColor="text1"/>
          <w:sz w:val="21"/>
          <w:szCs w:val="21"/>
          <w:highlight w:val="none"/>
          <w14:textFill>
            <w14:solidFill>
              <w14:schemeClr w14:val="tx1"/>
            </w14:solidFill>
          </w14:textFill>
        </w:rPr>
        <w:t>2.4</w:t>
      </w:r>
      <w:r>
        <w:rPr>
          <w:rFonts w:hint="eastAsia" w:ascii="宋体" w:hAnsi="宋体"/>
          <w:color w:val="000000" w:themeColor="text1"/>
          <w:sz w:val="21"/>
          <w:szCs w:val="21"/>
          <w:highlight w:val="none"/>
          <w14:textFill>
            <w14:solidFill>
              <w14:schemeClr w14:val="tx1"/>
            </w14:solidFill>
          </w14:textFill>
        </w:rPr>
        <w:t>施工现场、施工条件和基础资料的提供</w:t>
      </w:r>
      <w:bookmarkEnd w:id="170"/>
      <w:bookmarkEnd w:id="171"/>
      <w:bookmarkEnd w:id="172"/>
      <w:bookmarkEnd w:id="173"/>
      <w:bookmarkEnd w:id="174"/>
      <w:bookmarkEnd w:id="175"/>
    </w:p>
    <w:p w14:paraId="1105F3F5">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2.4.1</w:t>
      </w:r>
      <w:r>
        <w:rPr>
          <w:rFonts w:hAnsi="宋体"/>
          <w:color w:val="000000" w:themeColor="text1"/>
          <w:szCs w:val="21"/>
          <w:highlight w:val="none"/>
          <w14:textFill>
            <w14:solidFill>
              <w14:schemeClr w14:val="tx1"/>
            </w14:solidFill>
          </w14:textFill>
        </w:rPr>
        <w:t>提供施工现场</w:t>
      </w:r>
    </w:p>
    <w:p w14:paraId="2C6CC796">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关于发包人移交施工现场的期限要求：</w:t>
      </w:r>
      <w:r>
        <w:rPr>
          <w:rFonts w:hint="eastAsia" w:hAnsi="宋体"/>
          <w:color w:val="000000" w:themeColor="text1"/>
          <w:szCs w:val="21"/>
          <w:highlight w:val="none"/>
          <w:u w:val="single"/>
          <w14:textFill>
            <w14:solidFill>
              <w14:schemeClr w14:val="tx1"/>
            </w14:solidFill>
          </w14:textFill>
        </w:rPr>
        <w:t>开工前7天，满足工程进展要求。施工场地内的道路由承包人自行完成，施工场地内的道路及与</w:t>
      </w:r>
      <w:r>
        <w:rPr>
          <w:rFonts w:hint="eastAsia" w:hAnsi="宋体"/>
          <w:color w:val="000000" w:themeColor="text1"/>
          <w:szCs w:val="21"/>
          <w:highlight w:val="none"/>
          <w:u w:val="single"/>
          <w:lang w:val="en-US" w:eastAsia="zh-CN"/>
          <w14:textFill>
            <w14:solidFill>
              <w14:schemeClr w14:val="tx1"/>
            </w14:solidFill>
          </w14:textFill>
        </w:rPr>
        <w:t>校内道路、</w:t>
      </w:r>
      <w:r>
        <w:rPr>
          <w:rFonts w:hint="eastAsia" w:hAnsi="宋体"/>
          <w:color w:val="000000" w:themeColor="text1"/>
          <w:szCs w:val="21"/>
          <w:highlight w:val="none"/>
          <w:u w:val="single"/>
          <w14:textFill>
            <w14:solidFill>
              <w14:schemeClr w14:val="tx1"/>
            </w14:solidFill>
          </w14:textFill>
        </w:rPr>
        <w:t>市政道路接口路段的日常清洁与维护由承包人承担，费用由承包人承担</w:t>
      </w:r>
      <w:r>
        <w:rPr>
          <w:rFonts w:hAnsi="宋体"/>
          <w:color w:val="000000" w:themeColor="text1"/>
          <w:szCs w:val="21"/>
          <w:highlight w:val="none"/>
          <w14:textFill>
            <w14:solidFill>
              <w14:schemeClr w14:val="tx1"/>
            </w14:solidFill>
          </w14:textFill>
        </w:rPr>
        <w:t>。</w:t>
      </w:r>
    </w:p>
    <w:p w14:paraId="64318734">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2.4.2</w:t>
      </w:r>
      <w:r>
        <w:rPr>
          <w:rFonts w:hAnsi="宋体"/>
          <w:color w:val="000000" w:themeColor="text1"/>
          <w:szCs w:val="21"/>
          <w:highlight w:val="none"/>
          <w14:textFill>
            <w14:solidFill>
              <w14:schemeClr w14:val="tx1"/>
            </w14:solidFill>
          </w14:textFill>
        </w:rPr>
        <w:t>提供施工条件</w:t>
      </w:r>
    </w:p>
    <w:p w14:paraId="5B1CBB31">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关于发包人应负责提供施工所需要的条件，包括：</w:t>
      </w:r>
      <w:r>
        <w:rPr>
          <w:rFonts w:hint="eastAsia" w:ascii="宋体" w:hAnsi="宋体"/>
          <w:color w:val="000000" w:themeColor="text1"/>
          <w:szCs w:val="21"/>
          <w:highlight w:val="none"/>
          <w:u w:val="single"/>
          <w14:textFill>
            <w14:solidFill>
              <w14:schemeClr w14:val="tx1"/>
            </w14:solidFill>
          </w14:textFill>
        </w:rPr>
        <w:t>施工所需电接入点和水接入点由发包人确定，由承包人负责接至施工现场并安装计量表，根据水电收费部门核定的费用、支付时间向发包人支付。红线范围内的管道/管线、计量设备由承包人自行解决，电讯线路的开通由承包人自行解决并承担费用；承包人使用的水、电、通讯费用由承包人负责。若供电部门的原因造成停电，承包人必须自行解决施工用电，费用由承包人负责。发包人在开工前负责办理好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发包人未能在约定期限办理施工所需证件要求承包人先行进场施工的，由此导致承包人遭受行政处罚及其他经济损失等不良后果，由发包人承担。开工前7天内由发包人组织承包人、设计、勘察和监理单位进行图纸会审和设计交底</w:t>
      </w:r>
      <w:r>
        <w:rPr>
          <w:rFonts w:hAnsi="宋体"/>
          <w:color w:val="000000" w:themeColor="text1"/>
          <w:szCs w:val="21"/>
          <w:highlight w:val="none"/>
          <w14:textFill>
            <w14:solidFill>
              <w14:schemeClr w14:val="tx1"/>
            </w14:solidFill>
          </w14:textFill>
        </w:rPr>
        <w:t>。</w:t>
      </w:r>
    </w:p>
    <w:p w14:paraId="784636D1">
      <w:pPr>
        <w:spacing w:line="360" w:lineRule="auto"/>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工程地质和地下管线资料的提供时间：</w:t>
      </w:r>
      <w:r>
        <w:rPr>
          <w:rFonts w:hint="eastAsia"/>
          <w:color w:val="000000" w:themeColor="text1"/>
          <w:szCs w:val="21"/>
          <w:highlight w:val="none"/>
          <w:u w:val="single"/>
          <w14:textFill>
            <w14:solidFill>
              <w14:schemeClr w14:val="tx1"/>
            </w14:solidFill>
          </w14:textFill>
        </w:rPr>
        <w:t>由发包人在开工前7天提供。</w:t>
      </w:r>
    </w:p>
    <w:p w14:paraId="38B1DEF8">
      <w:pPr>
        <w:spacing w:line="360" w:lineRule="auto"/>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水准点与座标控制点交验要求：</w:t>
      </w:r>
      <w:r>
        <w:rPr>
          <w:rFonts w:hint="eastAsia"/>
          <w:color w:val="000000" w:themeColor="text1"/>
          <w:szCs w:val="21"/>
          <w:highlight w:val="none"/>
          <w:u w:val="single"/>
          <w14:textFill>
            <w14:solidFill>
              <w14:schemeClr w14:val="tx1"/>
            </w14:solidFill>
          </w14:textFill>
        </w:rPr>
        <w:t>于开工前3日内现场交验，双方做好签认工作。</w:t>
      </w:r>
    </w:p>
    <w:p w14:paraId="1AC3B16E">
      <w:pPr>
        <w:pStyle w:val="5"/>
        <w:ind w:firstLine="422" w:firstLineChars="200"/>
        <w:rPr>
          <w:rFonts w:ascii="宋体" w:hAnsi="宋体"/>
          <w:color w:val="000000" w:themeColor="text1"/>
          <w:sz w:val="21"/>
          <w:szCs w:val="21"/>
          <w:highlight w:val="none"/>
          <w14:textFill>
            <w14:solidFill>
              <w14:schemeClr w14:val="tx1"/>
            </w14:solidFill>
          </w14:textFill>
        </w:rPr>
      </w:pPr>
      <w:bookmarkStart w:id="176" w:name="_Toc78449793"/>
      <w:bookmarkStart w:id="177" w:name="_Toc114058844"/>
      <w:bookmarkStart w:id="178" w:name="_Toc373227705"/>
      <w:bookmarkStart w:id="179" w:name="_Toc373478352"/>
      <w:bookmarkStart w:id="180" w:name="_Toc389065271"/>
      <w:bookmarkStart w:id="181" w:name="_Toc407135207"/>
      <w:r>
        <w:rPr>
          <w:rFonts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资金来源证明及支付担保</w:t>
      </w:r>
      <w:bookmarkEnd w:id="176"/>
      <w:bookmarkEnd w:id="177"/>
      <w:bookmarkEnd w:id="178"/>
      <w:bookmarkEnd w:id="179"/>
      <w:bookmarkEnd w:id="180"/>
      <w:bookmarkEnd w:id="181"/>
    </w:p>
    <w:p w14:paraId="607A7A90">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发包人提供资金来源证明的期限要求：</w:t>
      </w:r>
      <w:r>
        <w:rPr>
          <w:rFonts w:hint="eastAsia"/>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55BCC997">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468E998B">
      <w:pPr>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发包人提供支付担保的形式：</w:t>
      </w:r>
      <w:r>
        <w:rPr>
          <w:rFonts w:hint="eastAsia"/>
          <w:color w:val="000000" w:themeColor="text1"/>
          <w:szCs w:val="21"/>
          <w:highlight w:val="none"/>
          <w14:textFill>
            <w14:solidFill>
              <w14:schemeClr w14:val="tx1"/>
            </w14:solidFill>
          </w14:textFill>
        </w:rPr>
        <w:t>可以是</w:t>
      </w:r>
      <w:r>
        <w:rPr>
          <w:rFonts w:hint="eastAsia" w:hAnsi="宋体" w:cs="宋体"/>
          <w:color w:val="000000" w:themeColor="text1"/>
          <w:szCs w:val="21"/>
          <w:highlight w:val="none"/>
          <w14:textFill>
            <w14:solidFill>
              <w14:schemeClr w14:val="tx1"/>
            </w14:solidFill>
          </w14:textFill>
        </w:rPr>
        <w:t>银行转账、电汇或网上支付、保函（银行保函、电子</w:t>
      </w:r>
      <w:r>
        <w:rPr>
          <w:rFonts w:hAnsi="宋体" w:cs="宋体"/>
          <w:color w:val="000000" w:themeColor="text1"/>
          <w:szCs w:val="21"/>
          <w:highlight w:val="none"/>
          <w14:textFill>
            <w14:solidFill>
              <w14:schemeClr w14:val="tx1"/>
            </w14:solidFill>
          </w14:textFill>
        </w:rPr>
        <w:t>保函</w:t>
      </w:r>
      <w:r>
        <w:rPr>
          <w:rFonts w:hint="eastAsia" w:hAnsi="宋体" w:cs="宋体"/>
          <w:color w:val="000000" w:themeColor="text1"/>
          <w:szCs w:val="21"/>
          <w:highlight w:val="none"/>
          <w14:textFill>
            <w14:solidFill>
              <w14:schemeClr w14:val="tx1"/>
            </w14:solidFill>
          </w14:textFill>
        </w:rPr>
        <w:t>、保证保险保函、工程担保保函）</w:t>
      </w:r>
      <w:r>
        <w:rPr>
          <w:rFonts w:hint="eastAsia" w:hAnsi="宋体"/>
          <w:color w:val="000000" w:themeColor="text1"/>
          <w:szCs w:val="21"/>
          <w:highlight w:val="none"/>
          <w14:textFill>
            <w14:solidFill>
              <w14:schemeClr w14:val="tx1"/>
            </w14:solidFill>
          </w14:textFill>
        </w:rPr>
        <w:t>等</w:t>
      </w:r>
      <w:r>
        <w:rPr>
          <w:rFonts w:hint="eastAsia" w:hAnsi="宋体" w:cs="宋体"/>
          <w:color w:val="000000" w:themeColor="text1"/>
          <w:szCs w:val="21"/>
          <w:highlight w:val="none"/>
          <w14:textFill>
            <w14:solidFill>
              <w14:schemeClr w14:val="tx1"/>
            </w14:solidFill>
          </w14:textFill>
        </w:rPr>
        <w:t>形</w:t>
      </w:r>
      <w:r>
        <w:rPr>
          <w:rFonts w:hint="eastAsia" w:hAnsi="宋体"/>
          <w:color w:val="000000" w:themeColor="text1"/>
          <w:szCs w:val="21"/>
          <w:highlight w:val="none"/>
          <w14:textFill>
            <w14:solidFill>
              <w14:schemeClr w14:val="tx1"/>
            </w14:solidFill>
          </w14:textFill>
        </w:rPr>
        <w:t>式</w:t>
      </w:r>
      <w:r>
        <w:rPr>
          <w:rFonts w:hint="eastAsia" w:hAnsi="宋体" w:cs="宋体"/>
          <w:color w:val="000000" w:themeColor="text1"/>
          <w:szCs w:val="21"/>
          <w:highlight w:val="none"/>
          <w14:textFill>
            <w14:solidFill>
              <w14:schemeClr w14:val="tx1"/>
            </w14:solidFill>
          </w14:textFill>
        </w:rPr>
        <w:t>。工程担保保证人应将出具的保函相关信息录入“广西建筑市场监管云”平台（http://gxjzsc.caihcloud.com），以实现保函查询及验真功能。</w:t>
      </w:r>
    </w:p>
    <w:p w14:paraId="67A554B7">
      <w:pPr>
        <w:spacing w:line="360" w:lineRule="auto"/>
        <w:ind w:firstLine="420" w:firstLineChars="200"/>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发包人提供的支付担保格式见合同附件</w:t>
      </w:r>
      <w:r>
        <w:rPr>
          <w:rFonts w:hint="eastAsia" w:hAnsi="宋体"/>
          <w:color w:val="000000" w:themeColor="text1"/>
          <w:szCs w:val="21"/>
          <w:highlight w:val="none"/>
          <w14:textFill>
            <w14:solidFill>
              <w14:schemeClr w14:val="tx1"/>
            </w14:solidFill>
          </w14:textFill>
        </w:rPr>
        <w:t>9</w:t>
      </w:r>
      <w:r>
        <w:rPr>
          <w:rFonts w:hint="eastAsia" w:hAnsi="宋体" w:cs="宋体"/>
          <w:color w:val="000000" w:themeColor="text1"/>
          <w:szCs w:val="21"/>
          <w:highlight w:val="none"/>
          <w14:textFill>
            <w14:solidFill>
              <w14:schemeClr w14:val="tx1"/>
            </w14:solidFill>
          </w14:textFill>
        </w:rPr>
        <w:t>。</w:t>
      </w:r>
    </w:p>
    <w:p w14:paraId="4CAFEDE9">
      <w:pPr>
        <w:pStyle w:val="4"/>
        <w:jc w:val="left"/>
        <w:rPr>
          <w:rFonts w:ascii="宋体" w:hAnsi="宋体" w:eastAsia="宋体"/>
          <w:color w:val="000000" w:themeColor="text1"/>
          <w:sz w:val="28"/>
          <w:szCs w:val="28"/>
          <w:highlight w:val="none"/>
          <w14:textFill>
            <w14:solidFill>
              <w14:schemeClr w14:val="tx1"/>
            </w14:solidFill>
          </w14:textFill>
        </w:rPr>
      </w:pPr>
      <w:bookmarkStart w:id="182" w:name="_Toc114058845"/>
      <w:bookmarkStart w:id="183" w:name="_Toc351203635"/>
      <w:bookmarkStart w:id="184" w:name="_Toc373478353"/>
      <w:bookmarkStart w:id="185" w:name="_Toc25287"/>
      <w:bookmarkStart w:id="186" w:name="_Toc389065272"/>
      <w:bookmarkStart w:id="187" w:name="_Toc373227706"/>
      <w:bookmarkStart w:id="188" w:name="_Toc407135208"/>
      <w:bookmarkStart w:id="189" w:name="_Toc78449794"/>
      <w:r>
        <w:rPr>
          <w:rFonts w:ascii="宋体" w:hAnsi="宋体" w:eastAsia="宋体"/>
          <w:color w:val="000000" w:themeColor="text1"/>
          <w:sz w:val="28"/>
          <w:szCs w:val="28"/>
          <w:highlight w:val="none"/>
          <w14:textFill>
            <w14:solidFill>
              <w14:schemeClr w14:val="tx1"/>
            </w14:solidFill>
          </w14:textFill>
        </w:rPr>
        <w:t>3</w:t>
      </w:r>
      <w:bookmarkStart w:id="190" w:name="_Toc297120458"/>
      <w:bookmarkStart w:id="191" w:name="_Toc296346659"/>
      <w:bookmarkStart w:id="192" w:name="_Toc296891198"/>
      <w:bookmarkStart w:id="193" w:name="_Toc292559363"/>
      <w:bookmarkStart w:id="194" w:name="_Toc297048344"/>
      <w:bookmarkStart w:id="195" w:name="_Toc292559868"/>
      <w:bookmarkStart w:id="196" w:name="_Toc296944497"/>
      <w:bookmarkStart w:id="197" w:name="_Toc296347157"/>
      <w:bookmarkStart w:id="198" w:name="_Toc296503158"/>
      <w:bookmarkStart w:id="199" w:name="_Toc296890986"/>
      <w:r>
        <w:rPr>
          <w:rFonts w:ascii="宋体" w:hAnsi="宋体" w:eastAsia="宋体"/>
          <w:color w:val="000000" w:themeColor="text1"/>
          <w:sz w:val="28"/>
          <w:szCs w:val="28"/>
          <w:highlight w:val="none"/>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承包人</w:t>
      </w:r>
      <w:bookmarkEnd w:id="182"/>
      <w:bookmarkEnd w:id="183"/>
      <w:bookmarkEnd w:id="184"/>
      <w:bookmarkEnd w:id="185"/>
      <w:bookmarkEnd w:id="186"/>
      <w:bookmarkEnd w:id="187"/>
      <w:bookmarkEnd w:id="188"/>
      <w:bookmarkEnd w:id="189"/>
    </w:p>
    <w:bookmarkEnd w:id="190"/>
    <w:bookmarkEnd w:id="191"/>
    <w:bookmarkEnd w:id="192"/>
    <w:bookmarkEnd w:id="193"/>
    <w:bookmarkEnd w:id="194"/>
    <w:bookmarkEnd w:id="195"/>
    <w:bookmarkEnd w:id="196"/>
    <w:bookmarkEnd w:id="197"/>
    <w:bookmarkEnd w:id="198"/>
    <w:bookmarkEnd w:id="199"/>
    <w:p w14:paraId="1446E009">
      <w:pPr>
        <w:pStyle w:val="5"/>
        <w:ind w:firstLine="422" w:firstLineChars="200"/>
        <w:rPr>
          <w:rFonts w:ascii="宋体" w:hAnsi="宋体"/>
          <w:color w:val="000000" w:themeColor="text1"/>
          <w:sz w:val="21"/>
          <w:szCs w:val="21"/>
          <w:highlight w:val="none"/>
          <w14:textFill>
            <w14:solidFill>
              <w14:schemeClr w14:val="tx1"/>
            </w14:solidFill>
          </w14:textFill>
        </w:rPr>
      </w:pPr>
      <w:bookmarkStart w:id="200" w:name="_Toc373478354"/>
      <w:bookmarkStart w:id="201" w:name="_Toc373227707"/>
      <w:bookmarkStart w:id="202" w:name="_Toc114058846"/>
      <w:bookmarkStart w:id="203" w:name="_Toc389065273"/>
      <w:bookmarkStart w:id="204" w:name="_Toc407135209"/>
      <w:bookmarkStart w:id="205" w:name="_Toc78449795"/>
      <w:r>
        <w:rPr>
          <w:rFonts w:ascii="宋体" w:hAnsi="宋体"/>
          <w:color w:val="000000" w:themeColor="text1"/>
          <w:sz w:val="21"/>
          <w:szCs w:val="21"/>
          <w:highlight w:val="none"/>
          <w14:textFill>
            <w14:solidFill>
              <w14:schemeClr w14:val="tx1"/>
            </w14:solidFill>
          </w14:textFill>
        </w:rPr>
        <w:t>3.1</w:t>
      </w:r>
      <w:r>
        <w:rPr>
          <w:rFonts w:hint="eastAsia" w:ascii="宋体" w:hAnsi="宋体"/>
          <w:color w:val="000000" w:themeColor="text1"/>
          <w:sz w:val="21"/>
          <w:szCs w:val="21"/>
          <w:highlight w:val="none"/>
          <w14:textFill>
            <w14:solidFill>
              <w14:schemeClr w14:val="tx1"/>
            </w14:solidFill>
          </w14:textFill>
        </w:rPr>
        <w:t>承包人的一般义务</w:t>
      </w:r>
      <w:bookmarkEnd w:id="200"/>
      <w:bookmarkEnd w:id="201"/>
      <w:bookmarkEnd w:id="202"/>
      <w:bookmarkEnd w:id="203"/>
      <w:bookmarkEnd w:id="204"/>
      <w:bookmarkEnd w:id="205"/>
    </w:p>
    <w:p w14:paraId="7E0D6B51">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9</w:t>
      </w: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承包人提交的竣工资料的内容：</w:t>
      </w:r>
    </w:p>
    <w:p w14:paraId="63DB0F84">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按国家规范工程竣工验收有关规定，向发包人提供完整的（含现场隐蔽工程照片、录像）竣工资料一式陆套及竣工验收报告</w:t>
      </w:r>
      <w:r>
        <w:rPr>
          <w:rFonts w:hAnsi="宋体"/>
          <w:color w:val="000000" w:themeColor="text1"/>
          <w:szCs w:val="21"/>
          <w:highlight w:val="none"/>
          <w14:textFill>
            <w14:solidFill>
              <w14:schemeClr w14:val="tx1"/>
            </w14:solidFill>
          </w14:textFill>
        </w:rPr>
        <w:t>。</w:t>
      </w:r>
    </w:p>
    <w:p w14:paraId="65EF15FD">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承包人需要提交的竣工资料套数：</w:t>
      </w:r>
      <w:r>
        <w:rPr>
          <w:rFonts w:hint="eastAsia" w:hAnsi="宋体"/>
          <w:color w:val="000000" w:themeColor="text1"/>
          <w:szCs w:val="21"/>
          <w:highlight w:val="none"/>
          <w:u w:val="single"/>
          <w14:textFill>
            <w14:solidFill>
              <w14:schemeClr w14:val="tx1"/>
            </w14:solidFill>
          </w14:textFill>
        </w:rPr>
        <w:t>一式陆套</w:t>
      </w:r>
      <w:r>
        <w:rPr>
          <w:rFonts w:hAnsi="宋体"/>
          <w:color w:val="000000" w:themeColor="text1"/>
          <w:szCs w:val="21"/>
          <w:highlight w:val="none"/>
          <w14:textFill>
            <w14:solidFill>
              <w14:schemeClr w14:val="tx1"/>
            </w14:solidFill>
          </w14:textFill>
        </w:rPr>
        <w:t>。</w:t>
      </w:r>
    </w:p>
    <w:p w14:paraId="202B7F5A">
      <w:pPr>
        <w:spacing w:line="360" w:lineRule="auto"/>
        <w:ind w:left="424" w:leftChars="202"/>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承包人提交的竣工资料的费用承担：</w:t>
      </w:r>
      <w:r>
        <w:rPr>
          <w:rFonts w:hint="eastAsia"/>
          <w:color w:val="000000" w:themeColor="text1"/>
          <w:szCs w:val="21"/>
          <w:highlight w:val="none"/>
          <w:u w:val="single"/>
          <w14:textFill>
            <w14:solidFill>
              <w14:schemeClr w14:val="tx1"/>
            </w14:solidFill>
          </w14:textFill>
        </w:rPr>
        <w:t>费用由承包人承担</w:t>
      </w:r>
      <w:r>
        <w:rPr>
          <w:rFonts w:hAnsi="宋体"/>
          <w:color w:val="000000" w:themeColor="text1"/>
          <w:szCs w:val="21"/>
          <w:highlight w:val="none"/>
          <w14:textFill>
            <w14:solidFill>
              <w14:schemeClr w14:val="tx1"/>
            </w14:solidFill>
          </w14:textFill>
        </w:rPr>
        <w:t>。</w:t>
      </w:r>
    </w:p>
    <w:p w14:paraId="3FC15D83">
      <w:pPr>
        <w:spacing w:line="360" w:lineRule="auto"/>
        <w:ind w:left="424" w:leftChars="202"/>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承包人提交的竣工资料移交时间：</w:t>
      </w:r>
      <w:r>
        <w:rPr>
          <w:rFonts w:hint="eastAsia"/>
          <w:color w:val="000000" w:themeColor="text1"/>
          <w:szCs w:val="21"/>
          <w:highlight w:val="none"/>
          <w:u w:val="single"/>
          <w14:textFill>
            <w14:solidFill>
              <w14:schemeClr w14:val="tx1"/>
            </w14:solidFill>
          </w14:textFill>
        </w:rPr>
        <w:t>竣工验收整改完成后15日内</w:t>
      </w:r>
      <w:r>
        <w:rPr>
          <w:rFonts w:hAnsi="宋体"/>
          <w:color w:val="000000" w:themeColor="text1"/>
          <w:szCs w:val="21"/>
          <w:highlight w:val="none"/>
          <w14:textFill>
            <w14:solidFill>
              <w14:schemeClr w14:val="tx1"/>
            </w14:solidFill>
          </w14:textFill>
        </w:rPr>
        <w:t>。</w:t>
      </w:r>
    </w:p>
    <w:p w14:paraId="782D3ECE">
      <w:pPr>
        <w:spacing w:line="360" w:lineRule="auto"/>
        <w:ind w:firstLine="420" w:firstLineChars="200"/>
        <w:jc w:val="left"/>
        <w:rPr>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承包人提交的竣工资料形式要求：</w:t>
      </w:r>
      <w:r>
        <w:rPr>
          <w:rFonts w:hint="eastAsia"/>
          <w:color w:val="000000" w:themeColor="text1"/>
          <w:szCs w:val="21"/>
          <w:highlight w:val="none"/>
          <w:u w:val="single"/>
          <w14:textFill>
            <w14:solidFill>
              <w14:schemeClr w14:val="tx1"/>
            </w14:solidFill>
          </w14:textFill>
        </w:rPr>
        <w:t>按南宁市建设行政主管部门和城市建设档案管理机构的相关要求，</w:t>
      </w:r>
      <w:r>
        <w:rPr>
          <w:rFonts w:hint="eastAsia" w:ascii="宋体" w:hAnsi="宋体"/>
          <w:color w:val="000000" w:themeColor="text1"/>
          <w:highlight w:val="none"/>
          <w:u w:val="single"/>
          <w14:textFill>
            <w14:solidFill>
              <w14:schemeClr w14:val="tx1"/>
            </w14:solidFill>
          </w14:textFill>
        </w:rPr>
        <w:t>纸质及电子文档并装订成册</w:t>
      </w:r>
      <w:r>
        <w:rPr>
          <w:rFonts w:hint="eastAsia" w:ascii="宋体" w:hAnsi="宋体"/>
          <w:color w:val="000000" w:themeColor="text1"/>
          <w:highlight w:val="none"/>
          <w14:textFill>
            <w14:solidFill>
              <w14:schemeClr w14:val="tx1"/>
            </w14:solidFill>
          </w14:textFill>
        </w:rPr>
        <w:t>。</w:t>
      </w:r>
    </w:p>
    <w:p w14:paraId="7ACF6B54">
      <w:pPr>
        <w:numPr>
          <w:ilvl w:val="0"/>
          <w:numId w:val="3"/>
        </w:numPr>
        <w:spacing w:line="360" w:lineRule="auto"/>
        <w:ind w:firstLine="420" w:firstLineChars="200"/>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承包人应履行的其他义务：</w:t>
      </w:r>
    </w:p>
    <w:p w14:paraId="02557785">
      <w:pPr>
        <w:spacing w:line="360" w:lineRule="auto"/>
        <w:ind w:firstLine="420" w:firstLineChars="200"/>
        <w:rPr>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u w:val="single"/>
          <w14:textFill>
            <w14:solidFill>
              <w14:schemeClr w14:val="tx1"/>
            </w14:solidFill>
          </w14:textFill>
        </w:rPr>
        <w:t>对开工的项目，须组建项目工会。</w:t>
      </w:r>
    </w:p>
    <w:p w14:paraId="23D6E27D">
      <w:pPr>
        <w:spacing w:line="360" w:lineRule="auto"/>
        <w:ind w:firstLine="422" w:firstLineChars="200"/>
        <w:rPr>
          <w:rFonts w:ascii="宋体" w:hAnsi="宋体"/>
          <w:b/>
          <w:bCs/>
          <w:color w:val="000000" w:themeColor="text1"/>
          <w:kern w:val="0"/>
          <w:szCs w:val="21"/>
          <w:highlight w:val="none"/>
          <w:u w:val="single"/>
          <w14:textFill>
            <w14:solidFill>
              <w14:schemeClr w14:val="tx1"/>
            </w14:solidFill>
          </w14:textFill>
        </w:rPr>
      </w:pPr>
      <w:r>
        <w:rPr>
          <w:rFonts w:hint="eastAsia" w:ascii="宋体" w:hAnsi="宋体"/>
          <w:b/>
          <w:bCs/>
          <w:color w:val="000000" w:themeColor="text1"/>
          <w:kern w:val="0"/>
          <w:szCs w:val="21"/>
          <w:highlight w:val="none"/>
          <w14:textFill>
            <w14:solidFill>
              <w14:schemeClr w14:val="tx1"/>
            </w14:solidFill>
          </w14:textFill>
        </w:rPr>
        <w:t>2）施工场地周围地下管线和邻近建筑物、构筑物（含文物保护建筑）、古树名木的保护要求及费用承担：</w:t>
      </w:r>
      <w:r>
        <w:rPr>
          <w:rFonts w:hint="eastAsia" w:ascii="宋体" w:hAnsi="宋体"/>
          <w:b/>
          <w:bCs/>
          <w:color w:val="000000" w:themeColor="text1"/>
          <w:kern w:val="0"/>
          <w:szCs w:val="21"/>
          <w:highlight w:val="none"/>
          <w:u w:val="single"/>
          <w14:textFill>
            <w14:solidFill>
              <w14:schemeClr w14:val="tx1"/>
            </w14:solidFill>
          </w14:textFill>
        </w:rPr>
        <w:t>承包人施工时应探明并负责保护且承包费用，施工时如属承包人自身原因损坏地下管线、邻近建筑物、构筑物，所发生费用由承包人承担。</w:t>
      </w:r>
    </w:p>
    <w:p w14:paraId="05BB9F98">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kern w:val="0"/>
          <w:szCs w:val="21"/>
          <w:highlight w:val="none"/>
          <w14:textFill>
            <w14:solidFill>
              <w14:schemeClr w14:val="tx1"/>
            </w14:solidFill>
          </w14:textFill>
        </w:rPr>
        <w:t>3）</w:t>
      </w:r>
      <w:r>
        <w:rPr>
          <w:rFonts w:hint="eastAsia" w:ascii="宋体" w:hAnsi="宋体"/>
          <w:b/>
          <w:bCs/>
          <w:color w:val="000000" w:themeColor="text1"/>
          <w:szCs w:val="21"/>
          <w:highlight w:val="none"/>
          <w14:textFill>
            <w14:solidFill>
              <w14:schemeClr w14:val="tx1"/>
            </w14:solidFill>
          </w14:textFill>
        </w:rPr>
        <w:t>取土场及弃土场由承包人自行解决，但不得违反相关管理规定，并承担相关费用。</w:t>
      </w:r>
    </w:p>
    <w:p w14:paraId="09E64DF5">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4）承包人的临时占地（含项目部驻地等）租用费（含拆迁补偿）、临时用地的环保、恢复及所有临时性占地的青苗补偿及地面附着物发生的费用均由承包人负责。</w:t>
      </w:r>
    </w:p>
    <w:p w14:paraId="63496B45">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5）承包人应按监理人的指示负责拆除、清理已征用土地上的零星拆迁垃圾、杂物以及场地中的树根等并承担相关费用。</w:t>
      </w:r>
    </w:p>
    <w:p w14:paraId="12A529E9">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6）各合同承包人应允许本工程其他承包人在本合同承包人施工场地上架设施工用电线路，线路走向由监理人会同各有关合同承包人共同协商确定。</w:t>
      </w:r>
    </w:p>
    <w:p w14:paraId="65457C13">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7）承包人应充分理解有一些设施（如施工道路）将会由一个以上的承包人使用，如果在使用过程中发生干扰时，应立即通知监理人并服从监理人的决定。</w:t>
      </w:r>
    </w:p>
    <w:p w14:paraId="35B5DA17">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8）凡属于需要承包人交付给其他承包人的工作面以及与其他承包人交叉作业的工作面，承包人必须服从发包人的决定，按规定的完工日期完成并将清理好的工作面移交给发包人。</w:t>
      </w:r>
    </w:p>
    <w:p w14:paraId="1C7C817E">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9）承包人应为发包人现场代表对施工现场的检查监督提供必要的配合，并对这种配合对施工的影响应有充分的考虑。</w:t>
      </w:r>
    </w:p>
    <w:p w14:paraId="6F809025">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10）配合发包人作好安全文明宣传、领导检查宣传等工作，相关费用由承包人承担。</w:t>
      </w:r>
    </w:p>
    <w:p w14:paraId="3226BF52">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11）承包人须自行承担本工程水电报装（含变压器、设备、电等）、使用、维护、拆除、恢复等工作，并负责相关费用。</w:t>
      </w:r>
    </w:p>
    <w:p w14:paraId="13868B94">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12）对上述2）～11）项工作，费用已包括在有关单价和总价中，发包人不再另行支付由此所发生的一切费用。</w:t>
      </w:r>
    </w:p>
    <w:p w14:paraId="2BA557A0">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011F6B12">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14）土料场由承包人自行解决。</w:t>
      </w:r>
    </w:p>
    <w:p w14:paraId="2D5B5221">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236A857F">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16）承包人修建的临时道路和交通设施，应免费提供给发包人、监理人和其他合同段的承包人使用。</w:t>
      </w:r>
    </w:p>
    <w:p w14:paraId="48901F62">
      <w:pPr>
        <w:spacing w:line="360" w:lineRule="auto"/>
        <w:ind w:firstLine="441" w:firstLineChars="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17）承包人在施工期间应协调好与邻近相关单位（含居民、农民）的关系，应避免发生矛盾与冲突，否则，由此造成的一切后果由承包人承担。</w:t>
      </w:r>
    </w:p>
    <w:p w14:paraId="5C10C44F">
      <w:pPr>
        <w:spacing w:line="360" w:lineRule="auto"/>
        <w:ind w:firstLine="420" w:firstLineChars="200"/>
        <w:jc w:val="left"/>
        <w:rPr>
          <w:rFonts w:ascii="宋体" w:hAnsi="宋体"/>
          <w:b/>
          <w:b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18）由</w:t>
      </w:r>
      <w:r>
        <w:rPr>
          <w:rFonts w:hint="eastAsia" w:ascii="宋体" w:hAnsi="宋体"/>
          <w:b/>
          <w:bCs/>
          <w:color w:val="000000" w:themeColor="text1"/>
          <w:kern w:val="0"/>
          <w:szCs w:val="21"/>
          <w:highlight w:val="none"/>
          <w14:textFill>
            <w14:solidFill>
              <w14:schemeClr w14:val="tx1"/>
            </w14:solidFill>
          </w14:textFill>
        </w:rPr>
        <w:t>承包人按</w:t>
      </w:r>
      <w:r>
        <w:rPr>
          <w:rFonts w:hint="eastAsia" w:ascii="宋体" w:hAnsi="宋体"/>
          <w:color w:val="000000" w:themeColor="text1"/>
          <w:kern w:val="0"/>
          <w:szCs w:val="21"/>
          <w:highlight w:val="none"/>
          <w14:textFill>
            <w14:solidFill>
              <w14:schemeClr w14:val="tx1"/>
            </w14:solidFill>
          </w14:textFill>
        </w:rPr>
        <w:t>国家和自治区有关征收、管理和使用</w:t>
      </w:r>
      <w:r>
        <w:rPr>
          <w:rFonts w:hint="eastAsia" w:ascii="宋体" w:hAnsi="宋体"/>
          <w:b/>
          <w:bCs/>
          <w:color w:val="000000" w:themeColor="text1"/>
          <w:kern w:val="0"/>
          <w:szCs w:val="21"/>
          <w:highlight w:val="none"/>
          <w14:textFill>
            <w14:solidFill>
              <w14:schemeClr w14:val="tx1"/>
            </w14:solidFill>
          </w14:textFill>
        </w:rPr>
        <w:t>新型墙体材料专项基金、散装水泥专项基金</w:t>
      </w:r>
      <w:r>
        <w:rPr>
          <w:rFonts w:hint="eastAsia" w:ascii="宋体" w:hAnsi="宋体"/>
          <w:color w:val="000000" w:themeColor="text1"/>
          <w:kern w:val="0"/>
          <w:szCs w:val="21"/>
          <w:highlight w:val="none"/>
          <w14:textFill>
            <w14:solidFill>
              <w14:schemeClr w14:val="tx1"/>
            </w14:solidFill>
          </w14:textFill>
        </w:rPr>
        <w:t>的有关规定</w:t>
      </w:r>
      <w:r>
        <w:rPr>
          <w:rFonts w:hint="eastAsia" w:ascii="宋体" w:hAnsi="宋体"/>
          <w:b/>
          <w:bCs/>
          <w:color w:val="000000" w:themeColor="text1"/>
          <w:kern w:val="0"/>
          <w:szCs w:val="21"/>
          <w:highlight w:val="none"/>
          <w14:textFill>
            <w14:solidFill>
              <w14:schemeClr w14:val="tx1"/>
            </w14:solidFill>
          </w14:textFill>
        </w:rPr>
        <w:t>向管理部门缴纳新型墙体材料专项基金、散装水泥专项基金。</w:t>
      </w:r>
    </w:p>
    <w:p w14:paraId="0A47FACC">
      <w:pPr>
        <w:spacing w:line="360" w:lineRule="auto"/>
        <w:ind w:firstLine="422"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kern w:val="0"/>
          <w:szCs w:val="21"/>
          <w:highlight w:val="none"/>
          <w14:textFill>
            <w14:solidFill>
              <w14:schemeClr w14:val="tx1"/>
            </w14:solidFill>
          </w14:textFill>
        </w:rPr>
        <w:t>19）</w:t>
      </w:r>
      <w:r>
        <w:rPr>
          <w:rFonts w:hint="eastAsia" w:ascii="宋体" w:hAnsi="宋体" w:cs="Arial"/>
          <w:color w:val="000000" w:themeColor="text1"/>
          <w:szCs w:val="21"/>
          <w:highlight w:val="none"/>
          <w14:textFill>
            <w14:solidFill>
              <w14:schemeClr w14:val="tx1"/>
            </w14:solidFill>
          </w14:textFill>
        </w:rPr>
        <w:t>积极协助与配合第三方审计机构开展跟踪审计工作，保障审计工作顺利进行。</w:t>
      </w:r>
    </w:p>
    <w:p w14:paraId="066D0D66">
      <w:pPr>
        <w:spacing w:line="360" w:lineRule="auto"/>
        <w:ind w:firstLine="420" w:firstLineChars="200"/>
        <w:jc w:val="left"/>
        <w:rPr>
          <w:color w:val="000000" w:themeColor="text1"/>
          <w:kern w:val="0"/>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20）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bookmarkStart w:id="206" w:name="_Toc78449796"/>
      <w:bookmarkStart w:id="207" w:name="_Toc114058847"/>
      <w:bookmarkStart w:id="208" w:name="_Toc389065274"/>
      <w:bookmarkStart w:id="209" w:name="_Toc373227708"/>
      <w:bookmarkStart w:id="210" w:name="_Toc407135210"/>
      <w:bookmarkStart w:id="211" w:name="_Toc373478355"/>
    </w:p>
    <w:p w14:paraId="20A7B8C1">
      <w:pPr>
        <w:pStyle w:val="5"/>
        <w:ind w:firstLine="422"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3.2</w:t>
      </w:r>
      <w:r>
        <w:rPr>
          <w:rFonts w:hint="eastAsia" w:ascii="宋体" w:hAnsi="宋体"/>
          <w:color w:val="000000" w:themeColor="text1"/>
          <w:sz w:val="21"/>
          <w:szCs w:val="21"/>
          <w:highlight w:val="none"/>
          <w14:textFill>
            <w14:solidFill>
              <w14:schemeClr w14:val="tx1"/>
            </w14:solidFill>
          </w14:textFill>
        </w:rPr>
        <w:t>项目经理</w:t>
      </w:r>
      <w:bookmarkEnd w:id="206"/>
      <w:bookmarkEnd w:id="207"/>
      <w:bookmarkEnd w:id="208"/>
      <w:bookmarkEnd w:id="209"/>
      <w:bookmarkEnd w:id="210"/>
      <w:bookmarkEnd w:id="211"/>
    </w:p>
    <w:p w14:paraId="5D678E84">
      <w:pPr>
        <w:spacing w:line="360" w:lineRule="auto"/>
        <w:ind w:firstLine="420" w:firstLineChars="200"/>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3.2.1</w:t>
      </w:r>
      <w:r>
        <w:rPr>
          <w:rFonts w:hint="eastAsia" w:hAnsi="宋体" w:cs="宋体"/>
          <w:color w:val="000000" w:themeColor="text1"/>
          <w:szCs w:val="21"/>
          <w:highlight w:val="none"/>
          <w14:textFill>
            <w14:solidFill>
              <w14:schemeClr w14:val="tx1"/>
            </w14:solidFill>
          </w14:textFill>
        </w:rPr>
        <w:t>项目经理：</w:t>
      </w:r>
    </w:p>
    <w:p w14:paraId="68D345F4">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姓名：</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0C2F7FFB">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身份证号：</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154D6799">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建造师执业资格等级：</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558C20E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建造师注册证书号：</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7BD6892A">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安全生产考核合格证书号：</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70591541">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24914857">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7490F078">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p>
    <w:p w14:paraId="776614A4">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承包人对项目经理的授权范围如下：</w:t>
      </w:r>
      <w:r>
        <w:rPr>
          <w:color w:val="000000" w:themeColor="text1"/>
          <w:szCs w:val="21"/>
          <w:highlight w:val="none"/>
          <w:u w:val="single"/>
          <w14:textFill>
            <w14:solidFill>
              <w14:schemeClr w14:val="tx1"/>
            </w14:solidFill>
          </w14:textFill>
        </w:rPr>
        <w:t>项目经理仅限于工程的现场施工管理，但未经承包人盖章同意，不得以承包人名义向外采购材料设备、租用建筑周转材料、雇用劳动力、签订分包合同等从事一切为承包人设立义务或责任的行为</w:t>
      </w:r>
      <w:r>
        <w:rPr>
          <w:rFonts w:hint="eastAsia" w:hAnsi="宋体" w:cs="宋体"/>
          <w:color w:val="000000" w:themeColor="text1"/>
          <w:szCs w:val="21"/>
          <w:highlight w:val="none"/>
          <w14:textFill>
            <w14:solidFill>
              <w14:schemeClr w14:val="tx1"/>
            </w14:solidFill>
          </w14:textFill>
        </w:rPr>
        <w:t>。</w:t>
      </w:r>
    </w:p>
    <w:p w14:paraId="2232CAE5">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关于项目经理每月在施工现场的时间要求：</w:t>
      </w:r>
      <w:r>
        <w:rPr>
          <w:rFonts w:hint="eastAsia" w:ascii="宋体" w:hAnsi="宋体"/>
          <w:color w:val="000000" w:themeColor="text1"/>
          <w:kern w:val="0"/>
          <w:szCs w:val="21"/>
          <w:highlight w:val="none"/>
          <w14:textFill>
            <w14:solidFill>
              <w14:schemeClr w14:val="tx1"/>
            </w14:solidFill>
          </w14:textFill>
        </w:rPr>
        <w:t>发</w:t>
      </w:r>
      <w:r>
        <w:rPr>
          <w:rFonts w:hint="eastAsia" w:ascii="宋体" w:hAnsi="宋体"/>
          <w:color w:val="000000" w:themeColor="text1"/>
          <w:szCs w:val="21"/>
          <w:highlight w:val="none"/>
          <w:u w:val="single"/>
          <w14:textFill>
            <w14:solidFill>
              <w14:schemeClr w14:val="tx1"/>
            </w14:solidFill>
          </w14:textFill>
        </w:rPr>
        <w:t>包人对项目经理、项目总工、质量员、安全员等主要管理人员进行考勤，以上人员每月出勤必须在21天以上，每缺勤一日，应向发包人支付违约金</w:t>
      </w:r>
      <w:r>
        <w:rPr>
          <w:rFonts w:hint="eastAsia" w:ascii="宋体" w:hAnsi="宋体"/>
          <w:b/>
          <w:bCs/>
          <w:color w:val="000000" w:themeColor="text1"/>
          <w:szCs w:val="21"/>
          <w:highlight w:val="none"/>
          <w:u w:val="single"/>
          <w14:textFill>
            <w14:solidFill>
              <w14:schemeClr w14:val="tx1"/>
            </w14:solidFill>
          </w14:textFill>
        </w:rPr>
        <w:t>1000元/人（人民币）</w:t>
      </w:r>
      <w:r>
        <w:rPr>
          <w:rFonts w:hint="eastAsia" w:hAnsi="宋体" w:cs="宋体"/>
          <w:color w:val="000000" w:themeColor="text1"/>
          <w:szCs w:val="21"/>
          <w:highlight w:val="none"/>
          <w14:textFill>
            <w14:solidFill>
              <w14:schemeClr w14:val="tx1"/>
            </w14:solidFill>
          </w14:textFill>
        </w:rPr>
        <w:t>。</w:t>
      </w:r>
    </w:p>
    <w:p w14:paraId="119E7BA6">
      <w:pPr>
        <w:spacing w:line="360" w:lineRule="auto"/>
        <w:ind w:firstLine="420" w:firstLineChars="200"/>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承包人未提交劳动合同，以及没有为项目经理缴纳社会保险证明的违约责任：</w:t>
      </w:r>
      <w:r>
        <w:rPr>
          <w:rFonts w:hint="eastAsia" w:hAnsi="宋体"/>
          <w:color w:val="000000" w:themeColor="text1"/>
          <w:szCs w:val="21"/>
          <w:highlight w:val="none"/>
          <w:u w:val="single"/>
          <w14:textFill>
            <w14:solidFill>
              <w14:schemeClr w14:val="tx1"/>
            </w14:solidFill>
          </w14:textFill>
        </w:rPr>
        <w:t>视为承包人未能按照合同要求委派合格的项目经理并承担相应的违约责任</w:t>
      </w:r>
      <w:r>
        <w:rPr>
          <w:rFonts w:hint="eastAsia" w:hAnsi="宋体" w:cs="宋体"/>
          <w:color w:val="000000" w:themeColor="text1"/>
          <w:szCs w:val="21"/>
          <w:highlight w:val="none"/>
          <w14:textFill>
            <w14:solidFill>
              <w14:schemeClr w14:val="tx1"/>
            </w14:solidFill>
          </w14:textFill>
        </w:rPr>
        <w:t>。</w:t>
      </w:r>
    </w:p>
    <w:p w14:paraId="07FA5B96">
      <w:pPr>
        <w:spacing w:line="360" w:lineRule="auto"/>
        <w:ind w:firstLine="420" w:firstLineChars="200"/>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项目经理未经批准，擅自离开施工现场的违约责任：</w:t>
      </w:r>
      <w:r>
        <w:rPr>
          <w:rFonts w:hint="eastAsia" w:hAnsi="宋体" w:cs="宋体"/>
          <w:color w:val="000000" w:themeColor="text1"/>
          <w:szCs w:val="21"/>
          <w:highlight w:val="none"/>
          <w:u w:val="single"/>
          <w14:textFill>
            <w14:solidFill>
              <w14:schemeClr w14:val="tx1"/>
            </w14:solidFill>
          </w14:textFill>
        </w:rPr>
        <w:t>项目经理每月在岗带班时间不得少于当月施工时间的</w:t>
      </w:r>
      <w:r>
        <w:rPr>
          <w:rFonts w:hAnsi="宋体"/>
          <w:color w:val="000000" w:themeColor="text1"/>
          <w:szCs w:val="21"/>
          <w:highlight w:val="none"/>
          <w:u w:val="single"/>
          <w14:textFill>
            <w14:solidFill>
              <w14:schemeClr w14:val="tx1"/>
            </w14:solidFill>
          </w14:textFill>
        </w:rPr>
        <w:t>80%</w:t>
      </w:r>
      <w:r>
        <w:rPr>
          <w:rFonts w:hint="eastAsia" w:hAnsi="宋体" w:cs="宋体"/>
          <w:color w:val="000000" w:themeColor="text1"/>
          <w:szCs w:val="21"/>
          <w:highlight w:val="none"/>
          <w:u w:val="single"/>
          <w14:textFill>
            <w14:solidFill>
              <w14:schemeClr w14:val="tx1"/>
            </w14:solidFill>
          </w14:textFill>
        </w:rPr>
        <w:t>。未经发包人同意或正当理由，项目经理每月在岗带班时间少于当月施工时间</w:t>
      </w:r>
      <w:r>
        <w:rPr>
          <w:rFonts w:hAnsi="宋体"/>
          <w:color w:val="000000" w:themeColor="text1"/>
          <w:szCs w:val="21"/>
          <w:highlight w:val="none"/>
          <w:u w:val="single"/>
          <w14:textFill>
            <w14:solidFill>
              <w14:schemeClr w14:val="tx1"/>
            </w14:solidFill>
          </w14:textFill>
        </w:rPr>
        <w:t>80%</w:t>
      </w:r>
      <w:r>
        <w:rPr>
          <w:rFonts w:hint="eastAsia" w:hAnsi="宋体" w:cs="宋体"/>
          <w:color w:val="000000" w:themeColor="text1"/>
          <w:szCs w:val="21"/>
          <w:highlight w:val="none"/>
          <w:u w:val="single"/>
          <w14:textFill>
            <w14:solidFill>
              <w14:schemeClr w14:val="tx1"/>
            </w14:solidFill>
          </w14:textFill>
        </w:rPr>
        <w:t>的，少在岗带班一天，发包人有权处违约金</w:t>
      </w:r>
      <w:r>
        <w:rPr>
          <w:rFonts w:hint="eastAsia"/>
          <w:color w:val="000000" w:themeColor="text1"/>
          <w:szCs w:val="21"/>
          <w:highlight w:val="none"/>
          <w:u w:val="single"/>
          <w14:textFill>
            <w14:solidFill>
              <w14:schemeClr w14:val="tx1"/>
            </w14:solidFill>
          </w14:textFill>
        </w:rPr>
        <w:t>1000</w:t>
      </w:r>
      <w:r>
        <w:rPr>
          <w:rFonts w:hint="eastAsia" w:hAnsi="宋体" w:cs="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int="eastAsia" w:cs="宋体"/>
          <w:color w:val="000000" w:themeColor="text1"/>
          <w:szCs w:val="21"/>
          <w:highlight w:val="none"/>
          <w:u w:val="single"/>
          <w14:textFill>
            <w14:solidFill>
              <w14:schemeClr w14:val="tx1"/>
            </w14:solidFill>
          </w14:textFill>
        </w:rPr>
        <w:t>日（</w:t>
      </w:r>
      <w:r>
        <w:rPr>
          <w:rFonts w:hint="eastAsia" w:hAnsi="宋体" w:cs="宋体"/>
          <w:color w:val="000000" w:themeColor="text1"/>
          <w:szCs w:val="21"/>
          <w:highlight w:val="none"/>
          <w:u w:val="single"/>
          <w14:textFill>
            <w14:solidFill>
              <w14:schemeClr w14:val="tx1"/>
            </w14:solidFill>
          </w14:textFill>
        </w:rPr>
        <w:t>人民币</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2A983986">
      <w:pPr>
        <w:adjustRightInd w:val="0"/>
        <w:snapToGrid w:val="0"/>
        <w:spacing w:line="460" w:lineRule="exact"/>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3.2.3</w:t>
      </w:r>
      <w:r>
        <w:rPr>
          <w:rFonts w:hint="eastAsia" w:hAnsi="宋体" w:cs="宋体"/>
          <w:color w:val="000000" w:themeColor="text1"/>
          <w:szCs w:val="21"/>
          <w:highlight w:val="none"/>
          <w14:textFill>
            <w14:solidFill>
              <w14:schemeClr w14:val="tx1"/>
            </w14:solidFill>
          </w14:textFill>
        </w:rPr>
        <w:t>承包人擅自更换项目经理的违约责任：</w:t>
      </w:r>
      <w:r>
        <w:rPr>
          <w:rFonts w:hint="eastAsia" w:hAnsi="宋体" w:cs="宋体"/>
          <w:color w:val="000000" w:themeColor="text1"/>
          <w:szCs w:val="21"/>
          <w:highlight w:val="none"/>
          <w:u w:val="single"/>
          <w14:textFill>
            <w14:solidFill>
              <w14:schemeClr w14:val="tx1"/>
            </w14:solidFill>
          </w14:textFill>
        </w:rPr>
        <w:t>承包人项目经理必须与承包人投标时所承诺的人员一致，并在（开工日期）前到</w:t>
      </w:r>
      <w:r>
        <w:rPr>
          <w:color w:val="000000" w:themeColor="text1"/>
          <w:szCs w:val="21"/>
          <w:highlight w:val="none"/>
          <w14:textFill>
            <w14:solidFill>
              <w14:schemeClr w14:val="tx1"/>
            </w14:solidFill>
          </w14:textFill>
        </w:rPr>
        <w:t>任。在监理人向承包人颁发</w:t>
      </w:r>
      <w:r>
        <w:rPr>
          <w:color w:val="000000" w:themeColor="text1"/>
          <w:szCs w:val="21"/>
          <w:highlight w:val="none"/>
          <w:u w:val="single"/>
          <w14:textFill>
            <w14:solidFill>
              <w14:schemeClr w14:val="tx1"/>
            </w14:solidFill>
          </w14:textFill>
        </w:rPr>
        <w:t>（竣工证明材料名称）</w:t>
      </w:r>
      <w:r>
        <w:rPr>
          <w:color w:val="000000" w:themeColor="text1"/>
          <w:szCs w:val="21"/>
          <w:highlight w:val="none"/>
          <w14:textFill>
            <w14:solidFill>
              <w14:schemeClr w14:val="tx1"/>
            </w14:solidFill>
          </w14:textFill>
        </w:rPr>
        <w:t>前，项目经理不得同时兼任其他任何项目的项目经理（符合《广西壮族自治区建筑市场诚信卡管理暂行办法》第十六条第一款及桂建管﹝2016﹞70号、桂建管〔2019〕26号和桂建管〔2020〕11号文除外）</w:t>
      </w:r>
      <w:r>
        <w:rPr>
          <w:rFonts w:hint="eastAsia" w:hAnsi="宋体" w:cs="宋体"/>
          <w:color w:val="000000" w:themeColor="text1"/>
          <w:kern w:val="0"/>
          <w:szCs w:val="21"/>
          <w:highlight w:val="none"/>
          <w:u w:val="singl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w:t>
      </w:r>
      <w:r>
        <w:rPr>
          <w:color w:val="000000" w:themeColor="text1"/>
          <w:szCs w:val="21"/>
          <w:highlight w:val="none"/>
          <w14:textFill>
            <w14:solidFill>
              <w14:schemeClr w14:val="tx1"/>
            </w14:solidFill>
          </w14:textFill>
        </w:rPr>
        <w:t>未经发包人书面同意，承包人擅自更换项目经理的视为违约，违约金处</w:t>
      </w:r>
      <w:r>
        <w:rPr>
          <w:rFonts w:hint="eastAsia" w:ascii="宋体" w:hAnsi="宋体"/>
          <w:b/>
          <w:bCs/>
          <w:color w:val="000000" w:themeColor="text1"/>
          <w:szCs w:val="21"/>
          <w:highlight w:val="none"/>
          <w:u w:val="single"/>
          <w14:textFill>
            <w14:solidFill>
              <w14:schemeClr w14:val="tx1"/>
            </w14:solidFill>
          </w14:textFill>
        </w:rPr>
        <w:t>30000</w:t>
      </w:r>
      <w:r>
        <w:rPr>
          <w:color w:val="000000" w:themeColor="text1"/>
          <w:szCs w:val="21"/>
          <w:highlight w:val="none"/>
          <w14:textFill>
            <w14:solidFill>
              <w14:schemeClr w14:val="tx1"/>
            </w14:solidFill>
          </w14:textFill>
        </w:rPr>
        <w:t>元/人•次（人民币）。</w:t>
      </w:r>
    </w:p>
    <w:p w14:paraId="2CE38DB7">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3.2.4</w:t>
      </w:r>
      <w:r>
        <w:rPr>
          <w:rFonts w:hint="eastAsia" w:hAnsi="宋体" w:cs="宋体"/>
          <w:color w:val="000000" w:themeColor="text1"/>
          <w:szCs w:val="21"/>
          <w:highlight w:val="none"/>
          <w14:textFill>
            <w14:solidFill>
              <w14:schemeClr w14:val="tx1"/>
            </w14:solidFill>
          </w14:textFill>
        </w:rPr>
        <w:t>承包人无正当理由拒绝更换项目经理的违约责任：</w:t>
      </w:r>
      <w:r>
        <w:rPr>
          <w:rFonts w:hint="eastAsia" w:hAnsi="宋体" w:cs="宋体"/>
          <w:color w:val="000000" w:themeColor="text1"/>
          <w:szCs w:val="21"/>
          <w:highlight w:val="none"/>
          <w:u w:val="single"/>
          <w14:textFill>
            <w14:solidFill>
              <w14:schemeClr w14:val="tx1"/>
            </w14:solidFill>
          </w14:textFill>
        </w:rPr>
        <w:t>因承包人项目经理不称职，发包人要求调换而未及时调换的，视为承包人违约，必须向发包人</w:t>
      </w:r>
      <w:r>
        <w:rPr>
          <w:rFonts w:hint="eastAsia" w:hAnsi="宋体" w:cs="宋体"/>
          <w:color w:val="000000" w:themeColor="text1"/>
          <w:szCs w:val="21"/>
          <w:highlight w:val="none"/>
          <w:u w:val="single"/>
          <w:lang w:eastAsia="zh-CN"/>
          <w14:textFill>
            <w14:solidFill>
              <w14:schemeClr w14:val="tx1"/>
            </w14:solidFill>
          </w14:textFill>
        </w:rPr>
        <w:t>缴纳</w:t>
      </w:r>
      <w:r>
        <w:rPr>
          <w:rFonts w:hint="eastAsia" w:hAnsi="宋体" w:cs="宋体"/>
          <w:color w:val="000000" w:themeColor="text1"/>
          <w:szCs w:val="21"/>
          <w:highlight w:val="none"/>
          <w:u w:val="single"/>
          <w14:textFill>
            <w14:solidFill>
              <w14:schemeClr w14:val="tx1"/>
            </w14:solidFill>
          </w14:textFill>
        </w:rPr>
        <w:t>处罚金</w:t>
      </w:r>
      <w:r>
        <w:rPr>
          <w:rFonts w:hint="eastAsia"/>
          <w:color w:val="000000" w:themeColor="text1"/>
          <w:szCs w:val="21"/>
          <w:highlight w:val="none"/>
          <w:u w:val="single"/>
          <w14:textFill>
            <w14:solidFill>
              <w14:schemeClr w14:val="tx1"/>
            </w14:solidFill>
          </w14:textFill>
        </w:rPr>
        <w:t>20000</w:t>
      </w:r>
      <w:r>
        <w:rPr>
          <w:rFonts w:hint="eastAsia" w:hAnsi="宋体" w:cs="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次</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人民币</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30C07CA0">
      <w:pPr>
        <w:pStyle w:val="5"/>
        <w:ind w:firstLine="422" w:firstLineChars="200"/>
        <w:rPr>
          <w:rFonts w:ascii="宋体" w:hAnsi="宋体"/>
          <w:color w:val="000000" w:themeColor="text1"/>
          <w:sz w:val="21"/>
          <w:szCs w:val="21"/>
          <w:highlight w:val="none"/>
          <w14:textFill>
            <w14:solidFill>
              <w14:schemeClr w14:val="tx1"/>
            </w14:solidFill>
          </w14:textFill>
        </w:rPr>
      </w:pPr>
      <w:bookmarkStart w:id="212" w:name="_Toc114058848"/>
      <w:bookmarkStart w:id="213" w:name="_Toc373227709"/>
      <w:bookmarkStart w:id="214" w:name="_Toc389065275"/>
      <w:bookmarkStart w:id="215" w:name="_Toc373478356"/>
      <w:bookmarkStart w:id="216" w:name="_Toc78449797"/>
      <w:bookmarkStart w:id="217" w:name="_Toc407135211"/>
      <w:r>
        <w:rPr>
          <w:rFonts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承包人人员</w:t>
      </w:r>
      <w:bookmarkEnd w:id="212"/>
      <w:bookmarkEnd w:id="213"/>
      <w:bookmarkEnd w:id="214"/>
      <w:bookmarkEnd w:id="215"/>
      <w:bookmarkEnd w:id="216"/>
      <w:bookmarkEnd w:id="217"/>
    </w:p>
    <w:p w14:paraId="6379C31D">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w:t>
      </w:r>
      <w:r>
        <w:rPr>
          <w:rFonts w:hint="eastAsia" w:hAnsi="宋体" w:cs="宋体"/>
          <w:color w:val="000000" w:themeColor="text1"/>
          <w:szCs w:val="21"/>
          <w:highlight w:val="none"/>
          <w14:textFill>
            <w14:solidFill>
              <w14:schemeClr w14:val="tx1"/>
            </w14:solidFill>
          </w14:textFill>
        </w:rPr>
        <w:t>承包人提交项目管理机构及施工现场管理人员安排报告（格式见合同附件</w:t>
      </w:r>
      <w:r>
        <w:rPr>
          <w:rFonts w:hint="eastAsia" w:hAnsi="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）的期限：</w:t>
      </w:r>
      <w:r>
        <w:rPr>
          <w:rFonts w:hint="eastAsia" w:ascii="宋体" w:hAnsi="宋体"/>
          <w:color w:val="000000" w:themeColor="text1"/>
          <w:szCs w:val="21"/>
          <w:highlight w:val="none"/>
          <w:u w:val="single"/>
          <w14:textFill>
            <w14:solidFill>
              <w14:schemeClr w14:val="tx1"/>
            </w14:solidFill>
          </w14:textFill>
        </w:rPr>
        <w:t>监理工程师下发开工令且工程开工前7天内</w:t>
      </w:r>
      <w:r>
        <w:rPr>
          <w:rFonts w:hint="eastAsia" w:hAnsi="宋体" w:cs="宋体"/>
          <w:color w:val="000000" w:themeColor="text1"/>
          <w:szCs w:val="21"/>
          <w:highlight w:val="none"/>
          <w14:textFill>
            <w14:solidFill>
              <w14:schemeClr w14:val="tx1"/>
            </w14:solidFill>
          </w14:textFill>
        </w:rPr>
        <w:t>。</w:t>
      </w:r>
    </w:p>
    <w:p w14:paraId="513F2A31">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3.3.3</w:t>
      </w:r>
      <w:r>
        <w:rPr>
          <w:rFonts w:hint="eastAsia" w:hAnsi="宋体" w:cs="宋体"/>
          <w:color w:val="000000" w:themeColor="text1"/>
          <w:szCs w:val="21"/>
          <w:highlight w:val="none"/>
          <w14:textFill>
            <w14:solidFill>
              <w14:schemeClr w14:val="tx1"/>
            </w14:solidFill>
          </w14:textFill>
        </w:rPr>
        <w:t>承包人无正当理由拒绝撤换主要施工管理人员的违约责任：</w:t>
      </w:r>
      <w:r>
        <w:rPr>
          <w:rFonts w:hAnsi="宋体"/>
          <w:color w:val="000000" w:themeColor="text1"/>
          <w:szCs w:val="21"/>
          <w:highlight w:val="none"/>
          <w:u w:val="single"/>
          <w14:textFill>
            <w14:solidFill>
              <w14:schemeClr w14:val="tx1"/>
            </w14:solidFill>
          </w14:textFill>
        </w:rPr>
        <w:t>因承包人主要施工管理人员不称职，发包人要求调换而无正当理由拒绝撤换或未及时调换的，视为承包人违约，必须向发包人</w:t>
      </w:r>
      <w:r>
        <w:rPr>
          <w:rFonts w:hint="eastAsia" w:hAnsi="宋体"/>
          <w:color w:val="000000" w:themeColor="text1"/>
          <w:szCs w:val="21"/>
          <w:highlight w:val="none"/>
          <w:u w:val="single"/>
          <w:lang w:eastAsia="zh-CN"/>
          <w14:textFill>
            <w14:solidFill>
              <w14:schemeClr w14:val="tx1"/>
            </w14:solidFill>
          </w14:textFill>
        </w:rPr>
        <w:t>缴纳</w:t>
      </w:r>
      <w:r>
        <w:rPr>
          <w:rFonts w:hAnsi="宋体"/>
          <w:color w:val="000000" w:themeColor="text1"/>
          <w:szCs w:val="21"/>
          <w:highlight w:val="none"/>
          <w:u w:val="single"/>
          <w14:textFill>
            <w14:solidFill>
              <w14:schemeClr w14:val="tx1"/>
            </w14:solidFill>
          </w14:textFill>
        </w:rPr>
        <w:t>处罚金，处罚标准：技术负责人</w:t>
      </w:r>
      <w:r>
        <w:rPr>
          <w:rFonts w:hint="eastAsia"/>
          <w:color w:val="000000" w:themeColor="text1"/>
          <w:szCs w:val="21"/>
          <w:highlight w:val="none"/>
          <w:u w:val="single"/>
          <w14:textFill>
            <w14:solidFill>
              <w14:schemeClr w14:val="tx1"/>
            </w14:solidFill>
          </w14:textFill>
        </w:rPr>
        <w:t>5000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；专业工程师</w:t>
      </w:r>
      <w:r>
        <w:rPr>
          <w:rFonts w:hint="eastAsia" w:hAnsi="宋体"/>
          <w:color w:val="000000" w:themeColor="text1"/>
          <w:szCs w:val="21"/>
          <w:highlight w:val="none"/>
          <w:u w:val="single"/>
          <w14:textFill>
            <w14:solidFill>
              <w14:schemeClr w14:val="tx1"/>
            </w14:solidFill>
          </w14:textFill>
        </w:rPr>
        <w:t>3</w:t>
      </w:r>
      <w:r>
        <w:rPr>
          <w:rFonts w:hint="eastAsia"/>
          <w:color w:val="000000" w:themeColor="text1"/>
          <w:szCs w:val="21"/>
          <w:highlight w:val="none"/>
          <w:u w:val="single"/>
          <w14:textFill>
            <w14:solidFill>
              <w14:schemeClr w14:val="tx1"/>
            </w14:solidFill>
          </w14:textFill>
        </w:rPr>
        <w:t>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7F4280E6">
      <w:pPr>
        <w:spacing w:line="360" w:lineRule="auto"/>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3.3.4</w:t>
      </w:r>
      <w:r>
        <w:rPr>
          <w:rFonts w:hint="eastAsia" w:hAnsi="宋体" w:cs="宋体"/>
          <w:color w:val="000000" w:themeColor="text1"/>
          <w:szCs w:val="21"/>
          <w:highlight w:val="none"/>
          <w14:textFill>
            <w14:solidFill>
              <w14:schemeClr w14:val="tx1"/>
            </w14:solidFill>
          </w14:textFill>
        </w:rPr>
        <w:t>承包人主要施工管理人员离开施工现场的批准要求：</w:t>
      </w:r>
      <w:r>
        <w:rPr>
          <w:rFonts w:hint="eastAsia" w:ascii="宋体" w:hAnsi="宋体"/>
          <w:color w:val="000000" w:themeColor="text1"/>
          <w:szCs w:val="21"/>
          <w:highlight w:val="none"/>
          <w:u w:val="single"/>
          <w14:textFill>
            <w14:solidFill>
              <w14:schemeClr w14:val="tx1"/>
            </w14:solidFill>
          </w14:textFill>
        </w:rPr>
        <w:t>向发包人提出申请，并提供相关证明材料，</w:t>
      </w:r>
      <w:r>
        <w:rPr>
          <w:rFonts w:hint="eastAsia" w:hAnsi="宋体"/>
          <w:color w:val="000000" w:themeColor="text1"/>
          <w:szCs w:val="21"/>
          <w:highlight w:val="none"/>
          <w:u w:val="single"/>
          <w14:textFill>
            <w14:solidFill>
              <w14:schemeClr w14:val="tx1"/>
            </w14:solidFill>
          </w14:textFill>
        </w:rPr>
        <w:t>须经监理单位和现场发包负责人同意后离开</w:t>
      </w:r>
      <w:r>
        <w:rPr>
          <w:rFonts w:hint="eastAsia" w:hAnsi="宋体" w:cs="宋体"/>
          <w:color w:val="000000" w:themeColor="text1"/>
          <w:szCs w:val="21"/>
          <w:highlight w:val="none"/>
          <w14:textFill>
            <w14:solidFill>
              <w14:schemeClr w14:val="tx1"/>
            </w14:solidFill>
          </w14:textFill>
        </w:rPr>
        <w:t>。</w:t>
      </w:r>
    </w:p>
    <w:p w14:paraId="3557F55C">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3.3.5</w:t>
      </w:r>
      <w:r>
        <w:rPr>
          <w:rFonts w:hint="eastAsia" w:hAnsi="宋体" w:cs="宋体"/>
          <w:color w:val="000000" w:themeColor="text1"/>
          <w:szCs w:val="21"/>
          <w:highlight w:val="none"/>
          <w14:textFill>
            <w14:solidFill>
              <w14:schemeClr w14:val="tx1"/>
            </w14:solidFill>
          </w14:textFill>
        </w:rPr>
        <w:t>承包人擅自更换主要施工管理人员的违约责任：</w:t>
      </w:r>
      <w:r>
        <w:rPr>
          <w:rFonts w:hint="eastAsia" w:hAnsi="宋体" w:cs="宋体"/>
          <w:color w:val="000000" w:themeColor="text1"/>
          <w:szCs w:val="21"/>
          <w:highlight w:val="none"/>
          <w:u w:val="single"/>
          <w14:textFill>
            <w14:solidFill>
              <w14:schemeClr w14:val="tx1"/>
            </w14:solidFill>
          </w14:textFill>
        </w:rPr>
        <w:t>项</w:t>
      </w:r>
      <w:r>
        <w:rPr>
          <w:rFonts w:hint="eastAsia" w:hAnsi="宋体"/>
          <w:color w:val="000000" w:themeColor="text1"/>
          <w:szCs w:val="21"/>
          <w:highlight w:val="none"/>
          <w:u w:val="single"/>
          <w14:textFill>
            <w14:solidFill>
              <w14:schemeClr w14:val="tx1"/>
            </w14:solidFill>
          </w14:textFill>
        </w:rPr>
        <w:t>项目</w:t>
      </w:r>
      <w:r>
        <w:rPr>
          <w:rFonts w:hAnsi="宋体"/>
          <w:color w:val="000000" w:themeColor="text1"/>
          <w:szCs w:val="21"/>
          <w:highlight w:val="none"/>
          <w:u w:val="single"/>
          <w14:textFill>
            <w14:solidFill>
              <w14:schemeClr w14:val="tx1"/>
            </w14:solidFill>
          </w14:textFill>
        </w:rPr>
        <w:t>技术负责人、</w:t>
      </w:r>
      <w:r>
        <w:rPr>
          <w:rFonts w:hint="eastAsia" w:hAnsi="宋体"/>
          <w:color w:val="000000" w:themeColor="text1"/>
          <w:szCs w:val="21"/>
          <w:highlight w:val="none"/>
          <w:u w:val="single"/>
          <w14:textFill>
            <w14:solidFill>
              <w14:schemeClr w14:val="tx1"/>
            </w14:solidFill>
          </w14:textFill>
        </w:rPr>
        <w:t>专职安全员及其承诺的其它在场管理人员</w:t>
      </w:r>
      <w:r>
        <w:rPr>
          <w:rFonts w:hAnsi="宋体"/>
          <w:color w:val="000000" w:themeColor="text1"/>
          <w:szCs w:val="21"/>
          <w:highlight w:val="none"/>
          <w:u w:val="single"/>
          <w14:textFill>
            <w14:solidFill>
              <w14:schemeClr w14:val="tx1"/>
            </w14:solidFill>
          </w14:textFill>
        </w:rPr>
        <w:t>未经发包人书面同意不准擅自更换，擅自更换</w:t>
      </w:r>
      <w:r>
        <w:rPr>
          <w:rFonts w:hint="eastAsia" w:hAnsi="宋体"/>
          <w:color w:val="000000" w:themeColor="text1"/>
          <w:szCs w:val="21"/>
          <w:highlight w:val="none"/>
          <w:u w:val="single"/>
          <w14:textFill>
            <w14:solidFill>
              <w14:schemeClr w14:val="tx1"/>
            </w14:solidFill>
          </w14:textFill>
        </w:rPr>
        <w:t>项目</w:t>
      </w:r>
      <w:r>
        <w:rPr>
          <w:rFonts w:hAnsi="宋体"/>
          <w:color w:val="000000" w:themeColor="text1"/>
          <w:szCs w:val="21"/>
          <w:highlight w:val="none"/>
          <w:u w:val="single"/>
          <w14:textFill>
            <w14:solidFill>
              <w14:schemeClr w14:val="tx1"/>
            </w14:solidFill>
          </w14:textFill>
        </w:rPr>
        <w:t>技术负责人处</w:t>
      </w:r>
      <w:r>
        <w:rPr>
          <w:rFonts w:hint="eastAsia"/>
          <w:color w:val="000000" w:themeColor="text1"/>
          <w:szCs w:val="21"/>
          <w:highlight w:val="none"/>
          <w:u w:val="single"/>
          <w14:textFill>
            <w14:solidFill>
              <w14:schemeClr w14:val="tx1"/>
            </w14:solidFill>
          </w14:textFill>
        </w:rPr>
        <w:t>5000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违约金；擅自更换</w:t>
      </w:r>
      <w:r>
        <w:rPr>
          <w:rFonts w:hint="eastAsia" w:hAnsi="宋体"/>
          <w:color w:val="000000" w:themeColor="text1"/>
          <w:szCs w:val="21"/>
          <w:highlight w:val="none"/>
          <w:u w:val="single"/>
          <w14:textFill>
            <w14:solidFill>
              <w14:schemeClr w14:val="tx1"/>
            </w14:solidFill>
          </w14:textFill>
        </w:rPr>
        <w:t>专职安全员</w:t>
      </w:r>
      <w:r>
        <w:rPr>
          <w:rFonts w:hAnsi="宋体"/>
          <w:color w:val="000000" w:themeColor="text1"/>
          <w:szCs w:val="21"/>
          <w:highlight w:val="none"/>
          <w:u w:val="single"/>
          <w14:textFill>
            <w14:solidFill>
              <w14:schemeClr w14:val="tx1"/>
            </w14:solidFill>
          </w14:textFill>
        </w:rPr>
        <w:t>处</w:t>
      </w:r>
      <w:r>
        <w:rPr>
          <w:rFonts w:hint="eastAsia"/>
          <w:color w:val="000000" w:themeColor="text1"/>
          <w:szCs w:val="21"/>
          <w:highlight w:val="none"/>
          <w:u w:val="single"/>
          <w14:textFill>
            <w14:solidFill>
              <w14:schemeClr w14:val="tx1"/>
            </w14:solidFill>
          </w14:textFill>
        </w:rPr>
        <w:t>5000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违约金</w:t>
      </w:r>
      <w:r>
        <w:rPr>
          <w:rFonts w:hint="eastAsia"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擅自更换</w:t>
      </w:r>
      <w:r>
        <w:rPr>
          <w:rFonts w:hint="eastAsia" w:hAnsi="宋体"/>
          <w:color w:val="000000" w:themeColor="text1"/>
          <w:szCs w:val="21"/>
          <w:highlight w:val="none"/>
          <w:u w:val="single"/>
          <w14:textFill>
            <w14:solidFill>
              <w14:schemeClr w14:val="tx1"/>
            </w14:solidFill>
          </w14:textFill>
        </w:rPr>
        <w:t>其它在场管理人员</w:t>
      </w:r>
      <w:r>
        <w:rPr>
          <w:rFonts w:hAnsi="宋体"/>
          <w:color w:val="000000" w:themeColor="text1"/>
          <w:szCs w:val="21"/>
          <w:highlight w:val="none"/>
          <w:u w:val="single"/>
          <w14:textFill>
            <w14:solidFill>
              <w14:schemeClr w14:val="tx1"/>
            </w14:solidFill>
          </w14:textFill>
        </w:rPr>
        <w:t>处</w:t>
      </w:r>
      <w:r>
        <w:rPr>
          <w:rFonts w:hint="eastAsia"/>
          <w:color w:val="000000" w:themeColor="text1"/>
          <w:szCs w:val="21"/>
          <w:highlight w:val="none"/>
          <w:u w:val="single"/>
          <w14:textFill>
            <w14:solidFill>
              <w14:schemeClr w14:val="tx1"/>
            </w14:solidFill>
          </w14:textFill>
        </w:rPr>
        <w:t>5000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违约金</w:t>
      </w:r>
      <w:r>
        <w:rPr>
          <w:rFonts w:hint="eastAsia" w:hAnsi="宋体" w:cs="宋体"/>
          <w:color w:val="000000" w:themeColor="text1"/>
          <w:szCs w:val="21"/>
          <w:highlight w:val="none"/>
          <w14:textFill>
            <w14:solidFill>
              <w14:schemeClr w14:val="tx1"/>
            </w14:solidFill>
          </w14:textFill>
        </w:rPr>
        <w:t>。</w:t>
      </w:r>
    </w:p>
    <w:p w14:paraId="0A6CA35E">
      <w:pPr>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承包人主要施工管理人员擅自离开施工现场的违约责任：</w:t>
      </w:r>
      <w:r>
        <w:rPr>
          <w:rFonts w:hAnsi="宋体"/>
          <w:color w:val="000000" w:themeColor="text1"/>
          <w:szCs w:val="21"/>
          <w:highlight w:val="none"/>
          <w:u w:val="single"/>
          <w14:textFill>
            <w14:solidFill>
              <w14:schemeClr w14:val="tx1"/>
            </w14:solidFill>
          </w14:textFill>
        </w:rPr>
        <w:t>未经发包人同意，</w:t>
      </w:r>
      <w:r>
        <w:rPr>
          <w:rFonts w:hint="eastAsia" w:hAnsi="宋体"/>
          <w:color w:val="000000" w:themeColor="text1"/>
          <w:szCs w:val="21"/>
          <w:highlight w:val="none"/>
          <w:u w:val="single"/>
          <w14:textFill>
            <w14:solidFill>
              <w14:schemeClr w14:val="tx1"/>
            </w14:solidFill>
          </w14:textFill>
        </w:rPr>
        <w:t>项目</w:t>
      </w:r>
      <w:r>
        <w:rPr>
          <w:rFonts w:hAnsi="宋体"/>
          <w:color w:val="000000" w:themeColor="text1"/>
          <w:szCs w:val="21"/>
          <w:highlight w:val="none"/>
          <w:u w:val="single"/>
          <w14:textFill>
            <w14:solidFill>
              <w14:schemeClr w14:val="tx1"/>
            </w14:solidFill>
          </w14:textFill>
        </w:rPr>
        <w:t>技术负责人擅自离岗</w:t>
      </w:r>
      <w:r>
        <w:rPr>
          <w:rFonts w:hint="eastAsia" w:ascii="宋体" w:hAnsi="宋体"/>
          <w:b/>
          <w:bCs/>
          <w:color w:val="000000" w:themeColor="text1"/>
          <w:szCs w:val="21"/>
          <w:highlight w:val="none"/>
          <w:u w:val="single"/>
          <w14:textFill>
            <w14:solidFill>
              <w14:schemeClr w14:val="tx1"/>
            </w14:solidFill>
          </w14:textFill>
        </w:rPr>
        <w:t>（每个月连续缺勤7天，累计15天视为擅自离岗）</w:t>
      </w:r>
      <w:r>
        <w:rPr>
          <w:rFonts w:hAnsi="宋体"/>
          <w:color w:val="000000" w:themeColor="text1"/>
          <w:szCs w:val="21"/>
          <w:highlight w:val="none"/>
          <w:u w:val="single"/>
          <w14:textFill>
            <w14:solidFill>
              <w14:schemeClr w14:val="tx1"/>
            </w14:solidFill>
          </w14:textFill>
        </w:rPr>
        <w:t>的，视为承包人违约，发包人有权处违约金</w:t>
      </w:r>
      <w:r>
        <w:rPr>
          <w:rFonts w:hint="eastAsia"/>
          <w:color w:val="000000" w:themeColor="text1"/>
          <w:szCs w:val="21"/>
          <w:highlight w:val="none"/>
          <w:u w:val="single"/>
          <w14:textFill>
            <w14:solidFill>
              <w14:schemeClr w14:val="tx1"/>
            </w14:solidFill>
          </w14:textFill>
        </w:rPr>
        <w:t>5000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；未经发包人同意，</w:t>
      </w:r>
      <w:r>
        <w:rPr>
          <w:rFonts w:hint="eastAsia" w:hAnsi="宋体"/>
          <w:color w:val="000000" w:themeColor="text1"/>
          <w:szCs w:val="21"/>
          <w:highlight w:val="none"/>
          <w:u w:val="single"/>
          <w14:textFill>
            <w14:solidFill>
              <w14:schemeClr w14:val="tx1"/>
            </w14:solidFill>
          </w14:textFill>
        </w:rPr>
        <w:t>专职安全员</w:t>
      </w:r>
      <w:r>
        <w:rPr>
          <w:rFonts w:hAnsi="宋体"/>
          <w:color w:val="000000" w:themeColor="text1"/>
          <w:szCs w:val="21"/>
          <w:highlight w:val="none"/>
          <w:u w:val="single"/>
          <w14:textFill>
            <w14:solidFill>
              <w14:schemeClr w14:val="tx1"/>
            </w14:solidFill>
          </w14:textFill>
        </w:rPr>
        <w:t>擅自离岗</w:t>
      </w:r>
      <w:r>
        <w:rPr>
          <w:rFonts w:hint="eastAsia" w:ascii="宋体" w:hAnsi="宋体"/>
          <w:b/>
          <w:bCs/>
          <w:color w:val="000000" w:themeColor="text1"/>
          <w:szCs w:val="21"/>
          <w:highlight w:val="none"/>
          <w:u w:val="single"/>
          <w14:textFill>
            <w14:solidFill>
              <w14:schemeClr w14:val="tx1"/>
            </w14:solidFill>
          </w14:textFill>
        </w:rPr>
        <w:t>（每个月连续缺勤7天，累计15天视为擅自离岗）</w:t>
      </w:r>
      <w:r>
        <w:rPr>
          <w:rFonts w:hint="eastAsia" w:hAnsi="宋体" w:cs="宋体"/>
          <w:color w:val="000000" w:themeColor="text1"/>
          <w:szCs w:val="21"/>
          <w:highlight w:val="none"/>
          <w:u w:val="single"/>
          <w14:textFill>
            <w14:solidFill>
              <w14:schemeClr w14:val="tx1"/>
            </w14:solidFill>
          </w14:textFill>
        </w:rPr>
        <w:t>的，视为承包人违约，发包人有权处违约金</w:t>
      </w:r>
      <w:r>
        <w:rPr>
          <w:rFonts w:hint="eastAsia"/>
          <w:color w:val="000000" w:themeColor="text1"/>
          <w:szCs w:val="21"/>
          <w:highlight w:val="none"/>
          <w:u w:val="single"/>
          <w14:textFill>
            <w14:solidFill>
              <w14:schemeClr w14:val="tx1"/>
            </w14:solidFill>
          </w14:textFill>
        </w:rPr>
        <w:t>5000</w:t>
      </w:r>
      <w:r>
        <w:rPr>
          <w:rFonts w:hint="eastAsia" w:hAnsi="宋体" w:cs="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次</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人民币</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；其它在场管理人员擅自离岗</w:t>
      </w:r>
      <w:r>
        <w:rPr>
          <w:rFonts w:hint="eastAsia" w:ascii="宋体" w:hAnsi="宋体"/>
          <w:b/>
          <w:bCs/>
          <w:color w:val="000000" w:themeColor="text1"/>
          <w:szCs w:val="21"/>
          <w:highlight w:val="none"/>
          <w:u w:val="single"/>
          <w14:textFill>
            <w14:solidFill>
              <w14:schemeClr w14:val="tx1"/>
            </w14:solidFill>
          </w14:textFill>
        </w:rPr>
        <w:t>（每个月连续缺勤7天，累计15天视为擅自离岗）</w:t>
      </w:r>
      <w:r>
        <w:rPr>
          <w:rFonts w:hint="eastAsia" w:hAnsi="宋体" w:cs="宋体"/>
          <w:color w:val="000000" w:themeColor="text1"/>
          <w:szCs w:val="21"/>
          <w:highlight w:val="none"/>
          <w:u w:val="single"/>
          <w14:textFill>
            <w14:solidFill>
              <w14:schemeClr w14:val="tx1"/>
            </w14:solidFill>
          </w14:textFill>
        </w:rPr>
        <w:t>的，视为承包人违约，发包人有权处违约金5000元</w:t>
      </w:r>
      <w:r>
        <w:rPr>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次</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人民币</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04C3F191">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3.3.6工程例会要求：承包人项目经理、项目技术负责人、水电负责人、质量员、安全员必须参加由监理人主持的每周工程例会，因故不能参加的应提前4小时向监理或项目总监提出书面申请并在获得总监批准后方可缺席（最多只能1人缺席），否则承包人须向发包人支付违约金500元/人•次，迟到的承包人须向发包人支付违约金200元/人•次。</w:t>
      </w:r>
    </w:p>
    <w:p w14:paraId="6C1705CA">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3.3.7对承包人工作人员的要求：对于下列承包人工作人员，发包人有权要求及时更换，承包人在收到书面通知后必须在24小时内将其调离本工程范围，否则承包人支付违约金 1000元/人•次；同时，承包人应在48 小时内用发包人批准的合格的人员代替上述调离的人员。</w:t>
      </w:r>
    </w:p>
    <w:p w14:paraId="4A46067A">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（1）分部分项工程经两次验收仍不能满足要求的主要责任者（指施工员、班组长、质量员、工长）；</w:t>
      </w:r>
    </w:p>
    <w:p w14:paraId="7B7345F7">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（2）专业水平达不到岗位要求、工作责任心不强的施工人员；</w:t>
      </w:r>
    </w:p>
    <w:p w14:paraId="10501828">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（3）不能积极配合监理和发包人的管理的工作人员；</w:t>
      </w:r>
    </w:p>
    <w:p w14:paraId="6BBB8115">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（4）违反发包人或承包人工地现场管理规定者；</w:t>
      </w:r>
    </w:p>
    <w:p w14:paraId="1353F892">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（5）高空抛弃建筑垃圾者及随地大小便者；</w:t>
      </w:r>
    </w:p>
    <w:p w14:paraId="1773A8EC">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（6）无证上岗者；</w:t>
      </w:r>
    </w:p>
    <w:p w14:paraId="4B241BD5">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（7）与投标书及本合同规定名册不符者；</w:t>
      </w:r>
    </w:p>
    <w:p w14:paraId="434C99C3">
      <w:pPr>
        <w:spacing w:line="360" w:lineRule="auto"/>
        <w:ind w:firstLine="422" w:firstLineChars="200"/>
        <w:rPr>
          <w:rFonts w:hAnsi="宋体" w:cs="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（8）与本工程施工无关及对本工程产生不良影响的其他人员。</w:t>
      </w:r>
    </w:p>
    <w:p w14:paraId="6CB3B071">
      <w:pPr>
        <w:pStyle w:val="5"/>
        <w:ind w:firstLine="422" w:firstLineChars="200"/>
        <w:rPr>
          <w:rFonts w:ascii="宋体" w:hAnsi="宋体"/>
          <w:color w:val="000000" w:themeColor="text1"/>
          <w:sz w:val="21"/>
          <w:szCs w:val="21"/>
          <w:highlight w:val="none"/>
          <w14:textFill>
            <w14:solidFill>
              <w14:schemeClr w14:val="tx1"/>
            </w14:solidFill>
          </w14:textFill>
        </w:rPr>
      </w:pPr>
      <w:bookmarkStart w:id="218" w:name="_Toc78449798"/>
      <w:bookmarkStart w:id="219" w:name="_Toc373478357"/>
      <w:bookmarkStart w:id="220" w:name="_Toc373227710"/>
      <w:bookmarkStart w:id="221" w:name="_Toc114058849"/>
      <w:bookmarkStart w:id="222" w:name="_Toc389065276"/>
      <w:bookmarkStart w:id="223" w:name="_Toc407135212"/>
      <w:r>
        <w:rPr>
          <w:rFonts w:ascii="宋体" w:hAnsi="宋体"/>
          <w:color w:val="000000" w:themeColor="text1"/>
          <w:sz w:val="21"/>
          <w:szCs w:val="21"/>
          <w:highlight w:val="none"/>
          <w14:textFill>
            <w14:solidFill>
              <w14:schemeClr w14:val="tx1"/>
            </w14:solidFill>
          </w14:textFill>
        </w:rPr>
        <w:t>3</w:t>
      </w:r>
      <w:bookmarkStart w:id="224" w:name="_Toc296503159"/>
      <w:bookmarkStart w:id="225" w:name="_Toc312677988"/>
      <w:bookmarkStart w:id="226" w:name="_Toc297048345"/>
      <w:bookmarkStart w:id="227" w:name="_Toc296891199"/>
      <w:bookmarkStart w:id="228" w:name="_Toc304295523"/>
      <w:bookmarkStart w:id="229" w:name="_Toc297120459"/>
      <w:bookmarkStart w:id="230" w:name="_Toc296347158"/>
      <w:bookmarkStart w:id="231" w:name="_Toc296346660"/>
      <w:bookmarkStart w:id="232" w:name="_Toc303539102"/>
      <w:bookmarkStart w:id="233" w:name="_Toc297216151"/>
      <w:bookmarkStart w:id="234" w:name="_Toc296944498"/>
      <w:bookmarkStart w:id="235" w:name="_Toc297123492"/>
      <w:bookmarkStart w:id="236" w:name="_Toc300934945"/>
      <w:bookmarkStart w:id="237" w:name="_Toc292559364"/>
      <w:bookmarkStart w:id="238" w:name="_Toc296890987"/>
      <w:bookmarkStart w:id="239" w:name="_Toc29255986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分包</w:t>
      </w:r>
      <w:bookmarkEnd w:id="218"/>
      <w:bookmarkEnd w:id="219"/>
      <w:bookmarkEnd w:id="220"/>
      <w:bookmarkEnd w:id="221"/>
      <w:bookmarkEnd w:id="222"/>
      <w:bookmarkEnd w:id="223"/>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14:paraId="4484E0C0">
      <w:pPr>
        <w:spacing w:line="360" w:lineRule="auto"/>
        <w:ind w:firstLine="420" w:firstLineChars="200"/>
        <w:rPr>
          <w:color w:val="000000" w:themeColor="text1"/>
          <w:szCs w:val="21"/>
          <w:highlight w:val="none"/>
          <w14:textFill>
            <w14:solidFill>
              <w14:schemeClr w14:val="tx1"/>
            </w14:solidFill>
          </w14:textFill>
        </w:rPr>
      </w:pPr>
      <w:bookmarkStart w:id="240" w:name="_Toc312677990"/>
      <w:bookmarkStart w:id="241" w:name="_Toc318581159"/>
      <w:r>
        <w:rPr>
          <w:color w:val="000000" w:themeColor="text1"/>
          <w:szCs w:val="21"/>
          <w:highlight w:val="none"/>
          <w14:textFill>
            <w14:solidFill>
              <w14:schemeClr w14:val="tx1"/>
            </w14:solidFill>
          </w14:textFill>
        </w:rPr>
        <w:t>3</w:t>
      </w:r>
      <w:bookmarkStart w:id="242" w:name="_Toc297120460"/>
      <w:bookmarkStart w:id="243" w:name="_Toc296944499"/>
      <w:bookmarkStart w:id="244" w:name="_Toc318581158"/>
      <w:bookmarkStart w:id="245" w:name="_Toc296346661"/>
      <w:bookmarkStart w:id="246" w:name="_Toc296891200"/>
      <w:bookmarkStart w:id="247" w:name="_Toc297216152"/>
      <w:bookmarkStart w:id="248" w:name="_Toc292559365"/>
      <w:bookmarkStart w:id="249" w:name="_Toc296347159"/>
      <w:bookmarkStart w:id="250" w:name="_Toc297123493"/>
      <w:bookmarkStart w:id="251" w:name="_Toc296503160"/>
      <w:bookmarkStart w:id="252" w:name="_Toc292559870"/>
      <w:bookmarkStart w:id="253" w:name="_Toc303539103"/>
      <w:bookmarkStart w:id="254" w:name="_Toc312677989"/>
      <w:bookmarkStart w:id="255" w:name="_Toc296890988"/>
      <w:bookmarkStart w:id="256" w:name="_Toc297048346"/>
      <w:bookmarkStart w:id="257" w:name="_Toc304295524"/>
      <w:bookmarkStart w:id="258" w:name="_Toc300934946"/>
      <w:r>
        <w:rPr>
          <w:color w:val="000000" w:themeColor="text1"/>
          <w:szCs w:val="21"/>
          <w:highlight w:val="none"/>
          <w14:textFill>
            <w14:solidFill>
              <w14:schemeClr w14:val="tx1"/>
            </w14:solidFill>
          </w14:textFill>
        </w:rPr>
        <w:t>.5.1</w:t>
      </w:r>
      <w:r>
        <w:rPr>
          <w:rFonts w:hAnsi="宋体"/>
          <w:color w:val="000000" w:themeColor="text1"/>
          <w:szCs w:val="21"/>
          <w:highlight w:val="none"/>
          <w14:textFill>
            <w14:solidFill>
              <w14:schemeClr w14:val="tx1"/>
            </w14:solidFill>
          </w14:textFill>
        </w:rPr>
        <w:t>分包的一般约定</w:t>
      </w:r>
    </w:p>
    <w:p w14:paraId="38AF0FC6">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禁止分包的工程包括：</w:t>
      </w:r>
      <w:r>
        <w:rPr>
          <w:rFonts w:hint="eastAsia" w:hAnsi="宋体"/>
          <w:color w:val="000000" w:themeColor="text1"/>
          <w:szCs w:val="21"/>
          <w:highlight w:val="none"/>
          <w:u w:val="single"/>
          <w14:textFill>
            <w14:solidFill>
              <w14:schemeClr w14:val="tx1"/>
            </w14:solidFill>
          </w14:textFill>
        </w:rPr>
        <w:t>按通用条款</w:t>
      </w:r>
      <w:r>
        <w:rPr>
          <w:rFonts w:hAnsi="宋体"/>
          <w:color w:val="000000" w:themeColor="text1"/>
          <w:szCs w:val="21"/>
          <w:highlight w:val="none"/>
          <w14:textFill>
            <w14:solidFill>
              <w14:schemeClr w14:val="tx1"/>
            </w14:solidFill>
          </w14:textFill>
        </w:rPr>
        <w:t>。</w:t>
      </w:r>
    </w:p>
    <w:p w14:paraId="2EFCF998">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主体结构、关键性工作的范围：</w:t>
      </w:r>
      <w:r>
        <w:rPr>
          <w:rFonts w:hint="eastAsia" w:hAnsi="宋体"/>
          <w:color w:val="000000" w:themeColor="text1"/>
          <w:szCs w:val="21"/>
          <w:highlight w:val="none"/>
          <w:u w:val="single"/>
          <w14:textFill>
            <w14:solidFill>
              <w14:schemeClr w14:val="tx1"/>
            </w14:solidFill>
          </w14:textFill>
        </w:rPr>
        <w:t>项目招标清单所列范围</w:t>
      </w:r>
      <w:r>
        <w:rPr>
          <w:rFonts w:hAnsi="宋体"/>
          <w:color w:val="000000" w:themeColor="text1"/>
          <w:szCs w:val="21"/>
          <w:highlight w:val="none"/>
          <w14:textFill>
            <w14:solidFill>
              <w14:schemeClr w14:val="tx1"/>
            </w14:solidFill>
          </w14:textFill>
        </w:rPr>
        <w:t>。</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A000DD1">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3.5.2</w:t>
      </w:r>
      <w:r>
        <w:rPr>
          <w:rFonts w:hAnsi="宋体"/>
          <w:color w:val="000000" w:themeColor="text1"/>
          <w:szCs w:val="21"/>
          <w:highlight w:val="none"/>
          <w14:textFill>
            <w14:solidFill>
              <w14:schemeClr w14:val="tx1"/>
            </w14:solidFill>
          </w14:textFill>
        </w:rPr>
        <w:t>分包的确定</w:t>
      </w:r>
    </w:p>
    <w:p w14:paraId="2F1EDD59">
      <w:pPr>
        <w:spacing w:line="360" w:lineRule="auto"/>
        <w:ind w:firstLine="420" w:firstLineChars="200"/>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允许分包的专业工程包括：</w:t>
      </w:r>
      <w:r>
        <w:rPr>
          <w:rFonts w:hint="eastAsia" w:hAnsi="宋体"/>
          <w:color w:val="000000" w:themeColor="text1"/>
          <w:szCs w:val="2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4E1E71AD">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其他关于分包的约定：</w:t>
      </w:r>
    </w:p>
    <w:p w14:paraId="00FBEB98">
      <w:pPr>
        <w:spacing w:line="360" w:lineRule="auto"/>
        <w:ind w:firstLine="420" w:firstLineChars="200"/>
        <w:rPr>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000000" w:themeColor="text1"/>
          <w:szCs w:val="21"/>
          <w:highlight w:val="none"/>
          <w14:textFill>
            <w14:solidFill>
              <w14:schemeClr w14:val="tx1"/>
            </w14:solidFill>
          </w14:textFill>
        </w:rPr>
        <w:t>6</w:t>
      </w:r>
      <w:r>
        <w:rPr>
          <w:rFonts w:hint="eastAsia" w:hAnsi="宋体" w:cs="宋体"/>
          <w:color w:val="000000" w:themeColor="text1"/>
          <w:szCs w:val="21"/>
          <w:highlight w:val="none"/>
          <w14:textFill>
            <w14:solidFill>
              <w14:schemeClr w14:val="tx1"/>
            </w14:solidFill>
          </w14:textFill>
        </w:rPr>
        <w:t>。</w:t>
      </w:r>
    </w:p>
    <w:p w14:paraId="5B89CF5A">
      <w:pPr>
        <w:spacing w:line="360" w:lineRule="auto"/>
        <w:ind w:firstLine="420" w:firstLineChars="200"/>
        <w:rPr>
          <w:color w:val="000000" w:themeColor="text1"/>
          <w:szCs w:val="21"/>
          <w:highlight w:val="none"/>
          <w:u w:val="single"/>
          <w14:textFill>
            <w14:solidFill>
              <w14:schemeClr w14:val="tx1"/>
            </w14:solidFill>
          </w14:textFill>
        </w:rPr>
      </w:pP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在相关分包合同签订并报送有关建设行政主管部门备案后</w:t>
      </w:r>
      <w:r>
        <w:rPr>
          <w:color w:val="000000" w:themeColor="text1"/>
          <w:szCs w:val="21"/>
          <w:highlight w:val="none"/>
          <w14:textFill>
            <w14:solidFill>
              <w14:schemeClr w14:val="tx1"/>
            </w14:solidFill>
          </w14:textFill>
        </w:rPr>
        <w:t>7</w:t>
      </w:r>
      <w:r>
        <w:rPr>
          <w:rFonts w:hint="eastAsia" w:hAnsi="宋体" w:cs="宋体"/>
          <w:color w:val="000000" w:themeColor="text1"/>
          <w:szCs w:val="21"/>
          <w:highlight w:val="none"/>
          <w14:textFill>
            <w14:solidFill>
              <w14:schemeClr w14:val="tx1"/>
            </w14:solidFill>
          </w14:textFill>
        </w:rPr>
        <w:t>天内，承包人应当将一份副本提交给监理人，承包人应保障分包工作不得再次分包。</w:t>
      </w:r>
    </w:p>
    <w:p w14:paraId="50E4A52F">
      <w:pPr>
        <w:spacing w:line="360" w:lineRule="auto"/>
        <w:ind w:firstLine="420" w:firstLineChars="200"/>
        <w:rPr>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未经承包人和监理人审批同意的分包工程和分包人，承包人有权拒绝验收分包工程和支付相应款项，由此引起的发包人费用增加和</w:t>
      </w:r>
      <w:r>
        <w:rPr>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或</w:t>
      </w:r>
      <w:r>
        <w:rPr>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延误的工期由发包人承担。</w:t>
      </w:r>
    </w:p>
    <w:p w14:paraId="6EA1DA2E">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承包人有以下情况之一者，发包人有权解除合同</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并视情况扣除其履约保证金</w:t>
      </w:r>
      <w:r>
        <w:rPr>
          <w:rFonts w:hint="eastAsia" w:hAnsi="宋体"/>
          <w:color w:val="000000" w:themeColor="text1"/>
          <w:szCs w:val="21"/>
          <w:highlight w:val="none"/>
          <w14:textFill>
            <w14:solidFill>
              <w14:schemeClr w14:val="tx1"/>
            </w14:solidFill>
          </w14:textFill>
        </w:rPr>
        <w:t>：</w:t>
      </w:r>
    </w:p>
    <w:p w14:paraId="523C1C4F">
      <w:pPr>
        <w:spacing w:line="360" w:lineRule="auto"/>
        <w:ind w:firstLine="441" w:firstLineChars="21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①个人承包工程，包括本人单位及外单位人员承包，发包人不承认其个人拥有任何资质等级及营业许可资格</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没收全部履约保证金</w:t>
      </w:r>
      <w:r>
        <w:rPr>
          <w:rFonts w:hint="eastAsia" w:hAnsi="宋体"/>
          <w:color w:val="000000" w:themeColor="text1"/>
          <w:szCs w:val="21"/>
          <w:highlight w:val="none"/>
          <w14:textFill>
            <w14:solidFill>
              <w14:schemeClr w14:val="tx1"/>
            </w14:solidFill>
          </w14:textFill>
        </w:rPr>
        <w:t>。</w:t>
      </w:r>
    </w:p>
    <w:p w14:paraId="6716D771">
      <w:pPr>
        <w:spacing w:line="360" w:lineRule="auto"/>
        <w:ind w:firstLine="441" w:firstLineChars="21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②几个人联合承包工程，就地组织暗分包队伍，不具备完成本工程的技术、机械能力，被发包人判定为没有能力履行的承包人</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没收全部履约保证金</w:t>
      </w:r>
      <w:r>
        <w:rPr>
          <w:rFonts w:hint="eastAsia" w:hAnsi="宋体"/>
          <w:color w:val="000000" w:themeColor="text1"/>
          <w:szCs w:val="21"/>
          <w:highlight w:val="none"/>
          <w14:textFill>
            <w14:solidFill>
              <w14:schemeClr w14:val="tx1"/>
            </w14:solidFill>
          </w14:textFill>
        </w:rPr>
        <w:t>。</w:t>
      </w:r>
    </w:p>
    <w:p w14:paraId="7253F499">
      <w:pPr>
        <w:spacing w:line="360" w:lineRule="auto"/>
        <w:ind w:firstLine="441" w:firstLineChars="21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③就地转包全部的工程，以谋取高额转让费、管理费的承包人</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没收全部履约保证金</w:t>
      </w:r>
      <w:r>
        <w:rPr>
          <w:rFonts w:hint="eastAsia" w:hAnsi="宋体"/>
          <w:color w:val="000000" w:themeColor="text1"/>
          <w:szCs w:val="21"/>
          <w:highlight w:val="none"/>
          <w14:textFill>
            <w14:solidFill>
              <w14:schemeClr w14:val="tx1"/>
            </w14:solidFill>
          </w14:textFill>
        </w:rPr>
        <w:t>。</w:t>
      </w:r>
    </w:p>
    <w:p w14:paraId="19DB76AA">
      <w:pPr>
        <w:spacing w:line="360" w:lineRule="auto"/>
        <w:ind w:firstLine="420" w:firstLineChars="200"/>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④承包人有部分分包现象（其中包括冒充承包人下属单位的挂勾单位，凭口头协议参与施工的分包人及其他暗分包个体户），一经发现核实，发包人将采取驱逐该暗分包人措施</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没收全部履约保证金</w:t>
      </w:r>
      <w:r>
        <w:rPr>
          <w:rFonts w:hint="eastAsia" w:hAnsi="宋体" w:cs="宋体"/>
          <w:color w:val="000000" w:themeColor="text1"/>
          <w:szCs w:val="21"/>
          <w:highlight w:val="none"/>
          <w14:textFill>
            <w14:solidFill>
              <w14:schemeClr w14:val="tx1"/>
            </w14:solidFill>
          </w14:textFill>
        </w:rPr>
        <w:t>。</w:t>
      </w:r>
    </w:p>
    <w:p w14:paraId="13640C96">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3.5.4</w:t>
      </w:r>
      <w:r>
        <w:rPr>
          <w:rFonts w:hint="eastAsia" w:hAnsi="宋体" w:cs="宋体"/>
          <w:color w:val="000000" w:themeColor="text1"/>
          <w:szCs w:val="21"/>
          <w:highlight w:val="none"/>
          <w14:textFill>
            <w14:solidFill>
              <w14:schemeClr w14:val="tx1"/>
            </w14:solidFill>
          </w14:textFill>
        </w:rPr>
        <w:t>分包合同价款</w:t>
      </w:r>
    </w:p>
    <w:bookmarkEnd w:id="240"/>
    <w:bookmarkEnd w:id="241"/>
    <w:p w14:paraId="00438C25">
      <w:pPr>
        <w:spacing w:line="360" w:lineRule="auto"/>
        <w:ind w:firstLine="420" w:firstLineChars="200"/>
        <w:rPr>
          <w:color w:val="000000" w:themeColor="text1"/>
          <w:szCs w:val="21"/>
          <w:highlight w:val="none"/>
          <w14:textFill>
            <w14:solidFill>
              <w14:schemeClr w14:val="tx1"/>
            </w14:solidFill>
          </w14:textFill>
        </w:rPr>
      </w:pPr>
      <w:bookmarkStart w:id="259" w:name="_Toc373227711"/>
      <w:bookmarkStart w:id="260" w:name="_Toc389065277"/>
      <w:bookmarkStart w:id="261" w:name="_Toc373478358"/>
      <w:r>
        <w:rPr>
          <w:rFonts w:hint="eastAsia" w:hAnsi="宋体" w:cs="宋体"/>
          <w:color w:val="000000" w:themeColor="text1"/>
          <w:szCs w:val="21"/>
          <w:highlight w:val="none"/>
          <w14:textFill>
            <w14:solidFill>
              <w14:schemeClr w14:val="tx1"/>
            </w14:solidFill>
          </w14:textFill>
        </w:rPr>
        <w:t>关于分包合同价款支付的约定：</w:t>
      </w:r>
      <w:r>
        <w:rPr>
          <w:rFonts w:hint="eastAsia" w:hAnsi="宋体" w:cs="宋体"/>
          <w:color w:val="000000" w:themeColor="text1"/>
          <w:szCs w:val="21"/>
          <w:highlight w:val="none"/>
          <w:u w:val="single"/>
          <w14:textFill>
            <w14:solidFill>
              <w14:schemeClr w14:val="tx1"/>
            </w14:solidFill>
          </w14:textFill>
        </w:rPr>
        <w:t>分包工程价款由承包人与分包人</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包括专业分包人</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结算。发包人未经承包人同意不得以任何形式向分包人</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包括专业分包人</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支付相关分包合同项下的任何工程款项。因发包人未经承包人同意直接向分包人</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包括专业分包人</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支付相关分包合同项下的任何工程款项而影响承包人工作的，所造成的承包人费用增加和</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或</w:t>
      </w:r>
      <w:r>
        <w:rPr>
          <w:rFonts w:hint="eastAsia"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延误的工期由发包人承担。</w:t>
      </w:r>
    </w:p>
    <w:p w14:paraId="3A641D04">
      <w:pPr>
        <w:pStyle w:val="5"/>
        <w:ind w:firstLine="422" w:firstLineChars="200"/>
        <w:rPr>
          <w:rFonts w:ascii="宋体" w:hAnsi="宋体"/>
          <w:color w:val="000000" w:themeColor="text1"/>
          <w:sz w:val="21"/>
          <w:szCs w:val="21"/>
          <w:highlight w:val="none"/>
          <w14:textFill>
            <w14:solidFill>
              <w14:schemeClr w14:val="tx1"/>
            </w14:solidFill>
          </w14:textFill>
        </w:rPr>
      </w:pPr>
      <w:bookmarkStart w:id="262" w:name="_Toc114058850"/>
      <w:bookmarkStart w:id="263" w:name="_Toc407135213"/>
      <w:bookmarkStart w:id="264" w:name="_Toc78449799"/>
      <w:r>
        <w:rPr>
          <w:rFonts w:ascii="宋体" w:hAnsi="宋体"/>
          <w:color w:val="000000" w:themeColor="text1"/>
          <w:sz w:val="21"/>
          <w:szCs w:val="21"/>
          <w:highlight w:val="none"/>
          <w14:textFill>
            <w14:solidFill>
              <w14:schemeClr w14:val="tx1"/>
            </w14:solidFill>
          </w14:textFill>
        </w:rPr>
        <w:t>3.6</w:t>
      </w:r>
      <w:r>
        <w:rPr>
          <w:rFonts w:hint="eastAsia" w:ascii="宋体" w:hAnsi="宋体"/>
          <w:color w:val="000000" w:themeColor="text1"/>
          <w:sz w:val="21"/>
          <w:szCs w:val="21"/>
          <w:highlight w:val="none"/>
          <w14:textFill>
            <w14:solidFill>
              <w14:schemeClr w14:val="tx1"/>
            </w14:solidFill>
          </w14:textFill>
        </w:rPr>
        <w:t>工程照管与成品、半成品保护</w:t>
      </w:r>
      <w:bookmarkEnd w:id="259"/>
      <w:bookmarkEnd w:id="260"/>
      <w:bookmarkEnd w:id="261"/>
      <w:bookmarkEnd w:id="262"/>
      <w:bookmarkEnd w:id="263"/>
      <w:bookmarkEnd w:id="264"/>
    </w:p>
    <w:p w14:paraId="2DB9F76D">
      <w:pPr>
        <w:spacing w:line="360" w:lineRule="auto"/>
        <w:ind w:firstLine="420" w:firstLineChars="200"/>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承包人负责照管工程及工程相关的材料、工程设备的起始时间：</w:t>
      </w:r>
      <w:r>
        <w:rPr>
          <w:rFonts w:hAnsi="宋体"/>
          <w:color w:val="000000" w:themeColor="text1"/>
          <w:szCs w:val="21"/>
          <w:highlight w:val="none"/>
          <w:u w:val="single"/>
          <w14:textFill>
            <w14:solidFill>
              <w14:schemeClr w14:val="tx1"/>
            </w14:solidFill>
          </w14:textFill>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hAnsi="宋体" w:cs="宋体"/>
          <w:color w:val="000000" w:themeColor="text1"/>
          <w:kern w:val="0"/>
          <w:szCs w:val="21"/>
          <w:highlight w:val="none"/>
          <w14:textFill>
            <w14:solidFill>
              <w14:schemeClr w14:val="tx1"/>
            </w14:solidFill>
          </w14:textFill>
        </w:rPr>
        <w:t>。</w:t>
      </w:r>
    </w:p>
    <w:p w14:paraId="5255D1B6">
      <w:pPr>
        <w:pStyle w:val="5"/>
        <w:ind w:firstLine="422" w:firstLineChars="200"/>
        <w:rPr>
          <w:rFonts w:ascii="宋体" w:hAnsi="宋体"/>
          <w:color w:val="000000" w:themeColor="text1"/>
          <w:sz w:val="21"/>
          <w:szCs w:val="21"/>
          <w:highlight w:val="none"/>
          <w14:textFill>
            <w14:solidFill>
              <w14:schemeClr w14:val="tx1"/>
            </w14:solidFill>
          </w14:textFill>
        </w:rPr>
      </w:pPr>
      <w:bookmarkStart w:id="265" w:name="_Toc389065278"/>
      <w:bookmarkStart w:id="266" w:name="_Toc373478359"/>
      <w:bookmarkStart w:id="267" w:name="_Toc373227712"/>
      <w:bookmarkStart w:id="268" w:name="_Toc407135214"/>
      <w:bookmarkStart w:id="269" w:name="_Toc114058851"/>
      <w:bookmarkStart w:id="270" w:name="_Toc78449800"/>
      <w:r>
        <w:rPr>
          <w:rFonts w:ascii="宋体" w:hAnsi="宋体"/>
          <w:color w:val="000000" w:themeColor="text1"/>
          <w:sz w:val="21"/>
          <w:szCs w:val="21"/>
          <w:highlight w:val="none"/>
          <w14:textFill>
            <w14:solidFill>
              <w14:schemeClr w14:val="tx1"/>
            </w14:solidFill>
          </w14:textFill>
        </w:rPr>
        <w:t>3.7</w:t>
      </w:r>
      <w:r>
        <w:rPr>
          <w:rFonts w:hint="default" w:ascii="宋体" w:hAnsi="宋体"/>
          <w:color w:val="000000" w:themeColor="text1"/>
          <w:sz w:val="21"/>
          <w:szCs w:val="21"/>
          <w:highlight w:val="none"/>
          <w14:textFill>
            <w14:solidFill>
              <w14:schemeClr w14:val="tx1"/>
            </w14:solidFill>
          </w14:textFill>
        </w:rPr>
        <w:t>履约</w:t>
      </w:r>
      <w:bookmarkEnd w:id="265"/>
      <w:bookmarkEnd w:id="266"/>
      <w:bookmarkEnd w:id="267"/>
      <w:r>
        <w:rPr>
          <w:rFonts w:hint="default" w:ascii="宋体" w:hAnsi="宋体"/>
          <w:color w:val="000000" w:themeColor="text1"/>
          <w:sz w:val="21"/>
          <w:szCs w:val="21"/>
          <w:highlight w:val="none"/>
          <w14:textFill>
            <w14:solidFill>
              <w14:schemeClr w14:val="tx1"/>
            </w14:solidFill>
          </w14:textFill>
        </w:rPr>
        <w:t>保证金</w:t>
      </w:r>
      <w:bookmarkEnd w:id="268"/>
      <w:bookmarkEnd w:id="269"/>
      <w:bookmarkEnd w:id="270"/>
    </w:p>
    <w:p w14:paraId="415B070A">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承包人提供履约担保的形式、金额及期限的：</w:t>
      </w:r>
      <w:r>
        <w:rPr>
          <w:rFonts w:hint="default" w:ascii="宋体" w:hAnsi="宋体" w:cs="宋体"/>
          <w:color w:val="000000" w:themeColor="text1"/>
          <w:szCs w:val="21"/>
          <w:highlight w:val="none"/>
          <w14:textFill>
            <w14:solidFill>
              <w14:schemeClr w14:val="tx1"/>
            </w14:solidFill>
          </w14:textFill>
        </w:rPr>
        <w:t>履约保证金的形式：可以采用现金、银行保函、工程担保或保证保险等形式。</w:t>
      </w:r>
    </w:p>
    <w:p w14:paraId="5C29CEE4">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承包人在收到成交通知书后，须在</w:t>
      </w:r>
      <w:r>
        <w:rPr>
          <w:rFonts w:hint="default" w:hAnsi="宋体"/>
          <w:color w:val="000000" w:themeColor="text1"/>
          <w:szCs w:val="21"/>
          <w:highlight w:val="none"/>
          <w14:textFill>
            <w14:solidFill>
              <w14:schemeClr w14:val="tx1"/>
            </w14:solidFill>
          </w14:textFill>
        </w:rPr>
        <w:t>30</w:t>
      </w:r>
      <w:r>
        <w:rPr>
          <w:rFonts w:hAnsi="宋体"/>
          <w:color w:val="000000" w:themeColor="text1"/>
          <w:szCs w:val="21"/>
          <w:highlight w:val="none"/>
          <w14:textFill>
            <w14:solidFill>
              <w14:schemeClr w14:val="tx1"/>
            </w14:solidFill>
          </w14:textFill>
        </w:rPr>
        <w:t>日内向发包人提交签约</w:t>
      </w:r>
      <w:r>
        <w:rPr>
          <w:rFonts w:hint="default" w:hAnsi="宋体"/>
          <w:color w:val="000000" w:themeColor="text1"/>
          <w:szCs w:val="21"/>
          <w:highlight w:val="none"/>
          <w14:textFill>
            <w14:solidFill>
              <w14:schemeClr w14:val="tx1"/>
            </w14:solidFill>
          </w14:textFill>
        </w:rPr>
        <w:t>合同价的5%（中小企业2%）</w:t>
      </w:r>
      <w:r>
        <w:rPr>
          <w:rFonts w:hAnsi="宋体"/>
          <w:color w:val="000000" w:themeColor="text1"/>
          <w:szCs w:val="21"/>
          <w:highlight w:val="none"/>
          <w14:textFill>
            <w14:solidFill>
              <w14:schemeClr w14:val="tx1"/>
            </w14:solidFill>
          </w14:textFill>
        </w:rPr>
        <w:t>的履约担保</w:t>
      </w:r>
      <w:r>
        <w:rPr>
          <w:rFonts w:hint="default" w:hAnsi="宋体"/>
          <w:color w:val="000000" w:themeColor="text1"/>
          <w:szCs w:val="21"/>
          <w:highlight w:val="none"/>
          <w14:textFill>
            <w14:solidFill>
              <w14:schemeClr w14:val="tx1"/>
            </w14:solidFill>
          </w14:textFill>
        </w:rPr>
        <w:t>（格式见合同附件7）</w:t>
      </w:r>
      <w:r>
        <w:rPr>
          <w:rFonts w:hAnsi="宋体"/>
          <w:color w:val="000000" w:themeColor="text1"/>
          <w:szCs w:val="21"/>
          <w:highlight w:val="none"/>
          <w14:textFill>
            <w14:solidFill>
              <w14:schemeClr w14:val="tx1"/>
            </w14:solidFill>
          </w14:textFill>
        </w:rPr>
        <w:t>。履约担保的有效期应当自本合同生效之日起至发包人签认并由监理人向承包人出具</w:t>
      </w:r>
      <w:r>
        <w:rPr>
          <w:rFonts w:hint="default" w:hAnsi="宋体"/>
          <w:color w:val="000000" w:themeColor="text1"/>
          <w:szCs w:val="21"/>
          <w:highlight w:val="none"/>
          <w14:textFill>
            <w14:solidFill>
              <w14:schemeClr w14:val="tx1"/>
            </w14:solidFill>
          </w14:textFill>
        </w:rPr>
        <w:t>《竣工验收证书》</w:t>
      </w:r>
      <w:r>
        <w:rPr>
          <w:rFonts w:hAnsi="宋体"/>
          <w:color w:val="000000" w:themeColor="text1"/>
          <w:szCs w:val="21"/>
          <w:highlight w:val="none"/>
          <w14:textFill>
            <w14:solidFill>
              <w14:schemeClr w14:val="tx1"/>
            </w14:solidFill>
          </w14:textFill>
        </w:rPr>
        <w:t>（竣工证明材料名称）之日止。如果承包人无法获得一份不带具体截止日期的担保，履约担保中应当有“变更工程竣工日期的，保证期间按照变更后的竣工日期做相应调整”或类似约定的条款。</w:t>
      </w:r>
      <w:r>
        <w:rPr>
          <w:rFonts w:hint="default" w:hAnsi="宋体"/>
          <w:color w:val="000000" w:themeColor="text1"/>
          <w:szCs w:val="21"/>
          <w:highlight w:val="none"/>
          <w14:textFill>
            <w14:solidFill>
              <w14:schemeClr w14:val="tx1"/>
            </w14:solidFill>
          </w14:textFill>
        </w:rPr>
        <w:t>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相当于履约担保额的保证金。</w:t>
      </w:r>
    </w:p>
    <w:p w14:paraId="4AF2ECE0">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承包人向发包人完成（施工）竣工资料移交手续后，可向发包人申请退还履约保证金，发包人应在收到申请之日起28个日历天内扣减承包人赔偿金和其他应从承包人扣回的款项后，</w:t>
      </w:r>
      <w:r>
        <w:rPr>
          <w:rFonts w:hint="default" w:hAnsi="宋体"/>
          <w:color w:val="000000" w:themeColor="text1"/>
          <w:szCs w:val="21"/>
          <w:highlight w:val="none"/>
          <w14:textFill>
            <w14:solidFill>
              <w14:schemeClr w14:val="tx1"/>
            </w14:solidFill>
          </w14:textFill>
        </w:rPr>
        <w:t>将履约金退给承包人（无息）。</w:t>
      </w:r>
    </w:p>
    <w:p w14:paraId="6476245D">
      <w:pPr>
        <w:spacing w:line="360" w:lineRule="auto"/>
        <w:ind w:firstLine="422" w:firstLineChars="200"/>
        <w:rPr>
          <w:rFonts w:hAnsi="宋体" w:cs="宋体"/>
          <w:color w:val="000000" w:themeColor="text1"/>
          <w:szCs w:val="21"/>
          <w:highlight w:val="none"/>
          <w:u w:val="single"/>
          <w14:textFill>
            <w14:solidFill>
              <w14:schemeClr w14:val="tx1"/>
            </w14:solidFill>
          </w14:textFill>
        </w:rPr>
      </w:pPr>
      <w:r>
        <w:rPr>
          <w:rFonts w:hint="default" w:ascii="宋体" w:hAnsi="宋体" w:cs="宋体"/>
          <w:b/>
          <w:bCs/>
          <w:color w:val="000000" w:themeColor="text1"/>
          <w:szCs w:val="21"/>
          <w:highlight w:val="none"/>
          <w14:textFill>
            <w14:solidFill>
              <w14:schemeClr w14:val="tx1"/>
            </w14:solidFill>
          </w14:textFill>
        </w:rPr>
        <w:t>承包人在成交后7个工作日内，按照《保障农民工工资支付条例》规定及广西壮族自治区有关规定开设农民工工资专用账户，并按比例将农民工工资保证金存入帐户，也可以使用银行保函、电子保函、保证保险保函、工程担保保函。工程竣工验收结算经审定后，按照规定程序，将农民工工资保障金没有使用或剩余的金额退还给承包人。</w:t>
      </w:r>
    </w:p>
    <w:p w14:paraId="235DFF92">
      <w:pPr>
        <w:pStyle w:val="4"/>
        <w:jc w:val="left"/>
        <w:rPr>
          <w:rFonts w:ascii="宋体" w:hAnsi="宋体" w:eastAsia="宋体"/>
          <w:color w:val="000000" w:themeColor="text1"/>
          <w:sz w:val="28"/>
          <w:szCs w:val="28"/>
          <w:highlight w:val="none"/>
          <w14:textFill>
            <w14:solidFill>
              <w14:schemeClr w14:val="tx1"/>
            </w14:solidFill>
          </w14:textFill>
        </w:rPr>
      </w:pPr>
      <w:bookmarkStart w:id="271" w:name="_Toc351203636"/>
      <w:bookmarkStart w:id="272" w:name="_Toc5350"/>
      <w:bookmarkStart w:id="273" w:name="_Toc114058852"/>
      <w:bookmarkStart w:id="274" w:name="_Toc373478360"/>
      <w:bookmarkStart w:id="275" w:name="_Toc389065279"/>
      <w:bookmarkStart w:id="276" w:name="_Toc407135215"/>
      <w:bookmarkStart w:id="277" w:name="_Toc78449801"/>
      <w:bookmarkStart w:id="278" w:name="_Toc373227713"/>
      <w:r>
        <w:rPr>
          <w:rFonts w:ascii="宋体" w:hAnsi="宋体" w:eastAsia="宋体"/>
          <w:color w:val="000000" w:themeColor="text1"/>
          <w:sz w:val="28"/>
          <w:szCs w:val="28"/>
          <w:highlight w:val="none"/>
          <w14:textFill>
            <w14:solidFill>
              <w14:schemeClr w14:val="tx1"/>
            </w14:solidFill>
          </w14:textFill>
        </w:rPr>
        <w:t>4</w:t>
      </w:r>
      <w:bookmarkStart w:id="279" w:name="_Toc292559366"/>
      <w:bookmarkStart w:id="280" w:name="_Toc267251413"/>
      <w:bookmarkStart w:id="281" w:name="_Toc296890990"/>
      <w:bookmarkStart w:id="282" w:name="_Toc296346663"/>
      <w:bookmarkStart w:id="283" w:name="_Toc292559871"/>
      <w:bookmarkStart w:id="284" w:name="_Toc296347161"/>
      <w:bookmarkStart w:id="285" w:name="_Toc296891202"/>
      <w:bookmarkStart w:id="286" w:name="_Toc296503162"/>
      <w:bookmarkStart w:id="287" w:name="_Toc297120462"/>
      <w:bookmarkStart w:id="288" w:name="_Toc297048348"/>
      <w:bookmarkStart w:id="289" w:name="_Toc296944501"/>
      <w:r>
        <w:rPr>
          <w:rFonts w:ascii="宋体" w:hAnsi="宋体" w:eastAsia="宋体"/>
          <w:color w:val="000000" w:themeColor="text1"/>
          <w:sz w:val="28"/>
          <w:szCs w:val="28"/>
          <w:highlight w:val="none"/>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监</w:t>
      </w:r>
      <w:bookmarkEnd w:id="279"/>
      <w:bookmarkEnd w:id="280"/>
      <w:bookmarkEnd w:id="281"/>
      <w:bookmarkEnd w:id="282"/>
      <w:bookmarkEnd w:id="283"/>
      <w:bookmarkEnd w:id="284"/>
      <w:bookmarkEnd w:id="285"/>
      <w:bookmarkEnd w:id="286"/>
      <w:bookmarkEnd w:id="287"/>
      <w:bookmarkEnd w:id="288"/>
      <w:bookmarkEnd w:id="289"/>
      <w:r>
        <w:rPr>
          <w:rFonts w:hint="eastAsia" w:ascii="宋体" w:hAnsi="宋体" w:eastAsia="宋体"/>
          <w:color w:val="000000" w:themeColor="text1"/>
          <w:sz w:val="28"/>
          <w:szCs w:val="28"/>
          <w:highlight w:val="none"/>
          <w14:textFill>
            <w14:solidFill>
              <w14:schemeClr w14:val="tx1"/>
            </w14:solidFill>
          </w14:textFill>
        </w:rPr>
        <w:t>理人</w:t>
      </w:r>
      <w:bookmarkEnd w:id="271"/>
      <w:bookmarkEnd w:id="272"/>
      <w:bookmarkEnd w:id="273"/>
      <w:bookmarkEnd w:id="274"/>
      <w:bookmarkEnd w:id="275"/>
      <w:bookmarkEnd w:id="276"/>
      <w:bookmarkEnd w:id="277"/>
      <w:bookmarkEnd w:id="278"/>
    </w:p>
    <w:p w14:paraId="68223A36">
      <w:pPr>
        <w:pStyle w:val="5"/>
        <w:ind w:firstLine="422" w:firstLineChars="200"/>
        <w:rPr>
          <w:rFonts w:ascii="宋体" w:hAnsi="宋体"/>
          <w:color w:val="000000" w:themeColor="text1"/>
          <w:sz w:val="21"/>
          <w:szCs w:val="21"/>
          <w:highlight w:val="none"/>
          <w14:textFill>
            <w14:solidFill>
              <w14:schemeClr w14:val="tx1"/>
            </w14:solidFill>
          </w14:textFill>
        </w:rPr>
      </w:pPr>
      <w:bookmarkStart w:id="290" w:name="_Toc389065280"/>
      <w:bookmarkStart w:id="291" w:name="_Toc373227714"/>
      <w:bookmarkStart w:id="292" w:name="_Toc114058853"/>
      <w:bookmarkStart w:id="293" w:name="_Toc373478361"/>
      <w:bookmarkStart w:id="294" w:name="_Toc78449802"/>
      <w:bookmarkStart w:id="295" w:name="_Toc407135216"/>
      <w:r>
        <w:rPr>
          <w:rFonts w:ascii="宋体" w:hAnsi="宋体"/>
          <w:color w:val="000000" w:themeColor="text1"/>
          <w:sz w:val="21"/>
          <w:szCs w:val="21"/>
          <w:highlight w:val="none"/>
          <w14:textFill>
            <w14:solidFill>
              <w14:schemeClr w14:val="tx1"/>
            </w14:solidFill>
          </w14:textFill>
        </w:rPr>
        <w:t>4.1</w:t>
      </w:r>
      <w:r>
        <w:rPr>
          <w:rFonts w:hint="eastAsia" w:ascii="宋体" w:hAnsi="宋体"/>
          <w:color w:val="000000" w:themeColor="text1"/>
          <w:sz w:val="21"/>
          <w:szCs w:val="21"/>
          <w:highlight w:val="none"/>
          <w14:textFill>
            <w14:solidFill>
              <w14:schemeClr w14:val="tx1"/>
            </w14:solidFill>
          </w14:textFill>
        </w:rPr>
        <w:t>监理人的一般规定</w:t>
      </w:r>
      <w:bookmarkEnd w:id="290"/>
      <w:bookmarkEnd w:id="291"/>
      <w:bookmarkEnd w:id="292"/>
      <w:bookmarkEnd w:id="293"/>
      <w:bookmarkEnd w:id="294"/>
      <w:bookmarkEnd w:id="295"/>
    </w:p>
    <w:p w14:paraId="04200FF9">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关于监理人的监理内容：</w:t>
      </w:r>
      <w:r>
        <w:rPr>
          <w:rFonts w:hint="eastAsia" w:ascii="宋体" w:hAnsi="宋体"/>
          <w:color w:val="000000" w:themeColor="text1"/>
          <w:szCs w:val="21"/>
          <w:highlight w:val="none"/>
          <w:u w:val="single"/>
          <w14:textFill>
            <w14:solidFill>
              <w14:schemeClr w14:val="tx1"/>
            </w14:solidFill>
          </w14:textFill>
        </w:rPr>
        <w:t>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w:t>
      </w:r>
    </w:p>
    <w:p w14:paraId="5D117B94">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关于监理人的监理权限：</w:t>
      </w:r>
      <w:r>
        <w:rPr>
          <w:rFonts w:hint="eastAsia" w:ascii="宋体" w:hAnsi="宋体"/>
          <w:color w:val="000000" w:themeColor="text1"/>
          <w:szCs w:val="21"/>
          <w:highlight w:val="none"/>
          <w:u w:val="single"/>
          <w14:textFill>
            <w14:solidFill>
              <w14:schemeClr w14:val="tx1"/>
            </w14:solidFill>
          </w14:textFill>
        </w:rPr>
        <w:t>工程暂停令和复工令签发、参与设计变更、工程量调整、费用调整、参与工程变更的审核签认、审核月进度工作报表以及审核工程款支付申请和分包申请、承包人的任何索赔申请最终均须经发包人审批确认。</w:t>
      </w:r>
    </w:p>
    <w:p w14:paraId="02BEB87B">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关于监理人在施工现场的办公场所、生活场所的提供和费用承担的约定：</w:t>
      </w:r>
      <w:r>
        <w:rPr>
          <w:rFonts w:hint="eastAsia" w:hAnsi="宋体"/>
          <w:color w:val="000000" w:themeColor="text1"/>
          <w:szCs w:val="21"/>
          <w:highlight w:val="none"/>
          <w:u w:val="single"/>
          <w14:textFill>
            <w14:solidFill>
              <w14:schemeClr w14:val="tx1"/>
            </w14:solidFill>
          </w14:textFill>
        </w:rPr>
        <w:t>由监理人自行承担</w:t>
      </w:r>
      <w:r>
        <w:rPr>
          <w:rFonts w:hint="eastAsia" w:hAnsi="宋体" w:cs="宋体"/>
          <w:color w:val="000000" w:themeColor="text1"/>
          <w:szCs w:val="21"/>
          <w:highlight w:val="none"/>
          <w14:textFill>
            <w14:solidFill>
              <w14:schemeClr w14:val="tx1"/>
            </w14:solidFill>
          </w14:textFill>
        </w:rPr>
        <w:t>。</w:t>
      </w:r>
    </w:p>
    <w:p w14:paraId="69B806BF">
      <w:pPr>
        <w:pStyle w:val="5"/>
        <w:ind w:firstLine="422" w:firstLineChars="200"/>
        <w:rPr>
          <w:rFonts w:ascii="宋体" w:hAnsi="宋体"/>
          <w:color w:val="000000" w:themeColor="text1"/>
          <w:sz w:val="21"/>
          <w:szCs w:val="21"/>
          <w:highlight w:val="none"/>
          <w14:textFill>
            <w14:solidFill>
              <w14:schemeClr w14:val="tx1"/>
            </w14:solidFill>
          </w14:textFill>
        </w:rPr>
      </w:pPr>
      <w:bookmarkStart w:id="296" w:name="_Toc407135217"/>
      <w:bookmarkStart w:id="297" w:name="_Toc389065281"/>
      <w:bookmarkStart w:id="298" w:name="_Toc78449803"/>
      <w:bookmarkStart w:id="299" w:name="_Toc373227715"/>
      <w:bookmarkStart w:id="300" w:name="_Toc373478362"/>
      <w:bookmarkStart w:id="301" w:name="_Toc114058854"/>
      <w:r>
        <w:rPr>
          <w:rFonts w:ascii="宋体" w:hAnsi="宋体"/>
          <w:color w:val="000000" w:themeColor="text1"/>
          <w:sz w:val="21"/>
          <w:szCs w:val="21"/>
          <w:highlight w:val="none"/>
          <w14:textFill>
            <w14:solidFill>
              <w14:schemeClr w14:val="tx1"/>
            </w14:solidFill>
          </w14:textFill>
        </w:rPr>
        <w:t>4.2</w:t>
      </w:r>
      <w:r>
        <w:rPr>
          <w:rFonts w:hint="eastAsia" w:ascii="宋体" w:hAnsi="宋体"/>
          <w:color w:val="000000" w:themeColor="text1"/>
          <w:sz w:val="21"/>
          <w:szCs w:val="21"/>
          <w:highlight w:val="none"/>
          <w14:textFill>
            <w14:solidFill>
              <w14:schemeClr w14:val="tx1"/>
            </w14:solidFill>
          </w14:textFill>
        </w:rPr>
        <w:t>监理人员</w:t>
      </w:r>
      <w:bookmarkEnd w:id="296"/>
      <w:bookmarkEnd w:id="297"/>
      <w:bookmarkEnd w:id="298"/>
      <w:bookmarkEnd w:id="299"/>
      <w:bookmarkEnd w:id="300"/>
      <w:bookmarkEnd w:id="301"/>
    </w:p>
    <w:p w14:paraId="53E7B2D7">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总监理工程师：</w:t>
      </w:r>
    </w:p>
    <w:p w14:paraId="7AC4D0B2">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姓名：</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6B8740C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职务：</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3ECC5BAC">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监理工程师注册证书号：</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40E59F70">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4422703E">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7838CB38">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35D9153C">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关于监理人的其他约定：</w:t>
      </w:r>
      <w:bookmarkStart w:id="302" w:name="_Toc386547068"/>
      <w:r>
        <w:rPr>
          <w:rFonts w:hint="eastAsia" w:hAnsi="宋体"/>
          <w:color w:val="000000" w:themeColor="text1"/>
          <w:szCs w:val="21"/>
          <w:highlight w:val="none"/>
          <w:u w:val="single"/>
          <w14:textFill>
            <w14:solidFill>
              <w14:schemeClr w14:val="tx1"/>
            </w14:solidFill>
          </w14:textFill>
        </w:rPr>
        <w:t>工程监理在执行下列职责前应事先得到</w:t>
      </w:r>
      <w:bookmarkEnd w:id="302"/>
      <w:r>
        <w:rPr>
          <w:rFonts w:hint="eastAsia" w:hAnsi="宋体"/>
          <w:color w:val="000000" w:themeColor="text1"/>
          <w:szCs w:val="21"/>
          <w:highlight w:val="none"/>
          <w:u w:val="single"/>
          <w14:textFill>
            <w14:solidFill>
              <w14:schemeClr w14:val="tx1"/>
            </w14:solidFill>
          </w14:textFill>
        </w:rPr>
        <w:t>发包人的特别认可：</w:t>
      </w:r>
    </w:p>
    <w:p w14:paraId="64107C3B">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下达开工、停工指令或通知；</w:t>
      </w:r>
    </w:p>
    <w:p w14:paraId="677AD0AD">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认可工程任何部分的分包及确认或同意分包人；</w:t>
      </w:r>
    </w:p>
    <w:p w14:paraId="6DA4769B">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Ansi="宋体"/>
          <w:color w:val="000000" w:themeColor="text1"/>
          <w:szCs w:val="21"/>
          <w:highlight w:val="none"/>
          <w:u w:val="single"/>
          <w14:textFill>
            <w14:solidFill>
              <w14:schemeClr w14:val="tx1"/>
            </w14:solidFill>
          </w14:textFill>
        </w:rPr>
        <w:t>3.</w:t>
      </w:r>
      <w:r>
        <w:rPr>
          <w:rFonts w:hint="eastAsia" w:hAnsi="宋体"/>
          <w:color w:val="000000" w:themeColor="text1"/>
          <w:szCs w:val="21"/>
          <w:highlight w:val="none"/>
          <w:u w:val="single"/>
          <w14:textFill>
            <w14:solidFill>
              <w14:schemeClr w14:val="tx1"/>
            </w14:solidFill>
          </w14:textFill>
        </w:rPr>
        <w:t>批准任何工期顺延；</w:t>
      </w:r>
    </w:p>
    <w:p w14:paraId="5966F884">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4</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对工期、工程造价有任何影响的变更指示；</w:t>
      </w:r>
    </w:p>
    <w:p w14:paraId="5E58C27B">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5</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确定变更估价；</w:t>
      </w:r>
    </w:p>
    <w:p w14:paraId="0E29E36B">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6</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决定暂定金额、暂定项目、选择项目的使用或不使用；</w:t>
      </w:r>
    </w:p>
    <w:p w14:paraId="78064793">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7</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发出接收证书或通过工程竣工验收；</w:t>
      </w:r>
    </w:p>
    <w:p w14:paraId="23F4CC17">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8</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认可承包人的任何费用索赔。</w:t>
      </w:r>
    </w:p>
    <w:p w14:paraId="0146413C">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一切有关上述事宜而没有发包人签认的指令或行动将被视作无效。</w:t>
      </w:r>
    </w:p>
    <w:p w14:paraId="7F415B15">
      <w:pPr>
        <w:spacing w:line="360" w:lineRule="auto"/>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尽管有如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承包人应立即执行该等有关的指令，此类指令承包人必须在发出后24小时内得到发包人的认可。除上述的紧急指令外，承包人因遵守须经发包人特别认可的而又未经发包人认可的指令而引致的索赔都不会获得接受</w:t>
      </w:r>
      <w:r>
        <w:rPr>
          <w:rFonts w:hAnsi="宋体"/>
          <w:color w:val="000000" w:themeColor="text1"/>
          <w:szCs w:val="21"/>
          <w:highlight w:val="none"/>
          <w14:textFill>
            <w14:solidFill>
              <w14:schemeClr w14:val="tx1"/>
            </w14:solidFill>
          </w14:textFill>
        </w:rPr>
        <w:t>。</w:t>
      </w:r>
    </w:p>
    <w:p w14:paraId="09502EFE">
      <w:pPr>
        <w:pStyle w:val="5"/>
        <w:ind w:firstLine="422" w:firstLineChars="200"/>
        <w:rPr>
          <w:rFonts w:ascii="宋体" w:hAnsi="宋体"/>
          <w:color w:val="000000" w:themeColor="text1"/>
          <w:sz w:val="21"/>
          <w:szCs w:val="21"/>
          <w:highlight w:val="none"/>
          <w14:textFill>
            <w14:solidFill>
              <w14:schemeClr w14:val="tx1"/>
            </w14:solidFill>
          </w14:textFill>
        </w:rPr>
      </w:pPr>
      <w:bookmarkStart w:id="303" w:name="_Toc78449804"/>
      <w:bookmarkStart w:id="304" w:name="_Toc407135218"/>
      <w:bookmarkStart w:id="305" w:name="_Toc373478363"/>
      <w:bookmarkStart w:id="306" w:name="_Toc114058855"/>
      <w:bookmarkStart w:id="307" w:name="_Toc389065282"/>
      <w:bookmarkStart w:id="308" w:name="_Toc373227716"/>
      <w:r>
        <w:rPr>
          <w:rFonts w:ascii="宋体" w:hAnsi="宋体"/>
          <w:color w:val="000000" w:themeColor="text1"/>
          <w:sz w:val="21"/>
          <w:szCs w:val="21"/>
          <w:highlight w:val="none"/>
          <w14:textFill>
            <w14:solidFill>
              <w14:schemeClr w14:val="tx1"/>
            </w14:solidFill>
          </w14:textFill>
        </w:rPr>
        <w:t>4.4</w:t>
      </w:r>
      <w:r>
        <w:rPr>
          <w:rFonts w:hint="eastAsia" w:ascii="宋体" w:hAnsi="宋体"/>
          <w:color w:val="000000" w:themeColor="text1"/>
          <w:sz w:val="21"/>
          <w:szCs w:val="21"/>
          <w:highlight w:val="none"/>
          <w14:textFill>
            <w14:solidFill>
              <w14:schemeClr w14:val="tx1"/>
            </w14:solidFill>
          </w14:textFill>
        </w:rPr>
        <w:t>商定或确定</w:t>
      </w:r>
      <w:bookmarkEnd w:id="303"/>
      <w:bookmarkEnd w:id="304"/>
      <w:bookmarkEnd w:id="305"/>
      <w:bookmarkEnd w:id="306"/>
      <w:bookmarkEnd w:id="307"/>
      <w:bookmarkEnd w:id="308"/>
    </w:p>
    <w:p w14:paraId="642776C0">
      <w:pPr>
        <w:spacing w:line="360" w:lineRule="auto"/>
        <w:ind w:firstLine="420" w:firstLineChars="200"/>
        <w:rPr>
          <w:color w:val="000000" w:themeColor="text1"/>
          <w:szCs w:val="21"/>
          <w:highlight w:val="none"/>
          <w14:textFill>
            <w14:solidFill>
              <w14:schemeClr w14:val="tx1"/>
            </w14:solidFill>
          </w14:textFill>
        </w:rPr>
      </w:pPr>
      <w:bookmarkStart w:id="309" w:name="_Toc267251418"/>
      <w:r>
        <w:rPr>
          <w:rFonts w:hint="eastAsia" w:hAnsi="宋体" w:cs="宋体"/>
          <w:color w:val="000000" w:themeColor="text1"/>
          <w:szCs w:val="21"/>
          <w:highlight w:val="none"/>
          <w14:textFill>
            <w14:solidFill>
              <w14:schemeClr w14:val="tx1"/>
            </w14:solidFill>
          </w14:textFill>
        </w:rPr>
        <w:t>在发包人和承包人不能通过协商达成一致意见时，发包人授权监理人对以下事项进行确定：</w:t>
      </w:r>
    </w:p>
    <w:p w14:paraId="59039198">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对隐蔽工程及中间部位的验收工作</w:t>
      </w:r>
      <w:r>
        <w:rPr>
          <w:rFonts w:hint="eastAsia" w:hAnsi="宋体" w:cs="宋体"/>
          <w:color w:val="000000" w:themeColor="text1"/>
          <w:szCs w:val="21"/>
          <w:highlight w:val="none"/>
          <w14:textFill>
            <w14:solidFill>
              <w14:schemeClr w14:val="tx1"/>
            </w14:solidFill>
          </w14:textFill>
        </w:rPr>
        <w:t>；</w:t>
      </w:r>
    </w:p>
    <w:p w14:paraId="78F558FF">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7764143D">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55694DB0">
      <w:pPr>
        <w:pStyle w:val="4"/>
        <w:jc w:val="left"/>
        <w:rPr>
          <w:rFonts w:ascii="宋体" w:hAnsi="宋体" w:eastAsia="宋体"/>
          <w:color w:val="000000" w:themeColor="text1"/>
          <w:sz w:val="28"/>
          <w:szCs w:val="28"/>
          <w:highlight w:val="none"/>
          <w14:textFill>
            <w14:solidFill>
              <w14:schemeClr w14:val="tx1"/>
            </w14:solidFill>
          </w14:textFill>
        </w:rPr>
      </w:pPr>
      <w:bookmarkStart w:id="310" w:name="_Toc389065283"/>
      <w:bookmarkStart w:id="311" w:name="_Toc351203637"/>
      <w:bookmarkStart w:id="312" w:name="_Toc373227717"/>
      <w:bookmarkStart w:id="313" w:name="_Toc78449805"/>
      <w:bookmarkStart w:id="314" w:name="_Toc407135219"/>
      <w:bookmarkStart w:id="315" w:name="_Toc373478364"/>
      <w:bookmarkStart w:id="316" w:name="_Toc114058856"/>
      <w:bookmarkStart w:id="317" w:name="_Toc22901"/>
      <w:r>
        <w:rPr>
          <w:rFonts w:ascii="宋体" w:hAnsi="宋体" w:eastAsia="宋体"/>
          <w:color w:val="000000" w:themeColor="text1"/>
          <w:sz w:val="28"/>
          <w:szCs w:val="28"/>
          <w:highlight w:val="none"/>
          <w14:textFill>
            <w14:solidFill>
              <w14:schemeClr w14:val="tx1"/>
            </w14:solidFill>
          </w14:textFill>
        </w:rPr>
        <w:t>5</w:t>
      </w:r>
      <w:bookmarkEnd w:id="309"/>
      <w:bookmarkStart w:id="318" w:name="_Toc296346664"/>
      <w:bookmarkStart w:id="319" w:name="_Toc297048349"/>
      <w:bookmarkStart w:id="320" w:name="_Toc296890991"/>
      <w:bookmarkStart w:id="321" w:name="_Toc296891203"/>
      <w:bookmarkStart w:id="322" w:name="_Toc296347162"/>
      <w:bookmarkStart w:id="323" w:name="_Toc296944502"/>
      <w:bookmarkStart w:id="324" w:name="_Toc292559367"/>
      <w:bookmarkStart w:id="325" w:name="_Toc296503163"/>
      <w:bookmarkStart w:id="326" w:name="_Toc292559872"/>
      <w:bookmarkStart w:id="327" w:name="_Toc297120463"/>
      <w:r>
        <w:rPr>
          <w:rFonts w:ascii="宋体" w:hAnsi="宋体" w:eastAsia="宋体"/>
          <w:color w:val="000000" w:themeColor="text1"/>
          <w:sz w:val="28"/>
          <w:szCs w:val="28"/>
          <w:highlight w:val="none"/>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工程质量</w:t>
      </w:r>
      <w:bookmarkEnd w:id="310"/>
      <w:bookmarkEnd w:id="311"/>
      <w:bookmarkEnd w:id="312"/>
      <w:bookmarkEnd w:id="313"/>
      <w:bookmarkEnd w:id="314"/>
      <w:bookmarkEnd w:id="315"/>
      <w:bookmarkEnd w:id="316"/>
      <w:bookmarkEnd w:id="317"/>
    </w:p>
    <w:p w14:paraId="43D63792">
      <w:pPr>
        <w:pStyle w:val="5"/>
        <w:ind w:firstLine="422" w:firstLineChars="200"/>
        <w:rPr>
          <w:rFonts w:ascii="宋体" w:hAnsi="宋体"/>
          <w:color w:val="000000" w:themeColor="text1"/>
          <w:sz w:val="21"/>
          <w:szCs w:val="21"/>
          <w:highlight w:val="none"/>
          <w14:textFill>
            <w14:solidFill>
              <w14:schemeClr w14:val="tx1"/>
            </w14:solidFill>
          </w14:textFill>
        </w:rPr>
      </w:pPr>
      <w:bookmarkStart w:id="328" w:name="_Toc373227718"/>
      <w:bookmarkStart w:id="329" w:name="_Toc373478365"/>
      <w:bookmarkStart w:id="330" w:name="_Toc407135220"/>
      <w:bookmarkStart w:id="331" w:name="_Toc389065284"/>
      <w:bookmarkStart w:id="332" w:name="_Toc114058857"/>
      <w:bookmarkStart w:id="333" w:name="_Toc78449806"/>
      <w:r>
        <w:rPr>
          <w:rFonts w:ascii="宋体" w:hAnsi="宋体"/>
          <w:color w:val="000000" w:themeColor="text1"/>
          <w:sz w:val="21"/>
          <w:szCs w:val="21"/>
          <w:highlight w:val="none"/>
          <w14:textFill>
            <w14:solidFill>
              <w14:schemeClr w14:val="tx1"/>
            </w14:solidFill>
          </w14:textFill>
        </w:rPr>
        <w:t>5.1</w:t>
      </w:r>
      <w:r>
        <w:rPr>
          <w:rFonts w:hint="eastAsia" w:ascii="宋体" w:hAnsi="宋体"/>
          <w:color w:val="000000" w:themeColor="text1"/>
          <w:sz w:val="21"/>
          <w:szCs w:val="21"/>
          <w:highlight w:val="none"/>
          <w14:textFill>
            <w14:solidFill>
              <w14:schemeClr w14:val="tx1"/>
            </w14:solidFill>
          </w14:textFill>
        </w:rPr>
        <w:t>质量要求</w:t>
      </w:r>
      <w:bookmarkEnd w:id="328"/>
      <w:bookmarkEnd w:id="329"/>
      <w:bookmarkEnd w:id="330"/>
      <w:bookmarkEnd w:id="331"/>
      <w:bookmarkEnd w:id="332"/>
      <w:bookmarkEnd w:id="333"/>
    </w:p>
    <w:p w14:paraId="0C1EC5B1">
      <w:pPr>
        <w:spacing w:line="360" w:lineRule="auto"/>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5</w:t>
      </w:r>
      <w:bookmarkStart w:id="334" w:name="_Toc297216155"/>
      <w:bookmarkStart w:id="335" w:name="_Toc304295527"/>
      <w:bookmarkStart w:id="336" w:name="_Toc303539106"/>
      <w:bookmarkStart w:id="337" w:name="_Toc312677997"/>
      <w:bookmarkStart w:id="338" w:name="_Toc318581164"/>
      <w:bookmarkStart w:id="339" w:name="_Toc297123496"/>
      <w:bookmarkStart w:id="340" w:name="_Toc300934949"/>
      <w:r>
        <w:rPr>
          <w:color w:val="000000" w:themeColor="text1"/>
          <w:szCs w:val="21"/>
          <w:highlight w:val="none"/>
          <w14:textFill>
            <w14:solidFill>
              <w14:schemeClr w14:val="tx1"/>
            </w14:solidFill>
          </w14:textFill>
        </w:rPr>
        <w:t>.1.1</w:t>
      </w:r>
      <w:r>
        <w:rPr>
          <w:rFonts w:hint="eastAsia" w:hAnsi="宋体" w:cs="宋体"/>
          <w:color w:val="000000" w:themeColor="text1"/>
          <w:szCs w:val="21"/>
          <w:highlight w:val="none"/>
          <w14:textFill>
            <w14:solidFill>
              <w14:schemeClr w14:val="tx1"/>
            </w14:solidFill>
          </w14:textFill>
        </w:rPr>
        <w:t>特殊质量标准和要求：</w:t>
      </w:r>
      <w:r>
        <w:rPr>
          <w:rFonts w:hint="eastAsia"/>
          <w:color w:val="000000" w:themeColor="text1"/>
          <w:szCs w:val="21"/>
          <w:highlight w:val="none"/>
          <w:u w:val="single"/>
          <w14:textFill>
            <w14:solidFill>
              <w14:schemeClr w14:val="tx1"/>
            </w14:solidFill>
          </w14:textFill>
        </w:rPr>
        <w:t>严格执行</w:t>
      </w:r>
      <w:r>
        <w:rPr>
          <w:color w:val="000000" w:themeColor="text1"/>
          <w:szCs w:val="21"/>
          <w:highlight w:val="none"/>
          <w:u w:val="single"/>
          <w14:textFill>
            <w14:solidFill>
              <w14:schemeClr w14:val="tx1"/>
            </w14:solidFill>
          </w14:textFill>
        </w:rPr>
        <w:t>广西壮族自治区住房和城乡建设厅</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关于严格实行房屋建筑和市政基础设施工程质量终身责任承诺、永久性质量责任标牌、终身责任信息档案等制度的通知</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（桂建管[2014]96号</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和南宁市城乡建设委员会</w:t>
      </w:r>
      <w:r>
        <w:rPr>
          <w:rFonts w:hint="eastAsia"/>
          <w:color w:val="000000" w:themeColor="text1"/>
          <w:szCs w:val="21"/>
          <w:highlight w:val="none"/>
          <w:u w:val="single"/>
          <w14:textFill>
            <w14:solidFill>
              <w14:schemeClr w14:val="tx1"/>
            </w14:solidFill>
          </w14:textFill>
        </w:rPr>
        <w:t>《关于落实建设工程质量终身责任，加强工程质量管理的通知》（南建质安[2014]155号）要求，落实建设工程质量终身责任</w:t>
      </w:r>
      <w:r>
        <w:rPr>
          <w:rFonts w:hint="eastAsia" w:hAnsi="宋体" w:cs="宋体"/>
          <w:color w:val="000000" w:themeColor="text1"/>
          <w:szCs w:val="21"/>
          <w:highlight w:val="none"/>
          <w14:textFill>
            <w14:solidFill>
              <w14:schemeClr w14:val="tx1"/>
            </w14:solidFill>
          </w14:textFill>
        </w:rPr>
        <w:t>。</w:t>
      </w:r>
    </w:p>
    <w:p w14:paraId="1392CF20">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关于工程奖项的约定：</w:t>
      </w:r>
      <w:r>
        <w:rPr>
          <w:rFonts w:hint="eastAsia"/>
          <w:color w:val="000000" w:themeColor="text1"/>
          <w:szCs w:val="21"/>
          <w:highlight w:val="none"/>
          <w14:textFill>
            <w14:solidFill>
              <w14:schemeClr w14:val="tx1"/>
            </w14:solidFill>
          </w14:textFill>
        </w:rPr>
        <w:t>无</w:t>
      </w:r>
    </w:p>
    <w:p w14:paraId="0220BE78">
      <w:pPr>
        <w:pStyle w:val="5"/>
        <w:ind w:firstLine="422"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5.3</w:t>
      </w:r>
      <w:r>
        <w:rPr>
          <w:rFonts w:hint="eastAsia" w:ascii="宋体" w:hAnsi="宋体"/>
          <w:color w:val="000000" w:themeColor="text1"/>
          <w:sz w:val="21"/>
          <w:szCs w:val="21"/>
          <w:highlight w:val="none"/>
          <w14:textFill>
            <w14:solidFill>
              <w14:schemeClr w14:val="tx1"/>
            </w14:solidFill>
          </w14:textFill>
        </w:rPr>
        <w:t>隐蔽工程检查</w:t>
      </w:r>
    </w:p>
    <w:p w14:paraId="3D37ABC7">
      <w:pPr>
        <w:spacing w:line="360" w:lineRule="auto"/>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5.3.2</w:t>
      </w:r>
      <w:r>
        <w:rPr>
          <w:rFonts w:hint="eastAsia" w:hAnsi="宋体" w:cs="宋体"/>
          <w:color w:val="000000" w:themeColor="text1"/>
          <w:szCs w:val="21"/>
          <w:highlight w:val="none"/>
          <w14:textFill>
            <w14:solidFill>
              <w14:schemeClr w14:val="tx1"/>
            </w14:solidFill>
          </w14:textFill>
        </w:rPr>
        <w:t>承包人提前通知监理人隐蔽工程检查的期限的约定：工程隐蔽或中间验收前</w:t>
      </w:r>
      <w:r>
        <w:rPr>
          <w:color w:val="000000" w:themeColor="text1"/>
          <w:szCs w:val="21"/>
          <w:highlight w:val="none"/>
          <w14:textFill>
            <w14:solidFill>
              <w14:schemeClr w14:val="tx1"/>
            </w14:solidFill>
          </w14:textFill>
        </w:rPr>
        <w:t>12</w:t>
      </w:r>
      <w:r>
        <w:rPr>
          <w:rFonts w:hint="eastAsia" w:hAnsi="宋体" w:cs="宋体"/>
          <w:color w:val="000000" w:themeColor="text1"/>
          <w:szCs w:val="21"/>
          <w:highlight w:val="none"/>
          <w14:textFill>
            <w14:solidFill>
              <w14:schemeClr w14:val="tx1"/>
            </w14:solidFill>
          </w14:textFill>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BC5D541">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监理人不能按时进行检查时，应提前</w:t>
      </w:r>
      <w:r>
        <w:rPr>
          <w:rFonts w:hint="eastAsia"/>
          <w:color w:val="000000" w:themeColor="text1"/>
          <w:szCs w:val="21"/>
          <w:highlight w:val="none"/>
          <w:u w:val="single"/>
          <w14:textFill>
            <w14:solidFill>
              <w14:schemeClr w14:val="tx1"/>
            </w14:solidFill>
          </w14:textFill>
        </w:rPr>
        <w:t>24</w:t>
      </w:r>
      <w:r>
        <w:rPr>
          <w:rFonts w:hint="eastAsia" w:hAnsi="宋体" w:cs="宋体"/>
          <w:color w:val="000000" w:themeColor="text1"/>
          <w:szCs w:val="21"/>
          <w:highlight w:val="none"/>
          <w14:textFill>
            <w14:solidFill>
              <w14:schemeClr w14:val="tx1"/>
            </w14:solidFill>
          </w14:textFill>
        </w:rPr>
        <w:t>小时提交书面延期要求。</w:t>
      </w:r>
    </w:p>
    <w:p w14:paraId="0F92CE92">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关于延期最长不得超过：</w:t>
      </w:r>
      <w:r>
        <w:rPr>
          <w:rFonts w:hint="eastAsia"/>
          <w:color w:val="000000" w:themeColor="text1"/>
          <w:szCs w:val="21"/>
          <w:highlight w:val="none"/>
          <w:u w:val="single"/>
          <w14:textFill>
            <w14:solidFill>
              <w14:schemeClr w14:val="tx1"/>
            </w14:solidFill>
          </w14:textFill>
        </w:rPr>
        <w:t>24</w:t>
      </w:r>
      <w:r>
        <w:rPr>
          <w:rFonts w:hint="eastAsia" w:hAnsi="宋体" w:cs="宋体"/>
          <w:color w:val="000000" w:themeColor="text1"/>
          <w:szCs w:val="21"/>
          <w:highlight w:val="none"/>
          <w14:textFill>
            <w14:solidFill>
              <w14:schemeClr w14:val="tx1"/>
            </w14:solidFill>
          </w14:textFill>
        </w:rPr>
        <w:t>小时。</w:t>
      </w:r>
    </w:p>
    <w:p w14:paraId="0E0B741C">
      <w:pPr>
        <w:pStyle w:val="4"/>
        <w:jc w:val="left"/>
        <w:rPr>
          <w:rFonts w:ascii="宋体" w:hAnsi="宋体" w:eastAsia="宋体"/>
          <w:color w:val="000000" w:themeColor="text1"/>
          <w:sz w:val="28"/>
          <w:szCs w:val="28"/>
          <w:highlight w:val="none"/>
          <w14:textFill>
            <w14:solidFill>
              <w14:schemeClr w14:val="tx1"/>
            </w14:solidFill>
          </w14:textFill>
        </w:rPr>
      </w:pPr>
      <w:bookmarkStart w:id="341" w:name="_Toc25074"/>
      <w:bookmarkStart w:id="342" w:name="_Toc78449807"/>
      <w:bookmarkStart w:id="343" w:name="_Toc373478366"/>
      <w:bookmarkStart w:id="344" w:name="_Toc114058858"/>
      <w:bookmarkStart w:id="345" w:name="_Toc407135221"/>
      <w:bookmarkStart w:id="346" w:name="_Toc373227719"/>
      <w:bookmarkStart w:id="347" w:name="_Toc351203638"/>
      <w:bookmarkStart w:id="348" w:name="_Toc389065285"/>
      <w:r>
        <w:rPr>
          <w:rFonts w:ascii="宋体" w:hAnsi="宋体" w:eastAsia="宋体"/>
          <w:color w:val="000000" w:themeColor="text1"/>
          <w:sz w:val="28"/>
          <w:szCs w:val="28"/>
          <w:highlight w:val="none"/>
          <w14:textFill>
            <w14:solidFill>
              <w14:schemeClr w14:val="tx1"/>
            </w14:solidFill>
          </w14:textFill>
        </w:rPr>
        <w:t>6.</w:t>
      </w:r>
      <w:r>
        <w:rPr>
          <w:rFonts w:hint="eastAsia" w:ascii="宋体" w:hAnsi="宋体" w:eastAsia="宋体"/>
          <w:color w:val="000000" w:themeColor="text1"/>
          <w:sz w:val="28"/>
          <w:szCs w:val="28"/>
          <w:highlight w:val="none"/>
          <w14:textFill>
            <w14:solidFill>
              <w14:schemeClr w14:val="tx1"/>
            </w14:solidFill>
          </w14:textFill>
        </w:rPr>
        <w:t>安全文明施工与环境保护</w:t>
      </w:r>
      <w:bookmarkEnd w:id="341"/>
      <w:bookmarkEnd w:id="342"/>
      <w:bookmarkEnd w:id="343"/>
      <w:bookmarkEnd w:id="344"/>
      <w:bookmarkEnd w:id="345"/>
      <w:bookmarkEnd w:id="346"/>
      <w:bookmarkEnd w:id="347"/>
      <w:bookmarkEnd w:id="348"/>
    </w:p>
    <w:p w14:paraId="68720B12">
      <w:pPr>
        <w:pStyle w:val="5"/>
        <w:ind w:firstLine="422" w:firstLineChars="200"/>
        <w:rPr>
          <w:rFonts w:ascii="宋体" w:hAnsi="宋体"/>
          <w:color w:val="000000" w:themeColor="text1"/>
          <w:sz w:val="21"/>
          <w:szCs w:val="21"/>
          <w:highlight w:val="none"/>
          <w14:textFill>
            <w14:solidFill>
              <w14:schemeClr w14:val="tx1"/>
            </w14:solidFill>
          </w14:textFill>
        </w:rPr>
      </w:pPr>
      <w:bookmarkStart w:id="349" w:name="_Toc407135222"/>
      <w:bookmarkStart w:id="350" w:name="_Toc373478367"/>
      <w:bookmarkStart w:id="351" w:name="_Toc78449808"/>
      <w:bookmarkStart w:id="352" w:name="_Toc373227720"/>
      <w:bookmarkStart w:id="353" w:name="_Toc114058859"/>
      <w:bookmarkStart w:id="354" w:name="_Toc389065286"/>
      <w:r>
        <w:rPr>
          <w:rFonts w:ascii="宋体" w:hAnsi="宋体"/>
          <w:color w:val="000000" w:themeColor="text1"/>
          <w:sz w:val="21"/>
          <w:szCs w:val="21"/>
          <w:highlight w:val="none"/>
          <w14:textFill>
            <w14:solidFill>
              <w14:schemeClr w14:val="tx1"/>
            </w14:solidFill>
          </w14:textFill>
        </w:rPr>
        <w:t>6.1</w:t>
      </w:r>
      <w:r>
        <w:rPr>
          <w:rFonts w:hint="eastAsia" w:ascii="宋体" w:hAnsi="宋体"/>
          <w:color w:val="000000" w:themeColor="text1"/>
          <w:sz w:val="21"/>
          <w:szCs w:val="21"/>
          <w:highlight w:val="none"/>
          <w14:textFill>
            <w14:solidFill>
              <w14:schemeClr w14:val="tx1"/>
            </w14:solidFill>
          </w14:textFill>
        </w:rPr>
        <w:t>安全文明施工</w:t>
      </w:r>
      <w:bookmarkEnd w:id="349"/>
      <w:bookmarkEnd w:id="350"/>
      <w:bookmarkEnd w:id="351"/>
      <w:bookmarkEnd w:id="352"/>
      <w:bookmarkEnd w:id="353"/>
      <w:bookmarkEnd w:id="354"/>
    </w:p>
    <w:p w14:paraId="7A1F9484">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6.1.1</w:t>
      </w:r>
      <w:r>
        <w:rPr>
          <w:rFonts w:hint="eastAsia" w:hAnsi="宋体" w:cs="宋体"/>
          <w:color w:val="000000" w:themeColor="text1"/>
          <w:szCs w:val="21"/>
          <w:highlight w:val="none"/>
          <w14:textFill>
            <w14:solidFill>
              <w14:schemeClr w14:val="tx1"/>
            </w14:solidFill>
          </w14:textFill>
        </w:rPr>
        <w:t>项目安全生产的达标目标及相应事项的约定：</w:t>
      </w:r>
      <w:r>
        <w:rPr>
          <w:rFonts w:hint="eastAsia"/>
          <w:color w:val="000000" w:themeColor="text1"/>
          <w:szCs w:val="21"/>
          <w:highlight w:val="none"/>
          <w:u w:val="single"/>
          <w14:textFill>
            <w14:solidFill>
              <w14:schemeClr w14:val="tx1"/>
            </w14:solidFill>
          </w14:textFill>
        </w:rPr>
        <w:t>承包人负责，所发生费用由承包人承担。承包人的施工安全防护和文明施工措施，应执行《中华人民共和国安全生产法》的有关要求，施工中必须遵守国家颁布的《建设工程安全生产管理条件》、广西壮族自治区及南宁市关于安全施工的法律法规和有关标准和规范</w:t>
      </w:r>
      <w:r>
        <w:rPr>
          <w:rFonts w:hint="eastAsia"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要求达到《建筑施工安全检查标准》（JGJ59-2011）的标准和符合</w:t>
      </w:r>
      <w:r>
        <w:rPr>
          <w:rFonts w:hint="eastAsia"/>
          <w:color w:val="000000" w:themeColor="text1"/>
          <w:szCs w:val="21"/>
          <w:highlight w:val="none"/>
          <w:u w:val="single"/>
          <w14:textFill>
            <w14:solidFill>
              <w14:schemeClr w14:val="tx1"/>
            </w14:solidFill>
          </w14:textFill>
        </w:rPr>
        <w:t>《广西安全文明施工费使用管理细则》</w:t>
      </w:r>
      <w:r>
        <w:rPr>
          <w:rFonts w:hint="eastAsia" w:ascii="宋体" w:hAnsi="宋体"/>
          <w:color w:val="000000" w:themeColor="text1"/>
          <w:szCs w:val="21"/>
          <w:highlight w:val="none"/>
          <w:u w:val="single"/>
          <w14:textFill>
            <w14:solidFill>
              <w14:schemeClr w14:val="tx1"/>
            </w14:solidFill>
          </w14:textFill>
        </w:rPr>
        <w:t>桂建质[2015]16号文的要求</w:t>
      </w:r>
      <w:r>
        <w:rPr>
          <w:rFonts w:hint="eastAsia" w:hAnsi="宋体" w:cs="宋体"/>
          <w:color w:val="000000" w:themeColor="text1"/>
          <w:szCs w:val="21"/>
          <w:highlight w:val="none"/>
          <w14:textFill>
            <w14:solidFill>
              <w14:schemeClr w14:val="tx1"/>
            </w14:solidFill>
          </w14:textFill>
        </w:rPr>
        <w:t>。</w:t>
      </w:r>
    </w:p>
    <w:p w14:paraId="28918A22">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关于安全文明施工奖项的约定：</w:t>
      </w:r>
      <w:r>
        <w:rPr>
          <w:rFonts w:hint="eastAsia"/>
          <w:color w:val="000000" w:themeColor="text1"/>
          <w:szCs w:val="21"/>
          <w:highlight w:val="none"/>
          <w:u w:val="single"/>
          <w14:textFill>
            <w14:solidFill>
              <w14:schemeClr w14:val="tx1"/>
            </w14:solidFill>
          </w14:textFill>
        </w:rPr>
        <w:t>无</w:t>
      </w:r>
      <w:r>
        <w:rPr>
          <w:rFonts w:hint="eastAsia" w:hAnsi="宋体" w:cs="宋体"/>
          <w:color w:val="000000" w:themeColor="text1"/>
          <w:szCs w:val="21"/>
          <w:highlight w:val="none"/>
          <w14:textFill>
            <w14:solidFill>
              <w14:schemeClr w14:val="tx1"/>
            </w14:solidFill>
          </w14:textFill>
        </w:rPr>
        <w:t>。</w:t>
      </w:r>
    </w:p>
    <w:p w14:paraId="726D0FB1">
      <w:pPr>
        <w:spacing w:line="360" w:lineRule="auto"/>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6.1.4</w:t>
      </w:r>
      <w:r>
        <w:rPr>
          <w:rFonts w:hint="eastAsia" w:hAnsi="宋体" w:cs="宋体"/>
          <w:color w:val="000000" w:themeColor="text1"/>
          <w:szCs w:val="21"/>
          <w:highlight w:val="none"/>
          <w14:textFill>
            <w14:solidFill>
              <w14:schemeClr w14:val="tx1"/>
            </w14:solidFill>
          </w14:textFill>
        </w:rPr>
        <w:t>关于治安保卫的特别约定：</w:t>
      </w:r>
      <w:r>
        <w:rPr>
          <w:rFonts w:hint="eastAsia" w:hAnsi="宋体" w:cs="宋体"/>
          <w:color w:val="000000" w:themeColor="text1"/>
          <w:szCs w:val="2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CFFF53B">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关于编制施工场地治安管理计划的约定：</w:t>
      </w:r>
      <w:r>
        <w:rPr>
          <w:rFonts w:hint="eastAsia"/>
          <w:color w:val="000000" w:themeColor="text1"/>
          <w:szCs w:val="21"/>
          <w:highlight w:val="none"/>
          <w:u w:val="single"/>
          <w14:textFill>
            <w14:solidFill>
              <w14:schemeClr w14:val="tx1"/>
            </w14:solidFill>
          </w14:textFill>
        </w:rPr>
        <w:t>承包人负责，所发生费用由承包人承担.。</w:t>
      </w:r>
      <w:r>
        <w:rPr>
          <w:rFonts w:hint="eastAsia" w:ascii="宋体" w:hAnsi="宋体"/>
          <w:color w:val="000000" w:themeColor="text1"/>
          <w:szCs w:val="21"/>
          <w:highlight w:val="none"/>
          <w:u w:val="single"/>
          <w14:textFill>
            <w14:solidFill>
              <w14:schemeClr w14:val="tx1"/>
            </w14:solidFill>
          </w14:textFill>
        </w:rPr>
        <w:t>承包人于开工前提供施工场地治安管理计划</w:t>
      </w:r>
      <w:r>
        <w:rPr>
          <w:rFonts w:hint="eastAsia" w:hAnsi="宋体" w:cs="宋体"/>
          <w:color w:val="000000" w:themeColor="text1"/>
          <w:szCs w:val="21"/>
          <w:highlight w:val="none"/>
          <w14:textFill>
            <w14:solidFill>
              <w14:schemeClr w14:val="tx1"/>
            </w14:solidFill>
          </w14:textFill>
        </w:rPr>
        <w:t>。</w:t>
      </w:r>
    </w:p>
    <w:p w14:paraId="626FC30E">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6.1.5</w:t>
      </w:r>
      <w:r>
        <w:rPr>
          <w:rFonts w:hint="eastAsia" w:hAnsi="宋体" w:cs="宋体"/>
          <w:color w:val="000000" w:themeColor="text1"/>
          <w:szCs w:val="21"/>
          <w:highlight w:val="none"/>
          <w14:textFill>
            <w14:solidFill>
              <w14:schemeClr w14:val="tx1"/>
            </w14:solidFill>
          </w14:textFill>
        </w:rPr>
        <w:t>文明施工</w:t>
      </w:r>
    </w:p>
    <w:p w14:paraId="749ADC21">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合同当事人对文明施工的要求：</w:t>
      </w:r>
      <w:r>
        <w:rPr>
          <w:rFonts w:hint="eastAsia" w:hAnsi="宋体" w:cs="宋体"/>
          <w:color w:val="000000" w:themeColor="text1"/>
          <w:szCs w:val="21"/>
          <w:highlight w:val="none"/>
          <w:u w:val="single"/>
          <w14:textFill>
            <w14:solidFill>
              <w14:schemeClr w14:val="tx1"/>
            </w14:solidFill>
          </w14:textFill>
        </w:rPr>
        <w:t>严格执行《大气污染防治法》（主席令第三十一号）、《南宁市建设工程质量和安全生产管理办法》（南宁市人民政府令第46号）、《南宁市建设工程质量安全标准化图集》、《南宁市建设工程施工现场管理若干规定》（南宁市人民政府令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eastAsia" w:hAnsi="宋体" w:cs="宋体"/>
          <w:color w:val="000000" w:themeColor="text1"/>
          <w:szCs w:val="21"/>
          <w:highlight w:val="none"/>
          <w14:textFill>
            <w14:solidFill>
              <w14:schemeClr w14:val="tx1"/>
            </w14:solidFill>
          </w14:textFill>
        </w:rPr>
        <w:t>。</w:t>
      </w:r>
    </w:p>
    <w:p w14:paraId="73FBDB57">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6.1.6</w:t>
      </w:r>
      <w:r>
        <w:rPr>
          <w:rFonts w:hAnsi="宋体" w:cs="宋体"/>
          <w:color w:val="000000" w:themeColor="text1"/>
          <w:kern w:val="0"/>
          <w:szCs w:val="21"/>
          <w:highlight w:val="none"/>
          <w14:textFill>
            <w14:solidFill>
              <w14:schemeClr w14:val="tx1"/>
            </w14:solidFill>
          </w14:textFill>
        </w:rPr>
        <w:t>关于安全</w:t>
      </w:r>
      <w:r>
        <w:rPr>
          <w:rFonts w:hint="eastAsia" w:hAnsi="宋体" w:cs="宋体"/>
          <w:color w:val="000000" w:themeColor="text1"/>
          <w:kern w:val="0"/>
          <w:szCs w:val="21"/>
          <w:highlight w:val="none"/>
          <w14:textFill>
            <w14:solidFill>
              <w14:schemeClr w14:val="tx1"/>
            </w14:solidFill>
          </w14:textFill>
        </w:rPr>
        <w:t>生产</w:t>
      </w:r>
      <w:r>
        <w:rPr>
          <w:rFonts w:hAnsi="宋体" w:cs="宋体"/>
          <w:color w:val="000000" w:themeColor="text1"/>
          <w:kern w:val="0"/>
          <w:szCs w:val="21"/>
          <w:highlight w:val="none"/>
          <w14:textFill>
            <w14:solidFill>
              <w14:schemeClr w14:val="tx1"/>
            </w14:solidFill>
          </w14:textFill>
        </w:rPr>
        <w:t>费</w:t>
      </w:r>
      <w:r>
        <w:rPr>
          <w:rFonts w:hint="eastAsia" w:hAnsi="宋体" w:cs="宋体"/>
          <w:color w:val="000000" w:themeColor="text1"/>
          <w:kern w:val="0"/>
          <w:szCs w:val="21"/>
          <w:highlight w:val="none"/>
          <w14:textFill>
            <w14:solidFill>
              <w14:schemeClr w14:val="tx1"/>
            </w14:solidFill>
          </w14:textFill>
        </w:rPr>
        <w:t>总额、</w:t>
      </w:r>
      <w:r>
        <w:rPr>
          <w:rFonts w:hAnsi="宋体" w:cs="宋体"/>
          <w:color w:val="000000" w:themeColor="text1"/>
          <w:kern w:val="0"/>
          <w:szCs w:val="21"/>
          <w:highlight w:val="none"/>
          <w14:textFill>
            <w14:solidFill>
              <w14:schemeClr w14:val="tx1"/>
            </w14:solidFill>
          </w14:textFill>
        </w:rPr>
        <w:t>支付比例</w:t>
      </w:r>
      <w:r>
        <w:rPr>
          <w:rFonts w:hint="eastAsia" w:hAnsi="宋体" w:cs="宋体"/>
          <w:color w:val="000000" w:themeColor="text1"/>
          <w:kern w:val="0"/>
          <w:szCs w:val="21"/>
          <w:highlight w:val="none"/>
          <w14:textFill>
            <w14:solidFill>
              <w14:schemeClr w14:val="tx1"/>
            </w14:solidFill>
          </w14:textFill>
        </w:rPr>
        <w:t>、</w:t>
      </w:r>
      <w:r>
        <w:rPr>
          <w:rFonts w:hAnsi="宋体" w:cs="宋体"/>
          <w:color w:val="000000" w:themeColor="text1"/>
          <w:kern w:val="0"/>
          <w:szCs w:val="21"/>
          <w:highlight w:val="none"/>
          <w14:textFill>
            <w14:solidFill>
              <w14:schemeClr w14:val="tx1"/>
            </w14:solidFill>
          </w14:textFill>
        </w:rPr>
        <w:t>支付期限</w:t>
      </w:r>
      <w:r>
        <w:rPr>
          <w:rFonts w:hint="eastAsia" w:hAnsi="宋体" w:cs="宋体"/>
          <w:color w:val="000000" w:themeColor="text1"/>
          <w:kern w:val="0"/>
          <w:szCs w:val="21"/>
          <w:highlight w:val="none"/>
          <w14:textFill>
            <w14:solidFill>
              <w14:schemeClr w14:val="tx1"/>
            </w14:solidFill>
          </w14:textFill>
        </w:rPr>
        <w:t>、转入和结余收回</w:t>
      </w:r>
      <w:r>
        <w:rPr>
          <w:rFonts w:hAnsi="宋体" w:cs="宋体"/>
          <w:color w:val="000000" w:themeColor="text1"/>
          <w:kern w:val="0"/>
          <w:szCs w:val="21"/>
          <w:highlight w:val="none"/>
          <w14:textFill>
            <w14:solidFill>
              <w14:schemeClr w14:val="tx1"/>
            </w14:solidFill>
          </w14:textFill>
        </w:rPr>
        <w:t>的约定：</w:t>
      </w:r>
    </w:p>
    <w:p w14:paraId="201A9477">
      <w:pPr>
        <w:autoSpaceDE w:val="0"/>
        <w:autoSpaceDN w:val="0"/>
        <w:adjustRightInd w:val="0"/>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）本合同价款已包含安全文明施工费：大写：</w:t>
      </w:r>
      <w:r>
        <w:rPr>
          <w:rFonts w:hint="eastAsia" w:hAnsi="宋体"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元</w:t>
      </w:r>
      <w:r>
        <w:rPr>
          <w:rFonts w:hint="eastAsia" w:cs="宋体"/>
          <w:color w:val="000000" w:themeColor="text1"/>
          <w:highlight w:val="none"/>
          <w:u w:val="single"/>
          <w14:textFill>
            <w14:solidFill>
              <w14:schemeClr w14:val="tx1"/>
            </w14:solidFill>
          </w14:textFill>
        </w:rPr>
        <w:t>）</w:t>
      </w:r>
      <w:r>
        <w:rPr>
          <w:rFonts w:hint="eastAsia" w:hAnsi="宋体" w:cs="宋体"/>
          <w:color w:val="000000" w:themeColor="text1"/>
          <w:kern w:val="0"/>
          <w:szCs w:val="21"/>
          <w:highlight w:val="none"/>
          <w14:textFill>
            <w14:solidFill>
              <w14:schemeClr w14:val="tx1"/>
            </w14:solidFill>
          </w14:textFill>
        </w:rPr>
        <w:t>。</w:t>
      </w:r>
    </w:p>
    <w:p w14:paraId="36BE5673">
      <w:pPr>
        <w:autoSpaceDE w:val="0"/>
        <w:autoSpaceDN w:val="0"/>
        <w:adjustRightInd w:val="0"/>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）使用要求：专款专用。具体按</w:t>
      </w:r>
      <w:r>
        <w:rPr>
          <w:rFonts w:hint="eastAsia" w:hAnsi="宋体" w:cs="宋体"/>
          <w:color w:val="000000" w:themeColor="text1"/>
          <w:kern w:val="0"/>
          <w:szCs w:val="21"/>
          <w:highlight w:val="none"/>
          <w:u w:val="single"/>
          <w14:textFill>
            <w14:solidFill>
              <w14:schemeClr w14:val="tx1"/>
            </w14:solidFill>
          </w14:textFill>
        </w:rPr>
        <w:t>《广西壮族自治区建设工程安全文明施工费使用管理细则》（桂建质〔</w:t>
      </w:r>
      <w:r>
        <w:rPr>
          <w:rFonts w:hAnsi="宋体"/>
          <w:color w:val="000000" w:themeColor="text1"/>
          <w:kern w:val="0"/>
          <w:szCs w:val="21"/>
          <w:highlight w:val="none"/>
          <w:u w:val="single"/>
          <w14:textFill>
            <w14:solidFill>
              <w14:schemeClr w14:val="tx1"/>
            </w14:solidFill>
          </w14:textFill>
        </w:rPr>
        <w:t>2015</w:t>
      </w:r>
      <w:r>
        <w:rPr>
          <w:rFonts w:hint="eastAsia" w:hAnsi="宋体" w:cs="宋体"/>
          <w:color w:val="000000" w:themeColor="text1"/>
          <w:kern w:val="0"/>
          <w:szCs w:val="21"/>
          <w:highlight w:val="none"/>
          <w:u w:val="single"/>
          <w14:textFill>
            <w14:solidFill>
              <w14:schemeClr w14:val="tx1"/>
            </w14:solidFill>
          </w14:textFill>
        </w:rPr>
        <w:t>〕</w:t>
      </w:r>
      <w:r>
        <w:rPr>
          <w:rFonts w:hAnsi="宋体"/>
          <w:color w:val="000000" w:themeColor="text1"/>
          <w:kern w:val="0"/>
          <w:szCs w:val="21"/>
          <w:highlight w:val="none"/>
          <w:u w:val="single"/>
          <w14:textFill>
            <w14:solidFill>
              <w14:schemeClr w14:val="tx1"/>
            </w14:solidFill>
          </w14:textFill>
        </w:rPr>
        <w:t>16</w:t>
      </w:r>
      <w:r>
        <w:rPr>
          <w:rFonts w:hint="eastAsia" w:hAnsi="宋体" w:cs="宋体"/>
          <w:color w:val="000000" w:themeColor="text1"/>
          <w:kern w:val="0"/>
          <w:szCs w:val="21"/>
          <w:highlight w:val="none"/>
          <w:u w:val="single"/>
          <w14:textFill>
            <w14:solidFill>
              <w14:schemeClr w14:val="tx1"/>
            </w14:solidFill>
          </w14:textFill>
        </w:rPr>
        <w:t>号）</w:t>
      </w:r>
      <w:r>
        <w:rPr>
          <w:rFonts w:hint="eastAsia" w:hAnsi="宋体" w:cs="宋体"/>
          <w:color w:val="000000" w:themeColor="text1"/>
          <w:kern w:val="0"/>
          <w:szCs w:val="21"/>
          <w:highlight w:val="none"/>
          <w14:textFill>
            <w14:solidFill>
              <w14:schemeClr w14:val="tx1"/>
            </w14:solidFill>
          </w14:textFill>
        </w:rPr>
        <w:t>和</w:t>
      </w:r>
      <w:r>
        <w:rPr>
          <w:rFonts w:hint="eastAsia" w:hAnsi="宋体"/>
          <w:color w:val="000000" w:themeColor="text1"/>
          <w:kern w:val="0"/>
          <w:szCs w:val="21"/>
          <w:highlight w:val="none"/>
          <w:u w:val="single"/>
          <w14:textFill>
            <w14:solidFill>
              <w14:schemeClr w14:val="tx1"/>
            </w14:solidFill>
          </w14:textFill>
        </w:rPr>
        <w:t>南宁（《关于印发&lt;南宁市建设工程安全防护、文明施工措施费用管理规定&gt;的通知》（南建质安（2013）22号等）</w:t>
      </w:r>
      <w:r>
        <w:rPr>
          <w:rFonts w:hint="eastAsia" w:hAnsi="宋体" w:cs="宋体"/>
          <w:color w:val="000000" w:themeColor="text1"/>
          <w:kern w:val="0"/>
          <w:szCs w:val="21"/>
          <w:highlight w:val="none"/>
          <w14:textFill>
            <w14:solidFill>
              <w14:schemeClr w14:val="tx1"/>
            </w14:solidFill>
          </w14:textFill>
        </w:rPr>
        <w:t>市相关规定执行。</w:t>
      </w:r>
    </w:p>
    <w:p w14:paraId="3F073C9D">
      <w:pPr>
        <w:autoSpaceDE w:val="0"/>
        <w:autoSpaceDN w:val="0"/>
        <w:adjustRightInd w:val="0"/>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）支付约定：</w:t>
      </w:r>
      <w:r>
        <w:rPr>
          <w:rFonts w:hint="eastAsia"/>
          <w:color w:val="000000" w:themeColor="text1"/>
          <w:kern w:val="0"/>
          <w:szCs w:val="21"/>
          <w:highlight w:val="none"/>
          <w14:textFill>
            <w14:solidFill>
              <w14:schemeClr w14:val="tx1"/>
            </w14:solidFill>
          </w14:textFill>
        </w:rPr>
        <w:t>与进度款同期支付</w:t>
      </w:r>
      <w:r>
        <w:rPr>
          <w:rFonts w:hint="eastAsia" w:hAnsi="宋体" w:cs="宋体"/>
          <w:color w:val="000000" w:themeColor="text1"/>
          <w:kern w:val="0"/>
          <w:szCs w:val="21"/>
          <w:highlight w:val="none"/>
          <w14:textFill>
            <w14:solidFill>
              <w14:schemeClr w14:val="tx1"/>
            </w14:solidFill>
          </w14:textFill>
        </w:rPr>
        <w:t>。</w:t>
      </w:r>
    </w:p>
    <w:p w14:paraId="13AD2DC7">
      <w:pPr>
        <w:pStyle w:val="5"/>
        <w:ind w:firstLine="422" w:firstLineChars="200"/>
        <w:rPr>
          <w:rFonts w:ascii="宋体" w:hAnsi="宋体"/>
          <w:color w:val="000000" w:themeColor="text1"/>
          <w:sz w:val="21"/>
          <w:szCs w:val="21"/>
          <w:highlight w:val="none"/>
          <w14:textFill>
            <w14:solidFill>
              <w14:schemeClr w14:val="tx1"/>
            </w14:solidFill>
          </w14:textFill>
        </w:rPr>
      </w:pPr>
      <w:bookmarkStart w:id="355" w:name="_Toc389065287"/>
      <w:bookmarkStart w:id="356" w:name="_Toc114058860"/>
      <w:bookmarkStart w:id="357" w:name="_Toc373227721"/>
      <w:bookmarkStart w:id="358" w:name="_Toc373478368"/>
      <w:bookmarkStart w:id="359" w:name="_Toc407135223"/>
      <w:bookmarkStart w:id="360" w:name="_Toc78449809"/>
      <w:r>
        <w:rPr>
          <w:rFonts w:ascii="宋体" w:hAnsi="宋体"/>
          <w:color w:val="000000" w:themeColor="text1"/>
          <w:sz w:val="21"/>
          <w:szCs w:val="21"/>
          <w:highlight w:val="none"/>
          <w14:textFill>
            <w14:solidFill>
              <w14:schemeClr w14:val="tx1"/>
            </w14:solidFill>
          </w14:textFill>
        </w:rPr>
        <w:t>6.3</w:t>
      </w:r>
      <w:r>
        <w:rPr>
          <w:rFonts w:hint="eastAsia" w:ascii="宋体" w:hAnsi="宋体"/>
          <w:color w:val="000000" w:themeColor="text1"/>
          <w:sz w:val="21"/>
          <w:szCs w:val="21"/>
          <w:highlight w:val="none"/>
          <w14:textFill>
            <w14:solidFill>
              <w14:schemeClr w14:val="tx1"/>
            </w14:solidFill>
          </w14:textFill>
        </w:rPr>
        <w:t>环境保护</w:t>
      </w:r>
      <w:bookmarkEnd w:id="355"/>
      <w:bookmarkEnd w:id="356"/>
      <w:bookmarkEnd w:id="357"/>
      <w:bookmarkEnd w:id="358"/>
      <w:bookmarkEnd w:id="359"/>
      <w:bookmarkEnd w:id="360"/>
    </w:p>
    <w:p w14:paraId="75C1DD7E">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因施工需要，经发包人批准，由承包人办理有关施工场地交通、环卫和施工噪音管理等手续，费用由承包人负责。</w:t>
      </w:r>
    </w:p>
    <w:p w14:paraId="295B1F70">
      <w:pPr>
        <w:spacing w:line="360" w:lineRule="auto"/>
        <w:ind w:firstLine="420" w:firstLineChars="200"/>
        <w:jc w:val="left"/>
        <w:rPr>
          <w:rFonts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经过城市道路的施工车辆，必须按交警、城管、运输等部门相关规定执行。由于施工车辆造成的道路、环境等污染，其责任和费用均由承包人承担。</w:t>
      </w:r>
    </w:p>
    <w:p w14:paraId="27D1DE7C">
      <w:pPr>
        <w:spacing w:line="360" w:lineRule="auto"/>
        <w:ind w:firstLine="420" w:firstLineChars="200"/>
        <w:jc w:val="left"/>
        <w:rPr>
          <w:rFonts w:hAnsi="宋体" w:cs="宋体"/>
          <w:color w:val="000000" w:themeColor="text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根据《南宁市挥发性有机物污染防治实施方案（2019-2020年）》（南环委办</w:t>
      </w:r>
      <w:r>
        <w:rPr>
          <w:rFonts w:hint="eastAsia" w:hAnsi="宋体"/>
          <w:color w:val="000000" w:themeColor="text1"/>
          <w:kern w:val="0"/>
          <w:szCs w:val="21"/>
          <w:highlight w:val="none"/>
          <w:u w:val="single"/>
          <w14:textFill>
            <w14:solidFill>
              <w14:schemeClr w14:val="tx1"/>
            </w14:solidFill>
          </w14:textFill>
        </w:rPr>
        <w:t>〔</w:t>
      </w:r>
      <w:r>
        <w:rPr>
          <w:rFonts w:hAnsi="宋体"/>
          <w:color w:val="000000" w:themeColor="text1"/>
          <w:kern w:val="0"/>
          <w:szCs w:val="21"/>
          <w:highlight w:val="none"/>
          <w:u w:val="single"/>
          <w14:textFill>
            <w14:solidFill>
              <w14:schemeClr w14:val="tx1"/>
            </w14:solidFill>
          </w14:textFill>
        </w:rPr>
        <w:t>20</w:t>
      </w:r>
      <w:r>
        <w:rPr>
          <w:rFonts w:hint="eastAsia" w:hAnsi="宋体"/>
          <w:color w:val="000000" w:themeColor="text1"/>
          <w:kern w:val="0"/>
          <w:szCs w:val="21"/>
          <w:highlight w:val="none"/>
          <w:u w:val="single"/>
          <w14:textFill>
            <w14:solidFill>
              <w14:schemeClr w14:val="tx1"/>
            </w14:solidFill>
          </w14:textFill>
        </w:rPr>
        <w:t>19〕166</w:t>
      </w:r>
      <w:r>
        <w:rPr>
          <w:rFonts w:hAnsi="宋体"/>
          <w:color w:val="000000" w:themeColor="text1"/>
          <w:kern w:val="0"/>
          <w:szCs w:val="21"/>
          <w:highlight w:val="none"/>
          <w:u w:val="single"/>
          <w14:textFill>
            <w14:solidFill>
              <w14:schemeClr w14:val="tx1"/>
            </w14:solidFill>
          </w14:textFill>
        </w:rPr>
        <w:t>号</w:t>
      </w:r>
      <w:r>
        <w:rPr>
          <w:rFonts w:hint="eastAsia" w:hAnsi="宋体"/>
          <w:color w:val="000000" w:themeColor="text1"/>
          <w:kern w:val="0"/>
          <w:szCs w:val="21"/>
          <w:highlight w:val="none"/>
          <w:u w:val="single"/>
          <w14:textFill>
            <w14:solidFill>
              <w14:schemeClr w14:val="tx1"/>
            </w14:solidFill>
          </w14:textFill>
        </w:rPr>
        <w:t>）文件精神，宜优先使用低VOCs含量的涂料、油漆和有机溶剂。</w:t>
      </w:r>
    </w:p>
    <w:bookmarkEnd w:id="334"/>
    <w:bookmarkEnd w:id="335"/>
    <w:bookmarkEnd w:id="336"/>
    <w:bookmarkEnd w:id="337"/>
    <w:bookmarkEnd w:id="338"/>
    <w:bookmarkEnd w:id="339"/>
    <w:bookmarkEnd w:id="340"/>
    <w:p w14:paraId="395109DF">
      <w:pPr>
        <w:pStyle w:val="4"/>
        <w:jc w:val="left"/>
        <w:rPr>
          <w:rFonts w:ascii="宋体" w:hAnsi="宋体" w:eastAsia="宋体"/>
          <w:color w:val="000000" w:themeColor="text1"/>
          <w:sz w:val="28"/>
          <w:szCs w:val="28"/>
          <w:highlight w:val="none"/>
          <w14:textFill>
            <w14:solidFill>
              <w14:schemeClr w14:val="tx1"/>
            </w14:solidFill>
          </w14:textFill>
        </w:rPr>
      </w:pPr>
      <w:bookmarkStart w:id="361" w:name="_Toc373478369"/>
      <w:bookmarkStart w:id="362" w:name="_Toc407135224"/>
      <w:bookmarkStart w:id="363" w:name="_Toc114058861"/>
      <w:bookmarkStart w:id="364" w:name="_Toc389065288"/>
      <w:bookmarkStart w:id="365" w:name="_Toc351203639"/>
      <w:bookmarkStart w:id="366" w:name="_Toc78449810"/>
      <w:bookmarkStart w:id="367" w:name="_Toc20782"/>
      <w:bookmarkStart w:id="368" w:name="_Toc373227722"/>
      <w:r>
        <w:rPr>
          <w:rFonts w:ascii="宋体" w:hAnsi="宋体" w:eastAsia="宋体"/>
          <w:color w:val="000000" w:themeColor="text1"/>
          <w:sz w:val="28"/>
          <w:szCs w:val="28"/>
          <w:highlight w:val="none"/>
          <w14:textFill>
            <w14:solidFill>
              <w14:schemeClr w14:val="tx1"/>
            </w14:solidFill>
          </w14:textFill>
        </w:rPr>
        <w:t>7.</w:t>
      </w:r>
      <w:r>
        <w:rPr>
          <w:rFonts w:hint="eastAsia" w:ascii="宋体" w:hAnsi="宋体" w:eastAsia="宋体"/>
          <w:color w:val="000000" w:themeColor="text1"/>
          <w:sz w:val="28"/>
          <w:szCs w:val="28"/>
          <w:highlight w:val="none"/>
          <w14:textFill>
            <w14:solidFill>
              <w14:schemeClr w14:val="tx1"/>
            </w14:solidFill>
          </w14:textFill>
        </w:rPr>
        <w:t>工期和进度</w:t>
      </w:r>
      <w:bookmarkEnd w:id="361"/>
      <w:bookmarkEnd w:id="362"/>
      <w:bookmarkEnd w:id="363"/>
      <w:bookmarkEnd w:id="364"/>
      <w:bookmarkEnd w:id="365"/>
      <w:bookmarkEnd w:id="366"/>
      <w:bookmarkEnd w:id="367"/>
      <w:bookmarkEnd w:id="368"/>
    </w:p>
    <w:p w14:paraId="74F48D25">
      <w:pPr>
        <w:pStyle w:val="5"/>
        <w:ind w:firstLine="422" w:firstLineChars="200"/>
        <w:rPr>
          <w:rFonts w:ascii="宋体" w:hAnsi="宋体"/>
          <w:color w:val="000000" w:themeColor="text1"/>
          <w:sz w:val="21"/>
          <w:szCs w:val="21"/>
          <w:highlight w:val="none"/>
          <w14:textFill>
            <w14:solidFill>
              <w14:schemeClr w14:val="tx1"/>
            </w14:solidFill>
          </w14:textFill>
        </w:rPr>
      </w:pPr>
      <w:bookmarkStart w:id="369" w:name="_Toc373478370"/>
      <w:bookmarkStart w:id="370" w:name="_Toc407135225"/>
      <w:bookmarkStart w:id="371" w:name="_Toc114058862"/>
      <w:bookmarkStart w:id="372" w:name="_Toc78449811"/>
      <w:bookmarkStart w:id="373" w:name="_Toc389065289"/>
      <w:bookmarkStart w:id="374" w:name="_Toc373227723"/>
      <w:r>
        <w:rPr>
          <w:rFonts w:ascii="宋体" w:hAnsi="宋体"/>
          <w:color w:val="000000" w:themeColor="text1"/>
          <w:sz w:val="21"/>
          <w:szCs w:val="21"/>
          <w:highlight w:val="none"/>
          <w14:textFill>
            <w14:solidFill>
              <w14:schemeClr w14:val="tx1"/>
            </w14:solidFill>
          </w14:textFill>
        </w:rPr>
        <w:t>7.1</w:t>
      </w:r>
      <w:r>
        <w:rPr>
          <w:rFonts w:hint="eastAsia" w:ascii="宋体" w:hAnsi="宋体"/>
          <w:color w:val="000000" w:themeColor="text1"/>
          <w:sz w:val="21"/>
          <w:szCs w:val="21"/>
          <w:highlight w:val="none"/>
          <w14:textFill>
            <w14:solidFill>
              <w14:schemeClr w14:val="tx1"/>
            </w14:solidFill>
          </w14:textFill>
        </w:rPr>
        <w:t>施工组织设计</w:t>
      </w:r>
      <w:bookmarkEnd w:id="369"/>
      <w:bookmarkEnd w:id="370"/>
      <w:bookmarkEnd w:id="371"/>
      <w:bookmarkEnd w:id="372"/>
      <w:bookmarkEnd w:id="373"/>
      <w:bookmarkEnd w:id="374"/>
    </w:p>
    <w:p w14:paraId="64D7BC2D">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7.1.1</w:t>
      </w:r>
      <w:r>
        <w:rPr>
          <w:rFonts w:hAnsi="宋体"/>
          <w:color w:val="000000" w:themeColor="text1"/>
          <w:szCs w:val="21"/>
          <w:highlight w:val="none"/>
          <w14:textFill>
            <w14:solidFill>
              <w14:schemeClr w14:val="tx1"/>
            </w14:solidFill>
          </w14:textFill>
        </w:rPr>
        <w:t>合</w:t>
      </w:r>
      <w:r>
        <w:rPr>
          <w:rFonts w:hAnsi="宋体"/>
          <w:color w:val="000000" w:themeColor="text1"/>
          <w:kern w:val="0"/>
          <w:szCs w:val="21"/>
          <w:highlight w:val="none"/>
          <w14:textFill>
            <w14:solidFill>
              <w14:schemeClr w14:val="tx1"/>
            </w14:solidFill>
          </w14:textFill>
        </w:rPr>
        <w:t>同当事人约定的施工组织设计应包括的其他内容：</w:t>
      </w:r>
      <w:r>
        <w:rPr>
          <w:rFonts w:hint="eastAsia" w:ascii="宋体" w:hAnsi="宋体"/>
          <w:color w:val="000000" w:themeColor="text1"/>
          <w:szCs w:val="21"/>
          <w:highlight w:val="none"/>
          <w:u w:val="single"/>
          <w14:textFill>
            <w14:solidFill>
              <w14:schemeClr w14:val="tx1"/>
            </w14:solidFill>
          </w14:textFill>
        </w:rPr>
        <w:t>施工进度计划包括总进度计划、分阶段和分项进度计划、设备材料人员进场计划；施工方案说明包括分部、分项工程或工程部位的名称及施工顺序和方法。</w:t>
      </w:r>
    </w:p>
    <w:p w14:paraId="435AEE61">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7.1.2</w:t>
      </w:r>
      <w:r>
        <w:rPr>
          <w:rFonts w:hAnsi="宋体"/>
          <w:color w:val="000000" w:themeColor="text1"/>
          <w:kern w:val="0"/>
          <w:szCs w:val="21"/>
          <w:highlight w:val="none"/>
          <w14:textFill>
            <w14:solidFill>
              <w14:schemeClr w14:val="tx1"/>
            </w14:solidFill>
          </w14:textFill>
        </w:rPr>
        <w:t>施工组织设计的提交和修改</w:t>
      </w:r>
    </w:p>
    <w:p w14:paraId="1277C586">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承包人提交详细施工组织设计的期限的约定：</w:t>
      </w:r>
      <w:r>
        <w:rPr>
          <w:rFonts w:hint="eastAsia"/>
          <w:color w:val="000000" w:themeColor="text1"/>
          <w:szCs w:val="21"/>
          <w:highlight w:val="none"/>
          <w:u w:val="single"/>
          <w14:textFill>
            <w14:solidFill>
              <w14:schemeClr w14:val="tx1"/>
            </w14:solidFill>
          </w14:textFill>
        </w:rPr>
        <w:t>承包人应在开工前7日内，提交详细的施工组织设计，并报送监理人和发包人</w:t>
      </w:r>
      <w:r>
        <w:rPr>
          <w:rFonts w:hAnsi="宋体"/>
          <w:color w:val="000000" w:themeColor="text1"/>
          <w:szCs w:val="21"/>
          <w:highlight w:val="none"/>
          <w14:textFill>
            <w14:solidFill>
              <w14:schemeClr w14:val="tx1"/>
            </w14:solidFill>
          </w14:textFill>
        </w:rPr>
        <w:t>。</w:t>
      </w:r>
    </w:p>
    <w:p w14:paraId="17E167B2">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发包人和监理人在收到详细的施工组织设计后确认或提出修改意见的期限：</w:t>
      </w:r>
      <w:r>
        <w:rPr>
          <w:rFonts w:hint="eastAsia"/>
          <w:color w:val="000000" w:themeColor="text1"/>
          <w:szCs w:val="21"/>
          <w:highlight w:val="none"/>
          <w:u w:val="single"/>
          <w14:textFill>
            <w14:solidFill>
              <w14:schemeClr w14:val="tx1"/>
            </w14:solidFill>
          </w14:textFill>
        </w:rPr>
        <w:t>收到详细施工组织设计后14天内确定或提出修改意见。对监理人和发包人提出合理意见和要求，承包人应自行修改完善</w:t>
      </w:r>
      <w:r>
        <w:rPr>
          <w:rFonts w:hint="eastAsia" w:hAnsi="宋体" w:cs="宋体"/>
          <w:color w:val="000000" w:themeColor="text1"/>
          <w:szCs w:val="21"/>
          <w:highlight w:val="none"/>
          <w14:textFill>
            <w14:solidFill>
              <w14:schemeClr w14:val="tx1"/>
            </w14:solidFill>
          </w14:textFill>
        </w:rPr>
        <w:t>。</w:t>
      </w:r>
    </w:p>
    <w:p w14:paraId="3D53CC1D">
      <w:pPr>
        <w:pStyle w:val="5"/>
        <w:ind w:firstLine="422" w:firstLineChars="200"/>
        <w:rPr>
          <w:rFonts w:ascii="宋体" w:hAnsi="宋体"/>
          <w:color w:val="000000" w:themeColor="text1"/>
          <w:sz w:val="21"/>
          <w:szCs w:val="21"/>
          <w:highlight w:val="none"/>
          <w14:textFill>
            <w14:solidFill>
              <w14:schemeClr w14:val="tx1"/>
            </w14:solidFill>
          </w14:textFill>
        </w:rPr>
      </w:pPr>
      <w:bookmarkStart w:id="375" w:name="_Toc373478371"/>
      <w:bookmarkStart w:id="376" w:name="_Toc373227724"/>
      <w:bookmarkStart w:id="377" w:name="_Toc407135226"/>
      <w:bookmarkStart w:id="378" w:name="_Toc389065290"/>
      <w:bookmarkStart w:id="379" w:name="_Toc114058863"/>
      <w:bookmarkStart w:id="380" w:name="_Toc78449812"/>
      <w:r>
        <w:rPr>
          <w:rFonts w:ascii="宋体" w:hAnsi="宋体"/>
          <w:color w:val="000000" w:themeColor="text1"/>
          <w:sz w:val="21"/>
          <w:szCs w:val="21"/>
          <w:highlight w:val="none"/>
          <w14:textFill>
            <w14:solidFill>
              <w14:schemeClr w14:val="tx1"/>
            </w14:solidFill>
          </w14:textFill>
        </w:rPr>
        <w:t>7</w:t>
      </w:r>
      <w:bookmarkStart w:id="381" w:name="_Toc297123514"/>
      <w:bookmarkStart w:id="382" w:name="_Toc312677479"/>
      <w:bookmarkStart w:id="383" w:name="_Toc300934966"/>
      <w:bookmarkStart w:id="384" w:name="_Toc303539123"/>
      <w:bookmarkStart w:id="385" w:name="_Toc312678005"/>
      <w:bookmarkStart w:id="386" w:name="_Toc304295541"/>
      <w:bookmarkStart w:id="387" w:name="_Toc29721617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施工进度计划</w:t>
      </w:r>
      <w:bookmarkEnd w:id="375"/>
      <w:bookmarkEnd w:id="376"/>
      <w:bookmarkEnd w:id="377"/>
      <w:bookmarkEnd w:id="378"/>
      <w:bookmarkEnd w:id="379"/>
      <w:bookmarkEnd w:id="380"/>
    </w:p>
    <w:p w14:paraId="52CA5411">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7.2.2</w:t>
      </w:r>
      <w:r>
        <w:rPr>
          <w:rFonts w:hint="eastAsia" w:hAnsi="宋体" w:cs="宋体"/>
          <w:color w:val="000000" w:themeColor="text1"/>
          <w:szCs w:val="21"/>
          <w:highlight w:val="none"/>
          <w14:textFill>
            <w14:solidFill>
              <w14:schemeClr w14:val="tx1"/>
            </w14:solidFill>
          </w14:textFill>
        </w:rPr>
        <w:t>施工进度计划的修订</w:t>
      </w:r>
    </w:p>
    <w:p w14:paraId="370800B8">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发包人和监理人在收到修订的施工进度计划后确认或提出修改意见的期限：</w:t>
      </w:r>
      <w:r>
        <w:rPr>
          <w:rFonts w:hint="eastAsia"/>
          <w:color w:val="000000" w:themeColor="text1"/>
          <w:szCs w:val="21"/>
          <w:highlight w:val="none"/>
          <w:u w:val="single"/>
          <w14:textFill>
            <w14:solidFill>
              <w14:schemeClr w14:val="tx1"/>
            </w14:solidFill>
          </w14:textFill>
        </w:rPr>
        <w:t>承包人应在开工前7日编制详细的施工进度计划和施工方案说明报送监理人和发包人，其内容包括：施工组织设计、专项方案、项目人员配备表等。监理人和发包人应在14天内批复或提出修改意见，否则该进度计划视为已得到批准。经监理人和发包人批准的施工进度计划称施工进度计划，是控制合同工程进度的依据。承包人还应根据合同进度计划，编制更为详细的分阶段或分项进度计划，报监理人和发包人审批</w:t>
      </w:r>
      <w:r>
        <w:rPr>
          <w:rFonts w:hAnsi="宋体"/>
          <w:color w:val="000000" w:themeColor="text1"/>
          <w:szCs w:val="21"/>
          <w:highlight w:val="none"/>
          <w14:textFill>
            <w14:solidFill>
              <w14:schemeClr w14:val="tx1"/>
            </w14:solidFill>
          </w14:textFill>
        </w:rPr>
        <w:t>。</w:t>
      </w:r>
    </w:p>
    <w:p w14:paraId="491065F0">
      <w:pPr>
        <w:spacing w:line="360" w:lineRule="auto"/>
        <w:ind w:firstLine="422" w:firstLineChars="200"/>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7.2.3承包人所报的施工组织设计应包含详细、完整的施工总进度计划及符合行业相关规定的施工方案。进度计划应包括发包人直接发包的各专业工程进退场时间、预埋时间、竣工时间、各分项工程的开始和完工、验收时间等。此施工总进度计划一经发包人和监理人确认后，承包人应在每月的25日，向发包人和监理人提交最新的、经过修改的、动态的施工总进度计划（无论是否已发生变更），并由其审核确认，但对于发包人明确不得延误的阶段性施工目标不得擅自更改（合同已明确规定需延期或非承包人原因影响的除外）。如工程发生较大调整或发包人和监理人明确要求需要提交时，承包人应在接到通知5日内按发包人和监理人的要求，将最新的施工总进度计划予以提交。</w:t>
      </w:r>
    </w:p>
    <w:p w14:paraId="152392E3">
      <w:pPr>
        <w:spacing w:line="360" w:lineRule="auto"/>
        <w:ind w:firstLine="422" w:firstLineChars="200"/>
        <w:jc w:val="lef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7.2.4承包人应按照经监理人及发包人批准的施工组织设计中提供的施工进度计划按时完成工程进度。发包人每月考核一次，如承包人在考核期内未能完成当月工程进度，则每逾期一天，应向发包人支付违约金人民币1000元（该罚款与总工期延期罚款不冲突），并在当月进度款中抵扣。</w:t>
      </w:r>
    </w:p>
    <w:p w14:paraId="10C6DB1F">
      <w:pPr>
        <w:pStyle w:val="5"/>
        <w:ind w:firstLine="422" w:firstLineChars="200"/>
        <w:rPr>
          <w:rFonts w:ascii="宋体" w:hAnsi="宋体"/>
          <w:color w:val="000000" w:themeColor="text1"/>
          <w:sz w:val="21"/>
          <w:szCs w:val="21"/>
          <w:highlight w:val="none"/>
          <w14:textFill>
            <w14:solidFill>
              <w14:schemeClr w14:val="tx1"/>
            </w14:solidFill>
          </w14:textFill>
        </w:rPr>
      </w:pPr>
      <w:bookmarkStart w:id="388" w:name="_Toc373478372"/>
      <w:bookmarkStart w:id="389" w:name="_Toc407135227"/>
      <w:bookmarkStart w:id="390" w:name="_Toc78449813"/>
      <w:bookmarkStart w:id="391" w:name="_Toc114058864"/>
      <w:bookmarkStart w:id="392" w:name="_Toc389065291"/>
      <w:bookmarkStart w:id="393" w:name="_Toc373227725"/>
      <w:r>
        <w:rPr>
          <w:rFonts w:ascii="宋体" w:hAnsi="宋体"/>
          <w:color w:val="000000" w:themeColor="text1"/>
          <w:sz w:val="21"/>
          <w:szCs w:val="21"/>
          <w:highlight w:val="none"/>
          <w14:textFill>
            <w14:solidFill>
              <w14:schemeClr w14:val="tx1"/>
            </w14:solidFill>
          </w14:textFill>
        </w:rPr>
        <w:t>7.3</w:t>
      </w:r>
      <w:r>
        <w:rPr>
          <w:rFonts w:hint="eastAsia" w:ascii="宋体" w:hAnsi="宋体"/>
          <w:color w:val="000000" w:themeColor="text1"/>
          <w:sz w:val="21"/>
          <w:szCs w:val="21"/>
          <w:highlight w:val="none"/>
          <w14:textFill>
            <w14:solidFill>
              <w14:schemeClr w14:val="tx1"/>
            </w14:solidFill>
          </w14:textFill>
        </w:rPr>
        <w:t>开工</w:t>
      </w:r>
      <w:bookmarkEnd w:id="388"/>
      <w:bookmarkEnd w:id="389"/>
      <w:bookmarkEnd w:id="390"/>
      <w:bookmarkEnd w:id="391"/>
      <w:bookmarkEnd w:id="392"/>
      <w:bookmarkEnd w:id="393"/>
    </w:p>
    <w:p w14:paraId="37D0E0C5">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7.3.1</w:t>
      </w:r>
      <w:r>
        <w:rPr>
          <w:rFonts w:hint="eastAsia" w:hAnsi="宋体" w:cs="宋体"/>
          <w:color w:val="000000" w:themeColor="text1"/>
          <w:szCs w:val="21"/>
          <w:highlight w:val="none"/>
          <w14:textFill>
            <w14:solidFill>
              <w14:schemeClr w14:val="tx1"/>
            </w14:solidFill>
          </w14:textFill>
        </w:rPr>
        <w:t>开工准备</w:t>
      </w:r>
    </w:p>
    <w:p w14:paraId="634BBB5C">
      <w:pPr>
        <w:spacing w:line="360" w:lineRule="auto"/>
        <w:ind w:firstLine="426"/>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关于承包人提交</w:t>
      </w:r>
      <w:r>
        <w:rPr>
          <w:rFonts w:hAnsi="宋体"/>
          <w:color w:val="000000" w:themeColor="text1"/>
          <w:kern w:val="0"/>
          <w:szCs w:val="21"/>
          <w:highlight w:val="none"/>
          <w14:textFill>
            <w14:solidFill>
              <w14:schemeClr w14:val="tx1"/>
            </w14:solidFill>
          </w14:textFill>
        </w:rPr>
        <w:t>工程开工报审表的期限：</w:t>
      </w:r>
      <w:r>
        <w:rPr>
          <w:rFonts w:hint="eastAsia"/>
          <w:color w:val="000000" w:themeColor="text1"/>
          <w:szCs w:val="21"/>
          <w:highlight w:val="none"/>
          <w:u w:val="single"/>
          <w14:textFill>
            <w14:solidFill>
              <w14:schemeClr w14:val="tx1"/>
            </w14:solidFill>
          </w14:textFill>
        </w:rPr>
        <w:t>按审批的施工组织设计约定的期限</w:t>
      </w:r>
      <w:r>
        <w:rPr>
          <w:rFonts w:hAnsi="宋体"/>
          <w:color w:val="000000" w:themeColor="text1"/>
          <w:szCs w:val="21"/>
          <w:highlight w:val="none"/>
          <w14:textFill>
            <w14:solidFill>
              <w14:schemeClr w14:val="tx1"/>
            </w14:solidFill>
          </w14:textFill>
        </w:rPr>
        <w:t>。</w:t>
      </w:r>
    </w:p>
    <w:p w14:paraId="6B5F916F">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关于发包人应完成的其他开工准备工作及期限：</w:t>
      </w:r>
      <w:r>
        <w:rPr>
          <w:rFonts w:hint="eastAsia" w:ascii="宋体" w:hAnsi="宋体"/>
          <w:color w:val="000000" w:themeColor="text1"/>
          <w:szCs w:val="21"/>
          <w:highlight w:val="none"/>
          <w:u w:val="single"/>
          <w14:textFill>
            <w14:solidFill>
              <w14:schemeClr w14:val="tx1"/>
            </w14:solidFill>
          </w14:textFill>
        </w:rPr>
        <w:t>①开工前14天完成施工现场“三通一平”工作，并满足施工要求；②开工前7天内发包人确定施工用水、用电接入点；③按监理核批的施工组织设计，开工前7天内由承包方完成施工临时道路的修建，并承担修建费用；④开工前7天内将工程管线的资料提供给承包人并确保图纸的准确性、有效性及完整性，如因图纸有误造成的损失由发包人承担及由此产生的相关费用；⑤开工前7天内由发包人办理的施工所需证件、批件，因发包人证件资料不齐全，无法办理导致工程无法顺利进行，工期相应顺延；⑥开工前组织承包人和设计单位进行图纸会审，并由设计单位向承包人进行设计交底</w:t>
      </w:r>
      <w:r>
        <w:rPr>
          <w:rFonts w:hint="eastAsia" w:ascii="宋体" w:hAnsi="宋体"/>
          <w:color w:val="000000" w:themeColor="text1"/>
          <w:szCs w:val="21"/>
          <w:highlight w:val="none"/>
          <w14:textFill>
            <w14:solidFill>
              <w14:schemeClr w14:val="tx1"/>
            </w14:solidFill>
          </w14:textFill>
        </w:rPr>
        <w:t>。</w:t>
      </w:r>
    </w:p>
    <w:p w14:paraId="4C5B476F">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关于承包人应完成的其他开工准备工作及期限：</w:t>
      </w:r>
      <w:r>
        <w:rPr>
          <w:rFonts w:hint="eastAsia"/>
          <w:color w:val="000000" w:themeColor="text1"/>
          <w:szCs w:val="21"/>
          <w:highlight w:val="none"/>
          <w:u w:val="single"/>
          <w14:textFill>
            <w14:solidFill>
              <w14:schemeClr w14:val="tx1"/>
            </w14:solidFill>
          </w14:textFill>
        </w:rPr>
        <w:t>开工前7天</w:t>
      </w:r>
      <w:r>
        <w:rPr>
          <w:rFonts w:hint="eastAsia" w:hAnsi="宋体" w:cs="宋体"/>
          <w:color w:val="000000" w:themeColor="text1"/>
          <w:szCs w:val="21"/>
          <w:highlight w:val="none"/>
          <w14:textFill>
            <w14:solidFill>
              <w14:schemeClr w14:val="tx1"/>
            </w14:solidFill>
          </w14:textFill>
        </w:rPr>
        <w:t>。</w:t>
      </w:r>
    </w:p>
    <w:p w14:paraId="64D04DC1">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7.3.2</w:t>
      </w:r>
      <w:r>
        <w:rPr>
          <w:rFonts w:hint="eastAsia" w:hAnsi="宋体" w:cs="宋体"/>
          <w:color w:val="000000" w:themeColor="text1"/>
          <w:szCs w:val="21"/>
          <w:highlight w:val="none"/>
          <w14:textFill>
            <w14:solidFill>
              <w14:schemeClr w14:val="tx1"/>
            </w14:solidFill>
          </w14:textFill>
        </w:rPr>
        <w:t>开工通知</w:t>
      </w:r>
    </w:p>
    <w:p w14:paraId="2643DC8D">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因发包人原因造成监理人未能在计划开工日期之日起</w:t>
      </w:r>
      <w:r>
        <w:rPr>
          <w:rFonts w:hint="eastAsia"/>
          <w:color w:val="000000" w:themeColor="text1"/>
          <w:szCs w:val="21"/>
          <w:highlight w:val="none"/>
          <w:u w:val="single"/>
          <w14:textFill>
            <w14:solidFill>
              <w14:schemeClr w14:val="tx1"/>
            </w14:solidFill>
          </w14:textFill>
        </w:rPr>
        <w:t>180</w:t>
      </w:r>
      <w:r>
        <w:rPr>
          <w:rFonts w:hAnsi="宋体"/>
          <w:color w:val="000000" w:themeColor="text1"/>
          <w:szCs w:val="21"/>
          <w:highlight w:val="none"/>
          <w14:textFill>
            <w14:solidFill>
              <w14:schemeClr w14:val="tx1"/>
            </w14:solidFill>
          </w14:textFill>
        </w:rPr>
        <w:t>天内发出开工通知的，承包人有权提出价格调整要求，或者解除合同</w:t>
      </w:r>
      <w:r>
        <w:rPr>
          <w:rFonts w:hint="eastAsia" w:hAnsi="宋体" w:cs="宋体"/>
          <w:color w:val="000000" w:themeColor="text1"/>
          <w:szCs w:val="21"/>
          <w:highlight w:val="none"/>
          <w14:textFill>
            <w14:solidFill>
              <w14:schemeClr w14:val="tx1"/>
            </w14:solidFill>
          </w14:textFill>
        </w:rPr>
        <w:t>。</w:t>
      </w:r>
    </w:p>
    <w:bookmarkEnd w:id="381"/>
    <w:bookmarkEnd w:id="382"/>
    <w:bookmarkEnd w:id="383"/>
    <w:bookmarkEnd w:id="384"/>
    <w:bookmarkEnd w:id="385"/>
    <w:bookmarkEnd w:id="386"/>
    <w:bookmarkEnd w:id="387"/>
    <w:p w14:paraId="1470D53B">
      <w:pPr>
        <w:pStyle w:val="5"/>
        <w:ind w:firstLine="422" w:firstLineChars="200"/>
        <w:rPr>
          <w:rFonts w:ascii="宋体" w:hAnsi="宋体"/>
          <w:color w:val="000000" w:themeColor="text1"/>
          <w:sz w:val="21"/>
          <w:szCs w:val="21"/>
          <w:highlight w:val="none"/>
          <w14:textFill>
            <w14:solidFill>
              <w14:schemeClr w14:val="tx1"/>
            </w14:solidFill>
          </w14:textFill>
        </w:rPr>
      </w:pPr>
      <w:bookmarkStart w:id="394" w:name="_Toc78449814"/>
      <w:bookmarkStart w:id="395" w:name="_Toc114058865"/>
      <w:bookmarkStart w:id="396" w:name="_Toc407135228"/>
      <w:bookmarkStart w:id="397" w:name="_Toc373227726"/>
      <w:bookmarkStart w:id="398" w:name="_Toc389065292"/>
      <w:bookmarkStart w:id="399" w:name="_Toc373478373"/>
      <w:r>
        <w:rPr>
          <w:rFonts w:ascii="宋体" w:hAnsi="宋体"/>
          <w:color w:val="000000" w:themeColor="text1"/>
          <w:sz w:val="21"/>
          <w:szCs w:val="21"/>
          <w:highlight w:val="none"/>
          <w14:textFill>
            <w14:solidFill>
              <w14:schemeClr w14:val="tx1"/>
            </w14:solidFill>
          </w14:textFill>
        </w:rPr>
        <w:t>7.4</w:t>
      </w:r>
      <w:r>
        <w:rPr>
          <w:rFonts w:hint="eastAsia" w:ascii="宋体" w:hAnsi="宋体"/>
          <w:color w:val="000000" w:themeColor="text1"/>
          <w:sz w:val="21"/>
          <w:szCs w:val="21"/>
          <w:highlight w:val="none"/>
          <w14:textFill>
            <w14:solidFill>
              <w14:schemeClr w14:val="tx1"/>
            </w14:solidFill>
          </w14:textFill>
        </w:rPr>
        <w:t>测量放线</w:t>
      </w:r>
      <w:bookmarkEnd w:id="394"/>
      <w:bookmarkEnd w:id="395"/>
      <w:bookmarkEnd w:id="396"/>
      <w:bookmarkEnd w:id="397"/>
      <w:bookmarkEnd w:id="398"/>
      <w:bookmarkEnd w:id="399"/>
    </w:p>
    <w:p w14:paraId="47B10144">
      <w:pPr>
        <w:spacing w:line="360" w:lineRule="auto"/>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7.4.1</w:t>
      </w:r>
      <w:r>
        <w:rPr>
          <w:rFonts w:hint="eastAsia" w:hAnsi="宋体" w:cs="宋体"/>
          <w:color w:val="000000" w:themeColor="text1"/>
          <w:szCs w:val="21"/>
          <w:highlight w:val="none"/>
          <w14:textFill>
            <w14:solidFill>
              <w14:schemeClr w14:val="tx1"/>
            </w14:solidFill>
          </w14:textFill>
        </w:rPr>
        <w:t>发包人通过监理人向承包人提供测量基准点、基准线和水准点及其书面资料的期限：</w:t>
      </w:r>
      <w:r>
        <w:rPr>
          <w:rFonts w:hint="eastAsia" w:hAnsi="宋体"/>
          <w:color w:val="000000" w:themeColor="text1"/>
          <w:szCs w:val="21"/>
          <w:highlight w:val="none"/>
          <w:u w:val="single"/>
          <w14:textFill>
            <w14:solidFill>
              <w14:schemeClr w14:val="tx1"/>
            </w14:solidFill>
          </w14:textFill>
        </w:rPr>
        <w:t>开工前7天，发包人用书面形式交给承包人。承包人应根据国家测绘基准、测绘系统和工程测量技术规范，按上述基准点（线）以及合同工程精度要求，测设施工控制网，并在7个工作日期限内，将施工控制网资料报送监理人审批</w:t>
      </w:r>
      <w:r>
        <w:rPr>
          <w:rFonts w:hint="eastAsia" w:hAnsi="宋体" w:cs="宋体"/>
          <w:color w:val="000000" w:themeColor="text1"/>
          <w:szCs w:val="21"/>
          <w:highlight w:val="none"/>
          <w14:textFill>
            <w14:solidFill>
              <w14:schemeClr w14:val="tx1"/>
            </w14:solidFill>
          </w14:textFill>
        </w:rPr>
        <w:t>。</w:t>
      </w:r>
    </w:p>
    <w:p w14:paraId="6C8A5675">
      <w:pPr>
        <w:pStyle w:val="5"/>
        <w:ind w:firstLine="422" w:firstLineChars="200"/>
        <w:rPr>
          <w:rFonts w:ascii="宋体" w:hAnsi="宋体"/>
          <w:color w:val="000000" w:themeColor="text1"/>
          <w:sz w:val="21"/>
          <w:szCs w:val="21"/>
          <w:highlight w:val="none"/>
          <w14:textFill>
            <w14:solidFill>
              <w14:schemeClr w14:val="tx1"/>
            </w14:solidFill>
          </w14:textFill>
        </w:rPr>
      </w:pPr>
      <w:bookmarkStart w:id="400" w:name="_Toc389065293"/>
      <w:bookmarkStart w:id="401" w:name="_Toc373478374"/>
      <w:bookmarkStart w:id="402" w:name="_Toc114058866"/>
      <w:bookmarkStart w:id="403" w:name="_Toc373227727"/>
      <w:bookmarkStart w:id="404" w:name="_Toc407135229"/>
      <w:bookmarkStart w:id="405" w:name="_Toc78449815"/>
      <w:r>
        <w:rPr>
          <w:rFonts w:ascii="宋体" w:hAnsi="宋体"/>
          <w:color w:val="000000" w:themeColor="text1"/>
          <w:sz w:val="21"/>
          <w:szCs w:val="21"/>
          <w:highlight w:val="none"/>
          <w14:textFill>
            <w14:solidFill>
              <w14:schemeClr w14:val="tx1"/>
            </w14:solidFill>
          </w14:textFill>
        </w:rPr>
        <w:t>7</w:t>
      </w:r>
      <w:bookmarkStart w:id="406" w:name="_Toc312677484"/>
      <w:bookmarkStart w:id="407" w:name="_Toc300934968"/>
      <w:bookmarkStart w:id="408" w:name="_Toc304295546"/>
      <w:bookmarkStart w:id="409" w:name="_Toc303539125"/>
      <w:bookmarkStart w:id="410" w:name="_Toc312678010"/>
      <w:bookmarkStart w:id="411" w:name="_Toc297123516"/>
      <w:bookmarkStart w:id="412" w:name="_Toc297216175"/>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工期延误</w:t>
      </w:r>
      <w:bookmarkEnd w:id="400"/>
      <w:bookmarkEnd w:id="401"/>
      <w:bookmarkEnd w:id="402"/>
      <w:bookmarkEnd w:id="403"/>
      <w:bookmarkEnd w:id="404"/>
      <w:bookmarkEnd w:id="405"/>
    </w:p>
    <w:bookmarkEnd w:id="406"/>
    <w:bookmarkEnd w:id="407"/>
    <w:bookmarkEnd w:id="408"/>
    <w:bookmarkEnd w:id="409"/>
    <w:bookmarkEnd w:id="410"/>
    <w:bookmarkEnd w:id="411"/>
    <w:bookmarkEnd w:id="412"/>
    <w:p w14:paraId="1223AEA8">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7.5.1</w:t>
      </w:r>
      <w:r>
        <w:rPr>
          <w:rFonts w:hint="eastAsia" w:hAnsi="宋体" w:cs="宋体"/>
          <w:color w:val="000000" w:themeColor="text1"/>
          <w:szCs w:val="21"/>
          <w:highlight w:val="none"/>
          <w14:textFill>
            <w14:solidFill>
              <w14:schemeClr w14:val="tx1"/>
            </w14:solidFill>
          </w14:textFill>
        </w:rPr>
        <w:t>因发包人原因导致工期延误</w:t>
      </w:r>
    </w:p>
    <w:p w14:paraId="7DF02916">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hAnsi="宋体" w:cs="宋体"/>
          <w:color w:val="000000" w:themeColor="text1"/>
          <w:szCs w:val="21"/>
          <w:highlight w:val="none"/>
          <w14:textFill>
            <w14:solidFill>
              <w14:schemeClr w14:val="tx1"/>
            </w14:solidFill>
          </w14:textFill>
        </w:rPr>
        <w:t>）因发包人原因导致工期延误的其他情形：</w:t>
      </w:r>
      <w:r>
        <w:rPr>
          <w:rFonts w:hint="eastAsia" w:ascii="宋体" w:hAnsi="宋体"/>
          <w:color w:val="000000" w:themeColor="text1"/>
          <w:szCs w:val="21"/>
          <w:highlight w:val="none"/>
          <w:u w:val="single"/>
          <w14:textFill>
            <w14:solidFill>
              <w14:schemeClr w14:val="tx1"/>
            </w14:solidFill>
          </w14:textFill>
        </w:rPr>
        <w:t>①重大设计变更而影响施工进度，工程变更和工程量增加的；②发包人未能按合同要求配合施工或因发包人原因造成的延误、故障、人为阻止施工导致停工时；③下雨天日降雨量达60mm以上持续4小时及以上的大雨的，且经监理方确认确实影响到施工的情形，可顺延一天，依次累推；④每日非承包人原因停水停电，累计超过4小时可顺延一日；或一周内，非承包人原因停水、停电累计超过8个小时可顺延一日；⑤非承包人责任而造成的停工和工期延误及工程师同意或承包人有证据证明可顺延工期的其他情形，且经监理方确认确实影响到施工的情形；发生专用条款第7.7项约定的异常恶劣的气候条件的情形并对工程进度产生影响的；⑥其余工期顺延的情况按本合同《通用条款》第7.5.1条第（1）～（6）款的规定执行；⑦按施工条件规定，发包人不能提供“三通一平”影响进场施工；⑧未按协议规定拨付工程进度款而影响施工；⑨发包人或监理人发出错误的施工指令导致工期延误；⑩政府指令性停工（除高考、中考、东盟、春节休假以外）、或不可抗力因素而延误工期。</w:t>
      </w:r>
    </w:p>
    <w:p w14:paraId="01652AD4">
      <w:pPr>
        <w:spacing w:line="360" w:lineRule="auto"/>
        <w:ind w:firstLine="422" w:firstLineChars="200"/>
        <w:jc w:val="left"/>
        <w:rPr>
          <w:rFonts w:hAnsi="宋体" w:cs="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上延误工期情况发生后十四日内，承包人应向监理和发包人提出书面申请，监理人及时审核确认无误后书面报告发包人。若承包人不提出或逾期提出，则视为承包人放弃此权利。若发包人14日内未回复，是为默认承包人工期延误。</w:t>
      </w:r>
    </w:p>
    <w:p w14:paraId="2128C7FB">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bookmarkStart w:id="413" w:name="_Toc297123518"/>
      <w:bookmarkStart w:id="414" w:name="_Toc303539127"/>
      <w:bookmarkStart w:id="415" w:name="_Toc304295548"/>
      <w:bookmarkStart w:id="416" w:name="_Toc312678012"/>
      <w:bookmarkStart w:id="417" w:name="_Toc312677486"/>
      <w:bookmarkStart w:id="418" w:name="_Toc297216177"/>
      <w:bookmarkStart w:id="419" w:name="_Toc300934970"/>
      <w:bookmarkStart w:id="420" w:name="_Toc318581169"/>
      <w:r>
        <w:rPr>
          <w:color w:val="000000" w:themeColor="text1"/>
          <w:szCs w:val="21"/>
          <w:highlight w:val="none"/>
          <w14:textFill>
            <w14:solidFill>
              <w14:schemeClr w14:val="tx1"/>
            </w14:solidFill>
          </w14:textFill>
        </w:rPr>
        <w:t>.5.2</w:t>
      </w:r>
      <w:r>
        <w:rPr>
          <w:rFonts w:hint="eastAsia" w:hAnsi="宋体" w:cs="宋体"/>
          <w:color w:val="000000" w:themeColor="text1"/>
          <w:szCs w:val="21"/>
          <w:highlight w:val="none"/>
          <w14:textFill>
            <w14:solidFill>
              <w14:schemeClr w14:val="tx1"/>
            </w14:solidFill>
          </w14:textFill>
        </w:rPr>
        <w:t>因承包人原因导致工期延误</w:t>
      </w:r>
    </w:p>
    <w:bookmarkEnd w:id="413"/>
    <w:bookmarkEnd w:id="414"/>
    <w:bookmarkEnd w:id="415"/>
    <w:bookmarkEnd w:id="416"/>
    <w:bookmarkEnd w:id="417"/>
    <w:bookmarkEnd w:id="418"/>
    <w:bookmarkEnd w:id="419"/>
    <w:bookmarkEnd w:id="420"/>
    <w:p w14:paraId="348CAE2B">
      <w:pPr>
        <w:spacing w:line="360" w:lineRule="auto"/>
        <w:ind w:firstLine="420" w:firstLineChars="200"/>
        <w:jc w:val="left"/>
        <w:rPr>
          <w:color w:val="000000" w:themeColor="text1"/>
          <w:szCs w:val="21"/>
          <w:highlight w:val="none"/>
          <w14:textFill>
            <w14:solidFill>
              <w14:schemeClr w14:val="tx1"/>
            </w14:solidFill>
          </w14:textFill>
        </w:rPr>
      </w:pPr>
      <w:bookmarkStart w:id="421" w:name="_Toc318581171"/>
      <w:bookmarkStart w:id="422" w:name="_Toc312678014"/>
      <w:r>
        <w:rPr>
          <w:rFonts w:hAnsi="宋体"/>
          <w:color w:val="000000" w:themeColor="text1"/>
          <w:szCs w:val="21"/>
          <w:highlight w:val="none"/>
          <w14:textFill>
            <w14:solidFill>
              <w14:schemeClr w14:val="tx1"/>
            </w14:solidFill>
          </w14:textFill>
        </w:rPr>
        <w:t>双方约定经监理工程师确认，工期相应顺延的情况：</w:t>
      </w:r>
      <w:r>
        <w:rPr>
          <w:rFonts w:hint="eastAsia"/>
          <w:color w:val="000000" w:themeColor="text1"/>
          <w:szCs w:val="21"/>
          <w:highlight w:val="none"/>
          <w:u w:val="single"/>
          <w14:textFill>
            <w14:solidFill>
              <w14:schemeClr w14:val="tx1"/>
            </w14:solidFill>
          </w14:textFill>
        </w:rPr>
        <w:t>不可抗力的原因</w:t>
      </w:r>
      <w:r>
        <w:rPr>
          <w:rFonts w:hAnsi="宋体"/>
          <w:color w:val="000000" w:themeColor="text1"/>
          <w:szCs w:val="21"/>
          <w:highlight w:val="none"/>
          <w14:textFill>
            <w14:solidFill>
              <w14:schemeClr w14:val="tx1"/>
            </w14:solidFill>
          </w14:textFill>
        </w:rPr>
        <w:t>。</w:t>
      </w:r>
    </w:p>
    <w:p w14:paraId="14027FA1">
      <w:pPr>
        <w:spacing w:line="360" w:lineRule="auto"/>
        <w:ind w:firstLine="315" w:firstLineChars="150"/>
        <w:jc w:val="left"/>
        <w:rPr>
          <w:rFonts w:ascii="宋体" w:hAnsi="宋体"/>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因</w:t>
      </w:r>
      <w:bookmarkStart w:id="423" w:name="_Toc318581170"/>
      <w:bookmarkStart w:id="424" w:name="_Toc312678013"/>
      <w:bookmarkStart w:id="425" w:name="_Toc312677487"/>
      <w:r>
        <w:rPr>
          <w:rFonts w:hAnsi="宋体"/>
          <w:color w:val="000000" w:themeColor="text1"/>
          <w:szCs w:val="21"/>
          <w:highlight w:val="none"/>
          <w14:textFill>
            <w14:solidFill>
              <w14:schemeClr w14:val="tx1"/>
            </w14:solidFill>
          </w14:textFill>
        </w:rPr>
        <w:t>承包人原因造成工期延误，逾期竣工违约金的计算方法为：</w:t>
      </w:r>
      <w:bookmarkEnd w:id="423"/>
      <w:bookmarkEnd w:id="424"/>
      <w:bookmarkEnd w:id="425"/>
      <w:r>
        <w:rPr>
          <w:rFonts w:hint="eastAsia" w:ascii="宋体" w:hAnsi="宋体"/>
          <w:color w:val="000000" w:themeColor="text1"/>
          <w:szCs w:val="21"/>
          <w:highlight w:val="none"/>
          <w:u w:val="single"/>
          <w14:textFill>
            <w14:solidFill>
              <w14:schemeClr w14:val="tx1"/>
            </w14:solidFill>
          </w14:textFill>
        </w:rPr>
        <w:t>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3EE6F0B5">
      <w:pPr>
        <w:spacing w:line="360" w:lineRule="auto"/>
        <w:ind w:firstLine="420" w:firstLineChars="200"/>
        <w:jc w:val="left"/>
        <w:rPr>
          <w:rFonts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因承包人原因造成工期延误，逾期竣工违约金的上限：</w:t>
      </w:r>
      <w:r>
        <w:rPr>
          <w:rFonts w:hint="eastAsia" w:hAnsi="宋体" w:cs="宋体"/>
          <w:color w:val="000000" w:themeColor="text1"/>
          <w:szCs w:val="21"/>
          <w:highlight w:val="none"/>
          <w:u w:val="single"/>
          <w:lang w:val="en-US" w:eastAsia="zh-CN"/>
          <w14:textFill>
            <w14:solidFill>
              <w14:schemeClr w14:val="tx1"/>
            </w14:solidFill>
          </w14:textFill>
        </w:rPr>
        <w:t>无</w:t>
      </w:r>
      <w:r>
        <w:rPr>
          <w:rFonts w:hint="eastAsia" w:hAnsi="宋体" w:cs="宋体"/>
          <w:color w:val="000000" w:themeColor="text1"/>
          <w:szCs w:val="21"/>
          <w:highlight w:val="none"/>
          <w:u w:val="single"/>
          <w14:textFill>
            <w14:solidFill>
              <w14:schemeClr w14:val="tx1"/>
            </w14:solidFill>
          </w14:textFill>
        </w:rPr>
        <w:t>。</w:t>
      </w:r>
    </w:p>
    <w:bookmarkEnd w:id="421"/>
    <w:bookmarkEnd w:id="422"/>
    <w:p w14:paraId="3CAD2E34">
      <w:pPr>
        <w:pStyle w:val="5"/>
        <w:ind w:firstLine="422" w:firstLineChars="200"/>
        <w:rPr>
          <w:rFonts w:ascii="宋体" w:hAnsi="宋体"/>
          <w:color w:val="000000" w:themeColor="text1"/>
          <w:sz w:val="21"/>
          <w:szCs w:val="21"/>
          <w:highlight w:val="none"/>
          <w14:textFill>
            <w14:solidFill>
              <w14:schemeClr w14:val="tx1"/>
            </w14:solidFill>
          </w14:textFill>
        </w:rPr>
      </w:pPr>
      <w:bookmarkStart w:id="426" w:name="_Toc373478375"/>
      <w:bookmarkStart w:id="427" w:name="_Toc114058867"/>
      <w:bookmarkStart w:id="428" w:name="_Toc78449816"/>
      <w:bookmarkStart w:id="429" w:name="_Toc373227728"/>
      <w:bookmarkStart w:id="430" w:name="_Toc407135230"/>
      <w:bookmarkStart w:id="431" w:name="_Toc389065294"/>
      <w:r>
        <w:rPr>
          <w:rFonts w:ascii="宋体" w:hAnsi="宋体"/>
          <w:color w:val="000000" w:themeColor="text1"/>
          <w:sz w:val="21"/>
          <w:szCs w:val="21"/>
          <w:highlight w:val="none"/>
          <w14:textFill>
            <w14:solidFill>
              <w14:schemeClr w14:val="tx1"/>
            </w14:solidFill>
          </w14:textFill>
        </w:rPr>
        <w:t>7</w:t>
      </w:r>
      <w:bookmarkStart w:id="432" w:name="_Toc304295549"/>
      <w:bookmarkStart w:id="433" w:name="_Toc303539128"/>
      <w:bookmarkStart w:id="434" w:name="_Toc300934971"/>
      <w:bookmarkStart w:id="435" w:name="_Toc297123519"/>
      <w:bookmarkStart w:id="436" w:name="_Toc297216178"/>
      <w:bookmarkStart w:id="437" w:name="_Toc312678015"/>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不</w:t>
      </w:r>
      <w:bookmarkEnd w:id="432"/>
      <w:bookmarkEnd w:id="433"/>
      <w:bookmarkEnd w:id="434"/>
      <w:bookmarkEnd w:id="435"/>
      <w:bookmarkEnd w:id="436"/>
      <w:bookmarkEnd w:id="437"/>
      <w:r>
        <w:rPr>
          <w:rFonts w:hint="eastAsia" w:ascii="宋体" w:hAnsi="宋体"/>
          <w:color w:val="000000" w:themeColor="text1"/>
          <w:sz w:val="21"/>
          <w:szCs w:val="21"/>
          <w:highlight w:val="none"/>
          <w14:textFill>
            <w14:solidFill>
              <w14:schemeClr w14:val="tx1"/>
            </w14:solidFill>
          </w14:textFill>
        </w:rPr>
        <w:t>利物质条件</w:t>
      </w:r>
      <w:bookmarkEnd w:id="426"/>
      <w:bookmarkEnd w:id="427"/>
      <w:bookmarkEnd w:id="428"/>
      <w:bookmarkEnd w:id="429"/>
      <w:bookmarkEnd w:id="430"/>
      <w:bookmarkEnd w:id="431"/>
    </w:p>
    <w:p w14:paraId="5AD245F9">
      <w:pPr>
        <w:spacing w:line="360" w:lineRule="auto"/>
        <w:ind w:firstLine="420" w:firstLineChars="200"/>
        <w:jc w:val="left"/>
        <w:rPr>
          <w:color w:val="000000" w:themeColor="text1"/>
          <w:szCs w:val="21"/>
          <w:highlight w:val="none"/>
          <w:u w:val="single"/>
          <w14:textFill>
            <w14:solidFill>
              <w14:schemeClr w14:val="tx1"/>
            </w14:solidFill>
          </w14:textFill>
        </w:rPr>
      </w:pPr>
      <w:bookmarkStart w:id="438" w:name="_Toc318581172"/>
      <w:bookmarkStart w:id="439" w:name="_Toc303539129"/>
      <w:bookmarkStart w:id="440" w:name="_Toc297123520"/>
      <w:bookmarkStart w:id="441" w:name="_Toc300934972"/>
      <w:bookmarkStart w:id="442" w:name="_Toc297216179"/>
      <w:bookmarkStart w:id="443" w:name="_Toc312678016"/>
      <w:bookmarkStart w:id="444" w:name="_Toc304295550"/>
      <w:r>
        <w:rPr>
          <w:rFonts w:hint="eastAsia" w:hAnsi="宋体" w:cs="宋体"/>
          <w:color w:val="000000" w:themeColor="text1"/>
          <w:szCs w:val="21"/>
          <w:highlight w:val="none"/>
          <w14:textFill>
            <w14:solidFill>
              <w14:schemeClr w14:val="tx1"/>
            </w14:solidFill>
          </w14:textFill>
        </w:rPr>
        <w:t>不利物质条件的其他情形和有关约定：</w:t>
      </w:r>
      <w:r>
        <w:rPr>
          <w:rFonts w:hint="eastAsia" w:ascii="宋体" w:hAnsi="宋体"/>
          <w:color w:val="000000" w:themeColor="text1"/>
          <w:szCs w:val="21"/>
          <w:highlight w:val="none"/>
          <w:u w:val="single"/>
          <w14:textFill>
            <w14:solidFill>
              <w14:schemeClr w14:val="tx1"/>
            </w14:solidFill>
          </w14:textFill>
        </w:rPr>
        <w:t>因不利物质条件的原因导致承包人暂停施工的，由监理方确认是否给予工期顺延或费用补偿</w:t>
      </w:r>
      <w:r>
        <w:rPr>
          <w:rFonts w:hint="eastAsia" w:hAnsi="宋体" w:cs="宋体"/>
          <w:color w:val="000000" w:themeColor="text1"/>
          <w:szCs w:val="21"/>
          <w:highlight w:val="none"/>
          <w14:textFill>
            <w14:solidFill>
              <w14:schemeClr w14:val="tx1"/>
            </w14:solidFill>
          </w14:textFill>
        </w:rPr>
        <w:t>。</w:t>
      </w:r>
    </w:p>
    <w:bookmarkEnd w:id="438"/>
    <w:bookmarkEnd w:id="439"/>
    <w:bookmarkEnd w:id="440"/>
    <w:bookmarkEnd w:id="441"/>
    <w:bookmarkEnd w:id="442"/>
    <w:bookmarkEnd w:id="443"/>
    <w:bookmarkEnd w:id="444"/>
    <w:p w14:paraId="4FD34D6E">
      <w:pPr>
        <w:pStyle w:val="5"/>
        <w:ind w:firstLine="422" w:firstLineChars="200"/>
        <w:rPr>
          <w:rFonts w:ascii="宋体" w:hAnsi="宋体"/>
          <w:color w:val="000000" w:themeColor="text1"/>
          <w:sz w:val="21"/>
          <w:szCs w:val="21"/>
          <w:highlight w:val="none"/>
          <w14:textFill>
            <w14:solidFill>
              <w14:schemeClr w14:val="tx1"/>
            </w14:solidFill>
          </w14:textFill>
        </w:rPr>
      </w:pPr>
      <w:bookmarkStart w:id="445" w:name="_Toc389065295"/>
      <w:bookmarkStart w:id="446" w:name="_Toc407135231"/>
      <w:bookmarkStart w:id="447" w:name="_Toc373227729"/>
      <w:bookmarkStart w:id="448" w:name="_Toc373478376"/>
      <w:bookmarkStart w:id="449" w:name="_Toc114058868"/>
      <w:bookmarkStart w:id="450" w:name="_Toc78449817"/>
      <w:r>
        <w:rPr>
          <w:rFonts w:ascii="宋体" w:hAnsi="宋体"/>
          <w:color w:val="000000" w:themeColor="text1"/>
          <w:sz w:val="21"/>
          <w:szCs w:val="21"/>
          <w:highlight w:val="none"/>
          <w14:textFill>
            <w14:solidFill>
              <w14:schemeClr w14:val="tx1"/>
            </w14:solidFill>
          </w14:textFill>
        </w:rPr>
        <w:t>7</w:t>
      </w:r>
      <w:bookmarkStart w:id="451" w:name="_Toc300934973"/>
      <w:bookmarkStart w:id="452" w:name="_Toc303539130"/>
      <w:bookmarkStart w:id="453" w:name="_Toc297123521"/>
      <w:bookmarkStart w:id="454" w:name="_Toc304295551"/>
      <w:bookmarkStart w:id="455" w:name="_Toc297216180"/>
      <w:bookmarkStart w:id="456" w:name="_Toc312678017"/>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异常恶劣的气候条件</w:t>
      </w:r>
      <w:bookmarkEnd w:id="445"/>
      <w:bookmarkEnd w:id="446"/>
      <w:bookmarkEnd w:id="447"/>
      <w:bookmarkEnd w:id="448"/>
      <w:bookmarkEnd w:id="449"/>
      <w:bookmarkEnd w:id="450"/>
    </w:p>
    <w:bookmarkEnd w:id="451"/>
    <w:bookmarkEnd w:id="452"/>
    <w:bookmarkEnd w:id="453"/>
    <w:bookmarkEnd w:id="454"/>
    <w:bookmarkEnd w:id="455"/>
    <w:bookmarkEnd w:id="456"/>
    <w:p w14:paraId="784E44FB">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u w:val="single"/>
          <w14:textFill>
            <w14:solidFill>
              <w14:schemeClr w14:val="tx1"/>
            </w14:solidFill>
          </w14:textFill>
        </w:rPr>
        <w:t>5级以上的地震</w:t>
      </w:r>
      <w:r>
        <w:rPr>
          <w:rFonts w:hint="eastAsia" w:hAnsi="宋体" w:cs="宋体"/>
          <w:color w:val="000000" w:themeColor="text1"/>
          <w:szCs w:val="21"/>
          <w:highlight w:val="none"/>
          <w14:textFill>
            <w14:solidFill>
              <w14:schemeClr w14:val="tx1"/>
            </w14:solidFill>
          </w14:textFill>
        </w:rPr>
        <w:t>；</w:t>
      </w:r>
    </w:p>
    <w:p w14:paraId="6DB95115">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u w:val="single"/>
          <w14:textFill>
            <w14:solidFill>
              <w14:schemeClr w14:val="tx1"/>
            </w14:solidFill>
          </w14:textFill>
        </w:rPr>
        <w:t>6级以上的大风</w:t>
      </w:r>
      <w:r>
        <w:rPr>
          <w:rFonts w:hint="eastAsia" w:hAnsi="宋体" w:cs="宋体"/>
          <w:color w:val="000000" w:themeColor="text1"/>
          <w:szCs w:val="21"/>
          <w:highlight w:val="none"/>
          <w14:textFill>
            <w14:solidFill>
              <w14:schemeClr w14:val="tx1"/>
            </w14:solidFill>
          </w14:textFill>
        </w:rPr>
        <w:t>；</w:t>
      </w:r>
    </w:p>
    <w:p w14:paraId="7968953A">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u w:val="single"/>
          <w14:textFill>
            <w14:solidFill>
              <w14:schemeClr w14:val="tx1"/>
            </w14:solidFill>
          </w14:textFill>
        </w:rPr>
        <w:t>60mm以上持续4小时及以上的大雨</w:t>
      </w:r>
      <w:r>
        <w:rPr>
          <w:rFonts w:hint="eastAsia" w:hAnsi="宋体" w:cs="宋体"/>
          <w:color w:val="000000" w:themeColor="text1"/>
          <w:szCs w:val="21"/>
          <w:highlight w:val="none"/>
          <w14:textFill>
            <w14:solidFill>
              <w14:schemeClr w14:val="tx1"/>
            </w14:solidFill>
          </w14:textFill>
        </w:rPr>
        <w:t>；</w:t>
      </w:r>
    </w:p>
    <w:p w14:paraId="3C31C2FD">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w:t>
      </w:r>
      <w:r>
        <w:rPr>
          <w:rFonts w:hint="eastAsia" w:hAnsi="宋体" w:cs="宋体"/>
          <w:color w:val="000000" w:themeColor="text1"/>
          <w:szCs w:val="21"/>
          <w:highlight w:val="none"/>
          <w:u w:val="single"/>
          <w14:textFill>
            <w14:solidFill>
              <w14:schemeClr w14:val="tx1"/>
            </w14:solidFill>
          </w14:textFill>
        </w:rPr>
        <w:t>日最高温度40℃以上的高温天气</w:t>
      </w:r>
      <w:r>
        <w:rPr>
          <w:rFonts w:hint="eastAsia" w:hAnsi="宋体" w:cs="宋体"/>
          <w:color w:val="000000" w:themeColor="text1"/>
          <w:szCs w:val="21"/>
          <w:highlight w:val="none"/>
          <w14:textFill>
            <w14:solidFill>
              <w14:schemeClr w14:val="tx1"/>
            </w14:solidFill>
          </w14:textFill>
        </w:rPr>
        <w:t>；</w:t>
      </w:r>
    </w:p>
    <w:p w14:paraId="5C12338F">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u w:val="single"/>
          <w14:textFill>
            <w14:solidFill>
              <w14:schemeClr w14:val="tx1"/>
            </w14:solidFill>
          </w14:textFill>
        </w:rPr>
        <w:t>50年以上未发生过的严寒天气</w:t>
      </w:r>
      <w:r>
        <w:rPr>
          <w:rFonts w:hint="eastAsia" w:hAnsi="宋体" w:cs="宋体"/>
          <w:color w:val="000000" w:themeColor="text1"/>
          <w:szCs w:val="21"/>
          <w:highlight w:val="none"/>
          <w14:textFill>
            <w14:solidFill>
              <w14:schemeClr w14:val="tx1"/>
            </w14:solidFill>
          </w14:textFill>
        </w:rPr>
        <w:t>；</w:t>
      </w:r>
    </w:p>
    <w:p w14:paraId="4150D203">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b w:val="0"/>
          <w:bCs w:val="0"/>
          <w:color w:val="000000" w:themeColor="text1"/>
          <w:szCs w:val="21"/>
          <w:highlight w:val="none"/>
          <w14:textFill>
            <w14:solidFill>
              <w14:schemeClr w14:val="tx1"/>
            </w14:solidFill>
          </w14:textFill>
        </w:rPr>
        <w:t>（6）</w:t>
      </w:r>
      <w:r>
        <w:rPr>
          <w:rFonts w:hint="eastAsia" w:hAnsi="宋体" w:cs="宋体"/>
          <w:color w:val="000000" w:themeColor="text1"/>
          <w:szCs w:val="21"/>
          <w:highlight w:val="none"/>
          <w:u w:val="single"/>
          <w14:textFill>
            <w14:solidFill>
              <w14:schemeClr w14:val="tx1"/>
            </w14:solidFill>
          </w14:textFill>
        </w:rPr>
        <w:t>50年以上未发生过的洪水</w:t>
      </w:r>
      <w:r>
        <w:rPr>
          <w:rFonts w:hint="eastAsia" w:hAnsi="宋体" w:cs="宋体"/>
          <w:color w:val="000000" w:themeColor="text1"/>
          <w:szCs w:val="21"/>
          <w:highlight w:val="none"/>
          <w14:textFill>
            <w14:solidFill>
              <w14:schemeClr w14:val="tx1"/>
            </w14:solidFill>
          </w14:textFill>
        </w:rPr>
        <w:t>。</w:t>
      </w:r>
    </w:p>
    <w:p w14:paraId="5495877E">
      <w:pPr>
        <w:pStyle w:val="5"/>
        <w:ind w:firstLine="422" w:firstLineChars="200"/>
        <w:rPr>
          <w:rFonts w:ascii="宋体" w:hAnsi="宋体"/>
          <w:color w:val="000000" w:themeColor="text1"/>
          <w:sz w:val="21"/>
          <w:szCs w:val="21"/>
          <w:highlight w:val="none"/>
          <w14:textFill>
            <w14:solidFill>
              <w14:schemeClr w14:val="tx1"/>
            </w14:solidFill>
          </w14:textFill>
        </w:rPr>
      </w:pPr>
      <w:bookmarkStart w:id="457" w:name="_Toc373478377"/>
      <w:bookmarkStart w:id="458" w:name="_Toc114058869"/>
      <w:bookmarkStart w:id="459" w:name="_Toc389065296"/>
      <w:bookmarkStart w:id="460" w:name="_Toc407135232"/>
      <w:bookmarkStart w:id="461" w:name="_Toc78449818"/>
      <w:bookmarkStart w:id="462" w:name="_Toc373227730"/>
      <w:r>
        <w:rPr>
          <w:rFonts w:ascii="宋体" w:hAnsi="宋体"/>
          <w:color w:val="000000" w:themeColor="text1"/>
          <w:sz w:val="21"/>
          <w:szCs w:val="21"/>
          <w:highlight w:val="none"/>
          <w14:textFill>
            <w14:solidFill>
              <w14:schemeClr w14:val="tx1"/>
            </w14:solidFill>
          </w14:textFill>
        </w:rPr>
        <w:t>7.9</w:t>
      </w:r>
      <w:r>
        <w:rPr>
          <w:rFonts w:hint="eastAsia" w:ascii="宋体" w:hAnsi="宋体"/>
          <w:color w:val="000000" w:themeColor="text1"/>
          <w:sz w:val="21"/>
          <w:szCs w:val="21"/>
          <w:highlight w:val="none"/>
          <w14:textFill>
            <w14:solidFill>
              <w14:schemeClr w14:val="tx1"/>
            </w14:solidFill>
          </w14:textFill>
        </w:rPr>
        <w:t>提前竣工</w:t>
      </w:r>
      <w:bookmarkEnd w:id="457"/>
      <w:bookmarkEnd w:id="458"/>
      <w:bookmarkEnd w:id="459"/>
      <w:bookmarkEnd w:id="460"/>
      <w:bookmarkEnd w:id="461"/>
      <w:bookmarkEnd w:id="462"/>
    </w:p>
    <w:p w14:paraId="077BD4C7">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7.9.2</w:t>
      </w:r>
      <w:r>
        <w:rPr>
          <w:rFonts w:hint="eastAsia" w:hAnsi="宋体" w:cs="宋体"/>
          <w:color w:val="000000" w:themeColor="text1"/>
          <w:szCs w:val="21"/>
          <w:highlight w:val="none"/>
          <w14:textFill>
            <w14:solidFill>
              <w14:schemeClr w14:val="tx1"/>
            </w14:solidFill>
          </w14:textFill>
        </w:rPr>
        <w:t>提前竣工（赶工）增加费的计算方法：</w:t>
      </w:r>
      <w:r>
        <w:rPr>
          <w:rFonts w:hint="eastAsia"/>
          <w:color w:val="000000" w:themeColor="text1"/>
          <w:szCs w:val="21"/>
          <w:highlight w:val="none"/>
          <w:u w:val="single"/>
          <w14:textFill>
            <w14:solidFill>
              <w14:schemeClr w14:val="tx1"/>
            </w14:solidFill>
          </w14:textFill>
        </w:rPr>
        <w:t>无</w:t>
      </w:r>
      <w:r>
        <w:rPr>
          <w:rFonts w:hint="eastAsia" w:hAnsi="宋体" w:cs="宋体"/>
          <w:color w:val="000000" w:themeColor="text1"/>
          <w:szCs w:val="21"/>
          <w:highlight w:val="none"/>
          <w14:textFill>
            <w14:solidFill>
              <w14:schemeClr w14:val="tx1"/>
            </w14:solidFill>
          </w14:textFill>
        </w:rPr>
        <w:t>。</w:t>
      </w:r>
    </w:p>
    <w:p w14:paraId="349E8E44">
      <w:pPr>
        <w:pStyle w:val="4"/>
        <w:jc w:val="left"/>
        <w:rPr>
          <w:rFonts w:ascii="宋体" w:hAnsi="宋体" w:eastAsia="宋体"/>
          <w:color w:val="000000" w:themeColor="text1"/>
          <w:sz w:val="28"/>
          <w:szCs w:val="28"/>
          <w:highlight w:val="none"/>
          <w14:textFill>
            <w14:solidFill>
              <w14:schemeClr w14:val="tx1"/>
            </w14:solidFill>
          </w14:textFill>
        </w:rPr>
      </w:pPr>
      <w:bookmarkStart w:id="463" w:name="_Toc373227731"/>
      <w:bookmarkStart w:id="464" w:name="_Toc351203640"/>
      <w:bookmarkStart w:id="465" w:name="_Toc373478378"/>
      <w:bookmarkStart w:id="466" w:name="_Toc389065297"/>
      <w:bookmarkStart w:id="467" w:name="_Toc78449819"/>
      <w:bookmarkStart w:id="468" w:name="_Toc407135233"/>
      <w:bookmarkStart w:id="469" w:name="_Toc1995"/>
      <w:bookmarkStart w:id="470" w:name="_Toc114058870"/>
      <w:r>
        <w:rPr>
          <w:rFonts w:ascii="宋体" w:hAnsi="宋体" w:eastAsia="宋体"/>
          <w:color w:val="000000" w:themeColor="text1"/>
          <w:sz w:val="28"/>
          <w:szCs w:val="28"/>
          <w:highlight w:val="none"/>
          <w14:textFill>
            <w14:solidFill>
              <w14:schemeClr w14:val="tx1"/>
            </w14:solidFill>
          </w14:textFill>
        </w:rPr>
        <w:t>8.</w:t>
      </w:r>
      <w:r>
        <w:rPr>
          <w:rFonts w:hint="eastAsia" w:ascii="宋体" w:hAnsi="宋体" w:eastAsia="宋体"/>
          <w:color w:val="000000" w:themeColor="text1"/>
          <w:sz w:val="28"/>
          <w:szCs w:val="28"/>
          <w:highlight w:val="none"/>
          <w14:textFill>
            <w14:solidFill>
              <w14:schemeClr w14:val="tx1"/>
            </w14:solidFill>
          </w14:textFill>
        </w:rPr>
        <w:t>材料与设备</w:t>
      </w:r>
      <w:bookmarkEnd w:id="463"/>
      <w:bookmarkEnd w:id="464"/>
      <w:bookmarkEnd w:id="465"/>
      <w:bookmarkEnd w:id="466"/>
      <w:bookmarkEnd w:id="467"/>
      <w:bookmarkEnd w:id="468"/>
      <w:bookmarkEnd w:id="469"/>
      <w:bookmarkEnd w:id="470"/>
    </w:p>
    <w:bookmarkEnd w:id="318"/>
    <w:bookmarkEnd w:id="319"/>
    <w:bookmarkEnd w:id="320"/>
    <w:bookmarkEnd w:id="321"/>
    <w:bookmarkEnd w:id="322"/>
    <w:bookmarkEnd w:id="323"/>
    <w:bookmarkEnd w:id="324"/>
    <w:bookmarkEnd w:id="325"/>
    <w:bookmarkEnd w:id="326"/>
    <w:bookmarkEnd w:id="327"/>
    <w:p w14:paraId="41C4947B">
      <w:pPr>
        <w:pStyle w:val="5"/>
        <w:ind w:firstLine="422" w:firstLineChars="200"/>
        <w:rPr>
          <w:rFonts w:ascii="宋体" w:hAnsi="宋体"/>
          <w:color w:val="000000" w:themeColor="text1"/>
          <w:sz w:val="21"/>
          <w:szCs w:val="21"/>
          <w:highlight w:val="none"/>
          <w14:textFill>
            <w14:solidFill>
              <w14:schemeClr w14:val="tx1"/>
            </w14:solidFill>
          </w14:textFill>
        </w:rPr>
      </w:pPr>
      <w:bookmarkStart w:id="471" w:name="_Toc389065298"/>
      <w:bookmarkStart w:id="472" w:name="_Toc78449820"/>
      <w:bookmarkStart w:id="473" w:name="_Toc373478379"/>
      <w:bookmarkStart w:id="474" w:name="_Toc407135234"/>
      <w:bookmarkStart w:id="475" w:name="_Toc373227732"/>
      <w:bookmarkStart w:id="476" w:name="_Toc114058871"/>
      <w:r>
        <w:rPr>
          <w:rFonts w:ascii="宋体" w:hAnsi="宋体"/>
          <w:color w:val="000000" w:themeColor="text1"/>
          <w:sz w:val="21"/>
          <w:szCs w:val="21"/>
          <w:highlight w:val="none"/>
          <w14:textFill>
            <w14:solidFill>
              <w14:schemeClr w14:val="tx1"/>
            </w14:solidFill>
          </w14:textFill>
        </w:rPr>
        <w:t>8.2</w:t>
      </w:r>
      <w:r>
        <w:rPr>
          <w:rFonts w:hint="eastAsia" w:ascii="宋体" w:hAnsi="宋体"/>
          <w:color w:val="000000" w:themeColor="text1"/>
          <w:sz w:val="21"/>
          <w:szCs w:val="21"/>
          <w:highlight w:val="none"/>
          <w14:textFill>
            <w14:solidFill>
              <w14:schemeClr w14:val="tx1"/>
            </w14:solidFill>
          </w14:textFill>
        </w:rPr>
        <w:t>承包人采购材料与工程设备</w:t>
      </w:r>
      <w:bookmarkEnd w:id="471"/>
      <w:bookmarkEnd w:id="472"/>
      <w:bookmarkEnd w:id="473"/>
      <w:bookmarkEnd w:id="474"/>
      <w:bookmarkEnd w:id="475"/>
      <w:bookmarkEnd w:id="476"/>
    </w:p>
    <w:p w14:paraId="2D80FAFE">
      <w:pPr>
        <w:autoSpaceDE w:val="0"/>
        <w:autoSpaceDN w:val="0"/>
        <w:adjustRightInd w:val="0"/>
        <w:spacing w:line="360" w:lineRule="auto"/>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除已标价工程量清单《发包人提供主要材料和工程设备一览表》（表</w:t>
      </w:r>
      <w:r>
        <w:rPr>
          <w:color w:val="000000" w:themeColor="text1"/>
          <w:kern w:val="0"/>
          <w:szCs w:val="21"/>
          <w:highlight w:val="none"/>
          <w14:textFill>
            <w14:solidFill>
              <w14:schemeClr w14:val="tx1"/>
            </w14:solidFill>
          </w14:textFill>
        </w:rPr>
        <w:t>-21</w:t>
      </w:r>
      <w:r>
        <w:rPr>
          <w:rFonts w:hint="eastAsia" w:cs="宋体"/>
          <w:color w:val="000000" w:themeColor="text1"/>
          <w:kern w:val="0"/>
          <w:szCs w:val="21"/>
          <w:highlight w:val="none"/>
          <w14:textFill>
            <w14:solidFill>
              <w14:schemeClr w14:val="tx1"/>
            </w14:solidFill>
          </w14:textFill>
        </w:rPr>
        <w:t>）中明确的材料、工程设备外，由承包人负责材料和工程设备的采购、运输和保管。</w:t>
      </w:r>
      <w:bookmarkStart w:id="477" w:name="_Toc373227733"/>
      <w:bookmarkStart w:id="478" w:name="_Toc389065299"/>
      <w:bookmarkStart w:id="479" w:name="_Toc373478380"/>
    </w:p>
    <w:p w14:paraId="4829A09D">
      <w:pPr>
        <w:autoSpaceDE w:val="0"/>
        <w:autoSpaceDN w:val="0"/>
        <w:adjustRightInd w:val="0"/>
        <w:spacing w:line="360" w:lineRule="auto"/>
        <w:ind w:firstLine="420" w:firstLineChars="200"/>
        <w:jc w:val="left"/>
        <w:rPr>
          <w:rFonts w:cs="宋体"/>
          <w:color w:val="000000" w:themeColor="text1"/>
          <w:kern w:val="0"/>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对发包人在招标时有“参照或相当于</w:t>
      </w:r>
      <w:r>
        <w:rPr>
          <w:color w:val="000000" w:themeColor="text1"/>
          <w:szCs w:val="21"/>
          <w:highlight w:val="none"/>
          <w14:textFill>
            <w14:solidFill>
              <w14:schemeClr w14:val="tx1"/>
            </w14:solidFill>
          </w14:textFill>
        </w:rPr>
        <w:t>**</w:t>
      </w:r>
      <w:r>
        <w:rPr>
          <w:rFonts w:hint="eastAsia" w:cs="宋体"/>
          <w:color w:val="000000" w:themeColor="text1"/>
          <w:szCs w:val="21"/>
          <w:highlight w:val="none"/>
          <w14:textFill>
            <w14:solidFill>
              <w14:schemeClr w14:val="tx1"/>
            </w14:solidFill>
          </w14:textFill>
        </w:rPr>
        <w:t>品牌、级别”约定的材料或设备，承包人采购时必须按类似于或优于所约定品牌、等级进行采购，施工期间该部分材料或设备如未超过招标约定的风险幅度的</w:t>
      </w:r>
      <w:r>
        <w:rPr>
          <w:rFonts w:hint="eastAsia"/>
          <w:color w:val="000000" w:themeColor="text1"/>
          <w:szCs w:val="21"/>
          <w:highlight w:val="none"/>
          <w14:textFill>
            <w14:solidFill>
              <w14:schemeClr w14:val="tx1"/>
            </w14:solidFill>
          </w14:textFill>
        </w:rPr>
        <w:t>或</w:t>
      </w:r>
      <w:r>
        <w:rPr>
          <w:rFonts w:hint="eastAsia" w:ascii="宋体" w:hAnsi="宋体"/>
          <w:b/>
          <w:bCs/>
          <w:color w:val="000000" w:themeColor="text1"/>
          <w:szCs w:val="21"/>
          <w:highlight w:val="none"/>
          <w14:textFill>
            <w14:solidFill>
              <w14:schemeClr w14:val="tx1"/>
            </w14:solidFill>
          </w14:textFill>
        </w:rPr>
        <w:t>当发包人与承包人对采购文件所约定的材料有争议时，发包人有权要求承包人按采购文件有“参照或相当于”标明材料品牌的材料进行采购，</w:t>
      </w:r>
      <w:r>
        <w:rPr>
          <w:rFonts w:hint="eastAsia" w:cs="宋体"/>
          <w:color w:val="000000" w:themeColor="text1"/>
          <w:kern w:val="0"/>
          <w:szCs w:val="21"/>
          <w:highlight w:val="none"/>
          <w14:textFill>
            <w14:solidFill>
              <w14:schemeClr w14:val="tx1"/>
            </w14:solidFill>
          </w14:textFill>
        </w:rPr>
        <w:t>结算时按投标单价支付，不得调整。</w:t>
      </w:r>
    </w:p>
    <w:p w14:paraId="000385AC">
      <w:pPr>
        <w:autoSpaceDE w:val="0"/>
        <w:autoSpaceDN w:val="0"/>
        <w:adjustRightInd w:val="0"/>
        <w:spacing w:line="360" w:lineRule="auto"/>
        <w:ind w:firstLine="420" w:firstLineChars="200"/>
        <w:jc w:val="left"/>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对发包人在招标时，没有明确约定参照或相当于**品牌、档次的材料和设备，或双方对材料和设备选择有争议的，发包人有权要求承包人按不低于</w:t>
      </w:r>
      <w:r>
        <w:rPr>
          <w:rFonts w:hint="eastAsia" w:cs="宋体"/>
          <w:color w:val="000000" w:themeColor="text1"/>
          <w:kern w:val="0"/>
          <w:szCs w:val="21"/>
          <w:highlight w:val="none"/>
          <w:lang w:val="en-US" w:eastAsia="zh-CN"/>
          <w14:textFill>
            <w14:solidFill>
              <w14:schemeClr w14:val="tx1"/>
            </w14:solidFill>
          </w14:textFill>
        </w:rPr>
        <w:t>清单</w:t>
      </w:r>
      <w:r>
        <w:rPr>
          <w:rFonts w:hint="eastAsia" w:cs="宋体"/>
          <w:color w:val="000000" w:themeColor="text1"/>
          <w:kern w:val="0"/>
          <w:szCs w:val="21"/>
          <w:highlight w:val="none"/>
          <w14:textFill>
            <w14:solidFill>
              <w14:schemeClr w14:val="tx1"/>
            </w14:solidFill>
          </w14:textFill>
        </w:rPr>
        <w:t>相同细目的材料或设备进行采购，结算时按投标单价支付，不得调整。</w:t>
      </w:r>
    </w:p>
    <w:p w14:paraId="222BDAC6">
      <w:pPr>
        <w:autoSpaceDE w:val="0"/>
        <w:autoSpaceDN w:val="0"/>
        <w:adjustRightInd w:val="0"/>
        <w:spacing w:line="360" w:lineRule="auto"/>
        <w:ind w:firstLine="420" w:firstLineChars="200"/>
        <w:jc w:val="left"/>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禁止使用松木、松木包装材料设备、种子、苗木、花卉及繁殖材料。</w:t>
      </w:r>
    </w:p>
    <w:p w14:paraId="077495C2">
      <w:pPr>
        <w:autoSpaceDE w:val="0"/>
        <w:autoSpaceDN w:val="0"/>
        <w:adjustRightInd w:val="0"/>
        <w:spacing w:line="360" w:lineRule="auto"/>
        <w:ind w:firstLine="420" w:firstLineChars="200"/>
        <w:jc w:val="left"/>
        <w:rPr>
          <w:rFonts w:cs="宋体"/>
          <w:color w:val="000000" w:themeColor="text1"/>
          <w:kern w:val="0"/>
          <w:szCs w:val="21"/>
          <w:highlight w:val="none"/>
          <w14:textFill>
            <w14:solidFill>
              <w14:schemeClr w14:val="tx1"/>
            </w14:solidFill>
          </w14:textFill>
        </w:rPr>
      </w:pPr>
      <w:r>
        <w:rPr>
          <w:rFonts w:cs="宋体"/>
          <w:color w:val="000000" w:themeColor="text1"/>
          <w:kern w:val="0"/>
          <w:szCs w:val="21"/>
          <w:highlight w:val="none"/>
          <w14:textFill>
            <w14:solidFill>
              <w14:schemeClr w14:val="tx1"/>
            </w14:solidFill>
          </w14:textFill>
        </w:rPr>
        <w:t>满足南宁市城乡建设委员会南宁市工业和信息化委员会关于重新印发《南宁市城乡建设委员会和南宁市工业和信息化委员会关于推广应用高性能混凝土的通知》的通知（南建规【2016】1号）要求的，本工程必须使用高性能混凝土。</w:t>
      </w:r>
    </w:p>
    <w:p w14:paraId="1EA1DAC7">
      <w:pPr>
        <w:autoSpaceDE w:val="0"/>
        <w:autoSpaceDN w:val="0"/>
        <w:adjustRightInd w:val="0"/>
        <w:spacing w:line="360" w:lineRule="auto"/>
        <w:ind w:firstLine="420" w:firstLineChars="200"/>
        <w:jc w:val="left"/>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满足南宁市人民政府印发的《南宁市人民政府关于推广使用预拌砂浆的实施意见》（南府规〔</w:t>
      </w:r>
      <w:r>
        <w:rPr>
          <w:rFonts w:cs="宋体"/>
          <w:color w:val="000000" w:themeColor="text1"/>
          <w:kern w:val="0"/>
          <w:szCs w:val="21"/>
          <w:highlight w:val="none"/>
          <w14:textFill>
            <w14:solidFill>
              <w14:schemeClr w14:val="tx1"/>
            </w14:solidFill>
          </w14:textFill>
        </w:rPr>
        <w:t>2016</w:t>
      </w:r>
      <w:r>
        <w:rPr>
          <w:rFonts w:hint="eastAsia" w:cs="宋体"/>
          <w:color w:val="000000" w:themeColor="text1"/>
          <w:kern w:val="0"/>
          <w:szCs w:val="21"/>
          <w:highlight w:val="none"/>
          <w14:textFill>
            <w14:solidFill>
              <w14:schemeClr w14:val="tx1"/>
            </w14:solidFill>
          </w14:textFill>
        </w:rPr>
        <w:t>〕</w:t>
      </w:r>
      <w:r>
        <w:rPr>
          <w:rFonts w:cs="宋体"/>
          <w:color w:val="000000" w:themeColor="text1"/>
          <w:kern w:val="0"/>
          <w:szCs w:val="21"/>
          <w:highlight w:val="none"/>
          <w14:textFill>
            <w14:solidFill>
              <w14:schemeClr w14:val="tx1"/>
            </w14:solidFill>
          </w14:textFill>
        </w:rPr>
        <w:t xml:space="preserve">12 </w:t>
      </w:r>
      <w:r>
        <w:rPr>
          <w:rFonts w:hint="eastAsia" w:cs="宋体"/>
          <w:color w:val="000000" w:themeColor="text1"/>
          <w:kern w:val="0"/>
          <w:szCs w:val="21"/>
          <w:highlight w:val="none"/>
          <w14:textFill>
            <w14:solidFill>
              <w14:schemeClr w14:val="tx1"/>
            </w14:solidFill>
          </w14:textFill>
        </w:rPr>
        <w:t>号）要求的，本工程必须使用预拌砂浆。</w:t>
      </w:r>
    </w:p>
    <w:p w14:paraId="4252D554">
      <w:pPr>
        <w:autoSpaceDE w:val="0"/>
        <w:autoSpaceDN w:val="0"/>
        <w:adjustRightInd w:val="0"/>
        <w:spacing w:line="360" w:lineRule="auto"/>
        <w:ind w:firstLine="420" w:firstLineChars="200"/>
        <w:jc w:val="left"/>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满足《南宁市松材线虫病防控工作领导小组工作制度》要求，要求涉木产品供货商对应施检疫的产品提供《植物检疫证书》；涉及松木质包装材料的，积极配合林业部门做好检疫工作。</w:t>
      </w:r>
    </w:p>
    <w:p w14:paraId="7ECECF37">
      <w:pPr>
        <w:widowControl/>
        <w:shd w:val="clear" w:color="auto" w:fill="FFFFFF"/>
        <w:spacing w:line="360" w:lineRule="auto"/>
        <w:ind w:firstLine="420"/>
        <w:jc w:val="left"/>
        <w:rPr>
          <w:rFonts w:ascii="宋体" w:hAnsi="宋体"/>
          <w:b/>
          <w:bCs/>
          <w:color w:val="000000" w:themeColor="text1"/>
          <w:kern w:val="44"/>
          <w:szCs w:val="21"/>
          <w:highlight w:val="none"/>
          <w:shd w:val="clear" w:color="auto" w:fill="FFFFFF"/>
          <w14:textFill>
            <w14:solidFill>
              <w14:schemeClr w14:val="tx1"/>
            </w14:solidFill>
          </w14:textFill>
        </w:rPr>
      </w:pPr>
      <w:r>
        <w:rPr>
          <w:rFonts w:hint="eastAsia" w:ascii="宋体" w:hAnsi="宋体"/>
          <w:b/>
          <w:bCs/>
          <w:color w:val="000000" w:themeColor="text1"/>
          <w:kern w:val="44"/>
          <w:szCs w:val="21"/>
          <w:highlight w:val="none"/>
          <w:shd w:val="clear" w:color="auto" w:fill="FFFFFF"/>
          <w14:textFill>
            <w14:solidFill>
              <w14:schemeClr w14:val="tx1"/>
            </w14:solidFill>
          </w14:textFill>
        </w:rPr>
        <w:t>8.2.1由承包人采购、供应的材料，承包人需提前三天向监理人及发包人报验并提供详细进货清单，进货清单应含有所进货物的品牌、规格、型号、数量及质量等级等内容，待监理人及发包人回复同意后方可进货，若承包人材料进场前未报验、进场材料与报验材料不符及进场材料为假冒伪劣材料的，每发生一例，承包人应向发包人支付违约金30000元。该款项直接从工程进度款中扣除，无需经承包人同意，承包人还应无条件负责将材料退场，并承担由此产生的一切费用及责任，由此延误的工期不予顺延。</w:t>
      </w:r>
    </w:p>
    <w:p w14:paraId="5EF07574">
      <w:pPr>
        <w:widowControl/>
        <w:shd w:val="clear" w:color="auto" w:fill="FFFFFF"/>
        <w:spacing w:line="360" w:lineRule="auto"/>
        <w:ind w:firstLine="420"/>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kern w:val="44"/>
          <w:szCs w:val="21"/>
          <w:highlight w:val="none"/>
          <w:shd w:val="clear" w:color="auto" w:fill="FFFFFF"/>
          <w14:textFill>
            <w14:solidFill>
              <w14:schemeClr w14:val="tx1"/>
            </w14:solidFill>
          </w14:textFill>
        </w:rPr>
        <w:t>8.2.2承包人采购材料进场同时，需提供与报验相同的产品合格证及相关检测报告，若不能提供的，该批材料按不合格产品清退出场，并按8.2.1条处理。</w:t>
      </w:r>
    </w:p>
    <w:p w14:paraId="49D6C260">
      <w:pPr>
        <w:pStyle w:val="5"/>
        <w:ind w:firstLine="422" w:firstLineChars="200"/>
        <w:rPr>
          <w:rFonts w:ascii="宋体" w:hAnsi="宋体"/>
          <w:color w:val="000000" w:themeColor="text1"/>
          <w:sz w:val="21"/>
          <w:szCs w:val="21"/>
          <w:highlight w:val="none"/>
          <w14:textFill>
            <w14:solidFill>
              <w14:schemeClr w14:val="tx1"/>
            </w14:solidFill>
          </w14:textFill>
        </w:rPr>
      </w:pPr>
      <w:bookmarkStart w:id="480" w:name="_Toc78449821"/>
      <w:bookmarkStart w:id="481" w:name="_Toc407135235"/>
      <w:bookmarkStart w:id="482" w:name="_Toc114058872"/>
      <w:r>
        <w:rPr>
          <w:rFonts w:ascii="宋体" w:hAnsi="宋体"/>
          <w:color w:val="000000" w:themeColor="text1"/>
          <w:sz w:val="21"/>
          <w:szCs w:val="21"/>
          <w:highlight w:val="none"/>
          <w14:textFill>
            <w14:solidFill>
              <w14:schemeClr w14:val="tx1"/>
            </w14:solidFill>
          </w14:textFill>
        </w:rPr>
        <w:t>8</w:t>
      </w:r>
      <w:bookmarkStart w:id="483" w:name="_Toc296944506"/>
      <w:bookmarkStart w:id="484" w:name="_Toc312677493"/>
      <w:bookmarkStart w:id="485" w:name="_Toc296346668"/>
      <w:bookmarkStart w:id="486" w:name="_Toc297123527"/>
      <w:bookmarkStart w:id="487" w:name="_Toc300934979"/>
      <w:bookmarkStart w:id="488" w:name="_Toc296347166"/>
      <w:bookmarkStart w:id="489" w:name="_Toc296890995"/>
      <w:bookmarkStart w:id="490" w:name="_Toc296503167"/>
      <w:bookmarkStart w:id="491" w:name="_Toc303539136"/>
      <w:bookmarkStart w:id="492" w:name="_Toc297120467"/>
      <w:bookmarkStart w:id="493" w:name="_Toc312678019"/>
      <w:bookmarkStart w:id="494" w:name="_Toc304295556"/>
      <w:bookmarkStart w:id="495" w:name="_Toc297048353"/>
      <w:bookmarkStart w:id="496" w:name="_Toc280868654"/>
      <w:bookmarkStart w:id="497" w:name="_Toc292559372"/>
      <w:bookmarkStart w:id="498" w:name="_Toc292559877"/>
      <w:bookmarkStart w:id="499" w:name="_Toc297216186"/>
      <w:bookmarkStart w:id="500" w:name="_Toc296891207"/>
      <w:bookmarkStart w:id="501" w:name="_Toc280868656"/>
      <w:bookmarkStart w:id="502" w:name="_Toc267251424"/>
      <w:bookmarkStart w:id="503" w:name="_Toc280868655"/>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材料与工程设备的保管与使用</w:t>
      </w:r>
      <w:bookmarkEnd w:id="477"/>
      <w:bookmarkEnd w:id="478"/>
      <w:bookmarkEnd w:id="479"/>
      <w:bookmarkEnd w:id="480"/>
      <w:bookmarkEnd w:id="481"/>
      <w:bookmarkEnd w:id="482"/>
    </w:p>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14:paraId="4EEBB18B">
      <w:pPr>
        <w:spacing w:line="360" w:lineRule="auto"/>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8</w:t>
      </w:r>
      <w:bookmarkStart w:id="504" w:name="_Toc292559878"/>
      <w:bookmarkStart w:id="505" w:name="_Toc292559373"/>
      <w:bookmarkStart w:id="506" w:name="_Toc312678020"/>
      <w:bookmarkStart w:id="507" w:name="_Toc296944507"/>
      <w:bookmarkStart w:id="508" w:name="_Toc296891208"/>
      <w:bookmarkStart w:id="509" w:name="_Toc300934980"/>
      <w:bookmarkStart w:id="510" w:name="_Toc318581173"/>
      <w:bookmarkStart w:id="511" w:name="_Toc312677494"/>
      <w:bookmarkStart w:id="512" w:name="_Toc296503168"/>
      <w:bookmarkStart w:id="513" w:name="_Toc296890996"/>
      <w:bookmarkStart w:id="514" w:name="_Toc297216187"/>
      <w:bookmarkStart w:id="515" w:name="_Toc297048354"/>
      <w:bookmarkStart w:id="516" w:name="_Toc304295557"/>
      <w:bookmarkStart w:id="517" w:name="_Toc297123528"/>
      <w:bookmarkStart w:id="518" w:name="_Toc296347167"/>
      <w:bookmarkStart w:id="519" w:name="_Toc296346669"/>
      <w:bookmarkStart w:id="520" w:name="_Toc297120468"/>
      <w:bookmarkStart w:id="521" w:name="_Toc303539137"/>
      <w:r>
        <w:rPr>
          <w:color w:val="000000" w:themeColor="text1"/>
          <w:szCs w:val="21"/>
          <w:highlight w:val="none"/>
          <w14:textFill>
            <w14:solidFill>
              <w14:schemeClr w14:val="tx1"/>
            </w14:solidFill>
          </w14:textFill>
        </w:rPr>
        <w:t>.4.1</w:t>
      </w:r>
      <w:r>
        <w:rPr>
          <w:rFonts w:hint="eastAsia" w:hAnsi="宋体" w:cs="宋体"/>
          <w:color w:val="000000" w:themeColor="text1"/>
          <w:szCs w:val="21"/>
          <w:highlight w:val="none"/>
          <w14:textFill>
            <w14:solidFill>
              <w14:schemeClr w14:val="tx1"/>
            </w14:solidFill>
          </w14:textFill>
        </w:rPr>
        <w:t>发包人供应的材料设备的保管费用的承担：</w:t>
      </w:r>
      <w:r>
        <w:rPr>
          <w:rFonts w:hint="eastAsia"/>
          <w:color w:val="000000" w:themeColor="text1"/>
          <w:szCs w:val="21"/>
          <w:highlight w:val="none"/>
          <w:u w:val="single"/>
          <w14:textFill>
            <w14:solidFill>
              <w14:schemeClr w14:val="tx1"/>
            </w14:solidFill>
          </w14:textFill>
        </w:rPr>
        <w:t>由发包人供应给承包人施工使用的材料、设备，保管费由承包人承担</w:t>
      </w:r>
      <w:r>
        <w:rPr>
          <w:rFonts w:hint="eastAsia" w:hAnsi="宋体" w:cs="宋体"/>
          <w:color w:val="000000" w:themeColor="text1"/>
          <w:szCs w:val="21"/>
          <w:highlight w:val="none"/>
          <w14:textFill>
            <w14:solidFill>
              <w14:schemeClr w14:val="tx1"/>
            </w14:solidFill>
          </w14:textFill>
        </w:rPr>
        <w:t>。</w:t>
      </w:r>
    </w:p>
    <w:bookmarkEnd w:id="504"/>
    <w:bookmarkEnd w:id="505"/>
    <w:p w14:paraId="43070513">
      <w:pPr>
        <w:pStyle w:val="5"/>
        <w:ind w:firstLine="422" w:firstLineChars="200"/>
        <w:rPr>
          <w:rFonts w:ascii="宋体" w:hAnsi="宋体"/>
          <w:color w:val="000000" w:themeColor="text1"/>
          <w:sz w:val="21"/>
          <w:szCs w:val="21"/>
          <w:highlight w:val="none"/>
          <w14:textFill>
            <w14:solidFill>
              <w14:schemeClr w14:val="tx1"/>
            </w14:solidFill>
          </w14:textFill>
        </w:rPr>
      </w:pPr>
      <w:bookmarkStart w:id="522" w:name="_Toc373227734"/>
      <w:bookmarkStart w:id="523" w:name="_Toc389065300"/>
      <w:bookmarkStart w:id="524" w:name="_Toc78449822"/>
      <w:bookmarkStart w:id="525" w:name="_Toc373478381"/>
      <w:bookmarkStart w:id="526" w:name="_Toc407135236"/>
      <w:bookmarkStart w:id="527" w:name="_Toc114058873"/>
      <w:r>
        <w:rPr>
          <w:rFonts w:ascii="宋体" w:hAnsi="宋体"/>
          <w:color w:val="000000" w:themeColor="text1"/>
          <w:sz w:val="21"/>
          <w:szCs w:val="21"/>
          <w:highlight w:val="none"/>
          <w14:textFill>
            <w14:solidFill>
              <w14:schemeClr w14:val="tx1"/>
            </w14:solidFill>
          </w14:textFill>
        </w:rPr>
        <w:t>8.6</w:t>
      </w:r>
      <w:r>
        <w:rPr>
          <w:rFonts w:hint="eastAsia" w:ascii="宋体" w:hAnsi="宋体"/>
          <w:color w:val="000000" w:themeColor="text1"/>
          <w:sz w:val="21"/>
          <w:szCs w:val="21"/>
          <w:highlight w:val="none"/>
          <w14:textFill>
            <w14:solidFill>
              <w14:schemeClr w14:val="tx1"/>
            </w14:solidFill>
          </w14:textFill>
        </w:rPr>
        <w:t>样品</w:t>
      </w:r>
      <w:bookmarkEnd w:id="522"/>
      <w:bookmarkEnd w:id="523"/>
      <w:bookmarkEnd w:id="524"/>
      <w:bookmarkEnd w:id="525"/>
      <w:bookmarkEnd w:id="526"/>
      <w:bookmarkEnd w:id="527"/>
    </w:p>
    <w:p w14:paraId="7F5A9319">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8.6.1</w:t>
      </w:r>
      <w:r>
        <w:rPr>
          <w:rFonts w:hint="eastAsia" w:hAnsi="宋体" w:cs="宋体"/>
          <w:color w:val="000000" w:themeColor="text1"/>
          <w:kern w:val="0"/>
          <w:szCs w:val="21"/>
          <w:highlight w:val="none"/>
          <w14:textFill>
            <w14:solidFill>
              <w14:schemeClr w14:val="tx1"/>
            </w14:solidFill>
          </w14:textFill>
        </w:rPr>
        <w:t>样品的报送与封存</w:t>
      </w:r>
    </w:p>
    <w:p w14:paraId="50CA272F">
      <w:pPr>
        <w:widowControl/>
        <w:shd w:val="clear" w:color="auto" w:fill="FFFFFF"/>
        <w:spacing w:line="360" w:lineRule="auto"/>
        <w:ind w:firstLine="420"/>
        <w:jc w:val="left"/>
        <w:rPr>
          <w:rFonts w:ascii="宋体" w:hAnsi="宋体"/>
          <w:color w:val="000000" w:themeColor="text1"/>
          <w:kern w:val="44"/>
          <w:szCs w:val="21"/>
          <w:highlight w:val="none"/>
          <w:shd w:val="clear" w:color="auto" w:fill="FFFFFF"/>
          <w14:textFill>
            <w14:solidFill>
              <w14:schemeClr w14:val="tx1"/>
            </w14:solidFill>
          </w14:textFill>
        </w:rPr>
      </w:pPr>
      <w:r>
        <w:rPr>
          <w:rFonts w:hint="eastAsia" w:ascii="宋体" w:hAnsi="宋体"/>
          <w:bCs/>
          <w:color w:val="000000" w:themeColor="text1"/>
          <w:kern w:val="44"/>
          <w:szCs w:val="21"/>
          <w:highlight w:val="none"/>
          <w:shd w:val="clear" w:color="auto" w:fill="FFFFFF"/>
          <w14:textFill>
            <w14:solidFill>
              <w14:schemeClr w14:val="tx1"/>
            </w14:solidFill>
          </w14:textFill>
        </w:rPr>
        <w:t>需要承包人报送样品的材料或工程设备，样品的种类、名称、规格、数量要求：</w:t>
      </w:r>
      <w:r>
        <w:rPr>
          <w:rFonts w:hint="eastAsia" w:ascii="宋体" w:hAnsi="宋体"/>
          <w:color w:val="000000" w:themeColor="text1"/>
          <w:kern w:val="44"/>
          <w:szCs w:val="21"/>
          <w:highlight w:val="none"/>
          <w:u w:val="single"/>
          <w:shd w:val="clear" w:color="auto" w:fill="FFFFFF"/>
          <w14:textFill>
            <w14:solidFill>
              <w14:schemeClr w14:val="tx1"/>
            </w14:solidFill>
          </w14:textFill>
        </w:rPr>
        <w:t>主要材料涉及品种、款式、颜色等方面内容的，承包人应提交拟选用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r>
        <w:rPr>
          <w:rFonts w:hint="eastAsia" w:ascii="宋体" w:hAnsi="宋体"/>
          <w:color w:val="000000" w:themeColor="text1"/>
          <w:kern w:val="44"/>
          <w:szCs w:val="21"/>
          <w:highlight w:val="none"/>
          <w:shd w:val="clear" w:color="auto" w:fill="FFFFFF"/>
          <w14:textFill>
            <w14:solidFill>
              <w14:schemeClr w14:val="tx1"/>
            </w14:solidFill>
          </w14:textFill>
        </w:rPr>
        <w:t>。</w:t>
      </w:r>
    </w:p>
    <w:p w14:paraId="764E0EB6">
      <w:pPr>
        <w:pStyle w:val="5"/>
        <w:ind w:firstLine="422" w:firstLineChars="200"/>
        <w:rPr>
          <w:rFonts w:ascii="宋体" w:hAnsi="宋体"/>
          <w:color w:val="000000" w:themeColor="text1"/>
          <w:sz w:val="21"/>
          <w:szCs w:val="21"/>
          <w:highlight w:val="none"/>
          <w14:textFill>
            <w14:solidFill>
              <w14:schemeClr w14:val="tx1"/>
            </w14:solidFill>
          </w14:textFill>
        </w:rPr>
      </w:pPr>
      <w:bookmarkStart w:id="528" w:name="_Toc78449823"/>
      <w:bookmarkStart w:id="529" w:name="_Toc407135237"/>
      <w:bookmarkStart w:id="530" w:name="_Toc373227735"/>
      <w:bookmarkStart w:id="531" w:name="_Toc389065301"/>
      <w:bookmarkStart w:id="532" w:name="_Toc114058874"/>
      <w:bookmarkStart w:id="533" w:name="_Toc373478382"/>
      <w:r>
        <w:rPr>
          <w:rFonts w:ascii="宋体" w:hAnsi="宋体"/>
          <w:color w:val="000000" w:themeColor="text1"/>
          <w:sz w:val="21"/>
          <w:szCs w:val="21"/>
          <w:highlight w:val="none"/>
          <w14:textFill>
            <w14:solidFill>
              <w14:schemeClr w14:val="tx1"/>
            </w14:solidFill>
          </w14:textFill>
        </w:rPr>
        <w:t>8.8</w:t>
      </w:r>
      <w:r>
        <w:rPr>
          <w:rFonts w:hint="eastAsia" w:ascii="宋体" w:hAnsi="宋体"/>
          <w:color w:val="000000" w:themeColor="text1"/>
          <w:sz w:val="21"/>
          <w:szCs w:val="21"/>
          <w:highlight w:val="none"/>
          <w14:textFill>
            <w14:solidFill>
              <w14:schemeClr w14:val="tx1"/>
            </w14:solidFill>
          </w14:textFill>
        </w:rPr>
        <w:t>施工设备和临时设施</w:t>
      </w:r>
      <w:bookmarkEnd w:id="528"/>
      <w:bookmarkEnd w:id="529"/>
      <w:bookmarkEnd w:id="530"/>
      <w:bookmarkEnd w:id="531"/>
      <w:bookmarkEnd w:id="532"/>
      <w:bookmarkEnd w:id="533"/>
    </w:p>
    <w:p w14:paraId="2B9757C0">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8.8.1</w:t>
      </w:r>
      <w:r>
        <w:rPr>
          <w:rFonts w:hint="eastAsia" w:hAnsi="宋体" w:cs="宋体"/>
          <w:color w:val="000000" w:themeColor="text1"/>
          <w:szCs w:val="21"/>
          <w:highlight w:val="none"/>
          <w14:textFill>
            <w14:solidFill>
              <w14:schemeClr w14:val="tx1"/>
            </w14:solidFill>
          </w14:textFill>
        </w:rPr>
        <w:t>承包人提供的施工设备和临时设施</w:t>
      </w:r>
    </w:p>
    <w:p w14:paraId="680E2F7F">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b/>
          <w:bCs/>
          <w:color w:val="000000" w:themeColor="text1"/>
          <w:highlight w:val="none"/>
          <w:u w:val="single"/>
          <w14:textFill>
            <w14:solidFill>
              <w14:schemeClr w14:val="tx1"/>
            </w14:solidFill>
          </w14:textFill>
        </w:rPr>
        <w:t>免费提供给发包人、监理工程师和其他合同段的承包人使用。</w:t>
      </w:r>
      <w:r>
        <w:rPr>
          <w:rFonts w:hint="eastAsia" w:ascii="宋体" w:hAnsi="宋体" w:cs="宋体"/>
          <w:color w:val="000000" w:themeColor="text1"/>
          <w:szCs w:val="21"/>
          <w:highlight w:val="none"/>
          <w14:textFill>
            <w14:solidFill>
              <w14:schemeClr w14:val="tx1"/>
            </w14:solidFill>
          </w14:textFill>
        </w:rPr>
        <w:t>承包人用于本工程的主要机械设备清单见合同附件4。</w:t>
      </w:r>
    </w:p>
    <w:p w14:paraId="034117AC">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关于修建临时设施费用承担的约定：</w:t>
      </w:r>
    </w:p>
    <w:p w14:paraId="7335D09D">
      <w:pPr>
        <w:numPr>
          <w:ilvl w:val="0"/>
          <w:numId w:val="4"/>
        </w:numPr>
        <w:autoSpaceDE w:val="0"/>
        <w:autoSpaceDN w:val="0"/>
        <w:adjustRightInd w:val="0"/>
        <w:spacing w:line="360" w:lineRule="auto"/>
        <w:ind w:firstLine="420" w:firstLineChars="200"/>
        <w:jc w:val="left"/>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除专用合同条款另有约定外，</w:t>
      </w:r>
      <w:r>
        <w:rPr>
          <w:rFonts w:hint="eastAsia" w:ascii="宋体" w:hAnsi="宋体" w:cs="宋体"/>
          <w:color w:val="000000" w:themeColor="text1"/>
          <w:szCs w:val="21"/>
          <w:highlight w:val="none"/>
          <w:u w:val="single"/>
          <w14:textFill>
            <w14:solidFill>
              <w14:schemeClr w14:val="tx1"/>
            </w14:solidFill>
          </w14:textFill>
        </w:rPr>
        <w:t>承包人的临时用地（含项目部驻地等）租用费（含拆迁补偿）、临时用地的环保、恢复、临时用地的青苗补偿及地面附着物拆除等费用均由承包人负责</w:t>
      </w:r>
      <w:r>
        <w:rPr>
          <w:rFonts w:hint="eastAsia" w:hAnsi="宋体"/>
          <w:color w:val="000000" w:themeColor="text1"/>
          <w:szCs w:val="21"/>
          <w:highlight w:val="none"/>
          <w:u w:val="single"/>
          <w14:textFill>
            <w14:solidFill>
              <w14:schemeClr w14:val="tx1"/>
            </w14:solidFill>
          </w14:textFill>
        </w:rPr>
        <w:t>，费用在投标报价中综合考虑。</w:t>
      </w:r>
    </w:p>
    <w:p w14:paraId="7290FA8A">
      <w:pPr>
        <w:autoSpaceDE w:val="0"/>
        <w:autoSpaceDN w:val="0"/>
        <w:adjustRightInd w:val="0"/>
        <w:spacing w:line="360" w:lineRule="auto"/>
        <w:ind w:firstLine="420" w:firstLineChars="200"/>
        <w:jc w:val="left"/>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none"/>
          <w14:textFill>
            <w14:solidFill>
              <w14:schemeClr w14:val="tx1"/>
            </w14:solidFill>
          </w14:textFill>
        </w:rPr>
        <w:t>（2）</w:t>
      </w:r>
      <w:r>
        <w:rPr>
          <w:rFonts w:hint="eastAsia" w:hAnsi="宋体"/>
          <w:color w:val="000000" w:themeColor="text1"/>
          <w:szCs w:val="21"/>
          <w:highlight w:val="none"/>
          <w:u w:val="single"/>
          <w14:textFill>
            <w14:solidFill>
              <w14:schemeClr w14:val="tx1"/>
            </w14:solidFill>
          </w14:textFill>
        </w:rPr>
        <w:t>承包人负责合同实施期间其合同段内临时交通道路（含场内外连接公共交通道路）和交通设施的修建、维修、养护和交通管理工作，并承担一切费用。</w:t>
      </w:r>
    </w:p>
    <w:p w14:paraId="3EE87971">
      <w:pPr>
        <w:autoSpaceDE w:val="0"/>
        <w:autoSpaceDN w:val="0"/>
        <w:adjustRightInd w:val="0"/>
        <w:spacing w:line="360" w:lineRule="auto"/>
        <w:ind w:firstLine="420" w:firstLineChars="200"/>
        <w:jc w:val="left"/>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none"/>
          <w14:textFill>
            <w14:solidFill>
              <w14:schemeClr w14:val="tx1"/>
            </w14:solidFill>
          </w14:textFill>
        </w:rPr>
        <w:t>（3）</w:t>
      </w:r>
      <w:r>
        <w:rPr>
          <w:rFonts w:hint="eastAsia" w:hAnsi="宋体"/>
          <w:color w:val="000000" w:themeColor="text1"/>
          <w:szCs w:val="21"/>
          <w:highlight w:val="none"/>
          <w:u w:val="single"/>
          <w14:textFill>
            <w14:solidFill>
              <w14:schemeClr w14:val="tx1"/>
            </w14:solidFill>
          </w14:textFill>
        </w:rPr>
        <w:t>承包人修建的临时道路和交通设施，应免费提供给发包人、监理人和其他合同段的承包人使用，如共同使用的路基损坏严重，发包人或监理人将负责通知有关承包人共同出资修复，若使用频率相差悬殊，则按比例分摊。</w:t>
      </w:r>
    </w:p>
    <w:p w14:paraId="7787C0E2">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8.8.2</w:t>
      </w:r>
      <w:r>
        <w:rPr>
          <w:rFonts w:hint="eastAsia" w:hAnsi="宋体" w:cs="宋体"/>
          <w:color w:val="000000" w:themeColor="text1"/>
          <w:szCs w:val="21"/>
          <w:highlight w:val="none"/>
          <w14:textFill>
            <w14:solidFill>
              <w14:schemeClr w14:val="tx1"/>
            </w14:solidFill>
          </w14:textFill>
        </w:rPr>
        <w:t>发包人提供的施工设备和临时设施</w:t>
      </w:r>
    </w:p>
    <w:p w14:paraId="2DFFA054">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发包人提供的施工设备和临时设施：</w:t>
      </w:r>
      <w:r>
        <w:rPr>
          <w:rFonts w:hint="eastAsia" w:ascii="宋体" w:hAnsi="宋体" w:cs="宋体"/>
          <w:bCs/>
          <w:color w:val="000000" w:themeColor="text1"/>
          <w:szCs w:val="21"/>
          <w:highlight w:val="none"/>
          <w:u w:val="singl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除专用合同条款另有约定的其他独立承包人和监理人指示的他人提供条件外，承包人运入施工场地的所有施工设备以及在施工场地建设的临时设施仅限于用本合同工程</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u w:val="single"/>
          <w14:textFill>
            <w14:solidFill>
              <w14:schemeClr w14:val="tx1"/>
            </w14:solidFill>
          </w14:textFill>
        </w:rPr>
        <w:t>塔吊和井架免费提供给发包人监理工程师用于本工程项目相关配套工程</w:t>
      </w:r>
      <w:r>
        <w:rPr>
          <w:rFonts w:hint="eastAsia" w:ascii="宋体" w:hAnsi="宋体" w:cs="宋体"/>
          <w:color w:val="000000" w:themeColor="text1"/>
          <w:szCs w:val="21"/>
          <w:highlight w:val="none"/>
          <w14:textFill>
            <w14:solidFill>
              <w14:schemeClr w14:val="tx1"/>
            </w14:solidFill>
          </w14:textFill>
        </w:rPr>
        <w:t>。</w:t>
      </w:r>
    </w:p>
    <w:p w14:paraId="42B684AA">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发包人提供的施工设备和临时设施的运行、维护、拆除、清运费用的承担人：</w:t>
      </w:r>
      <w:r>
        <w:rPr>
          <w:rFonts w:hint="eastAsia" w:ascii="宋体" w:hAnsi="宋体"/>
          <w:color w:val="000000" w:themeColor="text1"/>
          <w:szCs w:val="21"/>
          <w:highlight w:val="none"/>
          <w:u w:val="single"/>
          <w14:textFill>
            <w14:solidFill>
              <w14:schemeClr w14:val="tx1"/>
            </w14:solidFill>
          </w14:textFill>
        </w:rPr>
        <w:t>承包人</w:t>
      </w:r>
      <w:r>
        <w:rPr>
          <w:rFonts w:hint="eastAsia" w:hAnsi="宋体" w:cs="宋体"/>
          <w:color w:val="000000" w:themeColor="text1"/>
          <w:szCs w:val="21"/>
          <w:highlight w:val="none"/>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6F0C58E7">
      <w:pPr>
        <w:pStyle w:val="4"/>
        <w:jc w:val="left"/>
        <w:rPr>
          <w:rFonts w:ascii="宋体" w:hAnsi="宋体" w:eastAsia="宋体"/>
          <w:color w:val="000000" w:themeColor="text1"/>
          <w:sz w:val="28"/>
          <w:szCs w:val="28"/>
          <w:highlight w:val="none"/>
          <w14:textFill>
            <w14:solidFill>
              <w14:schemeClr w14:val="tx1"/>
            </w14:solidFill>
          </w14:textFill>
        </w:rPr>
      </w:pPr>
      <w:bookmarkStart w:id="534" w:name="_Toc373227736"/>
      <w:bookmarkStart w:id="535" w:name="_Toc389065302"/>
      <w:bookmarkStart w:id="536" w:name="_Toc15280"/>
      <w:bookmarkStart w:id="537" w:name="_Toc351203641"/>
      <w:bookmarkStart w:id="538" w:name="_Toc78449824"/>
      <w:bookmarkStart w:id="539" w:name="_Toc114058875"/>
      <w:bookmarkStart w:id="540" w:name="_Toc373478383"/>
      <w:bookmarkStart w:id="541" w:name="_Toc407135238"/>
      <w:r>
        <w:rPr>
          <w:rFonts w:ascii="宋体" w:hAnsi="宋体" w:eastAsia="宋体"/>
          <w:color w:val="000000" w:themeColor="text1"/>
          <w:sz w:val="28"/>
          <w:szCs w:val="28"/>
          <w:highlight w:val="none"/>
          <w14:textFill>
            <w14:solidFill>
              <w14:schemeClr w14:val="tx1"/>
            </w14:solidFill>
          </w14:textFill>
        </w:rPr>
        <w:t>9</w:t>
      </w:r>
      <w:bookmarkEnd w:id="501"/>
      <w:bookmarkEnd w:id="502"/>
      <w:bookmarkEnd w:id="503"/>
      <w:bookmarkStart w:id="542" w:name="_Toc300934982"/>
      <w:bookmarkStart w:id="543" w:name="_Toc303539139"/>
      <w:bookmarkStart w:id="544" w:name="_Toc312677495"/>
      <w:bookmarkStart w:id="545" w:name="_Toc312678021"/>
      <w:bookmarkStart w:id="546" w:name="_Toc297216192"/>
      <w:bookmarkStart w:id="547" w:name="_Toc297123533"/>
      <w:bookmarkStart w:id="548" w:name="_Toc304295559"/>
      <w:bookmarkStart w:id="549" w:name="_Toc296891001"/>
      <w:bookmarkStart w:id="550" w:name="_Toc296503173"/>
      <w:bookmarkStart w:id="551" w:name="_Toc267251427"/>
      <w:bookmarkStart w:id="552" w:name="_Toc267251428"/>
      <w:bookmarkStart w:id="553" w:name="_Toc296346674"/>
      <w:bookmarkStart w:id="554" w:name="_Toc292559378"/>
      <w:bookmarkStart w:id="555" w:name="_Toc296944512"/>
      <w:bookmarkStart w:id="556" w:name="_Toc297048359"/>
      <w:bookmarkStart w:id="557" w:name="_Toc296347172"/>
      <w:bookmarkStart w:id="558" w:name="_Toc297120473"/>
      <w:bookmarkStart w:id="559" w:name="_Toc292559883"/>
      <w:bookmarkStart w:id="560" w:name="_Toc296891213"/>
      <w:r>
        <w:rPr>
          <w:rFonts w:ascii="宋体" w:hAnsi="宋体" w:eastAsia="宋体"/>
          <w:color w:val="000000" w:themeColor="text1"/>
          <w:sz w:val="28"/>
          <w:szCs w:val="28"/>
          <w:highlight w:val="none"/>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试验与检验</w:t>
      </w:r>
      <w:bookmarkEnd w:id="534"/>
      <w:bookmarkEnd w:id="535"/>
      <w:bookmarkEnd w:id="536"/>
      <w:bookmarkEnd w:id="537"/>
      <w:bookmarkEnd w:id="538"/>
      <w:bookmarkEnd w:id="539"/>
      <w:bookmarkEnd w:id="540"/>
      <w:bookmarkEnd w:id="541"/>
    </w:p>
    <w:bookmarkEnd w:id="542"/>
    <w:bookmarkEnd w:id="543"/>
    <w:bookmarkEnd w:id="544"/>
    <w:bookmarkEnd w:id="545"/>
    <w:bookmarkEnd w:id="546"/>
    <w:bookmarkEnd w:id="547"/>
    <w:bookmarkEnd w:id="548"/>
    <w:p w14:paraId="47BB8C61">
      <w:pPr>
        <w:pStyle w:val="5"/>
        <w:ind w:firstLine="422" w:firstLineChars="200"/>
        <w:rPr>
          <w:rFonts w:ascii="宋体" w:hAnsi="宋体"/>
          <w:color w:val="000000" w:themeColor="text1"/>
          <w:sz w:val="21"/>
          <w:szCs w:val="21"/>
          <w:highlight w:val="none"/>
          <w14:textFill>
            <w14:solidFill>
              <w14:schemeClr w14:val="tx1"/>
            </w14:solidFill>
          </w14:textFill>
        </w:rPr>
      </w:pPr>
      <w:bookmarkStart w:id="561" w:name="_Toc114058876"/>
      <w:bookmarkStart w:id="562" w:name="_Toc78449825"/>
      <w:bookmarkStart w:id="563" w:name="_Toc373227737"/>
      <w:bookmarkStart w:id="564" w:name="_Toc389065303"/>
      <w:bookmarkStart w:id="565" w:name="_Toc373478384"/>
      <w:bookmarkStart w:id="566" w:name="_Toc407135239"/>
      <w:r>
        <w:rPr>
          <w:rFonts w:ascii="宋体" w:hAnsi="宋体"/>
          <w:color w:val="000000" w:themeColor="text1"/>
          <w:sz w:val="21"/>
          <w:szCs w:val="21"/>
          <w:highlight w:val="none"/>
          <w14:textFill>
            <w14:solidFill>
              <w14:schemeClr w14:val="tx1"/>
            </w14:solidFill>
          </w14:textFill>
        </w:rPr>
        <w:t>9</w:t>
      </w:r>
      <w:bookmarkStart w:id="567" w:name="_Toc300934983"/>
      <w:bookmarkStart w:id="568" w:name="_Toc304295560"/>
      <w:bookmarkStart w:id="569" w:name="_Toc297216193"/>
      <w:bookmarkStart w:id="570" w:name="_Toc297123534"/>
      <w:bookmarkStart w:id="571" w:name="_Toc312678022"/>
      <w:bookmarkStart w:id="572" w:name="_Toc303539140"/>
      <w:bookmarkStart w:id="573" w:name="_Toc312677496"/>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试验设备与试验人员</w:t>
      </w:r>
      <w:bookmarkEnd w:id="561"/>
      <w:bookmarkEnd w:id="562"/>
      <w:bookmarkEnd w:id="563"/>
      <w:bookmarkEnd w:id="564"/>
      <w:bookmarkEnd w:id="565"/>
      <w:bookmarkEnd w:id="566"/>
    </w:p>
    <w:bookmarkEnd w:id="567"/>
    <w:bookmarkEnd w:id="568"/>
    <w:bookmarkEnd w:id="569"/>
    <w:bookmarkEnd w:id="570"/>
    <w:bookmarkEnd w:id="571"/>
    <w:bookmarkEnd w:id="572"/>
    <w:bookmarkEnd w:id="573"/>
    <w:p w14:paraId="010545D3">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bookmarkStart w:id="574" w:name="_Toc297216194"/>
      <w:bookmarkStart w:id="575" w:name="_Toc312677497"/>
      <w:bookmarkStart w:id="576" w:name="_Toc300934984"/>
      <w:bookmarkStart w:id="577" w:name="_Toc312678023"/>
      <w:bookmarkStart w:id="578" w:name="_Toc297123535"/>
      <w:bookmarkStart w:id="579" w:name="_Toc304295561"/>
      <w:bookmarkStart w:id="580" w:name="_Toc303539141"/>
      <w:bookmarkStart w:id="581" w:name="_Toc318581174"/>
      <w:r>
        <w:rPr>
          <w:color w:val="000000" w:themeColor="text1"/>
          <w:szCs w:val="21"/>
          <w:highlight w:val="none"/>
          <w14:textFill>
            <w14:solidFill>
              <w14:schemeClr w14:val="tx1"/>
            </w14:solidFill>
          </w14:textFill>
        </w:rPr>
        <w:t>.1.2</w:t>
      </w:r>
      <w:r>
        <w:rPr>
          <w:rFonts w:hint="eastAsia" w:hAnsi="宋体" w:cs="宋体"/>
          <w:color w:val="000000" w:themeColor="text1"/>
          <w:szCs w:val="21"/>
          <w:highlight w:val="none"/>
          <w14:textFill>
            <w14:solidFill>
              <w14:schemeClr w14:val="tx1"/>
            </w14:solidFill>
          </w14:textFill>
        </w:rPr>
        <w:t>试验设备</w:t>
      </w:r>
    </w:p>
    <w:bookmarkEnd w:id="574"/>
    <w:bookmarkEnd w:id="575"/>
    <w:bookmarkEnd w:id="576"/>
    <w:bookmarkEnd w:id="577"/>
    <w:bookmarkEnd w:id="578"/>
    <w:bookmarkEnd w:id="579"/>
    <w:bookmarkEnd w:id="580"/>
    <w:p w14:paraId="4254684C">
      <w:pPr>
        <w:spacing w:line="360" w:lineRule="auto"/>
        <w:ind w:firstLine="420" w:firstLineChars="200"/>
        <w:jc w:val="left"/>
        <w:rPr>
          <w:color w:val="000000" w:themeColor="text1"/>
          <w:szCs w:val="21"/>
          <w:highlight w:val="none"/>
          <w:u w:val="single"/>
          <w14:textFill>
            <w14:solidFill>
              <w14:schemeClr w14:val="tx1"/>
            </w14:solidFill>
          </w14:textFill>
        </w:rPr>
      </w:pPr>
      <w:bookmarkStart w:id="582" w:name="_Toc312677498"/>
      <w:bookmarkStart w:id="583" w:name="_Toc297123536"/>
      <w:bookmarkStart w:id="584" w:name="_Toc300934985"/>
      <w:bookmarkStart w:id="585" w:name="_Toc297216195"/>
      <w:bookmarkStart w:id="586" w:name="_Toc303539142"/>
      <w:bookmarkStart w:id="587" w:name="_Toc304295562"/>
      <w:bookmarkStart w:id="588" w:name="_Toc312678024"/>
      <w:r>
        <w:rPr>
          <w:rFonts w:hAnsi="宋体"/>
          <w:color w:val="000000" w:themeColor="text1"/>
          <w:szCs w:val="21"/>
          <w:highlight w:val="none"/>
          <w14:textFill>
            <w14:solidFill>
              <w14:schemeClr w14:val="tx1"/>
            </w14:solidFill>
          </w14:textFill>
        </w:rPr>
        <w:t>施工现场需要配置的试验场所：</w:t>
      </w:r>
      <w:r>
        <w:rPr>
          <w:color w:val="000000" w:themeColor="text1"/>
          <w:szCs w:val="21"/>
          <w:highlight w:val="none"/>
          <w:u w:val="single"/>
          <w14:textFill>
            <w14:solidFill>
              <w14:schemeClr w14:val="tx1"/>
            </w14:solidFill>
          </w14:textFill>
        </w:rPr>
        <w:t>按有关规定执行，其余均按本合同《通用条款》第 9.1.2款规定执行</w:t>
      </w:r>
      <w:r>
        <w:rPr>
          <w:rFonts w:hAnsi="宋体"/>
          <w:color w:val="000000" w:themeColor="text1"/>
          <w:szCs w:val="21"/>
          <w:highlight w:val="none"/>
          <w14:textFill>
            <w14:solidFill>
              <w14:schemeClr w14:val="tx1"/>
            </w14:solidFill>
          </w14:textFill>
        </w:rPr>
        <w:t>。</w:t>
      </w:r>
    </w:p>
    <w:p w14:paraId="3B3211BD">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施工现场需要配备的试验设备：</w:t>
      </w:r>
      <w:r>
        <w:rPr>
          <w:color w:val="000000" w:themeColor="text1"/>
          <w:szCs w:val="21"/>
          <w:highlight w:val="none"/>
          <w:u w:val="single"/>
          <w14:textFill>
            <w14:solidFill>
              <w14:schemeClr w14:val="tx1"/>
            </w14:solidFill>
          </w14:textFill>
        </w:rPr>
        <w:t>按有关规定执行，其余均按本合同《通用条款》第 9.1.2款规定执行</w:t>
      </w:r>
      <w:r>
        <w:rPr>
          <w:rFonts w:hAnsi="宋体"/>
          <w:color w:val="000000" w:themeColor="text1"/>
          <w:szCs w:val="21"/>
          <w:highlight w:val="none"/>
          <w14:textFill>
            <w14:solidFill>
              <w14:schemeClr w14:val="tx1"/>
            </w14:solidFill>
          </w14:textFill>
        </w:rPr>
        <w:t>。</w:t>
      </w:r>
    </w:p>
    <w:p w14:paraId="0ADF54B5">
      <w:pPr>
        <w:spacing w:line="360" w:lineRule="auto"/>
        <w:ind w:firstLine="420" w:firstLineChars="200"/>
        <w:jc w:val="left"/>
        <w:rPr>
          <w:color w:val="000000" w:themeColor="text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施工现场需要具备的其他试验条件：</w:t>
      </w:r>
      <w:r>
        <w:rPr>
          <w:color w:val="000000" w:themeColor="text1"/>
          <w:szCs w:val="21"/>
          <w:highlight w:val="none"/>
          <w:u w:val="single"/>
          <w14:textFill>
            <w14:solidFill>
              <w14:schemeClr w14:val="tx1"/>
            </w14:solidFill>
          </w14:textFill>
        </w:rPr>
        <w:t>按有关规定执行，其余均按本合同《通用条款》第9.1.2款规定执行</w:t>
      </w:r>
      <w:r>
        <w:rPr>
          <w:rFonts w:hAnsi="宋体"/>
          <w:color w:val="000000" w:themeColor="text1"/>
          <w:szCs w:val="21"/>
          <w:highlight w:val="none"/>
          <w14:textFill>
            <w14:solidFill>
              <w14:schemeClr w14:val="tx1"/>
            </w14:solidFill>
          </w14:textFill>
        </w:rPr>
        <w:t>。</w:t>
      </w:r>
    </w:p>
    <w:p w14:paraId="34C15D73">
      <w:pPr>
        <w:pStyle w:val="5"/>
        <w:ind w:firstLine="422" w:firstLineChars="200"/>
        <w:rPr>
          <w:rFonts w:ascii="宋体" w:hAnsi="宋体"/>
          <w:color w:val="000000" w:themeColor="text1"/>
          <w:sz w:val="21"/>
          <w:szCs w:val="21"/>
          <w:highlight w:val="none"/>
          <w14:textFill>
            <w14:solidFill>
              <w14:schemeClr w14:val="tx1"/>
            </w14:solidFill>
          </w14:textFill>
        </w:rPr>
      </w:pPr>
      <w:bookmarkStart w:id="589" w:name="_Toc78449826"/>
      <w:bookmarkStart w:id="590" w:name="_Toc407135240"/>
      <w:bookmarkStart w:id="591" w:name="_Toc373227738"/>
      <w:bookmarkStart w:id="592" w:name="_Toc389065304"/>
      <w:bookmarkStart w:id="593" w:name="_Toc373478385"/>
      <w:bookmarkStart w:id="594" w:name="_Toc114058877"/>
      <w:r>
        <w:rPr>
          <w:rFonts w:ascii="宋体" w:hAnsi="宋体"/>
          <w:color w:val="000000" w:themeColor="text1"/>
          <w:sz w:val="21"/>
          <w:szCs w:val="21"/>
          <w:highlight w:val="none"/>
          <w14:textFill>
            <w14:solidFill>
              <w14:schemeClr w14:val="tx1"/>
            </w14:solidFill>
          </w14:textFill>
        </w:rPr>
        <w:t>9.4</w:t>
      </w:r>
      <w:r>
        <w:rPr>
          <w:rFonts w:hint="eastAsia" w:ascii="宋体" w:hAnsi="宋体"/>
          <w:color w:val="000000" w:themeColor="text1"/>
          <w:sz w:val="21"/>
          <w:szCs w:val="21"/>
          <w:highlight w:val="none"/>
          <w14:textFill>
            <w14:solidFill>
              <w14:schemeClr w14:val="tx1"/>
            </w14:solidFill>
          </w14:textFill>
        </w:rPr>
        <w:t>现场工艺试验</w:t>
      </w:r>
      <w:bookmarkEnd w:id="589"/>
      <w:bookmarkEnd w:id="590"/>
      <w:bookmarkEnd w:id="591"/>
      <w:bookmarkEnd w:id="592"/>
      <w:bookmarkEnd w:id="593"/>
      <w:bookmarkEnd w:id="594"/>
    </w:p>
    <w:p w14:paraId="792AD95E">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现场工艺试验的有关约定：</w:t>
      </w:r>
      <w:r>
        <w:rPr>
          <w:rFonts w:hint="eastAsia"/>
          <w:color w:val="000000" w:themeColor="text1"/>
          <w:szCs w:val="21"/>
          <w:highlight w:val="none"/>
          <w:u w:val="single"/>
          <w14:textFill>
            <w14:solidFill>
              <w14:schemeClr w14:val="tx1"/>
            </w14:solidFill>
          </w14:textFill>
        </w:rPr>
        <w:t>按照通用条款执行</w:t>
      </w:r>
      <w:r>
        <w:rPr>
          <w:rFonts w:hint="eastAsia" w:hAnsi="宋体" w:cs="宋体"/>
          <w:color w:val="000000" w:themeColor="text1"/>
          <w:szCs w:val="21"/>
          <w:highlight w:val="none"/>
          <w14:textFill>
            <w14:solidFill>
              <w14:schemeClr w14:val="tx1"/>
            </w14:solidFill>
          </w14:textFill>
        </w:rPr>
        <w:t>。</w:t>
      </w:r>
    </w:p>
    <w:p w14:paraId="7BE1EE1F">
      <w:pPr>
        <w:pStyle w:val="5"/>
        <w:ind w:firstLine="422" w:firstLineChars="200"/>
        <w:rPr>
          <w:rFonts w:ascii="宋体" w:hAnsi="宋体"/>
          <w:color w:val="000000" w:themeColor="text1"/>
          <w:sz w:val="21"/>
          <w:szCs w:val="21"/>
          <w:highlight w:val="none"/>
          <w14:textFill>
            <w14:solidFill>
              <w14:schemeClr w14:val="tx1"/>
            </w14:solidFill>
          </w14:textFill>
        </w:rPr>
      </w:pPr>
      <w:bookmarkStart w:id="595" w:name="_Toc78449827"/>
      <w:bookmarkStart w:id="596" w:name="_Toc114058878"/>
      <w:bookmarkStart w:id="597" w:name="_Toc407135241"/>
      <w:r>
        <w:rPr>
          <w:rFonts w:ascii="宋体" w:hAnsi="宋体"/>
          <w:color w:val="000000" w:themeColor="text1"/>
          <w:sz w:val="21"/>
          <w:szCs w:val="21"/>
          <w:highlight w:val="none"/>
          <w14:textFill>
            <w14:solidFill>
              <w14:schemeClr w14:val="tx1"/>
            </w14:solidFill>
          </w14:textFill>
        </w:rPr>
        <w:t>9.5</w:t>
      </w:r>
      <w:r>
        <w:rPr>
          <w:rFonts w:hint="eastAsia" w:ascii="宋体" w:hAnsi="宋体"/>
          <w:color w:val="000000" w:themeColor="text1"/>
          <w:sz w:val="21"/>
          <w:szCs w:val="21"/>
          <w:highlight w:val="none"/>
          <w14:textFill>
            <w14:solidFill>
              <w14:schemeClr w14:val="tx1"/>
            </w14:solidFill>
          </w14:textFill>
        </w:rPr>
        <w:t>检验费用</w:t>
      </w:r>
      <w:bookmarkEnd w:id="595"/>
      <w:bookmarkEnd w:id="596"/>
      <w:bookmarkEnd w:id="597"/>
    </w:p>
    <w:p w14:paraId="25790896">
      <w:pPr>
        <w:spacing w:line="360" w:lineRule="auto"/>
        <w:ind w:firstLine="411" w:firstLineChars="196"/>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根据《建设工程质量检测管理办法》（</w:t>
      </w:r>
      <w:r>
        <w:rPr>
          <w:rFonts w:hAnsi="宋体" w:cs="宋体"/>
          <w:color w:val="000000" w:themeColor="text1"/>
          <w:szCs w:val="21"/>
          <w:highlight w:val="none"/>
          <w14:textFill>
            <w14:solidFill>
              <w14:schemeClr w14:val="tx1"/>
            </w14:solidFill>
          </w14:textFill>
        </w:rPr>
        <w:t>2022</w:t>
      </w:r>
      <w:r>
        <w:rPr>
          <w:rFonts w:hint="eastAsia" w:hAnsi="宋体" w:cs="宋体"/>
          <w:color w:val="000000" w:themeColor="text1"/>
          <w:szCs w:val="21"/>
          <w:highlight w:val="none"/>
          <w14:textFill>
            <w14:solidFill>
              <w14:schemeClr w14:val="tx1"/>
            </w14:solidFill>
          </w14:textFill>
        </w:rPr>
        <w:t>年</w:t>
      </w:r>
      <w:r>
        <w:rPr>
          <w:rFonts w:hAnsi="宋体" w:cs="宋体"/>
          <w:color w:val="000000" w:themeColor="text1"/>
          <w:szCs w:val="21"/>
          <w:highlight w:val="none"/>
          <w14:textFill>
            <w14:solidFill>
              <w14:schemeClr w14:val="tx1"/>
            </w14:solidFill>
          </w14:textFill>
        </w:rPr>
        <w:t>12</w:t>
      </w:r>
      <w:r>
        <w:rPr>
          <w:rFonts w:hint="eastAsia" w:hAnsi="宋体" w:cs="宋体"/>
          <w:color w:val="000000" w:themeColor="text1"/>
          <w:szCs w:val="21"/>
          <w:highlight w:val="none"/>
          <w14:textFill>
            <w14:solidFill>
              <w14:schemeClr w14:val="tx1"/>
            </w14:solidFill>
          </w14:textFill>
        </w:rPr>
        <w:t>月</w:t>
      </w:r>
      <w:r>
        <w:rPr>
          <w:rFonts w:hAnsi="宋体" w:cs="宋体"/>
          <w:color w:val="000000" w:themeColor="text1"/>
          <w:szCs w:val="21"/>
          <w:highlight w:val="none"/>
          <w14:textFill>
            <w14:solidFill>
              <w14:schemeClr w14:val="tx1"/>
            </w14:solidFill>
          </w14:textFill>
        </w:rPr>
        <w:t>29</w:t>
      </w:r>
      <w:r>
        <w:rPr>
          <w:rFonts w:hint="eastAsia" w:hAnsi="宋体" w:cs="宋体"/>
          <w:color w:val="000000" w:themeColor="text1"/>
          <w:szCs w:val="21"/>
          <w:highlight w:val="none"/>
          <w14:textFill>
            <w14:solidFill>
              <w14:schemeClr w14:val="tx1"/>
            </w14:solidFill>
          </w14:textFill>
        </w:rPr>
        <w:t>日中华人民共和国住房和城乡建设部令第</w:t>
      </w:r>
      <w:r>
        <w:rPr>
          <w:rFonts w:hAnsi="宋体" w:cs="宋体"/>
          <w:color w:val="000000" w:themeColor="text1"/>
          <w:szCs w:val="21"/>
          <w:highlight w:val="none"/>
          <w14:textFill>
            <w14:solidFill>
              <w14:schemeClr w14:val="tx1"/>
            </w14:solidFill>
          </w14:textFill>
        </w:rPr>
        <w:t>57</w:t>
      </w:r>
      <w:r>
        <w:rPr>
          <w:rFonts w:hint="eastAsia" w:hAnsi="宋体" w:cs="宋体"/>
          <w:color w:val="000000" w:themeColor="text1"/>
          <w:szCs w:val="21"/>
          <w:highlight w:val="none"/>
          <w14:textFill>
            <w14:solidFill>
              <w14:schemeClr w14:val="tx1"/>
            </w14:solidFill>
          </w14:textFill>
        </w:rPr>
        <w:t>号）以及《广西壮族自治区建设工程质量检测管理实施细则》</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桂建发〔2025〕5号</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规定，工程质量检测业务由发包人委托有相应资质的检测机构检测。费用从发包人的项目建设经费中支出并直接支付给检测机构，不计入合同价款内。</w:t>
      </w:r>
    </w:p>
    <w:bookmarkEnd w:id="581"/>
    <w:bookmarkEnd w:id="582"/>
    <w:bookmarkEnd w:id="583"/>
    <w:bookmarkEnd w:id="584"/>
    <w:bookmarkEnd w:id="585"/>
    <w:bookmarkEnd w:id="586"/>
    <w:bookmarkEnd w:id="587"/>
    <w:bookmarkEnd w:id="588"/>
    <w:p w14:paraId="2F4B1692">
      <w:pPr>
        <w:pStyle w:val="4"/>
        <w:jc w:val="left"/>
        <w:rPr>
          <w:rFonts w:ascii="宋体" w:hAnsi="宋体" w:eastAsia="宋体"/>
          <w:color w:val="000000" w:themeColor="text1"/>
          <w:sz w:val="28"/>
          <w:szCs w:val="28"/>
          <w:highlight w:val="none"/>
          <w14:textFill>
            <w14:solidFill>
              <w14:schemeClr w14:val="tx1"/>
            </w14:solidFill>
          </w14:textFill>
        </w:rPr>
      </w:pPr>
      <w:bookmarkStart w:id="598" w:name="_Toc373227739"/>
      <w:bookmarkStart w:id="599" w:name="_Toc389065305"/>
      <w:bookmarkStart w:id="600" w:name="_Toc373478386"/>
      <w:bookmarkStart w:id="601" w:name="_Toc114058879"/>
      <w:bookmarkStart w:id="602" w:name="_Toc10942"/>
      <w:bookmarkStart w:id="603" w:name="_Toc407135242"/>
      <w:bookmarkStart w:id="604" w:name="_Toc78449828"/>
      <w:bookmarkStart w:id="605" w:name="_Toc351203642"/>
      <w:r>
        <w:rPr>
          <w:rFonts w:ascii="宋体" w:hAnsi="宋体" w:eastAsia="宋体"/>
          <w:color w:val="000000" w:themeColor="text1"/>
          <w:sz w:val="28"/>
          <w:szCs w:val="28"/>
          <w:highlight w:val="none"/>
          <w14:textFill>
            <w14:solidFill>
              <w14:schemeClr w14:val="tx1"/>
            </w14:solidFill>
          </w14:textFill>
        </w:rPr>
        <w:t>1</w:t>
      </w:r>
      <w:bookmarkEnd w:id="549"/>
      <w:bookmarkEnd w:id="550"/>
      <w:bookmarkEnd w:id="551"/>
      <w:bookmarkEnd w:id="552"/>
      <w:bookmarkEnd w:id="553"/>
      <w:bookmarkEnd w:id="554"/>
      <w:bookmarkEnd w:id="555"/>
      <w:bookmarkEnd w:id="556"/>
      <w:bookmarkEnd w:id="557"/>
      <w:bookmarkEnd w:id="558"/>
      <w:bookmarkEnd w:id="559"/>
      <w:bookmarkEnd w:id="560"/>
      <w:bookmarkStart w:id="606" w:name="_Toc297120493"/>
      <w:bookmarkStart w:id="607" w:name="_Toc297123540"/>
      <w:bookmarkStart w:id="608" w:name="_Toc303539146"/>
      <w:bookmarkStart w:id="609" w:name="_Toc304295566"/>
      <w:bookmarkStart w:id="610" w:name="_Toc296347192"/>
      <w:bookmarkStart w:id="611" w:name="_Toc296503193"/>
      <w:bookmarkStart w:id="612" w:name="_Toc297216199"/>
      <w:bookmarkStart w:id="613" w:name="_Toc300934989"/>
      <w:bookmarkStart w:id="614" w:name="_Toc296944532"/>
      <w:bookmarkStart w:id="615" w:name="_Toc292559398"/>
      <w:bookmarkStart w:id="616" w:name="_Toc297048379"/>
      <w:bookmarkStart w:id="617" w:name="_Toc296891233"/>
      <w:bookmarkStart w:id="618" w:name="_Toc292559903"/>
      <w:bookmarkStart w:id="619" w:name="_Toc296891021"/>
      <w:bookmarkStart w:id="620" w:name="_Toc296346694"/>
      <w:bookmarkStart w:id="621" w:name="_Toc312677499"/>
      <w:bookmarkStart w:id="622" w:name="_Toc312678025"/>
      <w:bookmarkStart w:id="623" w:name="_Toc267251437"/>
      <w:bookmarkStart w:id="624" w:name="_Toc267251435"/>
      <w:bookmarkStart w:id="625" w:name="_Toc267251441"/>
      <w:bookmarkStart w:id="626" w:name="_Toc267251440"/>
      <w:bookmarkStart w:id="627" w:name="_Toc267251439"/>
      <w:bookmarkStart w:id="628" w:name="_Toc267251433"/>
      <w:bookmarkStart w:id="629" w:name="_Toc267251442"/>
      <w:r>
        <w:rPr>
          <w:rFonts w:ascii="宋体" w:hAnsi="宋体" w:eastAsia="宋体"/>
          <w:color w:val="000000" w:themeColor="text1"/>
          <w:sz w:val="28"/>
          <w:szCs w:val="28"/>
          <w:highlight w:val="none"/>
          <w14:textFill>
            <w14:solidFill>
              <w14:schemeClr w14:val="tx1"/>
            </w14:solidFill>
          </w14:textFill>
        </w:rPr>
        <w:t>0.</w:t>
      </w:r>
      <w:r>
        <w:rPr>
          <w:rFonts w:hint="eastAsia" w:ascii="宋体" w:hAnsi="宋体" w:eastAsia="宋体"/>
          <w:color w:val="000000" w:themeColor="text1"/>
          <w:sz w:val="28"/>
          <w:szCs w:val="28"/>
          <w:highlight w:val="none"/>
          <w14:textFill>
            <w14:solidFill>
              <w14:schemeClr w14:val="tx1"/>
            </w14:solidFill>
          </w14:textFill>
        </w:rPr>
        <w:t>变更</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bookmarkEnd w:id="621"/>
    <w:bookmarkEnd w:id="622"/>
    <w:p w14:paraId="6EAD9BBA">
      <w:pPr>
        <w:pStyle w:val="5"/>
        <w:ind w:firstLine="422" w:firstLineChars="200"/>
        <w:rPr>
          <w:rFonts w:ascii="宋体" w:hAnsi="宋体"/>
          <w:color w:val="000000" w:themeColor="text1"/>
          <w:sz w:val="21"/>
          <w:szCs w:val="21"/>
          <w:highlight w:val="none"/>
          <w14:textFill>
            <w14:solidFill>
              <w14:schemeClr w14:val="tx1"/>
            </w14:solidFill>
          </w14:textFill>
        </w:rPr>
      </w:pPr>
      <w:bookmarkStart w:id="630" w:name="_Toc373478387"/>
      <w:bookmarkStart w:id="631" w:name="_Toc407135243"/>
      <w:bookmarkStart w:id="632" w:name="_Toc78449829"/>
      <w:bookmarkStart w:id="633" w:name="_Toc114058880"/>
      <w:bookmarkStart w:id="634" w:name="_Toc373227740"/>
      <w:bookmarkStart w:id="635" w:name="_Toc389065306"/>
      <w:r>
        <w:rPr>
          <w:rFonts w:ascii="宋体" w:hAnsi="宋体"/>
          <w:color w:val="000000" w:themeColor="text1"/>
          <w:sz w:val="21"/>
          <w:szCs w:val="21"/>
          <w:highlight w:val="none"/>
          <w14:textFill>
            <w14:solidFill>
              <w14:schemeClr w14:val="tx1"/>
            </w14:solidFill>
          </w14:textFill>
        </w:rPr>
        <w:t>1</w:t>
      </w:r>
      <w:bookmarkStart w:id="636" w:name="_Toc300934990"/>
      <w:bookmarkStart w:id="637" w:name="_Toc296503194"/>
      <w:bookmarkStart w:id="638" w:name="_Toc296944533"/>
      <w:bookmarkStart w:id="639" w:name="_Toc304295567"/>
      <w:bookmarkStart w:id="640" w:name="_Toc297048380"/>
      <w:bookmarkStart w:id="641" w:name="_Toc297123541"/>
      <w:bookmarkStart w:id="642" w:name="_Toc297120494"/>
      <w:bookmarkStart w:id="643" w:name="_Toc296891234"/>
      <w:bookmarkStart w:id="644" w:name="_Toc303539147"/>
      <w:bookmarkStart w:id="645" w:name="_Toc292559904"/>
      <w:bookmarkStart w:id="646" w:name="_Toc296891022"/>
      <w:bookmarkStart w:id="647" w:name="_Toc296346695"/>
      <w:bookmarkStart w:id="648" w:name="_Toc312678026"/>
      <w:bookmarkStart w:id="649" w:name="_Toc312677500"/>
      <w:bookmarkStart w:id="650" w:name="_Toc297216200"/>
      <w:bookmarkStart w:id="651" w:name="_Toc292559399"/>
      <w:bookmarkStart w:id="652" w:name="_Toc296347193"/>
      <w:r>
        <w:rPr>
          <w:rFonts w:ascii="宋体" w:hAnsi="宋体"/>
          <w:color w:val="000000" w:themeColor="text1"/>
          <w:sz w:val="21"/>
          <w:szCs w:val="21"/>
          <w:highlight w:val="none"/>
          <w14:textFill>
            <w14:solidFill>
              <w14:schemeClr w14:val="tx1"/>
            </w14:solidFill>
          </w14:textFill>
        </w:rPr>
        <w:t>0.1</w:t>
      </w:r>
      <w:r>
        <w:rPr>
          <w:rFonts w:hint="eastAsia" w:ascii="宋体" w:hAnsi="宋体"/>
          <w:color w:val="000000" w:themeColor="text1"/>
          <w:sz w:val="21"/>
          <w:szCs w:val="21"/>
          <w:highlight w:val="none"/>
          <w14:textFill>
            <w14:solidFill>
              <w14:schemeClr w14:val="tx1"/>
            </w14:solidFill>
          </w14:textFill>
        </w:rPr>
        <w:t>变更的范围</w:t>
      </w:r>
      <w:bookmarkEnd w:id="630"/>
      <w:bookmarkEnd w:id="631"/>
      <w:bookmarkEnd w:id="632"/>
      <w:bookmarkEnd w:id="633"/>
      <w:bookmarkEnd w:id="634"/>
      <w:bookmarkEnd w:id="635"/>
    </w:p>
    <w:p w14:paraId="153C33B9">
      <w:pPr>
        <w:spacing w:line="360" w:lineRule="auto"/>
        <w:ind w:firstLine="426"/>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关于变更的范围的约定：</w:t>
      </w:r>
      <w:r>
        <w:rPr>
          <w:rFonts w:hint="eastAsia"/>
          <w:color w:val="000000" w:themeColor="text1"/>
          <w:szCs w:val="21"/>
          <w:highlight w:val="none"/>
          <w:u w:val="single"/>
          <w14:textFill>
            <w14:solidFill>
              <w14:schemeClr w14:val="tx1"/>
            </w14:solidFill>
          </w14:textFill>
        </w:rPr>
        <w:t>按照通用条款执行</w:t>
      </w:r>
      <w:r>
        <w:rPr>
          <w:rFonts w:hint="eastAsia" w:hAnsi="宋体" w:cs="宋体"/>
          <w:color w:val="000000" w:themeColor="text1"/>
          <w:szCs w:val="21"/>
          <w:highlight w:val="none"/>
          <w14:textFill>
            <w14:solidFill>
              <w14:schemeClr w14:val="tx1"/>
            </w14:solidFill>
          </w14:textFill>
        </w:rPr>
        <w:t>。</w:t>
      </w:r>
    </w:p>
    <w:p w14:paraId="4198EB24">
      <w:pPr>
        <w:pStyle w:val="5"/>
        <w:ind w:firstLine="422" w:firstLineChars="200"/>
        <w:rPr>
          <w:rFonts w:ascii="宋体" w:hAnsi="宋体"/>
          <w:color w:val="000000" w:themeColor="text1"/>
          <w:sz w:val="21"/>
          <w:szCs w:val="21"/>
          <w:highlight w:val="none"/>
          <w14:textFill>
            <w14:solidFill>
              <w14:schemeClr w14:val="tx1"/>
            </w14:solidFill>
          </w14:textFill>
        </w:rPr>
      </w:pPr>
      <w:bookmarkStart w:id="653" w:name="_Toc389065307"/>
      <w:bookmarkStart w:id="654" w:name="_Toc407135244"/>
      <w:bookmarkStart w:id="655" w:name="_Toc373478388"/>
      <w:bookmarkStart w:id="656" w:name="_Toc78449830"/>
      <w:bookmarkStart w:id="657" w:name="_Toc373227741"/>
      <w:bookmarkStart w:id="658" w:name="_Toc114058881"/>
      <w:r>
        <w:rPr>
          <w:rFonts w:ascii="宋体" w:hAnsi="宋体"/>
          <w:color w:val="000000" w:themeColor="text1"/>
          <w:sz w:val="21"/>
          <w:szCs w:val="21"/>
          <w:highlight w:val="none"/>
          <w14:textFill>
            <w14:solidFill>
              <w14:schemeClr w14:val="tx1"/>
            </w14:solidFill>
          </w14:textFill>
        </w:rPr>
        <w:t>10.3</w:t>
      </w:r>
      <w:r>
        <w:rPr>
          <w:rFonts w:hint="eastAsia" w:ascii="宋体" w:hAnsi="宋体"/>
          <w:color w:val="000000" w:themeColor="text1"/>
          <w:sz w:val="21"/>
          <w:szCs w:val="21"/>
          <w:highlight w:val="none"/>
          <w14:textFill>
            <w14:solidFill>
              <w14:schemeClr w14:val="tx1"/>
            </w14:solidFill>
          </w14:textFill>
        </w:rPr>
        <w:t>变更程序</w:t>
      </w:r>
      <w:bookmarkEnd w:id="653"/>
      <w:bookmarkEnd w:id="654"/>
      <w:bookmarkEnd w:id="655"/>
      <w:bookmarkEnd w:id="656"/>
      <w:bookmarkEnd w:id="657"/>
      <w:bookmarkEnd w:id="658"/>
    </w:p>
    <w:p w14:paraId="2281A0FE">
      <w:pPr>
        <w:spacing w:line="360" w:lineRule="auto"/>
        <w:ind w:firstLine="441" w:firstLineChars="21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10.3.1</w:t>
      </w:r>
      <w:r>
        <w:rPr>
          <w:rFonts w:hint="eastAsia"/>
          <w:color w:val="000000" w:themeColor="text1"/>
          <w:szCs w:val="21"/>
          <w:highlight w:val="none"/>
          <w14:textFill>
            <w14:solidFill>
              <w14:schemeClr w14:val="tx1"/>
            </w14:solidFill>
          </w14:textFill>
        </w:rPr>
        <w:t>国有投资项目：</w:t>
      </w:r>
    </w:p>
    <w:p w14:paraId="6209ECB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10.3.1变更的提出</w:t>
      </w:r>
    </w:p>
    <w:p w14:paraId="31CBFEE7">
      <w:pPr>
        <w:spacing w:line="360" w:lineRule="auto"/>
        <w:ind w:firstLine="426"/>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合同履行过程中，可能发生第10.1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10.3.2项约定发出变更指示。</w:t>
      </w:r>
    </w:p>
    <w:p w14:paraId="79FEC18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（2）在合同履行过程中，发生第10.1款约定情形的，监理人应按照第10.3.2项约定向承包人发出变更指示。</w:t>
      </w:r>
    </w:p>
    <w:p w14:paraId="3D5246AF">
      <w:pPr>
        <w:spacing w:line="360" w:lineRule="auto"/>
        <w:ind w:firstLine="426"/>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收到监理人按合同约定发出的图纸和文件，经检查认为其中存在第10.1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14:paraId="186E72BB">
      <w:pPr>
        <w:spacing w:line="360" w:lineRule="auto"/>
        <w:ind w:firstLine="426"/>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（4）若承包人收到监理人的变更意向书后认为难以实施此项变更，应立即通知监理人，说明原因并附详细依据。监理人与承包人和发包人协商后确定撤销、改变或不改变原变更意向书。</w:t>
      </w:r>
    </w:p>
    <w:p w14:paraId="60342A8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10.3.2变更指示</w:t>
      </w:r>
    </w:p>
    <w:p w14:paraId="4C50588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（l）变更指示只能由监理人发出。</w:t>
      </w:r>
    </w:p>
    <w:p w14:paraId="41612AE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（2）变更指示应说明变更的目的、范围、变更内容以及变更的工程量及其进度和技术要求，并附有关图纸和文件。承包人收到变更指示后，应按变更指示进行变更工作。</w:t>
      </w:r>
    </w:p>
    <w:p w14:paraId="47B8B7EA">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659" w:name="_Toc6162"/>
      <w:bookmarkStart w:id="660" w:name="_Toc30204"/>
      <w:r>
        <w:rPr>
          <w:rFonts w:hint="eastAsia" w:ascii="宋体" w:hAnsi="宋体"/>
          <w:color w:val="000000" w:themeColor="text1"/>
          <w:szCs w:val="21"/>
          <w:highlight w:val="none"/>
          <w14:textFill>
            <w14:solidFill>
              <w14:schemeClr w14:val="tx1"/>
            </w14:solidFill>
          </w14:textFill>
        </w:rPr>
        <w:t>10.3.3变更执行</w:t>
      </w:r>
      <w:bookmarkEnd w:id="659"/>
      <w:bookmarkEnd w:id="660"/>
    </w:p>
    <w:p w14:paraId="1474627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设计变更和工程签证，按《关于加强南宁市政府投资项目初步设计、施工图设计管理的通知》（南建项目[2004]3号）及《关于改进政府投资项目财政监管的通知》（南财投审[2007]66号）办理。属不可抗力（自然灾害、突发事件等）造成变更的，按特事特办原则予以办理。</w:t>
      </w:r>
    </w:p>
    <w:p w14:paraId="4FF2AD5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（2）工程设计变更和签证工程发生后10个工作日内，由承包人将有关变更文件、签证单审批件、工程联系单、预算书等工程资料送作为进度款支付、事后抽查和工程结算的主要依据。</w:t>
      </w:r>
    </w:p>
    <w:p w14:paraId="2BF01C2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（3）建设单位在实施项目过程中，若发生单价变动，由建设单位、监理单位与施工单位共同商定并签字确认。</w:t>
      </w:r>
    </w:p>
    <w:p w14:paraId="3575A7B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（4）发包人在工程设计变更和工程签证过程中必须认真负责、实事求是，不得弄虚作假，凡因上述问题所造成的损失，相应等额扣除建设单位项目管理费或其他财政拨款。</w:t>
      </w:r>
    </w:p>
    <w:p w14:paraId="7DAFE84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承包人应当在设计变更和工程签证发生后14天内，将调整原因、金额以书面形式向监理人和发包人申报，经监理人和发包人按第（1）（2）（3）（4）（5）条款的要求初步确认调整金额后将其作为追加合同价款，按不高于60%的比例与工程进度款同期支付，调整金额待工程单项结算或结算时，符合必须送财厅审核结算条件的由自治区财政部门最终审定的结算为准。</w:t>
      </w:r>
    </w:p>
    <w:p w14:paraId="606DD81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（6）当设计变更和工程签证需要调整合同价款的调整情况发生后，承包人未在上述规定时间内申报的，视为承包人已放弃此项权利。</w:t>
      </w:r>
    </w:p>
    <w:p w14:paraId="7108838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（7）承包人所整理的变更签证资料应含有：工程联系单或变更通知、工程签证单、原始测量记录及现场图片。承包人在原始测量记录上签字的人员应具有承包人的委托，否则原始测量记录无效。</w:t>
      </w:r>
    </w:p>
    <w:p w14:paraId="6EABF98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（8）工程变更的其他规定：</w:t>
      </w:r>
    </w:p>
    <w:p w14:paraId="5690EEE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1）已办理施工图备案并且正在施工的项目不得擅自提高设计标准和安全储备进行工程变更；</w:t>
      </w:r>
    </w:p>
    <w:p w14:paraId="1129468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2）因施工组织设计不合理引起的工程变化不得进行工程变更；</w:t>
      </w:r>
    </w:p>
    <w:p w14:paraId="77831DC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3）由于施工现场排水组织不畅造成的软土处理，积水排放不得进行工程变更；</w:t>
      </w:r>
    </w:p>
    <w:p w14:paraId="7C1B383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4）涉及到不平衡报价的工程变量，应对合同单价进行调整，确定合理单价后方能进行工程变量；</w:t>
      </w:r>
    </w:p>
    <w:p w14:paraId="3B492BE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5）因征地拆迁原因引起的工程变量，需县（区）、开发区（管委会）提供不能按要求完成征地拆迁任务的书面证明材料，并经市政府或其授权的机构同意才能进行工程变量。</w:t>
      </w:r>
    </w:p>
    <w:p w14:paraId="0125986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6）工程项目征地红线范围内施工或检测便道由承包人负责修建，费用由承包人在合同价款中考虑，不得以此进行工程变更；</w:t>
      </w:r>
    </w:p>
    <w:p w14:paraId="1A557C3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7）采购文件工程量清单中有土石方综合报价的，土石成分比例不得进行工程变更；</w:t>
      </w:r>
    </w:p>
    <w:p w14:paraId="5C8A418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8）成交后，桩基的成孔方式、施工工艺、施工方案等不得进行工程变更；</w:t>
      </w:r>
    </w:p>
    <w:p w14:paraId="3F011307">
      <w:pPr>
        <w:spacing w:line="360" w:lineRule="auto"/>
        <w:ind w:firstLine="420" w:firstLineChars="200"/>
        <w:jc w:val="lef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10.3.</w:t>
      </w:r>
      <w:r>
        <w:rPr>
          <w:rFonts w:hint="eastAsia"/>
          <w:bCs/>
          <w:color w:val="000000" w:themeColor="text1"/>
          <w:szCs w:val="21"/>
          <w:highlight w:val="none"/>
          <w14:textFill>
            <w14:solidFill>
              <w14:schemeClr w14:val="tx1"/>
            </w14:solidFill>
          </w14:textFill>
        </w:rPr>
        <w:t>4</w:t>
      </w:r>
      <w:r>
        <w:rPr>
          <w:bCs/>
          <w:color w:val="000000" w:themeColor="text1"/>
          <w:szCs w:val="21"/>
          <w:highlight w:val="none"/>
          <w14:textFill>
            <w14:solidFill>
              <w14:schemeClr w14:val="tx1"/>
            </w14:solidFill>
          </w14:textFill>
        </w:rPr>
        <w:t>非国有投资项目：</w:t>
      </w:r>
      <w:r>
        <w:rPr>
          <w:rFonts w:hint="eastAsia"/>
          <w:bCs/>
          <w:color w:val="000000" w:themeColor="text1"/>
          <w:szCs w:val="21"/>
          <w:highlight w:val="none"/>
          <w:u w:val="single"/>
          <w14:textFill>
            <w14:solidFill>
              <w14:schemeClr w14:val="tx1"/>
            </w14:solidFill>
          </w14:textFill>
        </w:rPr>
        <w:t>/</w:t>
      </w:r>
      <w:r>
        <w:rPr>
          <w:rFonts w:hAnsi="宋体"/>
          <w:bCs/>
          <w:color w:val="000000" w:themeColor="text1"/>
          <w:szCs w:val="21"/>
          <w:highlight w:val="none"/>
          <w14:textFill>
            <w14:solidFill>
              <w14:schemeClr w14:val="tx1"/>
            </w14:solidFill>
          </w14:textFill>
        </w:rPr>
        <w:t>。</w:t>
      </w:r>
    </w:p>
    <w:p w14:paraId="2743C511">
      <w:pPr>
        <w:pStyle w:val="5"/>
        <w:ind w:firstLine="422" w:firstLineChars="200"/>
        <w:rPr>
          <w:rFonts w:ascii="宋体" w:hAnsi="宋体"/>
          <w:color w:val="000000" w:themeColor="text1"/>
          <w:sz w:val="21"/>
          <w:szCs w:val="21"/>
          <w:highlight w:val="none"/>
          <w14:textFill>
            <w14:solidFill>
              <w14:schemeClr w14:val="tx1"/>
            </w14:solidFill>
          </w14:textFill>
        </w:rPr>
      </w:pPr>
      <w:bookmarkStart w:id="661" w:name="_Toc114058882"/>
      <w:bookmarkStart w:id="662" w:name="_Toc407135245"/>
      <w:bookmarkStart w:id="663" w:name="_Toc389065308"/>
      <w:bookmarkStart w:id="664" w:name="_Toc78449831"/>
      <w:bookmarkStart w:id="665" w:name="_Toc373478389"/>
      <w:bookmarkStart w:id="666" w:name="_Toc373227742"/>
      <w:r>
        <w:rPr>
          <w:rFonts w:ascii="宋体" w:hAnsi="宋体"/>
          <w:color w:val="000000" w:themeColor="text1"/>
          <w:sz w:val="21"/>
          <w:szCs w:val="21"/>
          <w:highlight w:val="none"/>
          <w14:textFill>
            <w14:solidFill>
              <w14:schemeClr w14:val="tx1"/>
            </w14:solidFill>
          </w14:textFill>
        </w:rPr>
        <w:t>10.4</w:t>
      </w:r>
      <w:r>
        <w:rPr>
          <w:rFonts w:hint="eastAsia" w:ascii="宋体" w:hAnsi="宋体"/>
          <w:color w:val="000000" w:themeColor="text1"/>
          <w:sz w:val="21"/>
          <w:szCs w:val="21"/>
          <w:highlight w:val="none"/>
          <w14:textFill>
            <w14:solidFill>
              <w14:schemeClr w14:val="tx1"/>
            </w14:solidFill>
          </w14:textFill>
        </w:rPr>
        <w:t>变更估价</w:t>
      </w:r>
      <w:bookmarkEnd w:id="661"/>
      <w:bookmarkEnd w:id="662"/>
      <w:bookmarkEnd w:id="663"/>
      <w:bookmarkEnd w:id="664"/>
      <w:bookmarkEnd w:id="665"/>
      <w:bookmarkEnd w:id="666"/>
    </w:p>
    <w:p w14:paraId="6DEBE8A0">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10.4.1</w:t>
      </w:r>
      <w:r>
        <w:rPr>
          <w:rFonts w:hint="eastAsia" w:hAnsi="宋体" w:cs="宋体"/>
          <w:color w:val="000000" w:themeColor="text1"/>
          <w:szCs w:val="21"/>
          <w:highlight w:val="none"/>
          <w14:textFill>
            <w14:solidFill>
              <w14:schemeClr w14:val="tx1"/>
            </w14:solidFill>
          </w14:textFill>
        </w:rPr>
        <w:t>变更估价原则</w:t>
      </w:r>
    </w:p>
    <w:p w14:paraId="0E483EF5">
      <w:pPr>
        <w:spacing w:line="360" w:lineRule="auto"/>
        <w:ind w:firstLine="420" w:firstLineChars="200"/>
        <w:jc w:val="left"/>
        <w:rPr>
          <w:rFonts w:hAnsi="宋体"/>
          <w:color w:val="000000" w:themeColor="text1"/>
          <w:highlight w:val="none"/>
          <w14:textFill>
            <w14:solidFill>
              <w14:schemeClr w14:val="tx1"/>
            </w14:solidFill>
          </w14:textFill>
        </w:rPr>
      </w:pPr>
      <w:bookmarkStart w:id="667" w:name="_Toc251051742"/>
      <w:r>
        <w:rPr>
          <w:rFonts w:hint="eastAsia" w:hAnsi="宋体" w:cs="宋体"/>
          <w:color w:val="000000" w:themeColor="text1"/>
          <w:highlight w:val="none"/>
          <w14:textFill>
            <w14:solidFill>
              <w14:schemeClr w14:val="tx1"/>
            </w14:solidFill>
          </w14:textFill>
        </w:rPr>
        <w:t>关于变更估价的约定</w:t>
      </w:r>
      <w:r>
        <w:rPr>
          <w:color w:val="000000" w:themeColor="text1"/>
          <w:highlight w:val="non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工程变更合同价款按下列方法进行：（</w:t>
      </w:r>
      <w:r>
        <w:rPr>
          <w:color w:val="000000" w:themeColor="text1"/>
          <w:highlight w:val="none"/>
          <w:u w:val="single"/>
          <w14:textFill>
            <w14:solidFill>
              <w14:schemeClr w14:val="tx1"/>
            </w14:solidFill>
          </w14:textFill>
        </w:rPr>
        <w:t>1</w:t>
      </w:r>
      <w:r>
        <w:rPr>
          <w:rFonts w:hint="eastAsia" w:hAnsi="宋体" w:cs="宋体"/>
          <w:color w:val="000000" w:themeColor="text1"/>
          <w:highlight w:val="none"/>
          <w:u w:val="single"/>
          <w14:textFill>
            <w14:solidFill>
              <w14:schemeClr w14:val="tx1"/>
            </w14:solidFill>
          </w14:textFill>
        </w:rPr>
        <w:t>）合同中已有相同清单项目的，按合同该清单项目价格进行计算；（</w:t>
      </w:r>
      <w:r>
        <w:rPr>
          <w:color w:val="000000" w:themeColor="text1"/>
          <w:highlight w:val="none"/>
          <w:u w:val="single"/>
          <w14:textFill>
            <w14:solidFill>
              <w14:schemeClr w14:val="tx1"/>
            </w14:solidFill>
          </w14:textFill>
        </w:rPr>
        <w:t>2</w:t>
      </w:r>
      <w:r>
        <w:rPr>
          <w:rFonts w:hint="eastAsia" w:hAnsi="宋体" w:cs="宋体"/>
          <w:color w:val="000000" w:themeColor="text1"/>
          <w:highlight w:val="none"/>
          <w:u w:val="single"/>
          <w14:textFill>
            <w14:solidFill>
              <w14:schemeClr w14:val="tx1"/>
            </w14:solidFill>
          </w14:textFill>
        </w:rPr>
        <w:t>）合同中只有类似清单项目的，参照该类似清单项目价格进行计算；（</w:t>
      </w:r>
      <w:r>
        <w:rPr>
          <w:color w:val="000000" w:themeColor="text1"/>
          <w:highlight w:val="none"/>
          <w:u w:val="single"/>
          <w14:textFill>
            <w14:solidFill>
              <w14:schemeClr w14:val="tx1"/>
            </w14:solidFill>
          </w14:textFill>
        </w:rPr>
        <w:t>3</w:t>
      </w:r>
      <w:r>
        <w:rPr>
          <w:rFonts w:hint="eastAsia" w:hAnsi="宋体" w:cs="宋体"/>
          <w:color w:val="000000" w:themeColor="text1"/>
          <w:highlight w:val="none"/>
          <w:u w:val="single"/>
          <w14:textFill>
            <w14:solidFill>
              <w14:schemeClr w14:val="tx1"/>
            </w14:solidFill>
          </w14:textFill>
        </w:rPr>
        <w:t>）合同中没有适用或类似清单项目的价格计算方法：有定额的套定额，并（</w:t>
      </w:r>
      <w:r>
        <w:rPr>
          <w:rFonts w:hint="eastAsia" w:ascii="MS Mincho" w:hAnsi="MS Mincho" w:eastAsia="宋体" w:cs="MS Mincho"/>
          <w:color w:val="000000" w:themeColor="text1"/>
          <w:highlight w:val="none"/>
          <w:lang w:eastAsia="zh-CN"/>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乘以（</w:t>
      </w:r>
      <w:r>
        <w:rPr>
          <w:rFonts w:hAnsi="宋体" w:cs="宋体"/>
          <w:color w:val="000000" w:themeColor="text1"/>
          <w:highlight w:val="none"/>
          <w:u w:val="single"/>
          <w14:textFill>
            <w14:solidFill>
              <w14:schemeClr w14:val="tx1"/>
            </w14:solidFill>
          </w14:textFill>
        </w:rPr>
        <w:t>1-成交</w:t>
      </w:r>
      <w:r>
        <w:rPr>
          <w:rFonts w:hint="eastAsia" w:hAnsi="宋体" w:cs="宋体"/>
          <w:color w:val="000000" w:themeColor="text1"/>
          <w:highlight w:val="none"/>
          <w:u w:val="single"/>
          <w14:textFill>
            <w14:solidFill>
              <w14:schemeClr w14:val="tx1"/>
            </w14:solidFill>
          </w14:textFill>
        </w:rPr>
        <w:t>下浮系数）</w:t>
      </w:r>
      <w:r>
        <w:rPr>
          <w:rFonts w:hint="eastAsia" w:cs="宋体"/>
          <w:color w:val="000000" w:themeColor="text1"/>
          <w:highlight w:val="none"/>
          <w:u w:val="single"/>
          <w14:textFill>
            <w14:solidFill>
              <w14:schemeClr w14:val="tx1"/>
            </w14:solidFill>
          </w14:textFill>
        </w:rPr>
        <w:t>，</w:t>
      </w:r>
      <w:r>
        <w:rPr>
          <w:rFonts w:hint="eastAsia" w:ascii="宋体" w:hAnsi="MS Mincho" w:cs="MS Mincho"/>
          <w:color w:val="000000" w:themeColor="text1"/>
          <w:szCs w:val="21"/>
          <w:highlight w:val="none"/>
          <w:lang w:eastAsia="zh-CN"/>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不乘</w:t>
      </w:r>
      <w:r>
        <w:rPr>
          <w:rFonts w:hint="eastAsia" w:ascii="宋体" w:hAnsi="MS Mincho" w:cs="MS Mincho"/>
          <w:color w:val="000000" w:themeColor="text1"/>
          <w:szCs w:val="21"/>
          <w:highlight w:val="none"/>
          <w14:textFill>
            <w14:solidFill>
              <w14:schemeClr w14:val="tx1"/>
            </w14:solidFill>
          </w14:textFill>
        </w:rPr>
        <w:t>（1</w:t>
      </w:r>
      <w:r>
        <w:rPr>
          <w:rFonts w:ascii="宋体" w:hAnsi="MS Mincho" w:cs="MS Mincho"/>
          <w:color w:val="000000" w:themeColor="text1"/>
          <w:szCs w:val="21"/>
          <w:highlight w:val="none"/>
          <w14:textFill>
            <w14:solidFill>
              <w14:schemeClr w14:val="tx1"/>
            </w14:solidFill>
          </w14:textFill>
        </w:rPr>
        <w:t>-</w:t>
      </w:r>
      <w:r>
        <w:rPr>
          <w:rFonts w:hAnsi="宋体" w:cs="宋体"/>
          <w:color w:val="000000" w:themeColor="text1"/>
          <w:highlight w:val="none"/>
          <w:u w:val="single"/>
          <w14:textFill>
            <w14:solidFill>
              <w14:schemeClr w14:val="tx1"/>
            </w14:solidFill>
          </w14:textFill>
        </w:rPr>
        <w:t>成交</w:t>
      </w:r>
      <w:r>
        <w:rPr>
          <w:rFonts w:hint="eastAsia" w:hAnsi="宋体" w:cs="宋体"/>
          <w:color w:val="000000" w:themeColor="text1"/>
          <w:highlight w:val="none"/>
          <w:u w:val="single"/>
          <w14:textFill>
            <w14:solidFill>
              <w14:schemeClr w14:val="tx1"/>
            </w14:solidFill>
          </w14:textFill>
        </w:rPr>
        <w:t>下浮系数</w:t>
      </w:r>
      <w:r>
        <w:rPr>
          <w:rFonts w:hint="eastAsia" w:ascii="宋体" w:hAnsi="MS Mincho" w:cs="MS Mincho"/>
          <w:color w:val="000000" w:themeColor="text1"/>
          <w:szCs w:val="21"/>
          <w:highlight w:val="non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）计算，其中：材料设备价格按施工期间的《</w:t>
      </w:r>
      <w:r>
        <w:rPr>
          <w:rFonts w:hint="eastAsia"/>
          <w:color w:val="000000" w:themeColor="text1"/>
          <w:highlight w:val="none"/>
          <w:u w:val="single"/>
          <w14:textFill>
            <w14:solidFill>
              <w14:schemeClr w14:val="tx1"/>
            </w14:solidFill>
          </w14:textFill>
        </w:rPr>
        <w:t>南宁</w:t>
      </w:r>
      <w:r>
        <w:rPr>
          <w:rFonts w:hint="eastAsia" w:hAnsi="宋体" w:cs="宋体"/>
          <w:color w:val="000000" w:themeColor="text1"/>
          <w:highlight w:val="none"/>
          <w:u w:val="single"/>
          <w14:textFill>
            <w14:solidFill>
              <w14:schemeClr w14:val="tx1"/>
            </w14:solidFill>
          </w14:textFill>
        </w:rPr>
        <w:t>市建设工程造价信息》相应信息价的</w:t>
      </w:r>
      <w:r>
        <w:rPr>
          <w:rFonts w:hint="eastAsia"/>
          <w:color w:val="000000" w:themeColor="text1"/>
          <w:highlight w:val="none"/>
          <w:u w:val="single"/>
          <w14:textFill>
            <w14:solidFill>
              <w14:schemeClr w14:val="tx1"/>
            </w14:solidFill>
          </w14:textFill>
        </w:rPr>
        <w:t>算术</w:t>
      </w:r>
      <w:r>
        <w:rPr>
          <w:rFonts w:hint="eastAsia" w:hAnsi="宋体" w:cs="宋体"/>
          <w:color w:val="000000" w:themeColor="text1"/>
          <w:highlight w:val="none"/>
          <w:u w:val="single"/>
          <w14:textFill>
            <w14:solidFill>
              <w14:schemeClr w14:val="tx1"/>
            </w14:solidFill>
          </w14:textFill>
        </w:rPr>
        <w:t>平均值计算，《</w:t>
      </w:r>
      <w:r>
        <w:rPr>
          <w:rFonts w:hint="eastAsia"/>
          <w:color w:val="000000" w:themeColor="text1"/>
          <w:highlight w:val="none"/>
          <w:u w:val="single"/>
          <w14:textFill>
            <w14:solidFill>
              <w14:schemeClr w14:val="tx1"/>
            </w14:solidFill>
          </w14:textFill>
        </w:rPr>
        <w:t>南宁</w:t>
      </w:r>
      <w:r>
        <w:rPr>
          <w:rFonts w:hint="eastAsia" w:hAnsi="宋体" w:cs="宋体"/>
          <w:color w:val="000000" w:themeColor="text1"/>
          <w:highlight w:val="none"/>
          <w:u w:val="single"/>
          <w14:textFill>
            <w14:solidFill>
              <w14:schemeClr w14:val="tx1"/>
            </w14:solidFill>
          </w14:textFill>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s="宋体"/>
          <w:color w:val="000000" w:themeColor="text1"/>
          <w:highlight w:val="none"/>
          <w14:textFill>
            <w14:solidFill>
              <w14:schemeClr w14:val="tx1"/>
            </w14:solidFill>
          </w14:textFill>
        </w:rPr>
        <w:t>。以上约定同时适用于工程量清单缺项以及工程量清单项目特征与图纸不符时的价款确定。</w:t>
      </w:r>
      <w:r>
        <w:rPr>
          <w:rFonts w:hAnsi="宋体"/>
          <w:bCs/>
          <w:color w:val="000000" w:themeColor="text1"/>
          <w:szCs w:val="21"/>
          <w:highlight w:val="none"/>
          <w:u w:val="single"/>
          <w14:textFill>
            <w14:solidFill>
              <w14:schemeClr w14:val="tx1"/>
            </w14:solidFill>
          </w14:textFill>
        </w:rPr>
        <w:t>对于</w:t>
      </w:r>
      <w:r>
        <w:rPr>
          <w:rFonts w:hint="eastAsia" w:hAnsi="宋体"/>
          <w:bCs/>
          <w:color w:val="000000" w:themeColor="text1"/>
          <w:szCs w:val="21"/>
          <w:highlight w:val="none"/>
          <w:u w:val="single"/>
          <w14:textFill>
            <w14:solidFill>
              <w14:schemeClr w14:val="tx1"/>
            </w14:solidFill>
          </w14:textFill>
        </w:rPr>
        <w:t>政府及</w:t>
      </w:r>
      <w:r>
        <w:rPr>
          <w:rFonts w:hAnsi="宋体"/>
          <w:bCs/>
          <w:color w:val="000000" w:themeColor="text1"/>
          <w:szCs w:val="21"/>
          <w:highlight w:val="none"/>
          <w:u w:val="single"/>
          <w14:textFill>
            <w14:solidFill>
              <w14:schemeClr w14:val="tx1"/>
            </w14:solidFill>
          </w14:textFill>
        </w:rPr>
        <w:t>国有资</w:t>
      </w:r>
      <w:r>
        <w:rPr>
          <w:rFonts w:hint="eastAsia" w:hAnsi="宋体"/>
          <w:bCs/>
          <w:color w:val="000000" w:themeColor="text1"/>
          <w:szCs w:val="21"/>
          <w:highlight w:val="none"/>
          <w:u w:val="single"/>
          <w14:textFill>
            <w14:solidFill>
              <w14:schemeClr w14:val="tx1"/>
            </w14:solidFill>
          </w14:textFill>
        </w:rPr>
        <w:t>金</w:t>
      </w:r>
      <w:r>
        <w:rPr>
          <w:rFonts w:hAnsi="宋体"/>
          <w:bCs/>
          <w:color w:val="000000" w:themeColor="text1"/>
          <w:szCs w:val="21"/>
          <w:highlight w:val="none"/>
          <w:u w:val="single"/>
          <w14:textFill>
            <w14:solidFill>
              <w14:schemeClr w14:val="tx1"/>
            </w14:solidFill>
          </w14:textFill>
        </w:rPr>
        <w:t>投资的项目，新增项目的单价必须经</w:t>
      </w:r>
      <w:r>
        <w:rPr>
          <w:rFonts w:hint="eastAsia" w:hAnsi="宋体"/>
          <w:bCs/>
          <w:color w:val="000000" w:themeColor="text1"/>
          <w:szCs w:val="21"/>
          <w:highlight w:val="none"/>
          <w:u w:val="single"/>
          <w14:textFill>
            <w14:solidFill>
              <w14:schemeClr w14:val="tx1"/>
            </w14:solidFill>
          </w14:textFill>
        </w:rPr>
        <w:t>发包人</w:t>
      </w:r>
      <w:r>
        <w:rPr>
          <w:rFonts w:hAnsi="宋体"/>
          <w:bCs/>
          <w:color w:val="000000" w:themeColor="text1"/>
          <w:szCs w:val="21"/>
          <w:highlight w:val="none"/>
          <w:u w:val="single"/>
          <w14:textFill>
            <w14:solidFill>
              <w14:schemeClr w14:val="tx1"/>
            </w14:solidFill>
          </w14:textFill>
        </w:rPr>
        <w:t>审定</w:t>
      </w:r>
      <w:bookmarkEnd w:id="667"/>
      <w:r>
        <w:rPr>
          <w:rFonts w:hAnsi="宋体"/>
          <w:bCs/>
          <w:color w:val="000000" w:themeColor="text1"/>
          <w:szCs w:val="21"/>
          <w:highlight w:val="none"/>
          <w:u w:val="single"/>
          <w14:textFill>
            <w14:solidFill>
              <w14:schemeClr w14:val="tx1"/>
            </w14:solidFill>
          </w14:textFill>
        </w:rPr>
        <w:t>。</w:t>
      </w:r>
    </w:p>
    <w:p w14:paraId="04A40829">
      <w:pPr>
        <w:spacing w:line="360" w:lineRule="auto"/>
        <w:ind w:firstLine="420" w:firstLineChars="200"/>
        <w:jc w:val="left"/>
        <w:rPr>
          <w:rFonts w:cs="宋体"/>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工程变更导致实际完成的变更工程量与已标价清单或预算书中列明的该项目工程量有偏差时，其综合单价的确定按专用条款“1.13工程量清单错误的修正”执行。</w:t>
      </w:r>
    </w:p>
    <w:p w14:paraId="23D9C77E">
      <w:pPr>
        <w:pStyle w:val="5"/>
        <w:ind w:firstLine="422" w:firstLineChars="200"/>
        <w:rPr>
          <w:rFonts w:ascii="宋体" w:hAnsi="宋体"/>
          <w:color w:val="000000" w:themeColor="text1"/>
          <w:sz w:val="21"/>
          <w:szCs w:val="21"/>
          <w:highlight w:val="none"/>
          <w14:textFill>
            <w14:solidFill>
              <w14:schemeClr w14:val="tx1"/>
            </w14:solidFill>
          </w14:textFill>
        </w:rPr>
      </w:pPr>
      <w:bookmarkStart w:id="668" w:name="_Toc389065309"/>
      <w:bookmarkStart w:id="669" w:name="_Toc373227743"/>
      <w:bookmarkStart w:id="670" w:name="_Toc114058883"/>
      <w:bookmarkStart w:id="671" w:name="_Toc373478390"/>
      <w:bookmarkStart w:id="672" w:name="_Toc78449832"/>
      <w:bookmarkStart w:id="673" w:name="_Toc407135246"/>
      <w:r>
        <w:rPr>
          <w:rFonts w:ascii="宋体" w:hAnsi="宋体"/>
          <w:color w:val="000000" w:themeColor="text1"/>
          <w:sz w:val="21"/>
          <w:szCs w:val="21"/>
          <w:highlight w:val="none"/>
          <w14:textFill>
            <w14:solidFill>
              <w14:schemeClr w14:val="tx1"/>
            </w14:solidFill>
          </w14:textFill>
        </w:rPr>
        <w:t>1</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Start w:id="674" w:name="_Toc303539150"/>
      <w:bookmarkStart w:id="675" w:name="_Toc296503197"/>
      <w:bookmarkStart w:id="676" w:name="_Toc292559402"/>
      <w:bookmarkStart w:id="677" w:name="_Toc297216203"/>
      <w:bookmarkStart w:id="678" w:name="_Toc297123544"/>
      <w:bookmarkStart w:id="679" w:name="_Toc296347196"/>
      <w:bookmarkStart w:id="680" w:name="_Toc296346698"/>
      <w:bookmarkStart w:id="681" w:name="_Toc296944536"/>
      <w:bookmarkStart w:id="682" w:name="_Toc297048383"/>
      <w:bookmarkStart w:id="683" w:name="_Toc296891025"/>
      <w:bookmarkStart w:id="684" w:name="_Toc300934993"/>
      <w:bookmarkStart w:id="685" w:name="_Toc297120497"/>
      <w:bookmarkStart w:id="686" w:name="_Toc292559907"/>
      <w:bookmarkStart w:id="687" w:name="_Toc296891237"/>
      <w:bookmarkStart w:id="688" w:name="_Toc312678029"/>
      <w:bookmarkStart w:id="689" w:name="_Toc312677503"/>
      <w:bookmarkStart w:id="690" w:name="_Toc304295570"/>
      <w:r>
        <w:rPr>
          <w:rFonts w:ascii="宋体" w:hAnsi="宋体"/>
          <w:color w:val="000000" w:themeColor="text1"/>
          <w:sz w:val="21"/>
          <w:szCs w:val="21"/>
          <w:highlight w:val="none"/>
          <w14:textFill>
            <w14:solidFill>
              <w14:schemeClr w14:val="tx1"/>
            </w14:solidFill>
          </w14:textFill>
        </w:rPr>
        <w:t>0.5</w:t>
      </w:r>
      <w:r>
        <w:rPr>
          <w:rFonts w:hint="eastAsia" w:ascii="宋体" w:hAnsi="宋体"/>
          <w:color w:val="000000" w:themeColor="text1"/>
          <w:sz w:val="21"/>
          <w:szCs w:val="21"/>
          <w:highlight w:val="none"/>
          <w14:textFill>
            <w14:solidFill>
              <w14:schemeClr w14:val="tx1"/>
            </w14:solidFill>
          </w14:textFill>
        </w:rPr>
        <w:t>承</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Start w:id="691" w:name="_Toc296944542"/>
      <w:bookmarkStart w:id="692" w:name="_Toc300934994"/>
      <w:bookmarkStart w:id="693" w:name="_Toc296891031"/>
      <w:bookmarkStart w:id="694" w:name="_Toc303539151"/>
      <w:bookmarkStart w:id="695" w:name="_Toc296346704"/>
      <w:bookmarkStart w:id="696" w:name="_Toc297216204"/>
      <w:bookmarkStart w:id="697" w:name="_Toc297048389"/>
      <w:bookmarkStart w:id="698" w:name="_Toc292559913"/>
      <w:bookmarkStart w:id="699" w:name="_Toc296347202"/>
      <w:bookmarkStart w:id="700" w:name="_Toc297120503"/>
      <w:bookmarkStart w:id="701" w:name="_Toc297123545"/>
      <w:bookmarkStart w:id="702" w:name="_Toc296503203"/>
      <w:bookmarkStart w:id="703" w:name="_Toc296891243"/>
      <w:bookmarkStart w:id="704" w:name="_Toc292559408"/>
      <w:r>
        <w:rPr>
          <w:rFonts w:hint="eastAsia" w:ascii="宋体" w:hAnsi="宋体"/>
          <w:color w:val="000000" w:themeColor="text1"/>
          <w:sz w:val="21"/>
          <w:szCs w:val="21"/>
          <w:highlight w:val="none"/>
          <w14:textFill>
            <w14:solidFill>
              <w14:schemeClr w14:val="tx1"/>
            </w14:solidFill>
          </w14:textFill>
        </w:rPr>
        <w:t>包人的合理化建议</w:t>
      </w:r>
      <w:bookmarkEnd w:id="668"/>
      <w:bookmarkEnd w:id="669"/>
      <w:bookmarkEnd w:id="670"/>
      <w:bookmarkEnd w:id="671"/>
      <w:bookmarkEnd w:id="672"/>
      <w:bookmarkEnd w:id="673"/>
    </w:p>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14:paraId="74C6E1E5">
      <w:pPr>
        <w:spacing w:line="360" w:lineRule="auto"/>
        <w:ind w:firstLine="420" w:firstLineChars="200"/>
        <w:jc w:val="left"/>
        <w:rPr>
          <w:color w:val="000000" w:themeColor="text1"/>
          <w:szCs w:val="21"/>
          <w:highlight w:val="none"/>
          <w14:textFill>
            <w14:solidFill>
              <w14:schemeClr w14:val="tx1"/>
            </w14:solidFill>
          </w14:textFill>
        </w:rPr>
      </w:pPr>
      <w:bookmarkStart w:id="705" w:name="_Toc303539152"/>
      <w:bookmarkStart w:id="706" w:name="_Toc297216205"/>
      <w:bookmarkStart w:id="707" w:name="_Toc296346705"/>
      <w:bookmarkStart w:id="708" w:name="_Toc297048390"/>
      <w:bookmarkStart w:id="709" w:name="_Toc312677504"/>
      <w:bookmarkStart w:id="710" w:name="_Toc296944543"/>
      <w:bookmarkStart w:id="711" w:name="_Toc296503204"/>
      <w:bookmarkStart w:id="712" w:name="_Toc300934995"/>
      <w:bookmarkStart w:id="713" w:name="_Toc312678030"/>
      <w:bookmarkStart w:id="714" w:name="_Toc292559409"/>
      <w:bookmarkStart w:id="715" w:name="_Toc318581175"/>
      <w:bookmarkStart w:id="716" w:name="_Toc304295571"/>
      <w:bookmarkStart w:id="717" w:name="_Toc296891032"/>
      <w:bookmarkStart w:id="718" w:name="_Toc296891244"/>
      <w:bookmarkStart w:id="719" w:name="_Toc297120504"/>
      <w:bookmarkStart w:id="720" w:name="_Toc297123546"/>
      <w:bookmarkStart w:id="721" w:name="_Toc296347203"/>
      <w:bookmarkStart w:id="722" w:name="_Toc292559914"/>
      <w:r>
        <w:rPr>
          <w:rFonts w:hAnsi="宋体"/>
          <w:color w:val="000000" w:themeColor="text1"/>
          <w:szCs w:val="21"/>
          <w:highlight w:val="none"/>
          <w14:textFill>
            <w14:solidFill>
              <w14:schemeClr w14:val="tx1"/>
            </w14:solidFill>
          </w14:textFill>
        </w:rPr>
        <w:t>监理人审查承包人合理化建议的期限：</w:t>
      </w:r>
      <w:r>
        <w:rPr>
          <w:rFonts w:hint="eastAsia" w:ascii="宋体" w:hAnsi="宋体" w:cs="宋体"/>
          <w:color w:val="000000" w:themeColor="text1"/>
          <w:szCs w:val="21"/>
          <w:highlight w:val="none"/>
          <w:u w:val="single"/>
          <w14:textFill>
            <w14:solidFill>
              <w14:schemeClr w14:val="tx1"/>
            </w14:solidFill>
          </w14:textFill>
        </w:rPr>
        <w:t>监理人应在收到承包人提交的合理化建议后7天内审查完毕并报送发包人，发现其中存在技术上的缺陷，应通知承包人修改</w:t>
      </w:r>
      <w:r>
        <w:rPr>
          <w:rFonts w:hAnsi="宋体"/>
          <w:color w:val="000000" w:themeColor="text1"/>
          <w:szCs w:val="21"/>
          <w:highlight w:val="none"/>
          <w14:textFill>
            <w14:solidFill>
              <w14:schemeClr w14:val="tx1"/>
            </w14:solidFill>
          </w14:textFill>
        </w:rPr>
        <w:t>。</w:t>
      </w:r>
    </w:p>
    <w:p w14:paraId="0CD50615">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发包人审批承包人合理化建议的期限：</w:t>
      </w:r>
      <w:r>
        <w:rPr>
          <w:rFonts w:hint="eastAsia" w:ascii="宋体" w:hAnsi="宋体" w:cs="宋体"/>
          <w:color w:val="000000" w:themeColor="text1"/>
          <w:szCs w:val="21"/>
          <w:highlight w:val="none"/>
          <w:u w:val="single"/>
          <w14:textFill>
            <w14:solidFill>
              <w14:schemeClr w14:val="tx1"/>
            </w14:solidFill>
          </w14:textFill>
        </w:rPr>
        <w:t>发包人应在收到监理人报送的合理化建议后15日审批完毕</w:t>
      </w:r>
      <w:r>
        <w:rPr>
          <w:rFonts w:hAnsi="宋体"/>
          <w:color w:val="000000" w:themeColor="text1"/>
          <w:szCs w:val="21"/>
          <w:highlight w:val="none"/>
          <w14:textFill>
            <w14:solidFill>
              <w14:schemeClr w14:val="tx1"/>
            </w14:solidFill>
          </w14:textFill>
        </w:rPr>
        <w:t>。</w:t>
      </w:r>
    </w:p>
    <w:p w14:paraId="6356F8B7">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承包人提出的合理化建议降低了合同价格或者提高了工程经济效益的奖励的方法和金额为：</w:t>
      </w:r>
      <w:r>
        <w:rPr>
          <w:rFonts w:hint="eastAsia"/>
          <w:color w:val="000000" w:themeColor="text1"/>
          <w:szCs w:val="21"/>
          <w:highlight w:val="none"/>
          <w:u w:val="single"/>
          <w14:textFill>
            <w14:solidFill>
              <w14:schemeClr w14:val="tx1"/>
            </w14:solidFill>
          </w14:textFill>
        </w:rPr>
        <w:t>无</w:t>
      </w:r>
      <w:r>
        <w:rPr>
          <w:rFonts w:hint="eastAsia" w:hAnsi="宋体" w:cs="宋体"/>
          <w:color w:val="000000" w:themeColor="text1"/>
          <w:szCs w:val="21"/>
          <w:highlight w:val="none"/>
          <w14:textFill>
            <w14:solidFill>
              <w14:schemeClr w14:val="tx1"/>
            </w14:solidFill>
          </w14:textFill>
        </w:rPr>
        <w:t>。</w:t>
      </w:r>
    </w:p>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14:paraId="1A908150">
      <w:pPr>
        <w:pStyle w:val="5"/>
        <w:ind w:firstLine="422" w:firstLineChars="200"/>
        <w:rPr>
          <w:rFonts w:ascii="宋体" w:hAnsi="宋体"/>
          <w:color w:val="000000" w:themeColor="text1"/>
          <w:sz w:val="21"/>
          <w:szCs w:val="21"/>
          <w:highlight w:val="none"/>
          <w14:textFill>
            <w14:solidFill>
              <w14:schemeClr w14:val="tx1"/>
            </w14:solidFill>
          </w14:textFill>
        </w:rPr>
      </w:pPr>
      <w:bookmarkStart w:id="723" w:name="_Toc78449833"/>
      <w:bookmarkStart w:id="724" w:name="_Toc373478391"/>
      <w:bookmarkStart w:id="725" w:name="_Toc407135247"/>
      <w:bookmarkStart w:id="726" w:name="_Toc389065310"/>
      <w:bookmarkStart w:id="727" w:name="_Toc114058884"/>
      <w:bookmarkStart w:id="728" w:name="_Toc373227744"/>
      <w:r>
        <w:rPr>
          <w:rFonts w:ascii="宋体" w:hAnsi="宋体"/>
          <w:color w:val="000000" w:themeColor="text1"/>
          <w:sz w:val="21"/>
          <w:szCs w:val="21"/>
          <w:highlight w:val="none"/>
          <w14:textFill>
            <w14:solidFill>
              <w14:schemeClr w14:val="tx1"/>
            </w14:solidFill>
          </w14:textFill>
        </w:rPr>
        <w:t>1</w:t>
      </w:r>
      <w:bookmarkStart w:id="729" w:name="_Toc292559909"/>
      <w:bookmarkStart w:id="730" w:name="_Toc303539154"/>
      <w:bookmarkStart w:id="731" w:name="_Toc296891239"/>
      <w:bookmarkStart w:id="732" w:name="_Toc296891027"/>
      <w:bookmarkStart w:id="733" w:name="_Toc296347198"/>
      <w:bookmarkStart w:id="734" w:name="_Toc297120499"/>
      <w:bookmarkStart w:id="735" w:name="_Toc296944538"/>
      <w:bookmarkStart w:id="736" w:name="_Toc300934997"/>
      <w:bookmarkStart w:id="737" w:name="_Toc296503199"/>
      <w:bookmarkStart w:id="738" w:name="_Toc297216207"/>
      <w:bookmarkStart w:id="739" w:name="_Toc297048385"/>
      <w:bookmarkStart w:id="740" w:name="_Toc304295574"/>
      <w:bookmarkStart w:id="741" w:name="_Toc292559404"/>
      <w:bookmarkStart w:id="742" w:name="_Toc297123548"/>
      <w:bookmarkStart w:id="743" w:name="_Toc312678033"/>
      <w:bookmarkStart w:id="744" w:name="_Toc296346700"/>
      <w:bookmarkStart w:id="745" w:name="_Toc312677507"/>
      <w:r>
        <w:rPr>
          <w:rFonts w:ascii="宋体" w:hAnsi="宋体"/>
          <w:color w:val="000000" w:themeColor="text1"/>
          <w:sz w:val="21"/>
          <w:szCs w:val="21"/>
          <w:highlight w:val="none"/>
          <w14:textFill>
            <w14:solidFill>
              <w14:schemeClr w14:val="tx1"/>
            </w14:solidFill>
          </w14:textFill>
        </w:rPr>
        <w:t>0.7</w:t>
      </w:r>
      <w:r>
        <w:rPr>
          <w:rFonts w:hint="eastAsia" w:ascii="宋体" w:hAnsi="宋体"/>
          <w:color w:val="000000" w:themeColor="text1"/>
          <w:sz w:val="21"/>
          <w:szCs w:val="21"/>
          <w:highlight w:val="none"/>
          <w14:textFill>
            <w14:solidFill>
              <w14:schemeClr w14:val="tx1"/>
            </w14:solidFill>
          </w14:textFill>
        </w:rPr>
        <w:t>暂估价</w:t>
      </w:r>
      <w:bookmarkEnd w:id="723"/>
      <w:bookmarkEnd w:id="724"/>
      <w:bookmarkEnd w:id="725"/>
      <w:bookmarkEnd w:id="726"/>
      <w:bookmarkEnd w:id="727"/>
      <w:bookmarkEnd w:id="728"/>
    </w:p>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14:paraId="34BDA511">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暂</w:t>
      </w:r>
      <w:bookmarkStart w:id="746" w:name="_Toc318581176"/>
      <w:bookmarkStart w:id="747" w:name="_Toc312677508"/>
      <w:bookmarkStart w:id="748" w:name="_Toc312678034"/>
      <w:r>
        <w:rPr>
          <w:rFonts w:hint="eastAsia" w:hAnsi="宋体" w:cs="宋体"/>
          <w:color w:val="000000" w:themeColor="text1"/>
          <w:kern w:val="0"/>
          <w:szCs w:val="21"/>
          <w:highlight w:val="none"/>
          <w14:textFill>
            <w14:solidFill>
              <w14:schemeClr w14:val="tx1"/>
            </w14:solidFill>
          </w14:textFill>
        </w:rPr>
        <w:t>估价材料和工程设备的明细详见已标价工程量清单《</w:t>
      </w:r>
      <w:r>
        <w:rPr>
          <w:rFonts w:hint="eastAsia" w:cs="宋体"/>
          <w:color w:val="000000" w:themeColor="text1"/>
          <w:szCs w:val="21"/>
          <w:highlight w:val="none"/>
          <w14:textFill>
            <w14:solidFill>
              <w14:schemeClr w14:val="tx1"/>
            </w14:solidFill>
          </w14:textFill>
        </w:rPr>
        <w:t>材料（工程设备）暂估价格及调整表》</w:t>
      </w:r>
      <w:r>
        <w:rPr>
          <w:rFonts w:hint="eastAsia" w:hAnsi="宋体" w:cs="宋体"/>
          <w:color w:val="000000" w:themeColor="text1"/>
          <w:kern w:val="0"/>
          <w:szCs w:val="21"/>
          <w:highlight w:val="none"/>
          <w14:textFill>
            <w14:solidFill>
              <w14:schemeClr w14:val="tx1"/>
            </w14:solidFill>
          </w14:textFill>
        </w:rPr>
        <w:t>（表</w:t>
      </w:r>
      <w:r>
        <w:rPr>
          <w:rFonts w:hAnsi="宋体"/>
          <w:color w:val="000000" w:themeColor="text1"/>
          <w:kern w:val="0"/>
          <w:szCs w:val="21"/>
          <w:highlight w:val="none"/>
          <w14:textFill>
            <w14:solidFill>
              <w14:schemeClr w14:val="tx1"/>
            </w14:solidFill>
          </w14:textFill>
        </w:rPr>
        <w:t>12-2</w:t>
      </w:r>
      <w:r>
        <w:rPr>
          <w:rFonts w:hint="eastAsia" w:hAnsi="宋体" w:cs="宋体"/>
          <w:color w:val="000000" w:themeColor="text1"/>
          <w:kern w:val="0"/>
          <w:szCs w:val="21"/>
          <w:highlight w:val="none"/>
          <w14:textFill>
            <w14:solidFill>
              <w14:schemeClr w14:val="tx1"/>
            </w14:solidFill>
          </w14:textFill>
        </w:rPr>
        <w:t>）和《</w:t>
      </w:r>
      <w:r>
        <w:rPr>
          <w:rFonts w:hint="eastAsia" w:cs="宋体"/>
          <w:color w:val="000000" w:themeColor="text1"/>
          <w:szCs w:val="21"/>
          <w:highlight w:val="none"/>
          <w14:textFill>
            <w14:solidFill>
              <w14:schemeClr w14:val="tx1"/>
            </w14:solidFill>
          </w14:textFill>
        </w:rPr>
        <w:t>专业工程暂估价表》（</w:t>
      </w:r>
      <w:r>
        <w:rPr>
          <w:rFonts w:hint="eastAsia" w:hAnsi="宋体" w:cs="宋体"/>
          <w:color w:val="000000" w:themeColor="text1"/>
          <w:kern w:val="0"/>
          <w:szCs w:val="21"/>
          <w:highlight w:val="none"/>
          <w14:textFill>
            <w14:solidFill>
              <w14:schemeClr w14:val="tx1"/>
            </w14:solidFill>
          </w14:textFill>
        </w:rPr>
        <w:t>表</w:t>
      </w:r>
      <w:r>
        <w:rPr>
          <w:rFonts w:hAnsi="宋体"/>
          <w:color w:val="000000" w:themeColor="text1"/>
          <w:kern w:val="0"/>
          <w:szCs w:val="21"/>
          <w:highlight w:val="none"/>
          <w14:textFill>
            <w14:solidFill>
              <w14:schemeClr w14:val="tx1"/>
            </w14:solidFill>
          </w14:textFill>
        </w:rPr>
        <w:t>12-3</w:t>
      </w:r>
      <w:r>
        <w:rPr>
          <w:rFonts w:hint="eastAsia" w:hAnsi="宋体" w:cs="宋体"/>
          <w:color w:val="000000" w:themeColor="text1"/>
          <w:kern w:val="0"/>
          <w:szCs w:val="21"/>
          <w:highlight w:val="none"/>
          <w14:textFill>
            <w14:solidFill>
              <w14:schemeClr w14:val="tx1"/>
            </w14:solidFill>
          </w14:textFill>
        </w:rPr>
        <w:t>）。</w:t>
      </w:r>
    </w:p>
    <w:bookmarkEnd w:id="746"/>
    <w:bookmarkEnd w:id="747"/>
    <w:bookmarkEnd w:id="748"/>
    <w:p w14:paraId="6A725032">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bookmarkStart w:id="749" w:name="_Toc318581177"/>
      <w:bookmarkStart w:id="750" w:name="_Toc312678035"/>
      <w:bookmarkStart w:id="751" w:name="_Toc312677509"/>
      <w:r>
        <w:rPr>
          <w:color w:val="000000" w:themeColor="text1"/>
          <w:szCs w:val="21"/>
          <w:highlight w:val="none"/>
          <w14:textFill>
            <w14:solidFill>
              <w14:schemeClr w14:val="tx1"/>
            </w14:solidFill>
          </w14:textFill>
        </w:rPr>
        <w:t>0.7.1</w:t>
      </w:r>
      <w:r>
        <w:rPr>
          <w:rFonts w:hint="eastAsia" w:hAnsi="宋体" w:cs="宋体"/>
          <w:color w:val="000000" w:themeColor="text1"/>
          <w:szCs w:val="21"/>
          <w:highlight w:val="none"/>
          <w14:textFill>
            <w14:solidFill>
              <w14:schemeClr w14:val="tx1"/>
            </w14:solidFill>
          </w14:textFill>
        </w:rPr>
        <w:t>依法必须招标的暂估价项目</w:t>
      </w:r>
    </w:p>
    <w:bookmarkEnd w:id="749"/>
    <w:bookmarkEnd w:id="750"/>
    <w:bookmarkEnd w:id="751"/>
    <w:p w14:paraId="3E7B71E5">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对于依法必须招标的暂估价项目的确认和批准采取第</w:t>
      </w:r>
      <w:r>
        <w:rPr>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种方式确定。</w:t>
      </w:r>
    </w:p>
    <w:p w14:paraId="20CD2EF7">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10.7.2</w:t>
      </w:r>
      <w:r>
        <w:rPr>
          <w:rFonts w:hint="eastAsia" w:hAnsi="宋体" w:cs="宋体"/>
          <w:color w:val="000000" w:themeColor="text1"/>
          <w:szCs w:val="21"/>
          <w:highlight w:val="none"/>
          <w14:textFill>
            <w14:solidFill>
              <w14:schemeClr w14:val="tx1"/>
            </w14:solidFill>
          </w14:textFill>
        </w:rPr>
        <w:t>不属于依法必须招标的暂估价项目</w:t>
      </w:r>
    </w:p>
    <w:p w14:paraId="7A8F8C39">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对于不属于依法必须招标的暂估价项目的确认和批准采取第</w:t>
      </w:r>
      <w:r>
        <w:rPr>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种方式确定。</w:t>
      </w:r>
    </w:p>
    <w:p w14:paraId="70036662">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种方式：</w:t>
      </w:r>
      <w:r>
        <w:rPr>
          <w:rFonts w:hint="eastAsia" w:hAnsi="宋体" w:cs="宋体"/>
          <w:color w:val="000000" w:themeColor="text1"/>
          <w:kern w:val="0"/>
          <w:szCs w:val="21"/>
          <w:highlight w:val="none"/>
          <w14:textFill>
            <w14:solidFill>
              <w14:schemeClr w14:val="tx1"/>
            </w14:solidFill>
          </w14:textFill>
        </w:rPr>
        <w:t>承包人直接实施的暂估价项目</w:t>
      </w:r>
    </w:p>
    <w:p w14:paraId="4D7BAB39">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承包人直接实施的暂估价项目的约定：</w:t>
      </w:r>
      <w:r>
        <w:rPr>
          <w:rFonts w:hint="eastAsia"/>
          <w:color w:val="000000" w:themeColor="text1"/>
          <w:szCs w:val="21"/>
          <w:highlight w:val="none"/>
          <w:u w:val="single"/>
          <w14:textFill>
            <w14:solidFill>
              <w14:schemeClr w14:val="tx1"/>
            </w14:solidFill>
          </w14:textFill>
        </w:rPr>
        <w:t>无</w:t>
      </w:r>
      <w:r>
        <w:rPr>
          <w:rFonts w:hint="eastAsia" w:hAnsi="宋体" w:cs="宋体"/>
          <w:color w:val="000000" w:themeColor="text1"/>
          <w:szCs w:val="21"/>
          <w:highlight w:val="none"/>
          <w14:textFill>
            <w14:solidFill>
              <w14:schemeClr w14:val="tx1"/>
            </w14:solidFill>
          </w14:textFill>
        </w:rPr>
        <w:t>。</w:t>
      </w:r>
    </w:p>
    <w:p w14:paraId="1C6479A8">
      <w:pPr>
        <w:pStyle w:val="5"/>
        <w:ind w:firstLine="422" w:firstLineChars="200"/>
        <w:rPr>
          <w:rFonts w:ascii="宋体" w:hAnsi="宋体"/>
          <w:color w:val="000000" w:themeColor="text1"/>
          <w:sz w:val="21"/>
          <w:szCs w:val="21"/>
          <w:highlight w:val="none"/>
          <w14:textFill>
            <w14:solidFill>
              <w14:schemeClr w14:val="tx1"/>
            </w14:solidFill>
          </w14:textFill>
        </w:rPr>
      </w:pPr>
      <w:bookmarkStart w:id="752" w:name="_Toc114058885"/>
      <w:bookmarkStart w:id="753" w:name="_Toc373478392"/>
      <w:bookmarkStart w:id="754" w:name="_Toc407135248"/>
      <w:bookmarkStart w:id="755" w:name="_Toc389065311"/>
      <w:bookmarkStart w:id="756" w:name="_Toc78449834"/>
      <w:bookmarkStart w:id="757" w:name="_Toc373227745"/>
      <w:r>
        <w:rPr>
          <w:rFonts w:ascii="宋体" w:hAnsi="宋体"/>
          <w:color w:val="000000" w:themeColor="text1"/>
          <w:sz w:val="21"/>
          <w:szCs w:val="21"/>
          <w:highlight w:val="none"/>
          <w14:textFill>
            <w14:solidFill>
              <w14:schemeClr w14:val="tx1"/>
            </w14:solidFill>
          </w14:textFill>
        </w:rPr>
        <w:t>10.8</w:t>
      </w:r>
      <w:r>
        <w:rPr>
          <w:rFonts w:hint="eastAsia" w:ascii="宋体" w:hAnsi="宋体"/>
          <w:color w:val="000000" w:themeColor="text1"/>
          <w:sz w:val="21"/>
          <w:szCs w:val="21"/>
          <w:highlight w:val="none"/>
          <w14:textFill>
            <w14:solidFill>
              <w14:schemeClr w14:val="tx1"/>
            </w14:solidFill>
          </w14:textFill>
        </w:rPr>
        <w:t>暂列金额</w:t>
      </w:r>
      <w:bookmarkEnd w:id="752"/>
      <w:bookmarkEnd w:id="753"/>
      <w:bookmarkEnd w:id="754"/>
      <w:bookmarkEnd w:id="755"/>
      <w:bookmarkEnd w:id="756"/>
      <w:bookmarkEnd w:id="757"/>
    </w:p>
    <w:p w14:paraId="559BF49A">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合同当事人关于暂列金额使用的约定：</w:t>
      </w:r>
      <w:r>
        <w:rPr>
          <w:rFonts w:hint="eastAsia"/>
          <w:color w:val="000000" w:themeColor="text1"/>
          <w:szCs w:val="21"/>
          <w:highlight w:val="none"/>
          <w:u w:val="single"/>
          <w14:textFill>
            <w14:solidFill>
              <w14:schemeClr w14:val="tx1"/>
            </w14:solidFill>
          </w14:textFill>
        </w:rPr>
        <w:t>无</w:t>
      </w:r>
      <w:r>
        <w:rPr>
          <w:rFonts w:hint="eastAsia" w:hAnsi="宋体" w:cs="宋体"/>
          <w:color w:val="000000" w:themeColor="text1"/>
          <w:kern w:val="0"/>
          <w:szCs w:val="21"/>
          <w:highlight w:val="none"/>
          <w14:textFill>
            <w14:solidFill>
              <w14:schemeClr w14:val="tx1"/>
            </w14:solidFill>
          </w14:textFill>
        </w:rPr>
        <w:t>。</w:t>
      </w:r>
    </w:p>
    <w:p w14:paraId="5B03983A">
      <w:pPr>
        <w:pStyle w:val="4"/>
        <w:numPr>
          <w:ilvl w:val="0"/>
          <w:numId w:val="5"/>
        </w:numPr>
        <w:jc w:val="left"/>
        <w:rPr>
          <w:rFonts w:ascii="宋体" w:hAnsi="宋体" w:eastAsia="宋体"/>
          <w:color w:val="000000" w:themeColor="text1"/>
          <w:sz w:val="28"/>
          <w:szCs w:val="28"/>
          <w:highlight w:val="none"/>
          <w14:textFill>
            <w14:solidFill>
              <w14:schemeClr w14:val="tx1"/>
            </w14:solidFill>
          </w14:textFill>
        </w:rPr>
      </w:pPr>
      <w:bookmarkStart w:id="758" w:name="_Toc407135249"/>
      <w:bookmarkStart w:id="759" w:name="_Toc78449835"/>
      <w:bookmarkStart w:id="760" w:name="_Toc373478393"/>
      <w:bookmarkStart w:id="761" w:name="_Toc114058886"/>
      <w:bookmarkStart w:id="762" w:name="_Toc18319"/>
      <w:bookmarkStart w:id="763" w:name="_Toc373227746"/>
      <w:bookmarkStart w:id="764" w:name="_Toc389065312"/>
      <w:bookmarkStart w:id="765" w:name="_Toc351203643"/>
      <w:r>
        <w:rPr>
          <w:rFonts w:hint="eastAsia" w:ascii="宋体" w:hAnsi="宋体" w:eastAsia="宋体"/>
          <w:color w:val="000000" w:themeColor="text1"/>
          <w:sz w:val="28"/>
          <w:szCs w:val="28"/>
          <w:highlight w:val="none"/>
          <w14:textFill>
            <w14:solidFill>
              <w14:schemeClr w14:val="tx1"/>
            </w14:solidFill>
          </w14:textFill>
        </w:rPr>
        <w:t>价格调整</w:t>
      </w:r>
      <w:bookmarkEnd w:id="758"/>
      <w:bookmarkEnd w:id="759"/>
      <w:bookmarkEnd w:id="760"/>
      <w:bookmarkEnd w:id="761"/>
      <w:bookmarkEnd w:id="762"/>
      <w:bookmarkEnd w:id="763"/>
      <w:bookmarkEnd w:id="764"/>
      <w:bookmarkEnd w:id="765"/>
    </w:p>
    <w:p w14:paraId="33F3D292">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①法律变化引起的调整；</w:t>
      </w:r>
    </w:p>
    <w:p w14:paraId="2BE1FB4A">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②工程变更、项目特征不符、工程量清单缺项、工程量偏差引起的调整；</w:t>
      </w:r>
    </w:p>
    <w:p w14:paraId="0D8E8C88">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③计日工引起的调整。</w:t>
      </w:r>
    </w:p>
    <w:p w14:paraId="30B2020B">
      <w:pPr>
        <w:pStyle w:val="5"/>
        <w:ind w:firstLine="422" w:firstLineChars="200"/>
        <w:rPr>
          <w:rFonts w:ascii="宋体" w:hAnsi="宋体"/>
          <w:color w:val="000000" w:themeColor="text1"/>
          <w:sz w:val="21"/>
          <w:szCs w:val="21"/>
          <w:highlight w:val="none"/>
          <w14:textFill>
            <w14:solidFill>
              <w14:schemeClr w14:val="tx1"/>
            </w14:solidFill>
          </w14:textFill>
        </w:rPr>
      </w:pPr>
      <w:bookmarkStart w:id="766" w:name="_Toc407135250"/>
      <w:bookmarkStart w:id="767" w:name="_Toc78449836"/>
      <w:bookmarkStart w:id="768" w:name="_Toc373478394"/>
      <w:bookmarkStart w:id="769" w:name="_Toc373227747"/>
      <w:bookmarkStart w:id="770" w:name="_Toc114058887"/>
      <w:bookmarkStart w:id="771" w:name="_Toc389065313"/>
      <w:bookmarkStart w:id="772" w:name="_Toc297120501"/>
      <w:bookmarkStart w:id="773" w:name="_Toc304295577"/>
      <w:bookmarkStart w:id="774" w:name="_Toc296891029"/>
      <w:bookmarkStart w:id="775" w:name="_Toc292559406"/>
      <w:bookmarkStart w:id="776" w:name="_Toc296944540"/>
      <w:bookmarkStart w:id="777" w:name="_Toc296346702"/>
      <w:bookmarkStart w:id="778" w:name="_Toc297048387"/>
      <w:bookmarkStart w:id="779" w:name="_Toc296347200"/>
      <w:bookmarkStart w:id="780" w:name="_Toc303539157"/>
      <w:bookmarkStart w:id="781" w:name="_Toc312678039"/>
      <w:bookmarkStart w:id="782" w:name="_Toc300935000"/>
      <w:bookmarkStart w:id="783" w:name="_Toc297123550"/>
      <w:bookmarkStart w:id="784" w:name="_Toc296503201"/>
      <w:bookmarkStart w:id="785" w:name="_Toc296891241"/>
      <w:bookmarkStart w:id="786" w:name="_Toc297216209"/>
      <w:bookmarkStart w:id="787" w:name="_Toc292559911"/>
      <w:r>
        <w:rPr>
          <w:rFonts w:ascii="宋体" w:hAnsi="宋体"/>
          <w:color w:val="000000" w:themeColor="text1"/>
          <w:sz w:val="21"/>
          <w:szCs w:val="21"/>
          <w:highlight w:val="none"/>
          <w14:textFill>
            <w14:solidFill>
              <w14:schemeClr w14:val="tx1"/>
            </w14:solidFill>
          </w14:textFill>
        </w:rPr>
        <w:t>11.1</w:t>
      </w:r>
      <w:r>
        <w:rPr>
          <w:rFonts w:hint="eastAsia" w:ascii="宋体" w:hAnsi="宋体"/>
          <w:color w:val="000000" w:themeColor="text1"/>
          <w:sz w:val="21"/>
          <w:szCs w:val="21"/>
          <w:highlight w:val="none"/>
          <w14:textFill>
            <w14:solidFill>
              <w14:schemeClr w14:val="tx1"/>
            </w14:solidFill>
          </w14:textFill>
        </w:rPr>
        <w:t>市场价格波动引起的调整</w:t>
      </w:r>
      <w:bookmarkEnd w:id="766"/>
      <w:bookmarkEnd w:id="767"/>
      <w:bookmarkEnd w:id="768"/>
      <w:bookmarkEnd w:id="769"/>
      <w:bookmarkEnd w:id="770"/>
      <w:bookmarkEnd w:id="771"/>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38052229">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市场价格波动是否调整合同价格的约定：</w:t>
      </w:r>
      <w:r>
        <w:rPr>
          <w:rFonts w:hint="eastAsia"/>
          <w:color w:val="000000" w:themeColor="text1"/>
          <w:szCs w:val="21"/>
          <w:highlight w:val="none"/>
          <w:u w:val="single"/>
          <w14:textFill>
            <w14:solidFill>
              <w14:schemeClr w14:val="tx1"/>
            </w14:solidFill>
          </w14:textFill>
        </w:rPr>
        <w:t>否</w:t>
      </w:r>
      <w:r>
        <w:rPr>
          <w:rFonts w:hint="eastAsia" w:hAnsi="宋体" w:cs="宋体"/>
          <w:color w:val="000000" w:themeColor="text1"/>
          <w:szCs w:val="21"/>
          <w:highlight w:val="none"/>
          <w14:textFill>
            <w14:solidFill>
              <w14:schemeClr w14:val="tx1"/>
            </w14:solidFill>
          </w14:textFill>
        </w:rPr>
        <w:t>。</w:t>
      </w:r>
    </w:p>
    <w:bookmarkEnd w:id="623"/>
    <w:bookmarkEnd w:id="624"/>
    <w:bookmarkEnd w:id="625"/>
    <w:bookmarkEnd w:id="626"/>
    <w:bookmarkEnd w:id="627"/>
    <w:bookmarkEnd w:id="628"/>
    <w:p w14:paraId="37FC4148">
      <w:pPr>
        <w:pStyle w:val="4"/>
        <w:jc w:val="left"/>
        <w:rPr>
          <w:rFonts w:ascii="宋体" w:hAnsi="宋体" w:eastAsia="宋体"/>
          <w:color w:val="000000" w:themeColor="text1"/>
          <w:sz w:val="28"/>
          <w:szCs w:val="28"/>
          <w:highlight w:val="none"/>
          <w14:textFill>
            <w14:solidFill>
              <w14:schemeClr w14:val="tx1"/>
            </w14:solidFill>
          </w14:textFill>
        </w:rPr>
      </w:pPr>
      <w:bookmarkStart w:id="788" w:name="_Toc297048391"/>
      <w:bookmarkStart w:id="789" w:name="_Toc297120505"/>
      <w:bookmarkStart w:id="790" w:name="_Toc296347204"/>
      <w:bookmarkStart w:id="791" w:name="_Toc296503205"/>
      <w:bookmarkStart w:id="792" w:name="_Toc296891033"/>
      <w:bookmarkStart w:id="793" w:name="_Toc296944544"/>
      <w:bookmarkStart w:id="794" w:name="_Toc292559915"/>
      <w:bookmarkStart w:id="795" w:name="_Toc292559410"/>
      <w:bookmarkStart w:id="796" w:name="_Toc296346706"/>
      <w:bookmarkStart w:id="797" w:name="_Toc296891245"/>
      <w:bookmarkStart w:id="798" w:name="_Toc351203644"/>
      <w:bookmarkStart w:id="799" w:name="_Toc407135251"/>
      <w:bookmarkStart w:id="800" w:name="_Toc373227748"/>
      <w:bookmarkStart w:id="801" w:name="_Toc373478395"/>
      <w:bookmarkStart w:id="802" w:name="_Toc114058888"/>
      <w:bookmarkStart w:id="803" w:name="_Toc21664"/>
      <w:bookmarkStart w:id="804" w:name="_Toc78449837"/>
      <w:bookmarkStart w:id="805" w:name="_Toc297216211"/>
      <w:bookmarkStart w:id="806" w:name="_Toc304295579"/>
      <w:bookmarkStart w:id="807" w:name="_Toc312678040"/>
      <w:bookmarkStart w:id="808" w:name="_Toc300935002"/>
      <w:bookmarkStart w:id="809" w:name="_Toc303539159"/>
      <w:bookmarkStart w:id="810" w:name="_Toc297123552"/>
      <w:r>
        <w:rPr>
          <w:rFonts w:ascii="宋体" w:hAnsi="宋体" w:eastAsia="宋体"/>
          <w:color w:val="000000" w:themeColor="text1"/>
          <w:sz w:val="28"/>
          <w:szCs w:val="28"/>
          <w:highlight w:val="none"/>
          <w14:textFill>
            <w14:solidFill>
              <w14:schemeClr w14:val="tx1"/>
            </w14:solidFill>
          </w14:textFill>
        </w:rPr>
        <w:t>12.</w:t>
      </w:r>
      <w:bookmarkEnd w:id="788"/>
      <w:bookmarkEnd w:id="789"/>
      <w:bookmarkEnd w:id="790"/>
      <w:bookmarkEnd w:id="791"/>
      <w:bookmarkEnd w:id="792"/>
      <w:bookmarkEnd w:id="793"/>
      <w:bookmarkEnd w:id="794"/>
      <w:bookmarkEnd w:id="795"/>
      <w:bookmarkEnd w:id="796"/>
      <w:bookmarkEnd w:id="797"/>
      <w:r>
        <w:rPr>
          <w:rFonts w:hint="eastAsia" w:ascii="宋体" w:hAnsi="宋体" w:eastAsia="宋体"/>
          <w:color w:val="000000" w:themeColor="text1"/>
          <w:sz w:val="28"/>
          <w:szCs w:val="28"/>
          <w:highlight w:val="none"/>
          <w14:textFill>
            <w14:solidFill>
              <w14:schemeClr w14:val="tx1"/>
            </w14:solidFill>
          </w14:textFill>
        </w:rPr>
        <w:t>合同价格、计量与支付</w:t>
      </w:r>
      <w:bookmarkEnd w:id="798"/>
      <w:bookmarkEnd w:id="799"/>
      <w:bookmarkEnd w:id="800"/>
      <w:bookmarkEnd w:id="801"/>
      <w:bookmarkEnd w:id="802"/>
      <w:bookmarkEnd w:id="803"/>
      <w:bookmarkEnd w:id="804"/>
    </w:p>
    <w:bookmarkEnd w:id="805"/>
    <w:bookmarkEnd w:id="806"/>
    <w:bookmarkEnd w:id="807"/>
    <w:bookmarkEnd w:id="808"/>
    <w:bookmarkEnd w:id="809"/>
    <w:bookmarkEnd w:id="810"/>
    <w:p w14:paraId="63613E72">
      <w:pPr>
        <w:pStyle w:val="5"/>
        <w:ind w:firstLine="422" w:firstLineChars="200"/>
        <w:rPr>
          <w:rFonts w:ascii="宋体" w:hAnsi="宋体"/>
          <w:color w:val="000000" w:themeColor="text1"/>
          <w:sz w:val="21"/>
          <w:szCs w:val="21"/>
          <w:highlight w:val="none"/>
          <w14:textFill>
            <w14:solidFill>
              <w14:schemeClr w14:val="tx1"/>
            </w14:solidFill>
          </w14:textFill>
        </w:rPr>
      </w:pPr>
      <w:bookmarkStart w:id="811" w:name="_Toc292559916"/>
      <w:bookmarkStart w:id="812" w:name="_Toc267251461"/>
      <w:bookmarkStart w:id="813" w:name="_Toc292559411"/>
      <w:bookmarkStart w:id="814" w:name="_Toc296891246"/>
      <w:bookmarkStart w:id="815" w:name="_Toc297048392"/>
      <w:bookmarkStart w:id="816" w:name="_Toc296347205"/>
      <w:bookmarkStart w:id="817" w:name="_Toc296891034"/>
      <w:bookmarkStart w:id="818" w:name="_Toc296346707"/>
      <w:bookmarkStart w:id="819" w:name="_Toc296503206"/>
      <w:bookmarkStart w:id="820" w:name="_Toc297120506"/>
      <w:bookmarkStart w:id="821" w:name="_Toc296944545"/>
      <w:bookmarkStart w:id="822" w:name="_Toc78449838"/>
      <w:bookmarkStart w:id="823" w:name="_Toc373478396"/>
      <w:bookmarkStart w:id="824" w:name="_Toc114058889"/>
      <w:bookmarkStart w:id="825" w:name="_Toc407135252"/>
      <w:bookmarkStart w:id="826" w:name="_Toc373227749"/>
      <w:bookmarkStart w:id="827" w:name="_Toc389065314"/>
      <w:bookmarkStart w:id="828" w:name="_Toc303539160"/>
      <w:bookmarkStart w:id="829" w:name="_Toc312678041"/>
      <w:bookmarkStart w:id="830" w:name="_Toc304295580"/>
      <w:bookmarkStart w:id="831" w:name="_Toc297216212"/>
      <w:bookmarkStart w:id="832" w:name="_Toc300935003"/>
      <w:bookmarkStart w:id="833" w:name="_Toc297123553"/>
      <w:r>
        <w:rPr>
          <w:rFonts w:ascii="宋体" w:hAnsi="宋体"/>
          <w:color w:val="000000" w:themeColor="text1"/>
          <w:sz w:val="21"/>
          <w:szCs w:val="21"/>
          <w:highlight w:val="none"/>
          <w14:textFill>
            <w14:solidFill>
              <w14:schemeClr w14:val="tx1"/>
            </w14:solidFill>
          </w14:textFill>
        </w:rPr>
        <w:t>12.1</w:t>
      </w:r>
      <w:r>
        <w:rPr>
          <w:rFonts w:hint="eastAsia" w:ascii="宋体" w:hAnsi="宋体"/>
          <w:color w:val="000000" w:themeColor="text1"/>
          <w:sz w:val="21"/>
          <w:szCs w:val="21"/>
          <w:highlight w:val="none"/>
          <w14:textFill>
            <w14:solidFill>
              <w14:schemeClr w14:val="tx1"/>
            </w14:solidFill>
          </w14:textFill>
        </w:rPr>
        <w:t>合</w:t>
      </w:r>
      <w:bookmarkEnd w:id="811"/>
      <w:bookmarkEnd w:id="812"/>
      <w:bookmarkEnd w:id="813"/>
      <w:r>
        <w:rPr>
          <w:rFonts w:hint="eastAsia" w:ascii="宋体" w:hAnsi="宋体"/>
          <w:color w:val="000000" w:themeColor="text1"/>
          <w:sz w:val="21"/>
          <w:szCs w:val="21"/>
          <w:highlight w:val="none"/>
          <w14:textFill>
            <w14:solidFill>
              <w14:schemeClr w14:val="tx1"/>
            </w14:solidFill>
          </w14:textFill>
        </w:rPr>
        <w:t>同价</w:t>
      </w:r>
      <w:bookmarkEnd w:id="814"/>
      <w:bookmarkEnd w:id="815"/>
      <w:bookmarkEnd w:id="816"/>
      <w:bookmarkEnd w:id="817"/>
      <w:bookmarkEnd w:id="818"/>
      <w:bookmarkEnd w:id="819"/>
      <w:bookmarkEnd w:id="820"/>
      <w:bookmarkEnd w:id="821"/>
      <w:r>
        <w:rPr>
          <w:rFonts w:hint="eastAsia" w:ascii="宋体" w:hAnsi="宋体"/>
          <w:color w:val="000000" w:themeColor="text1"/>
          <w:sz w:val="21"/>
          <w:szCs w:val="21"/>
          <w:highlight w:val="none"/>
          <w14:textFill>
            <w14:solidFill>
              <w14:schemeClr w14:val="tx1"/>
            </w14:solidFill>
          </w14:textFill>
        </w:rPr>
        <w:t>格形式</w:t>
      </w:r>
      <w:bookmarkEnd w:id="822"/>
      <w:bookmarkEnd w:id="823"/>
      <w:bookmarkEnd w:id="824"/>
      <w:bookmarkEnd w:id="825"/>
      <w:bookmarkEnd w:id="826"/>
      <w:bookmarkEnd w:id="827"/>
    </w:p>
    <w:bookmarkEnd w:id="828"/>
    <w:bookmarkEnd w:id="829"/>
    <w:bookmarkEnd w:id="830"/>
    <w:bookmarkEnd w:id="831"/>
    <w:bookmarkEnd w:id="832"/>
    <w:bookmarkEnd w:id="833"/>
    <w:p w14:paraId="24A58CB5">
      <w:pPr>
        <w:spacing w:line="360" w:lineRule="auto"/>
        <w:ind w:firstLine="420" w:firstLineChars="200"/>
        <w:jc w:val="left"/>
        <w:rPr>
          <w:rFonts w:hAnsi="宋体"/>
          <w:color w:val="000000" w:themeColor="text1"/>
          <w:szCs w:val="21"/>
          <w:highlight w:val="none"/>
          <w14:textFill>
            <w14:solidFill>
              <w14:schemeClr w14:val="tx1"/>
            </w14:solidFill>
          </w14:textFill>
        </w:rPr>
      </w:pPr>
      <w:bookmarkStart w:id="834" w:name="_Toc389065315"/>
      <w:bookmarkStart w:id="835" w:name="_Toc373227750"/>
      <w:bookmarkStart w:id="836" w:name="_Toc373478397"/>
      <w:bookmarkStart w:id="837" w:name="_Toc297123554"/>
      <w:bookmarkStart w:id="838" w:name="_Toc304295581"/>
      <w:bookmarkStart w:id="839" w:name="_Toc303539161"/>
      <w:bookmarkStart w:id="840" w:name="_Toc300935004"/>
      <w:bookmarkStart w:id="841" w:name="_Toc312678042"/>
      <w:bookmarkStart w:id="842" w:name="_Toc297216213"/>
      <w:bookmarkStart w:id="843" w:name="_Toc297048393"/>
      <w:bookmarkStart w:id="844" w:name="_Toc292559412"/>
      <w:bookmarkStart w:id="845" w:name="_Toc297120507"/>
      <w:bookmarkStart w:id="846" w:name="_Toc296347206"/>
      <w:bookmarkStart w:id="847" w:name="_Toc292559917"/>
      <w:bookmarkStart w:id="848" w:name="_Toc296891035"/>
      <w:bookmarkStart w:id="849" w:name="_Toc296503207"/>
      <w:bookmarkStart w:id="850" w:name="_Toc296891247"/>
      <w:bookmarkStart w:id="851" w:name="_Toc296944546"/>
      <w:bookmarkStart w:id="852" w:name="_Toc296346708"/>
      <w:r>
        <w:rPr>
          <w:rFonts w:hint="eastAsia" w:hAnsi="宋体"/>
          <w:color w:val="000000" w:themeColor="text1"/>
          <w:szCs w:val="21"/>
          <w:highlight w:val="none"/>
          <w14:textFill>
            <w14:solidFill>
              <w14:schemeClr w14:val="tx1"/>
            </w14:solidFill>
          </w14:textFill>
        </w:rPr>
        <w:t>本工程采用</w:t>
      </w:r>
      <w:r>
        <w:rPr>
          <w:rFonts w:hint="eastAsia" w:hAnsi="宋体"/>
          <w:color w:val="000000" w:themeColor="text1"/>
          <w:szCs w:val="21"/>
          <w:highlight w:val="none"/>
          <w:u w:val="single"/>
          <w14:textFill>
            <w14:solidFill>
              <w14:schemeClr w14:val="tx1"/>
            </w14:solidFill>
          </w14:textFill>
        </w:rPr>
        <w:t>固定综合单价</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highlight w:val="none"/>
          <w14:textFill>
            <w14:solidFill>
              <w14:schemeClr w14:val="tx1"/>
            </w14:solidFill>
          </w14:textFill>
        </w:rPr>
        <w:t>，合同价格包含增值税，本工程计价时采用的增值税计税方法为：</w:t>
      </w:r>
      <w:r>
        <w:rPr>
          <w:rFonts w:hint="eastAsia" w:ascii="MS Mincho" w:hAnsi="MS Mincho" w:eastAsia="MS Mincho" w:cs="MS Mincho"/>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一般计税法</w:t>
      </w:r>
      <w:r>
        <w:rPr>
          <w:rFonts w:hint="eastAsia" w:ascii="宋体" w:hAnsi="宋体"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7E13C7CD">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单价合同。</w:t>
      </w:r>
    </w:p>
    <w:p w14:paraId="57E511AF">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采用综合单价合同方式时，工程量按建设单位、监理单位、</w:t>
      </w:r>
      <w:r>
        <w:rPr>
          <w:rFonts w:hAnsi="宋体" w:cs="宋体"/>
          <w:color w:val="000000" w:themeColor="text1"/>
          <w:highlight w:val="none"/>
          <w14:textFill>
            <w14:solidFill>
              <w14:schemeClr w14:val="tx1"/>
            </w14:solidFill>
          </w14:textFill>
        </w:rPr>
        <w:t>施工单位三方确认</w:t>
      </w:r>
      <w:r>
        <w:rPr>
          <w:rFonts w:hint="eastAsia" w:hAnsi="宋体" w:cs="宋体"/>
          <w:color w:val="000000" w:themeColor="text1"/>
          <w:highlight w:val="none"/>
          <w14:textFill>
            <w14:solidFill>
              <w14:schemeClr w14:val="tx1"/>
            </w14:solidFill>
          </w14:textFill>
        </w:rPr>
        <w:t>的与实际相符的竣工图结算。如发现竣工图与实际不符，按不利于施工单位的原则结算。</w:t>
      </w:r>
    </w:p>
    <w:p w14:paraId="09E45D7D">
      <w:pPr>
        <w:spacing w:line="360" w:lineRule="auto"/>
        <w:ind w:firstLine="420" w:firstLineChars="200"/>
        <w:jc w:val="left"/>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综合单价包含的风险范围：</w:t>
      </w:r>
      <w:r>
        <w:rPr>
          <w:rFonts w:hint="eastAsia" w:hAnsi="宋体" w:cs="宋体"/>
          <w:color w:val="000000" w:themeColor="text1"/>
          <w:highlight w:val="none"/>
          <w:u w:val="single"/>
          <w14:textFill>
            <w14:solidFill>
              <w14:schemeClr w14:val="tx1"/>
            </w14:solidFill>
          </w14:textFill>
        </w:rPr>
        <w:t>除工程变更、项目特征不符、工程量清单缺项、工程量偏差、政策性调整约定的材料和设备价格变动风险以外的其他风险因素。</w:t>
      </w:r>
    </w:p>
    <w:p w14:paraId="18E34201">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风险费用的计算方法：单价采用固定综合单价，风险费用已综合考虑在单价中。</w:t>
      </w:r>
    </w:p>
    <w:p w14:paraId="6167DFAD">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风险范围以外合同价格的调整方法：</w:t>
      </w:r>
    </w:p>
    <w:p w14:paraId="68FCDC57">
      <w:pPr>
        <w:spacing w:line="360" w:lineRule="auto"/>
        <w:ind w:firstLine="420" w:firstLineChars="200"/>
        <w:jc w:val="left"/>
        <w:rPr>
          <w:rFonts w:ascii="宋体" w:hAnsi="宋体" w:cs="宋体"/>
          <w:b/>
          <w:bCs/>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①</w:t>
      </w:r>
      <w:r>
        <w:rPr>
          <w:rFonts w:hint="eastAsia" w:ascii="宋体" w:hAnsi="宋体" w:cs="宋体"/>
          <w:b/>
          <w:bCs/>
          <w:color w:val="000000" w:themeColor="text1"/>
          <w:szCs w:val="21"/>
          <w:highlight w:val="none"/>
          <w14:textFill>
            <w14:solidFill>
              <w14:schemeClr w14:val="tx1"/>
            </w14:solidFill>
          </w14:textFill>
        </w:rPr>
        <w:t>本合同实施期间因工程变更、项目特征不符、工程量清单缺项引起工程项目、工程量变化的，其工程量按实际发生并监理工程师及发包人确认，变更合同价款按下列方法进行：工程量清单中有相同细目的按成交单价进行结算，工程量清单中有类似细目的参考类似成交单价结算；工程量清单中没有适用或类似于变更工程的价格，则有定额的套定额计算，执行本采购文件工程计价参考依据结算，其中材料价格有信息价的按施工期间信息价的算数平均价计取，无信息价的由发包人、监理单位及承包人根据市场价格协商议定；新增项目无定额可套的，由发包人、监理单位及承包人根据市场协商确定。</w:t>
      </w:r>
    </w:p>
    <w:p w14:paraId="479DF668">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②工程量偏差：</w:t>
      </w:r>
      <w:r>
        <w:rPr>
          <w:rFonts w:hint="eastAsia" w:ascii="宋体" w:hAnsi="宋体" w:cs="宋体"/>
          <w:b/>
          <w:bCs/>
          <w:color w:val="000000" w:themeColor="text1"/>
          <w:szCs w:val="21"/>
          <w:highlight w:val="none"/>
          <w14:textFill>
            <w14:solidFill>
              <w14:schemeClr w14:val="tx1"/>
            </w14:solidFill>
          </w14:textFill>
        </w:rPr>
        <w:t>如果承包人实际完成工程量与招标工程量偏差超过</w:t>
      </w:r>
      <w:r>
        <w:rPr>
          <w:rFonts w:hint="eastAsia" w:cs="宋体"/>
          <w:b/>
          <w:bCs/>
          <w:color w:val="000000" w:themeColor="text1"/>
          <w:szCs w:val="21"/>
          <w:highlight w:val="none"/>
          <w14:textFill>
            <w14:solidFill>
              <w14:schemeClr w14:val="tx1"/>
            </w14:solidFill>
          </w14:textFill>
        </w:rPr>
        <w:t>15%</w:t>
      </w:r>
      <w:r>
        <w:rPr>
          <w:rFonts w:hint="eastAsia" w:ascii="宋体" w:hAnsi="宋体" w:cs="宋体"/>
          <w:b/>
          <w:bCs/>
          <w:color w:val="000000" w:themeColor="text1"/>
          <w:szCs w:val="21"/>
          <w:highlight w:val="none"/>
          <w14:textFill>
            <w14:solidFill>
              <w14:schemeClr w14:val="tx1"/>
            </w14:solidFill>
          </w14:textFill>
        </w:rPr>
        <w:t>以上且该单项造价超过合同总价</w:t>
      </w:r>
      <w:r>
        <w:rPr>
          <w:rFonts w:hint="eastAsia"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以上的，则超过</w:t>
      </w:r>
      <w:r>
        <w:rPr>
          <w:rFonts w:hint="eastAsia" w:cs="宋体"/>
          <w:b/>
          <w:bCs/>
          <w:color w:val="000000" w:themeColor="text1"/>
          <w:szCs w:val="21"/>
          <w:highlight w:val="none"/>
          <w14:textFill>
            <w14:solidFill>
              <w14:schemeClr w14:val="tx1"/>
            </w14:solidFill>
          </w14:textFill>
        </w:rPr>
        <w:t>15%</w:t>
      </w:r>
      <w:r>
        <w:rPr>
          <w:rFonts w:hint="eastAsia" w:ascii="宋体" w:hAnsi="宋体" w:cs="宋体"/>
          <w:b/>
          <w:bCs/>
          <w:color w:val="000000" w:themeColor="text1"/>
          <w:szCs w:val="21"/>
          <w:highlight w:val="none"/>
          <w14:textFill>
            <w14:solidFill>
              <w14:schemeClr w14:val="tx1"/>
            </w14:solidFill>
          </w14:textFill>
        </w:rPr>
        <w:t>以上增加部分工程量或减少后剩余部分工程量的综合单价按以下方法计算：有定额的套定额计算，执行本采购文件工程计价参考依据结算，其中材料价格有信息价的按施工期间信息价的算数平均价计取，无信息价的由发包人、监理单位及承包人根据市场价格协商议定。</w:t>
      </w:r>
    </w:p>
    <w:p w14:paraId="1202D6D7">
      <w:pPr>
        <w:spacing w:line="360" w:lineRule="auto"/>
        <w:ind w:firstLine="422" w:firstLineChars="200"/>
        <w:jc w:val="left"/>
        <w:rPr>
          <w:rFonts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③政策性调整：</w:t>
      </w:r>
      <w:r>
        <w:rPr>
          <w:rFonts w:hint="eastAsia" w:ascii="仿宋_GB2312" w:hAnsi="宋体"/>
          <w:color w:val="000000" w:themeColor="text1"/>
          <w:szCs w:val="21"/>
          <w:highlight w:val="none"/>
          <w14:textFill>
            <w14:solidFill>
              <w14:schemeClr w14:val="tx1"/>
            </w14:solidFill>
          </w14:textFill>
        </w:rPr>
        <w:t>按自治区住房城乡建设厅或工程所在地住房城乡建设主管部门颁布的文件执行</w:t>
      </w:r>
      <w:r>
        <w:rPr>
          <w:rFonts w:hint="eastAsia" w:hAnsi="宋体" w:cs="宋体"/>
          <w:color w:val="000000" w:themeColor="text1"/>
          <w:szCs w:val="21"/>
          <w:highlight w:val="none"/>
          <w14:textFill>
            <w14:solidFill>
              <w14:schemeClr w14:val="tx1"/>
            </w14:solidFill>
          </w14:textFill>
        </w:rPr>
        <w:t>。</w:t>
      </w:r>
    </w:p>
    <w:p w14:paraId="11F8AE88">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④材料及设备价格价格风险：</w:t>
      </w:r>
      <w:r>
        <w:rPr>
          <w:rFonts w:hint="eastAsia" w:ascii="宋体" w:hAnsi="宋体" w:cs="宋体"/>
          <w:b/>
          <w:bCs/>
          <w:color w:val="000000" w:themeColor="text1"/>
          <w:szCs w:val="21"/>
          <w:highlight w:val="none"/>
          <w14:textFill>
            <w14:solidFill>
              <w14:schemeClr w14:val="tx1"/>
            </w14:solidFill>
          </w14:textFill>
        </w:rPr>
        <w:t>无</w:t>
      </w:r>
    </w:p>
    <w:p w14:paraId="0C4C4245">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材料及设备风险的约定：无</w:t>
      </w:r>
    </w:p>
    <w:p w14:paraId="649700A5">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⑤其它：</w:t>
      </w:r>
      <w:r>
        <w:rPr>
          <w:rFonts w:hint="eastAsia" w:ascii="宋体" w:hAnsi="宋体" w:cs="宋体"/>
          <w:b/>
          <w:bCs/>
          <w:color w:val="000000" w:themeColor="text1"/>
          <w:szCs w:val="21"/>
          <w:highlight w:val="none"/>
          <w14:textFill>
            <w14:solidFill>
              <w14:schemeClr w14:val="tx1"/>
            </w14:solidFill>
          </w14:textFill>
        </w:rPr>
        <w:t>措施项目费调整原则按《</w:t>
      </w:r>
      <w:r>
        <w:rPr>
          <w:rFonts w:hint="eastAsia" w:cs="宋体"/>
          <w:b/>
          <w:bCs/>
          <w:color w:val="000000" w:themeColor="text1"/>
          <w:szCs w:val="21"/>
          <w:highlight w:val="none"/>
          <w14:textFill>
            <w14:solidFill>
              <w14:schemeClr w14:val="tx1"/>
            </w14:solidFill>
          </w14:textFill>
        </w:rPr>
        <w:t>（GB50500-2013）</w:t>
      </w:r>
      <w:r>
        <w:rPr>
          <w:rFonts w:hint="eastAsia" w:ascii="宋体" w:hAnsi="宋体" w:cs="宋体"/>
          <w:b/>
          <w:bCs/>
          <w:color w:val="000000" w:themeColor="text1"/>
          <w:szCs w:val="21"/>
          <w:highlight w:val="none"/>
          <w14:textFill>
            <w14:solidFill>
              <w14:schemeClr w14:val="tx1"/>
            </w14:solidFill>
          </w14:textFill>
        </w:rPr>
        <w:t>建设工程工程量清单计价规范</w:t>
      </w:r>
      <w:r>
        <w:rPr>
          <w:rFonts w:hint="eastAsia"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广西壮族自治区实施细则》第</w:t>
      </w:r>
      <w:r>
        <w:rPr>
          <w:rFonts w:hint="eastAsia" w:cs="宋体"/>
          <w:b/>
          <w:bCs/>
          <w:color w:val="000000" w:themeColor="text1"/>
          <w:szCs w:val="21"/>
          <w:highlight w:val="none"/>
          <w14:textFill>
            <w14:solidFill>
              <w14:schemeClr w14:val="tx1"/>
            </w14:solidFill>
          </w14:textFill>
        </w:rPr>
        <w:t>9.3.2</w:t>
      </w:r>
      <w:r>
        <w:rPr>
          <w:rFonts w:hint="eastAsia" w:ascii="宋体" w:hAnsi="宋体" w:cs="宋体"/>
          <w:b/>
          <w:bCs/>
          <w:color w:val="000000" w:themeColor="text1"/>
          <w:szCs w:val="21"/>
          <w:highlight w:val="none"/>
          <w14:textFill>
            <w14:solidFill>
              <w14:schemeClr w14:val="tx1"/>
            </w14:solidFill>
          </w14:textFill>
        </w:rPr>
        <w:t>款执行。无约定的参照我区现行《建设工程工程量清单计价规范》相关规定执行。</w:t>
      </w:r>
    </w:p>
    <w:p w14:paraId="1000A0E5">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本工程最终结算以</w:t>
      </w:r>
      <w:r>
        <w:rPr>
          <w:rFonts w:hint="eastAsia" w:hAnsi="宋体"/>
          <w:color w:val="000000" w:themeColor="text1"/>
          <w:szCs w:val="21"/>
          <w:highlight w:val="none"/>
          <w14:textFill>
            <w14:solidFill>
              <w14:schemeClr w14:val="tx1"/>
            </w14:solidFill>
          </w14:textFill>
        </w:rPr>
        <w:t>业主有关部门</w:t>
      </w:r>
      <w:r>
        <w:rPr>
          <w:rFonts w:hint="eastAsia" w:ascii="宋体" w:hAnsi="宋体"/>
          <w:color w:val="000000" w:themeColor="text1"/>
          <w:highlight w:val="none"/>
          <w14:textFill>
            <w14:solidFill>
              <w14:schemeClr w14:val="tx1"/>
            </w14:solidFill>
          </w14:textFill>
        </w:rPr>
        <w:t>审定为准。</w:t>
      </w:r>
    </w:p>
    <w:p w14:paraId="03293AB3">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2</w:t>
      </w:r>
      <w:r>
        <w:rPr>
          <w:rFonts w:hint="eastAsia" w:hAnsi="宋体"/>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总价合同。</w:t>
      </w:r>
    </w:p>
    <w:p w14:paraId="5FBD9FC5">
      <w:pPr>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总价包含的风险范围：包含除工程变更、政策性调整、</w:t>
      </w:r>
      <w:r>
        <w:rPr>
          <w:rFonts w:hint="eastAsia" w:hAnsi="宋体" w:cs="宋体"/>
          <w:color w:val="000000" w:themeColor="text1"/>
          <w:highlight w:val="none"/>
          <w:u w:val="single"/>
          <w14:textFill>
            <w14:solidFill>
              <w14:schemeClr w14:val="tx1"/>
            </w14:solidFill>
          </w14:textFill>
        </w:rPr>
        <w:t>本工程《承包人提供主要材料和设备一览表》中约定的材料和设备价格变动风险以外的其他风险。除工程变更外，结算时不再对招标施工图对应的工程量重新计量</w:t>
      </w:r>
      <w:r>
        <w:rPr>
          <w:rFonts w:hint="eastAsia" w:hAnsi="宋体" w:cs="宋体"/>
          <w:color w:val="000000" w:themeColor="text1"/>
          <w:highlight w:val="none"/>
          <w14:textFill>
            <w14:solidFill>
              <w14:schemeClr w14:val="tx1"/>
            </w14:solidFill>
          </w14:textFill>
        </w:rPr>
        <w:t>。</w:t>
      </w:r>
    </w:p>
    <w:p w14:paraId="08A731FF">
      <w:pPr>
        <w:spacing w:line="360" w:lineRule="auto"/>
        <w:ind w:firstLine="420" w:firstLineChars="20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风险范围以外合同价格的调整方法：</w:t>
      </w:r>
    </w:p>
    <w:p w14:paraId="1135BD8F">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①工程变更：按</w:t>
      </w:r>
      <w:r>
        <w:rPr>
          <w:rFonts w:hAnsi="宋体" w:cs="宋体"/>
          <w:color w:val="000000" w:themeColor="text1"/>
          <w:highlight w:val="none"/>
          <w14:textFill>
            <w14:solidFill>
              <w14:schemeClr w14:val="tx1"/>
            </w14:solidFill>
          </w14:textFill>
        </w:rPr>
        <w:t>10.4.1</w:t>
      </w:r>
      <w:r>
        <w:rPr>
          <w:rFonts w:hint="eastAsia" w:hAnsi="宋体" w:cs="宋体"/>
          <w:color w:val="000000" w:themeColor="text1"/>
          <w:highlight w:val="none"/>
          <w14:textFill>
            <w14:solidFill>
              <w14:schemeClr w14:val="tx1"/>
            </w14:solidFill>
          </w14:textFill>
        </w:rPr>
        <w:t>变更估价原则的约定调整。</w:t>
      </w:r>
    </w:p>
    <w:p w14:paraId="55B5DA15">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②政策性调整：</w:t>
      </w:r>
      <w:r>
        <w:rPr>
          <w:rFonts w:hint="eastAsia" w:ascii="仿宋_GB2312" w:hAnsi="宋体"/>
          <w:color w:val="000000" w:themeColor="text1"/>
          <w:highlight w:val="none"/>
          <w14:textFill>
            <w14:solidFill>
              <w14:schemeClr w14:val="tx1"/>
            </w14:solidFill>
          </w14:textFill>
        </w:rPr>
        <w:t>按自治区住房城乡建设厅或工程所在地住房城乡建设主管部门颁布的文件执行</w:t>
      </w:r>
      <w:r>
        <w:rPr>
          <w:rFonts w:hint="eastAsia" w:hAnsi="宋体" w:cs="宋体"/>
          <w:color w:val="000000" w:themeColor="text1"/>
          <w:highlight w:val="none"/>
          <w14:textFill>
            <w14:solidFill>
              <w14:schemeClr w14:val="tx1"/>
            </w14:solidFill>
          </w14:textFill>
        </w:rPr>
        <w:t>。</w:t>
      </w:r>
    </w:p>
    <w:p w14:paraId="3C7C4E3E">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③材料价格风险：按</w:t>
      </w:r>
      <w:r>
        <w:rPr>
          <w:rFonts w:hAnsi="宋体" w:cs="宋体"/>
          <w:color w:val="000000" w:themeColor="text1"/>
          <w:highlight w:val="none"/>
          <w14:textFill>
            <w14:solidFill>
              <w14:schemeClr w14:val="tx1"/>
            </w14:solidFill>
          </w14:textFill>
        </w:rPr>
        <w:t>11.1</w:t>
      </w:r>
      <w:r>
        <w:rPr>
          <w:rFonts w:hint="eastAsia" w:hAnsi="宋体" w:cs="宋体"/>
          <w:color w:val="000000" w:themeColor="text1"/>
          <w:highlight w:val="none"/>
          <w14:textFill>
            <w14:solidFill>
              <w14:schemeClr w14:val="tx1"/>
            </w14:solidFill>
          </w14:textFill>
        </w:rPr>
        <w:t>的约定调整。</w:t>
      </w:r>
    </w:p>
    <w:p w14:paraId="07D2689C">
      <w:pPr>
        <w:spacing w:line="360" w:lineRule="auto"/>
        <w:ind w:firstLine="420" w:firstLineChars="200"/>
        <w:jc w:val="left"/>
        <w:rPr>
          <w:rFonts w:hAnsi="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fldChar w:fldCharType="begin"/>
      </w:r>
      <w:r>
        <w:rPr>
          <w:rFonts w:hint="eastAsia" w:hAnsi="宋体" w:cs="宋体"/>
          <w:color w:val="000000" w:themeColor="text1"/>
          <w:highlight w:val="none"/>
          <w14:textFill>
            <w14:solidFill>
              <w14:schemeClr w14:val="tx1"/>
            </w14:solidFill>
          </w14:textFill>
        </w:rPr>
        <w:instrText xml:space="preserve">= 4 \* GB3</w:instrText>
      </w:r>
      <w:r>
        <w:rPr>
          <w:rFonts w:hAnsi="宋体" w:cs="宋体"/>
          <w:color w:val="000000" w:themeColor="text1"/>
          <w:highlight w:val="none"/>
          <w14:textFill>
            <w14:solidFill>
              <w14:schemeClr w14:val="tx1"/>
            </w14:solidFill>
          </w14:textFill>
        </w:rPr>
        <w:fldChar w:fldCharType="separate"/>
      </w:r>
      <w:r>
        <w:rPr>
          <w:rFonts w:hint="eastAsia" w:hAnsi="宋体" w:cs="宋体"/>
          <w:color w:val="000000" w:themeColor="text1"/>
          <w:highlight w:val="none"/>
          <w14:textFill>
            <w14:solidFill>
              <w14:schemeClr w14:val="tx1"/>
            </w14:solidFill>
          </w14:textFill>
        </w:rPr>
        <w:t>4</w:t>
      </w:r>
      <w:r>
        <w:rPr>
          <w:rFonts w:hAnsi="宋体" w:cs="宋体"/>
          <w:color w:val="000000" w:themeColor="text1"/>
          <w:highlight w:val="none"/>
          <w14:textFill>
            <w14:solidFill>
              <w14:schemeClr w14:val="tx1"/>
            </w14:solidFill>
          </w14:textFill>
        </w:rPr>
        <w:fldChar w:fldCharType="end"/>
      </w:r>
      <w:r>
        <w:rPr>
          <w:rFonts w:hint="eastAsia" w:hAnsi="宋体" w:cs="宋体"/>
          <w:color w:val="000000" w:themeColor="text1"/>
          <w:highlight w:val="none"/>
          <w14:textFill>
            <w14:solidFill>
              <w14:schemeClr w14:val="tx1"/>
            </w14:solidFill>
          </w14:textFill>
        </w:rPr>
        <w:t>其它：</w:t>
      </w:r>
      <w:r>
        <w:rPr>
          <w:color w:val="000000" w:themeColor="text1"/>
          <w:highlight w:val="none"/>
          <w:u w:val="singl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2E03D21C">
      <w:pPr>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其他价格方式：</w:t>
      </w:r>
      <w:r>
        <w:rPr>
          <w:rFonts w:hint="eastAsia"/>
          <w:color w:val="000000" w:themeColor="text1"/>
          <w:highlight w:val="none"/>
          <w:u w:val="single"/>
          <w14:textFill>
            <w14:solidFill>
              <w14:schemeClr w14:val="tx1"/>
            </w14:solidFill>
          </w14:textFill>
        </w:rPr>
        <w:t>/</w:t>
      </w:r>
      <w:r>
        <w:rPr>
          <w:color w:val="000000" w:themeColor="text1"/>
          <w:highlight w:val="none"/>
          <w14:textFill>
            <w14:solidFill>
              <w14:schemeClr w14:val="tx1"/>
            </w14:solidFill>
          </w14:textFill>
        </w:rPr>
        <w:t>。</w:t>
      </w:r>
    </w:p>
    <w:p w14:paraId="226C593A">
      <w:pPr>
        <w:spacing w:line="360" w:lineRule="auto"/>
        <w:jc w:val="left"/>
        <w:rPr>
          <w:rFonts w:hint="eastAsia" w:ascii="宋体" w:hAnsi="宋体"/>
          <w:color w:val="000000" w:themeColor="text1"/>
          <w:szCs w:val="21"/>
          <w:highlight w:val="none"/>
          <w14:textFill>
            <w14:solidFill>
              <w14:schemeClr w14:val="tx1"/>
            </w14:solidFill>
          </w14:textFill>
        </w:rPr>
      </w:pPr>
      <w:bookmarkStart w:id="853" w:name="_Toc78449839"/>
      <w:bookmarkStart w:id="854" w:name="_Toc114058890"/>
      <w:bookmarkStart w:id="855" w:name="_Toc407135253"/>
      <w:r>
        <w:rPr>
          <w:rFonts w:ascii="宋体" w:hAnsi="宋体"/>
          <w:color w:val="000000" w:themeColor="text1"/>
          <w:sz w:val="21"/>
          <w:szCs w:val="21"/>
          <w:highlight w:val="none"/>
          <w14:textFill>
            <w14:solidFill>
              <w14:schemeClr w14:val="tx1"/>
            </w14:solidFill>
          </w14:textFill>
        </w:rPr>
        <w:t>12.2</w:t>
      </w:r>
      <w:r>
        <w:rPr>
          <w:rFonts w:hint="eastAsia" w:ascii="宋体" w:hAnsi="宋体"/>
          <w:color w:val="000000" w:themeColor="text1"/>
          <w:sz w:val="21"/>
          <w:szCs w:val="21"/>
          <w:highlight w:val="none"/>
          <w14:textFill>
            <w14:solidFill>
              <w14:schemeClr w14:val="tx1"/>
            </w14:solidFill>
          </w14:textFill>
        </w:rPr>
        <w:t>预付款</w:t>
      </w:r>
      <w:bookmarkEnd w:id="834"/>
      <w:bookmarkEnd w:id="835"/>
      <w:bookmarkEnd w:id="836"/>
      <w:bookmarkEnd w:id="853"/>
      <w:bookmarkEnd w:id="854"/>
      <w:bookmarkEnd w:id="855"/>
    </w:p>
    <w:p w14:paraId="7915EB2F">
      <w:pPr>
        <w:pStyle w:val="5"/>
        <w:ind w:firstLine="562"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竣工验收款：工程竣工验收合格后，施工单位提交竣工结算报告及完整的结算资料，经采购人审核或审计（如有）后，支付至工程结算价款的</w:t>
      </w:r>
      <w:r>
        <w:rPr>
          <w:rFonts w:hint="eastAsia" w:ascii="宋体" w:hAnsi="宋体"/>
          <w:color w:val="000000" w:themeColor="text1"/>
          <w:szCs w:val="21"/>
          <w:highlight w:val="none"/>
          <w:lang w:val="en-US" w:eastAsia="zh-CN"/>
          <w14:textFill>
            <w14:solidFill>
              <w14:schemeClr w14:val="tx1"/>
            </w14:solidFill>
          </w14:textFill>
        </w:rPr>
        <w:t>100</w:t>
      </w:r>
      <w:r>
        <w:rPr>
          <w:rFonts w:hint="eastAsia" w:ascii="宋体" w:hAnsi="宋体"/>
          <w:color w:val="000000" w:themeColor="text1"/>
          <w:szCs w:val="21"/>
          <w:highlight w:val="none"/>
          <w14:textFill>
            <w14:solidFill>
              <w14:schemeClr w14:val="tx1"/>
            </w14:solidFill>
          </w14:textFill>
        </w:rPr>
        <w:t>%。</w:t>
      </w:r>
    </w:p>
    <w:bookmarkEnd w:id="837"/>
    <w:bookmarkEnd w:id="838"/>
    <w:bookmarkEnd w:id="839"/>
    <w:bookmarkEnd w:id="840"/>
    <w:bookmarkEnd w:id="841"/>
    <w:bookmarkEnd w:id="842"/>
    <w:p w14:paraId="15E3075D">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12.2.1</w:t>
      </w:r>
      <w:r>
        <w:rPr>
          <w:rFonts w:hint="eastAsia" w:hAnsi="宋体" w:cs="宋体"/>
          <w:color w:val="000000" w:themeColor="text1"/>
          <w:szCs w:val="21"/>
          <w:highlight w:val="none"/>
          <w14:textFill>
            <w14:solidFill>
              <w14:schemeClr w14:val="tx1"/>
            </w14:solidFill>
          </w14:textFill>
        </w:rPr>
        <w:t>预付款的支付</w:t>
      </w:r>
    </w:p>
    <w:p w14:paraId="419E3D2C">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预付款支付比例或金额：</w:t>
      </w:r>
      <w:r>
        <w:rPr>
          <w:rFonts w:hint="eastAsia" w:hAnsi="宋体" w:cs="宋体"/>
          <w:color w:val="000000" w:themeColor="text1"/>
          <w:highlight w:val="none"/>
          <w:u w:val="single"/>
          <w:lang w:val="en-US" w:eastAsia="zh-CN"/>
          <w14:textFill>
            <w14:solidFill>
              <w14:schemeClr w14:val="tx1"/>
            </w14:solidFill>
          </w14:textFill>
        </w:rPr>
        <w:t>合同价款</w:t>
      </w:r>
      <w:r>
        <w:rPr>
          <w:rFonts w:hint="eastAsia" w:hAnsi="宋体" w:cs="宋体"/>
          <w:color w:val="000000" w:themeColor="text1"/>
          <w:highlight w:val="none"/>
          <w:u w:val="single"/>
          <w14:textFill>
            <w14:solidFill>
              <w14:schemeClr w14:val="tx1"/>
            </w14:solidFill>
          </w14:textFill>
        </w:rPr>
        <w:t>的</w:t>
      </w:r>
      <w:r>
        <w:rPr>
          <w:rFonts w:hint="eastAsia" w:hAnsi="宋体" w:cs="宋体"/>
          <w:color w:val="000000" w:themeColor="text1"/>
          <w:highlight w:val="none"/>
          <w:u w:val="single"/>
          <w:lang w:val="en-US" w:eastAsia="zh-CN"/>
          <w14:textFill>
            <w14:solidFill>
              <w14:schemeClr w14:val="tx1"/>
            </w14:solidFill>
          </w14:textFill>
        </w:rPr>
        <w:t>30</w:t>
      </w:r>
      <w:r>
        <w:rPr>
          <w:color w:val="000000" w:themeColor="text1"/>
          <w:highlight w:val="none"/>
          <w:u w:val="singl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6E9D9846">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预付款支付期限：</w:t>
      </w:r>
      <w:r>
        <w:rPr>
          <w:rFonts w:hint="eastAsia" w:ascii="Times New Roman" w:hAnsi="宋体" w:eastAsia="宋体" w:cs="宋体"/>
          <w:color w:val="000000" w:themeColor="text1"/>
          <w:highlight w:val="none"/>
          <w:u w:val="single"/>
          <w14:textFill>
            <w14:solidFill>
              <w14:schemeClr w14:val="tx1"/>
            </w14:solidFill>
          </w14:textFill>
        </w:rPr>
        <w:t>签订合同后15个工作日内支付。</w:t>
      </w:r>
    </w:p>
    <w:p w14:paraId="2EE7A6B9">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预付款扣回的方式：</w:t>
      </w:r>
      <w:r>
        <w:rPr>
          <w:rFonts w:hint="eastAsia" w:ascii="Times New Roman" w:hAnsi="宋体" w:eastAsia="宋体" w:cs="宋体"/>
          <w:color w:val="000000" w:themeColor="text1"/>
          <w:highlight w:val="none"/>
          <w:u w:val="single"/>
          <w:lang w:val="en-US" w:eastAsia="zh-CN"/>
          <w14:textFill>
            <w14:solidFill>
              <w14:schemeClr w14:val="tx1"/>
            </w14:solidFill>
          </w14:textFill>
        </w:rPr>
        <w:t>/</w:t>
      </w:r>
      <w:r>
        <w:rPr>
          <w:rFonts w:hint="eastAsia" w:ascii="Times New Roman" w:hAnsi="宋体" w:eastAsia="宋体" w:cs="宋体"/>
          <w:color w:val="000000" w:themeColor="text1"/>
          <w:highlight w:val="none"/>
          <w:u w:val="none"/>
          <w14:textFill>
            <w14:solidFill>
              <w14:schemeClr w14:val="tx1"/>
            </w14:solidFill>
          </w14:textFill>
        </w:rPr>
        <w:t>。</w:t>
      </w:r>
    </w:p>
    <w:p w14:paraId="07F3D343">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12.2.2</w:t>
      </w:r>
      <w:r>
        <w:rPr>
          <w:rFonts w:hint="eastAsia" w:hAnsi="宋体" w:cs="宋体"/>
          <w:color w:val="000000" w:themeColor="text1"/>
          <w:szCs w:val="21"/>
          <w:highlight w:val="none"/>
          <w14:textFill>
            <w14:solidFill>
              <w14:schemeClr w14:val="tx1"/>
            </w14:solidFill>
          </w14:textFill>
        </w:rPr>
        <w:t>预付款担保</w:t>
      </w:r>
    </w:p>
    <w:p w14:paraId="2FFC72D4">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承包人提交预付款担保的期限：</w:t>
      </w:r>
      <w:r>
        <w:rPr>
          <w:rFonts w:hint="eastAsia"/>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02CDFF6B">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预付款担保的形式为：</w:t>
      </w:r>
      <w:r>
        <w:rPr>
          <w:rFonts w:hint="eastAsia"/>
          <w:color w:val="000000" w:themeColor="text1"/>
          <w:szCs w:val="21"/>
          <w:highlight w:val="none"/>
          <w14:textFill>
            <w14:solidFill>
              <w14:schemeClr w14:val="tx1"/>
            </w14:solidFill>
          </w14:textFill>
        </w:rPr>
        <w:t>可以是</w:t>
      </w:r>
      <w:r>
        <w:rPr>
          <w:rFonts w:hint="eastAsia" w:hAnsi="宋体" w:cs="宋体"/>
          <w:color w:val="000000" w:themeColor="text1"/>
          <w:szCs w:val="21"/>
          <w:highlight w:val="none"/>
          <w14:textFill>
            <w14:solidFill>
              <w14:schemeClr w14:val="tx1"/>
            </w14:solidFill>
          </w14:textFill>
        </w:rPr>
        <w:t>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3CC5B87">
      <w:pPr>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预付款担保格式见合同附件8。预付款支付申请（核准）表见合同附件10</w:t>
      </w:r>
    </w:p>
    <w:bookmarkEnd w:id="843"/>
    <w:bookmarkEnd w:id="844"/>
    <w:bookmarkEnd w:id="845"/>
    <w:bookmarkEnd w:id="846"/>
    <w:bookmarkEnd w:id="847"/>
    <w:bookmarkEnd w:id="848"/>
    <w:bookmarkEnd w:id="849"/>
    <w:bookmarkEnd w:id="850"/>
    <w:bookmarkEnd w:id="851"/>
    <w:bookmarkEnd w:id="852"/>
    <w:p w14:paraId="41E0119A">
      <w:pPr>
        <w:pStyle w:val="5"/>
        <w:ind w:firstLine="422" w:firstLineChars="200"/>
        <w:rPr>
          <w:rFonts w:ascii="宋体" w:hAnsi="宋体"/>
          <w:color w:val="000000" w:themeColor="text1"/>
          <w:sz w:val="21"/>
          <w:szCs w:val="21"/>
          <w:highlight w:val="none"/>
          <w14:textFill>
            <w14:solidFill>
              <w14:schemeClr w14:val="tx1"/>
            </w14:solidFill>
          </w14:textFill>
        </w:rPr>
      </w:pPr>
      <w:bookmarkStart w:id="856" w:name="_Toc389065316"/>
      <w:bookmarkStart w:id="857" w:name="_Toc78449840"/>
      <w:bookmarkStart w:id="858" w:name="_Toc373227751"/>
      <w:bookmarkStart w:id="859" w:name="_Toc114058891"/>
      <w:bookmarkStart w:id="860" w:name="_Toc373478398"/>
      <w:bookmarkStart w:id="861" w:name="_Toc407135254"/>
      <w:r>
        <w:rPr>
          <w:rFonts w:ascii="宋体" w:hAnsi="宋体"/>
          <w:color w:val="000000" w:themeColor="text1"/>
          <w:sz w:val="21"/>
          <w:szCs w:val="21"/>
          <w:highlight w:val="none"/>
          <w14:textFill>
            <w14:solidFill>
              <w14:schemeClr w14:val="tx1"/>
            </w14:solidFill>
          </w14:textFill>
        </w:rPr>
        <w:t>12.3</w:t>
      </w:r>
      <w:r>
        <w:rPr>
          <w:rFonts w:hint="eastAsia" w:ascii="宋体" w:hAnsi="宋体"/>
          <w:color w:val="000000" w:themeColor="text1"/>
          <w:sz w:val="21"/>
          <w:szCs w:val="21"/>
          <w:highlight w:val="none"/>
          <w14:textFill>
            <w14:solidFill>
              <w14:schemeClr w14:val="tx1"/>
            </w14:solidFill>
          </w14:textFill>
        </w:rPr>
        <w:t>计量</w:t>
      </w:r>
      <w:bookmarkEnd w:id="856"/>
      <w:bookmarkEnd w:id="857"/>
      <w:bookmarkEnd w:id="858"/>
      <w:bookmarkEnd w:id="859"/>
      <w:bookmarkEnd w:id="860"/>
      <w:bookmarkEnd w:id="861"/>
    </w:p>
    <w:p w14:paraId="4C101D55">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12.3.1</w:t>
      </w:r>
      <w:r>
        <w:rPr>
          <w:rFonts w:hint="eastAsia" w:hAnsi="宋体" w:cs="宋体"/>
          <w:color w:val="000000" w:themeColor="text1"/>
          <w:szCs w:val="21"/>
          <w:highlight w:val="none"/>
          <w14:textFill>
            <w14:solidFill>
              <w14:schemeClr w14:val="tx1"/>
            </w14:solidFill>
          </w14:textFill>
        </w:rPr>
        <w:t>计量原则</w:t>
      </w:r>
    </w:p>
    <w:p w14:paraId="21421E4C">
      <w:pPr>
        <w:spacing w:line="360" w:lineRule="auto"/>
        <w:ind w:firstLine="420" w:firstLineChars="200"/>
        <w:jc w:val="left"/>
        <w:rPr>
          <w:rFonts w:ascii="宋体" w:hAnsi="宋体"/>
          <w:color w:val="000000" w:themeColor="text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工程量计算规则：</w:t>
      </w:r>
      <w:r>
        <w:rPr>
          <w:rFonts w:hint="eastAsia" w:hAnsi="宋体" w:cs="宋体"/>
          <w:color w:val="000000" w:themeColor="text1"/>
          <w:szCs w:val="21"/>
          <w:highlight w:val="none"/>
          <w:u w:val="single"/>
          <w14:textFill>
            <w14:solidFill>
              <w14:schemeClr w14:val="tx1"/>
            </w14:solidFill>
          </w14:textFill>
        </w:rPr>
        <w:t>工程的计量均以《建设工程工程量清单计价规范》（</w:t>
      </w:r>
      <w:r>
        <w:rPr>
          <w:color w:val="000000" w:themeColor="text1"/>
          <w:szCs w:val="21"/>
          <w:highlight w:val="none"/>
          <w:u w:val="single"/>
          <w14:textFill>
            <w14:solidFill>
              <w14:schemeClr w14:val="tx1"/>
            </w14:solidFill>
          </w14:textFill>
        </w:rPr>
        <w:t>GB50500</w:t>
      </w:r>
      <w:r>
        <w:rPr>
          <w:rFonts w:hint="eastAsia" w:hAnsi="宋体" w:cs="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2013</w:t>
      </w:r>
      <w:r>
        <w:rPr>
          <w:rFonts w:hint="eastAsia" w:hAnsi="宋体" w:cs="宋体"/>
          <w:color w:val="000000" w:themeColor="text1"/>
          <w:szCs w:val="21"/>
          <w:highlight w:val="none"/>
          <w:u w:val="single"/>
          <w14:textFill>
            <w14:solidFill>
              <w14:schemeClr w14:val="tx1"/>
            </w14:solidFill>
          </w14:textFill>
        </w:rPr>
        <w:t>）及广西壮族自治区实施细则、《建设工程工程量清单计算规范》（</w:t>
      </w:r>
      <w:r>
        <w:rPr>
          <w:color w:val="000000" w:themeColor="text1"/>
          <w:szCs w:val="21"/>
          <w:highlight w:val="none"/>
          <w:u w:val="single"/>
          <w14:textFill>
            <w14:solidFill>
              <w14:schemeClr w14:val="tx1"/>
            </w14:solidFill>
          </w14:textFill>
        </w:rPr>
        <w:t>GB50854~50862</w:t>
      </w:r>
      <w:r>
        <w:rPr>
          <w:rFonts w:hint="eastAsia" w:hAnsi="宋体" w:cs="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2013</w:t>
      </w:r>
      <w:r>
        <w:rPr>
          <w:rFonts w:hint="eastAsia" w:hAnsi="宋体" w:cs="宋体"/>
          <w:color w:val="000000" w:themeColor="text1"/>
          <w:szCs w:val="21"/>
          <w:highlight w:val="none"/>
          <w:u w:val="single"/>
          <w14:textFill>
            <w14:solidFill>
              <w14:schemeClr w14:val="tx1"/>
            </w14:solidFill>
          </w14:textFill>
        </w:rPr>
        <w:t>）及广西实施细则、本工程补充项目清单为准。</w:t>
      </w:r>
      <w:r>
        <w:rPr>
          <w:rFonts w:hint="eastAsia" w:ascii="宋体" w:hAnsi="宋体"/>
          <w:b/>
          <w:bCs/>
          <w:color w:val="000000" w:themeColor="text1"/>
          <w:highlight w:val="none"/>
          <w:u w:val="single"/>
          <w14:textFill>
            <w14:solidFill>
              <w14:schemeClr w14:val="tx1"/>
            </w14:solidFill>
          </w14:textFill>
        </w:rPr>
        <w:t>如有不明之处，应以造价管理部门指定的计量方法为准。</w:t>
      </w:r>
      <w:r>
        <w:rPr>
          <w:rFonts w:hint="eastAsia" w:ascii="宋体" w:hAnsi="宋体"/>
          <w:color w:val="000000" w:themeColor="text1"/>
          <w:highlight w:val="none"/>
          <w:u w:val="single"/>
          <w14:textFill>
            <w14:solidFill>
              <w14:schemeClr w14:val="tx1"/>
            </w14:solidFill>
          </w14:textFill>
        </w:rPr>
        <w:t>除合同另有约定外，承包人实际完成的工程量按约定的工程量计算规则和有合同约束力的图纸进行计量。</w:t>
      </w:r>
    </w:p>
    <w:p w14:paraId="009109FA">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12.3.2</w:t>
      </w:r>
      <w:r>
        <w:rPr>
          <w:rFonts w:hint="eastAsia" w:hAnsi="宋体" w:cs="宋体"/>
          <w:color w:val="000000" w:themeColor="text1"/>
          <w:szCs w:val="21"/>
          <w:highlight w:val="none"/>
          <w14:textFill>
            <w14:solidFill>
              <w14:schemeClr w14:val="tx1"/>
            </w14:solidFill>
          </w14:textFill>
        </w:rPr>
        <w:t>计量周期</w:t>
      </w:r>
    </w:p>
    <w:p w14:paraId="5738706B">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关于计量周期的约定：</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B3DA658">
      <w:pPr>
        <w:spacing w:line="360" w:lineRule="auto"/>
        <w:ind w:firstLine="420" w:firstLineChars="200"/>
        <w:jc w:val="left"/>
        <w:rPr>
          <w:color w:val="000000" w:themeColor="text1"/>
          <w:szCs w:val="21"/>
          <w:highlight w:val="none"/>
          <w14:textFill>
            <w14:solidFill>
              <w14:schemeClr w14:val="tx1"/>
            </w14:solidFill>
          </w14:textFill>
        </w:rPr>
      </w:pPr>
      <w:bookmarkStart w:id="862" w:name="_Toc16522"/>
      <w:bookmarkStart w:id="863" w:name="_Toc13345"/>
      <w:r>
        <w:rPr>
          <w:color w:val="000000" w:themeColor="text1"/>
          <w:szCs w:val="21"/>
          <w:highlight w:val="none"/>
          <w14:textFill>
            <w14:solidFill>
              <w14:schemeClr w14:val="tx1"/>
            </w14:solidFill>
          </w14:textFill>
        </w:rPr>
        <w:t>12.3.3</w:t>
      </w:r>
      <w:r>
        <w:rPr>
          <w:rFonts w:hint="eastAsia"/>
          <w:color w:val="000000" w:themeColor="text1"/>
          <w:szCs w:val="21"/>
          <w:highlight w:val="none"/>
          <w14:textFill>
            <w14:solidFill>
              <w14:schemeClr w14:val="tx1"/>
            </w14:solidFill>
          </w14:textFill>
        </w:rPr>
        <w:t>单价合同的计量</w:t>
      </w:r>
      <w:bookmarkEnd w:id="862"/>
      <w:bookmarkEnd w:id="863"/>
    </w:p>
    <w:p w14:paraId="77234B5E">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关于单价合同计量的约定：</w:t>
      </w:r>
    </w:p>
    <w:p w14:paraId="200F4757">
      <w:pPr>
        <w:spacing w:line="360" w:lineRule="auto"/>
        <w:ind w:firstLine="441" w:firstLineChars="21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工程量清单所列的工程量，不能作为承包人按合同履行其责任依据，实际施工中发生的工程量增加或减少并不影响承包人履行合同的责任，工程结算以完成的实际工程量为准。</w:t>
      </w:r>
    </w:p>
    <w:p w14:paraId="0530A78E">
      <w:pPr>
        <w:spacing w:line="360" w:lineRule="auto"/>
        <w:ind w:firstLine="441" w:firstLineChars="21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除另有规定外，工程师应按照合同通过计量来核实确定已完成的工程量和价款，承包人应得到该价款扣除保留金后的金额。当工程师要对已完工的工程量进行计量时，应适时地通知承包人参加。</w:t>
      </w:r>
    </w:p>
    <w:p w14:paraId="3698A8FC">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12.3.4</w:t>
      </w:r>
      <w:r>
        <w:rPr>
          <w:rFonts w:hint="eastAsia" w:hAnsi="宋体" w:cs="宋体"/>
          <w:color w:val="000000" w:themeColor="text1"/>
          <w:szCs w:val="21"/>
          <w:highlight w:val="none"/>
          <w14:textFill>
            <w14:solidFill>
              <w14:schemeClr w14:val="tx1"/>
            </w14:solidFill>
          </w14:textFill>
        </w:rPr>
        <w:t>总价合同的计量</w:t>
      </w:r>
    </w:p>
    <w:p w14:paraId="1997A071">
      <w:pPr>
        <w:spacing w:line="360" w:lineRule="auto"/>
        <w:ind w:firstLine="420" w:firstLineChars="200"/>
        <w:jc w:val="left"/>
        <w:rPr>
          <w:rFonts w:cs="宋体"/>
          <w:color w:val="000000" w:themeColor="text1"/>
          <w:szCs w:val="21"/>
          <w:highlight w:val="none"/>
          <w14:textFill>
            <w14:solidFill>
              <w14:schemeClr w14:val="tx1"/>
            </w14:solidFill>
          </w14:textFill>
        </w:rPr>
      </w:pPr>
      <w:r>
        <w:rPr>
          <w:rFonts w:hint="eastAsia" w:ascii="Calibri" w:hAnsi="宋体" w:cs="宋体"/>
          <w:color w:val="000000" w:themeColor="text1"/>
          <w:szCs w:val="21"/>
          <w:highlight w:val="none"/>
          <w14:textFill>
            <w14:solidFill>
              <w14:schemeClr w14:val="tx1"/>
            </w14:solidFill>
          </w14:textFill>
        </w:rPr>
        <w:t>（1）总价合同计量约定：</w:t>
      </w:r>
      <w:r>
        <w:rPr>
          <w:rFonts w:hint="eastAsia" w:hAnsi="宋体" w:cs="宋体"/>
          <w:color w:val="000000" w:themeColor="text1"/>
          <w:szCs w:val="21"/>
          <w:highlight w:val="none"/>
          <w14:textFill>
            <w14:solidFill>
              <w14:schemeClr w14:val="tx1"/>
            </w14:solidFill>
          </w14:textFill>
        </w:rPr>
        <w:t>进度款按支付分解表支付</w:t>
      </w:r>
      <w:r>
        <w:rPr>
          <w:rFonts w:hint="eastAsia" w:ascii="宋体" w:hAnsi="宋体" w:cs="宋体"/>
          <w:color w:val="000000" w:themeColor="text1"/>
          <w:kern w:val="0"/>
          <w:szCs w:val="21"/>
          <w:highlight w:val="none"/>
          <w14:textFill>
            <w14:solidFill>
              <w14:schemeClr w14:val="tx1"/>
            </w14:solidFill>
          </w14:textFill>
        </w:rPr>
        <w:t>，</w:t>
      </w:r>
      <w:r>
        <w:rPr>
          <w:rFonts w:hint="eastAsia" w:cs="宋体"/>
          <w:color w:val="000000" w:themeColor="text1"/>
          <w:szCs w:val="21"/>
          <w:highlight w:val="none"/>
          <w14:textFill>
            <w14:solidFill>
              <w14:schemeClr w14:val="tx1"/>
            </w14:solidFill>
          </w14:textFill>
        </w:rPr>
        <w:t>支付分解表在招标完成后签合同之前制定，具体详见本专用合同条款12.4.6。</w:t>
      </w:r>
    </w:p>
    <w:p w14:paraId="68F2E12C">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12.3.6</w:t>
      </w:r>
      <w:r>
        <w:rPr>
          <w:rFonts w:hint="eastAsia" w:hAnsi="宋体" w:cs="宋体"/>
          <w:color w:val="000000" w:themeColor="text1"/>
          <w:szCs w:val="21"/>
          <w:highlight w:val="none"/>
          <w14:textFill>
            <w14:solidFill>
              <w14:schemeClr w14:val="tx1"/>
            </w14:solidFill>
          </w14:textFill>
        </w:rPr>
        <w:t>其他价格形式合同的计量</w:t>
      </w:r>
    </w:p>
    <w:p w14:paraId="48B531D2">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其他价格形式的计量方式和程序：</w:t>
      </w:r>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6A452126">
      <w:pPr>
        <w:pStyle w:val="5"/>
        <w:ind w:firstLine="422" w:firstLineChars="200"/>
        <w:rPr>
          <w:rFonts w:ascii="宋体" w:hAnsi="宋体"/>
          <w:color w:val="000000" w:themeColor="text1"/>
          <w:sz w:val="21"/>
          <w:szCs w:val="21"/>
          <w:highlight w:val="none"/>
          <w14:textFill>
            <w14:solidFill>
              <w14:schemeClr w14:val="tx1"/>
            </w14:solidFill>
          </w14:textFill>
        </w:rPr>
      </w:pPr>
      <w:bookmarkStart w:id="864" w:name="_Toc373227752"/>
      <w:bookmarkStart w:id="865" w:name="_Toc389065317"/>
      <w:bookmarkStart w:id="866" w:name="_Toc373478399"/>
      <w:bookmarkStart w:id="867" w:name="_Toc114058892"/>
      <w:bookmarkStart w:id="868" w:name="_Toc407135255"/>
      <w:bookmarkStart w:id="869" w:name="_Toc78449841"/>
      <w:r>
        <w:rPr>
          <w:rFonts w:ascii="宋体" w:hAnsi="宋体"/>
          <w:color w:val="000000" w:themeColor="text1"/>
          <w:sz w:val="21"/>
          <w:szCs w:val="21"/>
          <w:highlight w:val="none"/>
          <w14:textFill>
            <w14:solidFill>
              <w14:schemeClr w14:val="tx1"/>
            </w14:solidFill>
          </w14:textFill>
        </w:rPr>
        <w:t>12.4</w:t>
      </w:r>
      <w:r>
        <w:rPr>
          <w:rFonts w:hint="eastAsia" w:ascii="宋体" w:hAnsi="宋体"/>
          <w:color w:val="000000" w:themeColor="text1"/>
          <w:sz w:val="21"/>
          <w:szCs w:val="21"/>
          <w:highlight w:val="none"/>
          <w14:textFill>
            <w14:solidFill>
              <w14:schemeClr w14:val="tx1"/>
            </w14:solidFill>
          </w14:textFill>
        </w:rPr>
        <w:t>工程进度款支付</w:t>
      </w:r>
      <w:bookmarkEnd w:id="864"/>
      <w:bookmarkEnd w:id="865"/>
      <w:bookmarkEnd w:id="866"/>
      <w:bookmarkEnd w:id="867"/>
      <w:bookmarkEnd w:id="868"/>
      <w:bookmarkEnd w:id="869"/>
    </w:p>
    <w:p w14:paraId="7915A32A">
      <w:pPr>
        <w:spacing w:line="360" w:lineRule="auto"/>
        <w:ind w:firstLine="420" w:firstLineChars="200"/>
        <w:jc w:val="left"/>
        <w:rPr>
          <w:rFonts w:hAnsi="宋体"/>
          <w:color w:val="000000" w:themeColor="text1"/>
          <w:szCs w:val="21"/>
          <w:highlight w:val="none"/>
          <w14:textFill>
            <w14:solidFill>
              <w14:schemeClr w14:val="tx1"/>
            </w14:solidFill>
          </w14:textFill>
        </w:rPr>
      </w:pPr>
      <w:bookmarkStart w:id="870" w:name="_Toc296347210"/>
      <w:bookmarkStart w:id="871" w:name="_Toc303539163"/>
      <w:bookmarkStart w:id="872" w:name="_Toc297048397"/>
      <w:bookmarkStart w:id="873" w:name="_Toc296346712"/>
      <w:bookmarkStart w:id="874" w:name="_Toc296891039"/>
      <w:bookmarkStart w:id="875" w:name="_Toc300935006"/>
      <w:bookmarkStart w:id="876" w:name="_Toc292559921"/>
      <w:bookmarkStart w:id="877" w:name="_Toc297216215"/>
      <w:bookmarkStart w:id="878" w:name="_Toc292559416"/>
      <w:bookmarkStart w:id="879" w:name="_Toc296503211"/>
      <w:bookmarkStart w:id="880" w:name="_Toc296891251"/>
      <w:bookmarkStart w:id="881" w:name="_Toc296944550"/>
      <w:bookmarkStart w:id="882" w:name="_Toc297123556"/>
      <w:bookmarkStart w:id="883" w:name="_Toc297120511"/>
      <w:r>
        <w:rPr>
          <w:color w:val="000000" w:themeColor="text1"/>
          <w:szCs w:val="21"/>
          <w:highlight w:val="none"/>
          <w14:textFill>
            <w14:solidFill>
              <w14:schemeClr w14:val="tx1"/>
            </w14:solidFill>
          </w14:textFill>
        </w:rPr>
        <w:t>12.4.1</w:t>
      </w:r>
      <w:r>
        <w:rPr>
          <w:rFonts w:hAnsi="宋体"/>
          <w:color w:val="000000" w:themeColor="text1"/>
          <w:szCs w:val="21"/>
          <w:highlight w:val="none"/>
          <w14:textFill>
            <w14:solidFill>
              <w14:schemeClr w14:val="tx1"/>
            </w14:solidFill>
          </w14:textFill>
        </w:rPr>
        <w:t>付款周期</w:t>
      </w:r>
    </w:p>
    <w:p w14:paraId="43F6EFF8">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合同生效后，发包人按如下约定向承包人支付工程款：</w:t>
      </w:r>
    </w:p>
    <w:p w14:paraId="4BB59A0D">
      <w:pPr>
        <w:numPr>
          <w:ilvl w:val="0"/>
          <w:numId w:val="6"/>
        </w:numPr>
        <w:spacing w:line="360" w:lineRule="auto"/>
        <w:ind w:firstLine="420" w:firstLineChars="200"/>
        <w:jc w:val="left"/>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合同签订后，发包人向承包人支付合同金额30%预付款；</w:t>
      </w:r>
    </w:p>
    <w:p w14:paraId="0B2929F1">
      <w:pPr>
        <w:numPr>
          <w:ilvl w:val="0"/>
          <w:numId w:val="6"/>
        </w:numPr>
        <w:spacing w:line="360" w:lineRule="auto"/>
        <w:ind w:firstLine="420" w:firstLineChars="200"/>
        <w:jc w:val="left"/>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工程完工后，发包人向承包人支付合同金额40%的费用；</w:t>
      </w:r>
    </w:p>
    <w:p w14:paraId="14928511">
      <w:pPr>
        <w:numPr>
          <w:ilvl w:val="0"/>
          <w:numId w:val="6"/>
        </w:numPr>
        <w:spacing w:line="360" w:lineRule="auto"/>
        <w:ind w:firstLine="420" w:firstLineChars="200"/>
        <w:jc w:val="left"/>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竣工验收合格后，发包人向承包人支付合同金额20%的费用；</w:t>
      </w:r>
    </w:p>
    <w:p w14:paraId="771814B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宋体" w:eastAsia="宋体" w:cs="宋体"/>
          <w:color w:val="000000" w:themeColor="text1"/>
          <w:szCs w:val="2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4</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szCs w:val="22"/>
          <w:highlight w:val="none"/>
          <w14:textFill>
            <w14:solidFill>
              <w14:schemeClr w14:val="tx1"/>
            </w14:solidFill>
          </w14:textFill>
        </w:rPr>
        <w:t>承包人提交工程结算报告给发包人审核，发包人对结算报告进行审核（含审计审核）并出具审核报告之后，支付至工程结算款的97％，发包人按工程价款结算总额的3%预留工程质保金，待质保期满后返还（无利息）</w:t>
      </w:r>
      <w:r>
        <w:rPr>
          <w:rFonts w:hint="eastAsia" w:hAnsi="宋体" w:cs="宋体"/>
          <w:color w:val="000000" w:themeColor="text1"/>
          <w:szCs w:val="22"/>
          <w:highlight w:val="none"/>
          <w:lang w:eastAsia="zh-CN"/>
          <w14:textFill>
            <w14:solidFill>
              <w14:schemeClr w14:val="tx1"/>
            </w14:solidFill>
          </w14:textFill>
        </w:rPr>
        <w:t>。</w:t>
      </w:r>
    </w:p>
    <w:p w14:paraId="2E6D112E">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12.4.2</w:t>
      </w:r>
      <w:r>
        <w:rPr>
          <w:rFonts w:hAnsi="宋体"/>
          <w:color w:val="000000" w:themeColor="text1"/>
          <w:szCs w:val="21"/>
          <w:highlight w:val="none"/>
          <w14:textFill>
            <w14:solidFill>
              <w14:schemeClr w14:val="tx1"/>
            </w14:solidFill>
          </w14:textFill>
        </w:rPr>
        <w:t>进度付款申请单的编制</w:t>
      </w:r>
    </w:p>
    <w:p w14:paraId="2938E675">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关于进度付款申请单编制的约定：</w:t>
      </w:r>
      <w:r>
        <w:rPr>
          <w:rFonts w:hint="eastAsia"/>
          <w:color w:val="000000" w:themeColor="text1"/>
          <w:szCs w:val="21"/>
          <w:highlight w:val="none"/>
          <w:u w:val="single"/>
          <w:lang w:val="en-US" w:eastAsia="zh-CN"/>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06EDDAB1">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themeColor="text1"/>
          <w:szCs w:val="21"/>
          <w:highlight w:val="none"/>
          <w14:textFill>
            <w14:solidFill>
              <w14:schemeClr w14:val="tx1"/>
            </w14:solidFill>
          </w14:textFill>
        </w:rPr>
        <w:t xml:space="preserve">2.4.3 </w:t>
      </w:r>
      <w:r>
        <w:rPr>
          <w:rFonts w:hAnsi="宋体"/>
          <w:color w:val="000000" w:themeColor="text1"/>
          <w:szCs w:val="21"/>
          <w:highlight w:val="none"/>
          <w14:textFill>
            <w14:solidFill>
              <w14:schemeClr w14:val="tx1"/>
            </w14:solidFill>
          </w14:textFill>
        </w:rPr>
        <w:t>进度付款申请单的提交</w:t>
      </w:r>
    </w:p>
    <w:p w14:paraId="6DEB7703">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Ansi="宋体"/>
          <w:color w:val="000000" w:themeColor="text1"/>
          <w:szCs w:val="21"/>
          <w:highlight w:val="none"/>
          <w14:textFill>
            <w14:solidFill>
              <w14:schemeClr w14:val="tx1"/>
            </w14:solidFill>
          </w14:textFill>
        </w:rPr>
        <w:t>）单价合同进度付款申请单提交的约定：</w:t>
      </w:r>
      <w:r>
        <w:rPr>
          <w:rFonts w:hint="eastAsia" w:hAnsi="宋体"/>
          <w:bCs/>
          <w:color w:val="000000" w:themeColor="text1"/>
          <w:szCs w:val="21"/>
          <w:highlight w:val="none"/>
          <w:u w:val="single"/>
          <w14:textFill>
            <w14:solidFill>
              <w14:schemeClr w14:val="tx1"/>
            </w14:solidFill>
          </w14:textFill>
        </w:rPr>
        <w:t>申请工程进度款时，承包人应配合发包人提供以下资料</w:t>
      </w:r>
      <w:r>
        <w:rPr>
          <w:rFonts w:hint="eastAsia"/>
          <w:bCs/>
          <w:color w:val="000000" w:themeColor="text1"/>
          <w:szCs w:val="21"/>
          <w:highlight w:val="none"/>
          <w:u w:val="single"/>
          <w14:textFill>
            <w14:solidFill>
              <w14:schemeClr w14:val="tx1"/>
            </w14:solidFill>
          </w14:textFill>
        </w:rPr>
        <w:t>①《工程用款支付证书》；②已完工程量计算书；③监理审核计算书；④其他需要补充说明的材料；⑤若乙方帐户变动，则须提交账户变更信息</w:t>
      </w:r>
      <w:r>
        <w:rPr>
          <w:rFonts w:hAnsi="宋体"/>
          <w:color w:val="000000" w:themeColor="text1"/>
          <w:szCs w:val="21"/>
          <w:highlight w:val="none"/>
          <w14:textFill>
            <w14:solidFill>
              <w14:schemeClr w14:val="tx1"/>
            </w14:solidFill>
          </w14:textFill>
        </w:rPr>
        <w:t>。</w:t>
      </w:r>
    </w:p>
    <w:p w14:paraId="7D41AF90">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Ansi="宋体"/>
          <w:color w:val="000000" w:themeColor="text1"/>
          <w:szCs w:val="21"/>
          <w:highlight w:val="none"/>
          <w14:textFill>
            <w14:solidFill>
              <w14:schemeClr w14:val="tx1"/>
            </w14:solidFill>
          </w14:textFill>
        </w:rPr>
        <w:t>）总价合同进度付款申请单提交的约定：</w:t>
      </w:r>
      <w:r>
        <w:rPr>
          <w:rFonts w:hint="eastAsia"/>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5BF922B8">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Ansi="宋体"/>
          <w:color w:val="000000" w:themeColor="text1"/>
          <w:szCs w:val="21"/>
          <w:highlight w:val="none"/>
          <w14:textFill>
            <w14:solidFill>
              <w14:schemeClr w14:val="tx1"/>
            </w14:solidFill>
          </w14:textFill>
        </w:rPr>
        <w:t>）其他价格形式合同进度付款申请单提交的约定：</w:t>
      </w:r>
      <w:r>
        <w:rPr>
          <w:rFonts w:hint="eastAsia"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7FB5CCF9">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12.4.4</w:t>
      </w:r>
      <w:r>
        <w:rPr>
          <w:rFonts w:hAnsi="宋体"/>
          <w:color w:val="000000" w:themeColor="text1"/>
          <w:szCs w:val="21"/>
          <w:highlight w:val="none"/>
          <w14:textFill>
            <w14:solidFill>
              <w14:schemeClr w14:val="tx1"/>
            </w14:solidFill>
          </w14:textFill>
        </w:rPr>
        <w:t>进度款审核和支付</w:t>
      </w:r>
    </w:p>
    <w:p w14:paraId="7C856E61">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Ansi="宋体"/>
          <w:color w:val="000000" w:themeColor="text1"/>
          <w:szCs w:val="21"/>
          <w:highlight w:val="none"/>
          <w14:textFill>
            <w14:solidFill>
              <w14:schemeClr w14:val="tx1"/>
            </w14:solidFill>
          </w14:textFill>
        </w:rPr>
        <w:t>）监理人审查并报送发包人的期限：</w:t>
      </w:r>
      <w:r>
        <w:rPr>
          <w:rFonts w:hint="eastAsia"/>
          <w:color w:val="000000" w:themeColor="text1"/>
          <w:szCs w:val="21"/>
          <w:highlight w:val="none"/>
          <w:u w:val="single"/>
          <w14:textFill>
            <w14:solidFill>
              <w14:schemeClr w14:val="tx1"/>
            </w14:solidFill>
          </w14:textFill>
        </w:rPr>
        <w:t>每月25日送达发包人</w:t>
      </w:r>
      <w:r>
        <w:rPr>
          <w:rFonts w:hAnsi="宋体"/>
          <w:color w:val="000000" w:themeColor="text1"/>
          <w:szCs w:val="21"/>
          <w:highlight w:val="none"/>
          <w14:textFill>
            <w14:solidFill>
              <w14:schemeClr w14:val="tx1"/>
            </w14:solidFill>
          </w14:textFill>
        </w:rPr>
        <w:t>。</w:t>
      </w:r>
    </w:p>
    <w:p w14:paraId="25E87E3E">
      <w:pPr>
        <w:spacing w:line="360" w:lineRule="auto"/>
        <w:ind w:firstLine="420" w:firstLineChars="200"/>
        <w:jc w:val="left"/>
        <w:rPr>
          <w:color w:val="000000" w:themeColor="text1"/>
          <w:szCs w:val="21"/>
          <w:highlight w:val="none"/>
          <w14:textFill>
            <w14:solidFill>
              <w14:schemeClr w14:val="tx1"/>
            </w14:solidFill>
          </w14:textFill>
        </w:rPr>
      </w:pPr>
      <w:r>
        <w:rPr>
          <w:rFonts w:ascii="Calibri" w:hAnsi="宋体"/>
          <w:color w:val="000000" w:themeColor="text1"/>
          <w:szCs w:val="21"/>
          <w:highlight w:val="none"/>
          <w14:textFill>
            <w14:solidFill>
              <w14:schemeClr w14:val="tx1"/>
            </w14:solidFill>
          </w14:textFill>
        </w:rPr>
        <w:t>（</w:t>
      </w:r>
      <w:r>
        <w:rPr>
          <w:rFonts w:ascii="Calibri" w:hAnsi="Calibri"/>
          <w:color w:val="000000" w:themeColor="text1"/>
          <w:szCs w:val="21"/>
          <w:highlight w:val="none"/>
          <w14:textFill>
            <w14:solidFill>
              <w14:schemeClr w14:val="tx1"/>
            </w14:solidFill>
          </w14:textFill>
        </w:rPr>
        <w:t>2</w:t>
      </w:r>
      <w:r>
        <w:rPr>
          <w:rFonts w:ascii="Calibri" w:hAnsi="宋体"/>
          <w:color w:val="000000" w:themeColor="text1"/>
          <w:szCs w:val="21"/>
          <w:highlight w:val="none"/>
          <w14:textFill>
            <w14:solidFill>
              <w14:schemeClr w14:val="tx1"/>
            </w14:solidFill>
          </w14:textFill>
        </w:rPr>
        <w:t>）发包人支付进度款的期限：</w:t>
      </w:r>
      <w:r>
        <w:rPr>
          <w:rFonts w:hint="eastAsia" w:ascii="宋体" w:hAnsi="宋体" w:cs="宋体"/>
          <w:color w:val="000000" w:themeColor="text1"/>
          <w:szCs w:val="21"/>
          <w:highlight w:val="none"/>
          <w:u w:val="single"/>
          <w14:textFill>
            <w14:solidFill>
              <w14:schemeClr w14:val="tx1"/>
            </w14:solidFill>
          </w14:textFill>
        </w:rPr>
        <w:t>发包人按月完成审批并签发进度款支付证书，进度款的支付按本专用条款12.4.1的约定支付</w:t>
      </w:r>
      <w:r>
        <w:rPr>
          <w:rFonts w:hint="eastAsia" w:ascii="宋体" w:hAnsi="宋体" w:cs="宋体"/>
          <w:color w:val="000000" w:themeColor="text1"/>
          <w:szCs w:val="21"/>
          <w:highlight w:val="none"/>
          <w14:textFill>
            <w14:solidFill>
              <w14:schemeClr w14:val="tx1"/>
            </w14:solidFill>
          </w14:textFill>
        </w:rPr>
        <w:t>。</w:t>
      </w:r>
    </w:p>
    <w:p w14:paraId="633FE5DD">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发包人逾期支付进度款的违约金的计算方式：</w:t>
      </w:r>
      <w:r>
        <w:rPr>
          <w:rFonts w:hint="eastAsia"/>
          <w:color w:val="000000" w:themeColor="text1"/>
          <w:szCs w:val="2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25624B38">
      <w:pPr>
        <w:spacing w:line="360" w:lineRule="auto"/>
        <w:ind w:firstLine="396" w:firstLineChars="200"/>
        <w:jc w:val="left"/>
        <w:rPr>
          <w:rFonts w:hAnsi="宋体"/>
          <w:color w:val="000000" w:themeColor="text1"/>
          <w:spacing w:val="-6"/>
          <w:szCs w:val="21"/>
          <w:highlight w:val="none"/>
          <w14:textFill>
            <w14:solidFill>
              <w14:schemeClr w14:val="tx1"/>
            </w14:solidFill>
          </w14:textFill>
        </w:rPr>
      </w:pPr>
      <w:r>
        <w:rPr>
          <w:rFonts w:hAnsi="宋体"/>
          <w:color w:val="000000" w:themeColor="text1"/>
          <w:spacing w:val="-6"/>
          <w:szCs w:val="21"/>
          <w:highlight w:val="none"/>
          <w14:textFill>
            <w14:solidFill>
              <w14:schemeClr w14:val="tx1"/>
            </w14:solidFill>
          </w14:textFill>
        </w:rPr>
        <w:t>进度款支付方式：</w:t>
      </w:r>
      <w:r>
        <w:rPr>
          <w:rFonts w:hAnsi="宋体"/>
          <w:color w:val="000000" w:themeColor="text1"/>
          <w:spacing w:val="-6"/>
          <w:szCs w:val="21"/>
          <w:highlight w:val="none"/>
          <w:u w:val="single"/>
          <w14:textFill>
            <w14:solidFill>
              <w14:schemeClr w14:val="tx1"/>
            </w14:solidFill>
          </w14:textFill>
        </w:rPr>
        <w:t>银行转账</w:t>
      </w:r>
      <w:r>
        <w:rPr>
          <w:rFonts w:hAnsi="宋体"/>
          <w:color w:val="000000" w:themeColor="text1"/>
          <w:spacing w:val="-6"/>
          <w:szCs w:val="21"/>
          <w:highlight w:val="none"/>
          <w14:textFill>
            <w14:solidFill>
              <w14:schemeClr w14:val="tx1"/>
            </w14:solidFill>
          </w14:textFill>
        </w:rPr>
        <w:t>。</w:t>
      </w:r>
      <w:r>
        <w:rPr>
          <w:rFonts w:hint="eastAsia" w:hAnsi="宋体"/>
          <w:color w:val="000000" w:themeColor="text1"/>
          <w:spacing w:val="-6"/>
          <w:szCs w:val="21"/>
          <w:highlight w:val="none"/>
          <w14:textFill>
            <w14:solidFill>
              <w14:schemeClr w14:val="tx1"/>
            </w14:solidFill>
          </w14:textFill>
        </w:rPr>
        <w:t>承包人申请进度款之前需提供合法合规的本次申请款项额度的发票。</w:t>
      </w:r>
    </w:p>
    <w:p w14:paraId="46EC6774">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（3）农民工工资支付</w:t>
      </w:r>
    </w:p>
    <w:p w14:paraId="7649AB3F">
      <w:pPr>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33B957D">
      <w:pPr>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FE28ACB">
      <w:pPr>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3）发包人依据工程进度，审核承包人申报的工程进度款，按照与承包人约定的人工费支付比例</w:t>
      </w:r>
      <w:r>
        <w:rPr>
          <w:rFonts w:hint="eastAsia" w:hAnsi="宋体" w:cs="宋体"/>
          <w:color w:val="000000" w:themeColor="text1"/>
          <w:kern w:val="0"/>
          <w:szCs w:val="21"/>
          <w:highlight w:val="none"/>
          <w:lang w:val="en-US" w:eastAsia="zh-CN"/>
          <w14:textFill>
            <w14:solidFill>
              <w14:schemeClr w14:val="tx1"/>
            </w14:solidFill>
          </w14:textFill>
        </w:rPr>
        <w:t>20</w:t>
      </w:r>
      <w:r>
        <w:rPr>
          <w:rFonts w:hint="eastAsia" w:hAnsi="宋体" w:cs="宋体"/>
          <w:color w:val="000000" w:themeColor="text1"/>
          <w:kern w:val="0"/>
          <w:szCs w:val="21"/>
          <w:highlight w:val="none"/>
          <w14:textFill>
            <w14:solidFill>
              <w14:schemeClr w14:val="tx1"/>
            </w14:solidFill>
          </w14:textFill>
        </w:rPr>
        <w:t>%（房建项目不少于20%，市政项目不少于15%），将人工费及时足额拨付至承包人的农民工工资专用账户，其余工程进度款项由发包人支付到承包人的单位基本户。</w:t>
      </w:r>
    </w:p>
    <w:p w14:paraId="50F351EF">
      <w:pPr>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19B138B">
      <w:pPr>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5）凡未向付款单位提供农民工工资专用账户的，或者请款单位在申请工程进度款时未将人工费单列的，付款单位有权拒绝支付工程进度款。</w:t>
      </w:r>
    </w:p>
    <w:p w14:paraId="55498D8B">
      <w:pPr>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6）人工费使用要求：专款专用，除发放农民工工资外，不得用于其他用途。</w:t>
      </w:r>
    </w:p>
    <w:p w14:paraId="01C7E35E">
      <w:pPr>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7）承包人将人工费支付情况定期报告发包人和监理单位，并提供相应的材料接受建设行政主管部门和劳动保障行政主管部门对此事项监管。</w:t>
      </w:r>
    </w:p>
    <w:p w14:paraId="6C6A46C4">
      <w:pPr>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8）人工费支付专用账户：</w:t>
      </w:r>
      <w:r>
        <w:rPr>
          <w:rFonts w:hint="eastAsia" w:hAnsi="宋体" w:cs="宋体"/>
          <w:color w:val="000000" w:themeColor="text1"/>
          <w:kern w:val="0"/>
          <w:szCs w:val="21"/>
          <w:highlight w:val="none"/>
          <w:u w:val="single"/>
          <w14:textFill>
            <w14:solidFill>
              <w14:schemeClr w14:val="tx1"/>
            </w14:solidFill>
          </w14:textFill>
        </w:rPr>
        <w:t xml:space="preserve">                    农民工工资支付专用账户。</w:t>
      </w:r>
    </w:p>
    <w:p w14:paraId="4429C132">
      <w:pPr>
        <w:spacing w:line="360" w:lineRule="auto"/>
        <w:ind w:firstLine="630" w:firstLineChars="3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账号：</w:t>
      </w:r>
      <w:r>
        <w:rPr>
          <w:rFonts w:hint="eastAsia" w:hAnsi="宋体" w:cs="宋体"/>
          <w:color w:val="000000" w:themeColor="text1"/>
          <w:kern w:val="0"/>
          <w:szCs w:val="21"/>
          <w:highlight w:val="none"/>
          <w:u w:val="single"/>
          <w14:textFill>
            <w14:solidFill>
              <w14:schemeClr w14:val="tx1"/>
            </w14:solidFill>
          </w14:textFill>
        </w:rPr>
        <w:t xml:space="preserve">                       </w:t>
      </w:r>
    </w:p>
    <w:p w14:paraId="4C848785">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12.4.6</w:t>
      </w:r>
      <w:r>
        <w:rPr>
          <w:rFonts w:hint="eastAsia" w:hAnsi="宋体" w:cs="宋体"/>
          <w:color w:val="000000" w:themeColor="text1"/>
          <w:szCs w:val="21"/>
          <w:highlight w:val="none"/>
          <w14:textFill>
            <w14:solidFill>
              <w14:schemeClr w14:val="tx1"/>
            </w14:solidFill>
          </w14:textFill>
        </w:rPr>
        <w:t>支付分解表的编制</w:t>
      </w:r>
    </w:p>
    <w:p w14:paraId="134FD3E8">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总价合同支付分解表的编制与审批：</w:t>
      </w:r>
      <w:r>
        <w:rPr>
          <w:rFonts w:hint="eastAsia"/>
          <w:color w:val="000000" w:themeColor="text1"/>
          <w:szCs w:val="21"/>
          <w:highlight w:val="none"/>
          <w:u w:val="single"/>
          <w14:textFill>
            <w14:solidFill>
              <w14:schemeClr w14:val="tx1"/>
            </w14:solidFill>
          </w14:textFill>
        </w:rPr>
        <w:t>总价合同支付分分解表在招标完成后由发包人和承包人共同编制，发包人审批，并作为本合同内容，具体详见合同附件14。</w:t>
      </w:r>
    </w:p>
    <w:p w14:paraId="788135E8">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单价合同的总价项目支付分解表的编制与审批：总价项目不采用支付分解表的方式计算，而按《建设工程工程量清单计价规范（</w:t>
      </w:r>
      <w:r>
        <w:rPr>
          <w:rFonts w:hAnsi="宋体"/>
          <w:color w:val="000000" w:themeColor="text1"/>
          <w:szCs w:val="21"/>
          <w:highlight w:val="none"/>
          <w14:textFill>
            <w14:solidFill>
              <w14:schemeClr w14:val="tx1"/>
            </w14:solidFill>
          </w14:textFill>
        </w:rPr>
        <w:t>GB50500-2013</w:t>
      </w:r>
      <w:r>
        <w:rPr>
          <w:rFonts w:hint="eastAsia" w:hAnsi="宋体" w:cs="宋体"/>
          <w:color w:val="000000" w:themeColor="text1"/>
          <w:szCs w:val="21"/>
          <w:highlight w:val="none"/>
          <w14:textFill>
            <w14:solidFill>
              <w14:schemeClr w14:val="tx1"/>
            </w14:solidFill>
          </w14:textFill>
        </w:rPr>
        <w:t>）广西壮族自治区实施细则》的规定执行。</w:t>
      </w:r>
    </w:p>
    <w:bookmarkEnd w:id="629"/>
    <w:p w14:paraId="0FFE0231">
      <w:pPr>
        <w:pStyle w:val="4"/>
        <w:jc w:val="left"/>
        <w:rPr>
          <w:rFonts w:ascii="宋体" w:hAnsi="宋体" w:eastAsia="宋体"/>
          <w:color w:val="000000" w:themeColor="text1"/>
          <w:sz w:val="28"/>
          <w:szCs w:val="28"/>
          <w:highlight w:val="none"/>
          <w14:textFill>
            <w14:solidFill>
              <w14:schemeClr w14:val="tx1"/>
            </w14:solidFill>
          </w14:textFill>
        </w:rPr>
      </w:pPr>
      <w:bookmarkStart w:id="884" w:name="_Toc373227753"/>
      <w:bookmarkStart w:id="885" w:name="_Toc389065318"/>
      <w:bookmarkStart w:id="886" w:name="_Toc407135256"/>
      <w:bookmarkStart w:id="887" w:name="_Toc351203645"/>
      <w:bookmarkStart w:id="888" w:name="_Toc114058893"/>
      <w:bookmarkStart w:id="889" w:name="_Toc373478400"/>
      <w:bookmarkStart w:id="890" w:name="_Toc78449842"/>
      <w:bookmarkStart w:id="891" w:name="_Toc24212"/>
      <w:bookmarkStart w:id="892" w:name="_Toc304295593"/>
      <w:bookmarkStart w:id="893" w:name="_Toc296891259"/>
      <w:bookmarkStart w:id="894" w:name="_Toc292559424"/>
      <w:bookmarkStart w:id="895" w:name="_Toc296346720"/>
      <w:bookmarkStart w:id="896" w:name="_Toc300935015"/>
      <w:bookmarkStart w:id="897" w:name="_Toc296347218"/>
      <w:bookmarkStart w:id="898" w:name="_Toc292559929"/>
      <w:bookmarkStart w:id="899" w:name="_Toc297123564"/>
      <w:bookmarkStart w:id="900" w:name="_Toc296503219"/>
      <w:bookmarkStart w:id="901" w:name="_Toc303539172"/>
      <w:bookmarkStart w:id="902" w:name="_Toc297120519"/>
      <w:bookmarkStart w:id="903" w:name="_Toc297216223"/>
      <w:bookmarkStart w:id="904" w:name="_Toc312678053"/>
      <w:bookmarkStart w:id="905" w:name="_Toc296944558"/>
      <w:bookmarkStart w:id="906" w:name="_Toc296891047"/>
      <w:bookmarkStart w:id="907" w:name="_Toc297048405"/>
      <w:r>
        <w:rPr>
          <w:rFonts w:ascii="宋体" w:hAnsi="宋体" w:eastAsia="宋体"/>
          <w:color w:val="000000" w:themeColor="text1"/>
          <w:sz w:val="28"/>
          <w:szCs w:val="28"/>
          <w:highlight w:val="none"/>
          <w14:textFill>
            <w14:solidFill>
              <w14:schemeClr w14:val="tx1"/>
            </w14:solidFill>
          </w14:textFill>
        </w:rPr>
        <w:t>13.</w:t>
      </w:r>
      <w:r>
        <w:rPr>
          <w:rFonts w:hint="eastAsia" w:ascii="宋体" w:hAnsi="宋体" w:eastAsia="宋体"/>
          <w:color w:val="000000" w:themeColor="text1"/>
          <w:sz w:val="28"/>
          <w:szCs w:val="28"/>
          <w:highlight w:val="none"/>
          <w14:textFill>
            <w14:solidFill>
              <w14:schemeClr w14:val="tx1"/>
            </w14:solidFill>
          </w14:textFill>
        </w:rPr>
        <w:t>验收和工程试车</w:t>
      </w:r>
      <w:bookmarkEnd w:id="884"/>
      <w:bookmarkEnd w:id="885"/>
      <w:bookmarkEnd w:id="886"/>
      <w:bookmarkEnd w:id="887"/>
      <w:bookmarkEnd w:id="888"/>
      <w:bookmarkEnd w:id="889"/>
      <w:bookmarkEnd w:id="890"/>
      <w:bookmarkEnd w:id="891"/>
    </w:p>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14:paraId="1EA6BD7D">
      <w:pPr>
        <w:pStyle w:val="5"/>
        <w:ind w:firstLine="422" w:firstLineChars="200"/>
        <w:rPr>
          <w:rFonts w:ascii="宋体" w:hAnsi="宋体"/>
          <w:color w:val="000000" w:themeColor="text1"/>
          <w:sz w:val="21"/>
          <w:szCs w:val="21"/>
          <w:highlight w:val="none"/>
          <w14:textFill>
            <w14:solidFill>
              <w14:schemeClr w14:val="tx1"/>
            </w14:solidFill>
          </w14:textFill>
        </w:rPr>
      </w:pPr>
      <w:bookmarkStart w:id="908" w:name="_Toc389065319"/>
      <w:bookmarkStart w:id="909" w:name="_Toc373227754"/>
      <w:bookmarkStart w:id="910" w:name="_Toc407135257"/>
      <w:bookmarkStart w:id="911" w:name="_Toc114058894"/>
      <w:bookmarkStart w:id="912" w:name="_Toc373478401"/>
      <w:bookmarkStart w:id="913" w:name="_Toc78449843"/>
      <w:r>
        <w:rPr>
          <w:rFonts w:ascii="宋体" w:hAnsi="宋体"/>
          <w:color w:val="000000" w:themeColor="text1"/>
          <w:sz w:val="21"/>
          <w:szCs w:val="21"/>
          <w:highlight w:val="none"/>
          <w14:textFill>
            <w14:solidFill>
              <w14:schemeClr w14:val="tx1"/>
            </w14:solidFill>
          </w14:textFill>
        </w:rPr>
        <w:t>13.1</w:t>
      </w:r>
      <w:r>
        <w:rPr>
          <w:rFonts w:hint="eastAsia" w:ascii="宋体" w:hAnsi="宋体"/>
          <w:color w:val="000000" w:themeColor="text1"/>
          <w:sz w:val="21"/>
          <w:szCs w:val="21"/>
          <w:highlight w:val="none"/>
          <w14:textFill>
            <w14:solidFill>
              <w14:schemeClr w14:val="tx1"/>
            </w14:solidFill>
          </w14:textFill>
        </w:rPr>
        <w:t>分部分项工程验收</w:t>
      </w:r>
      <w:bookmarkEnd w:id="908"/>
      <w:bookmarkEnd w:id="909"/>
      <w:bookmarkEnd w:id="910"/>
      <w:bookmarkEnd w:id="911"/>
      <w:bookmarkEnd w:id="912"/>
      <w:bookmarkEnd w:id="913"/>
    </w:p>
    <w:p w14:paraId="7DC013E9">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13.1.2</w:t>
      </w:r>
      <w:r>
        <w:rPr>
          <w:rFonts w:hint="eastAsia" w:hAnsi="宋体" w:cs="宋体"/>
          <w:color w:val="000000" w:themeColor="text1"/>
          <w:szCs w:val="21"/>
          <w:highlight w:val="none"/>
          <w14:textFill>
            <w14:solidFill>
              <w14:schemeClr w14:val="tx1"/>
            </w14:solidFill>
          </w14:textFill>
        </w:rPr>
        <w:t>监理人不能按时进行验收时，应提前</w:t>
      </w:r>
      <w:r>
        <w:rPr>
          <w:rFonts w:hint="eastAsia"/>
          <w:color w:val="000000" w:themeColor="text1"/>
          <w:szCs w:val="21"/>
          <w:highlight w:val="none"/>
          <w:u w:val="single"/>
          <w14:textFill>
            <w14:solidFill>
              <w14:schemeClr w14:val="tx1"/>
            </w14:solidFill>
          </w14:textFill>
        </w:rPr>
        <w:t>24</w:t>
      </w:r>
      <w:r>
        <w:rPr>
          <w:rFonts w:hint="eastAsia" w:hAnsi="宋体" w:cs="宋体"/>
          <w:color w:val="000000" w:themeColor="text1"/>
          <w:szCs w:val="21"/>
          <w:highlight w:val="none"/>
          <w14:textFill>
            <w14:solidFill>
              <w14:schemeClr w14:val="tx1"/>
            </w14:solidFill>
          </w14:textFill>
        </w:rPr>
        <w:t>小时提交书面延期要求。</w:t>
      </w:r>
    </w:p>
    <w:p w14:paraId="4CC8D7FE">
      <w:pPr>
        <w:spacing w:line="360" w:lineRule="auto"/>
        <w:ind w:firstLine="420" w:firstLineChars="200"/>
        <w:jc w:val="left"/>
        <w:rPr>
          <w:b/>
          <w:bCs/>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关于延期最长不得超过：</w:t>
      </w:r>
      <w:r>
        <w:rPr>
          <w:rFonts w:hint="eastAsia"/>
          <w:color w:val="000000" w:themeColor="text1"/>
          <w:szCs w:val="21"/>
          <w:highlight w:val="none"/>
          <w:u w:val="single"/>
          <w14:textFill>
            <w14:solidFill>
              <w14:schemeClr w14:val="tx1"/>
            </w14:solidFill>
          </w14:textFill>
        </w:rPr>
        <w:t>48</w:t>
      </w:r>
      <w:r>
        <w:rPr>
          <w:rFonts w:hint="eastAsia" w:hAnsi="宋体" w:cs="宋体"/>
          <w:color w:val="000000" w:themeColor="text1"/>
          <w:szCs w:val="21"/>
          <w:highlight w:val="none"/>
          <w14:textFill>
            <w14:solidFill>
              <w14:schemeClr w14:val="tx1"/>
            </w14:solidFill>
          </w14:textFill>
        </w:rPr>
        <w:t>小时。</w:t>
      </w:r>
    </w:p>
    <w:p w14:paraId="5012F8F9">
      <w:pPr>
        <w:pStyle w:val="5"/>
        <w:ind w:firstLine="422" w:firstLineChars="200"/>
        <w:rPr>
          <w:rFonts w:ascii="宋体" w:hAnsi="宋体"/>
          <w:color w:val="000000" w:themeColor="text1"/>
          <w:sz w:val="21"/>
          <w:szCs w:val="21"/>
          <w:highlight w:val="none"/>
          <w14:textFill>
            <w14:solidFill>
              <w14:schemeClr w14:val="tx1"/>
            </w14:solidFill>
          </w14:textFill>
        </w:rPr>
      </w:pPr>
      <w:bookmarkStart w:id="914" w:name="_Toc114058895"/>
      <w:bookmarkStart w:id="915" w:name="_Toc78449844"/>
      <w:bookmarkStart w:id="916" w:name="_Toc389065320"/>
      <w:bookmarkStart w:id="917" w:name="_Toc373227755"/>
      <w:bookmarkStart w:id="918" w:name="_Toc407135258"/>
      <w:bookmarkStart w:id="919" w:name="_Toc373478402"/>
      <w:bookmarkStart w:id="920" w:name="_Toc312678056"/>
      <w:bookmarkStart w:id="921" w:name="_Toc292559933"/>
      <w:bookmarkStart w:id="922" w:name="_Toc297216224"/>
      <w:bookmarkStart w:id="923" w:name="_Toc296944562"/>
      <w:bookmarkStart w:id="924" w:name="_Toc296891051"/>
      <w:bookmarkStart w:id="925" w:name="_Toc296347222"/>
      <w:bookmarkStart w:id="926" w:name="_Toc297048409"/>
      <w:bookmarkStart w:id="927" w:name="_Toc304295596"/>
      <w:bookmarkStart w:id="928" w:name="_Toc292559428"/>
      <w:bookmarkStart w:id="929" w:name="_Toc296346724"/>
      <w:bookmarkStart w:id="930" w:name="_Toc297120523"/>
      <w:bookmarkStart w:id="931" w:name="_Toc296503223"/>
      <w:bookmarkStart w:id="932" w:name="_Toc300935016"/>
      <w:bookmarkStart w:id="933" w:name="_Toc296891263"/>
      <w:bookmarkStart w:id="934" w:name="_Toc297123565"/>
      <w:bookmarkStart w:id="935" w:name="_Toc303539173"/>
      <w:bookmarkStart w:id="936" w:name="_Toc267251476"/>
      <w:bookmarkStart w:id="937" w:name="_Toc267251475"/>
      <w:bookmarkStart w:id="938" w:name="_Toc267251473"/>
      <w:bookmarkStart w:id="939" w:name="_Toc267251470"/>
      <w:bookmarkStart w:id="940" w:name="_Toc267251472"/>
      <w:bookmarkStart w:id="941" w:name="_Toc267251471"/>
      <w:bookmarkStart w:id="942" w:name="_Toc267251474"/>
      <w:r>
        <w:rPr>
          <w:rFonts w:ascii="宋体" w:hAnsi="宋体"/>
          <w:color w:val="000000" w:themeColor="text1"/>
          <w:sz w:val="21"/>
          <w:szCs w:val="21"/>
          <w:highlight w:val="none"/>
          <w14:textFill>
            <w14:solidFill>
              <w14:schemeClr w14:val="tx1"/>
            </w14:solidFill>
          </w14:textFill>
        </w:rPr>
        <w:t>13.2</w:t>
      </w:r>
      <w:r>
        <w:rPr>
          <w:rFonts w:hint="eastAsia" w:ascii="宋体" w:hAnsi="宋体"/>
          <w:color w:val="000000" w:themeColor="text1"/>
          <w:sz w:val="21"/>
          <w:szCs w:val="21"/>
          <w:highlight w:val="none"/>
          <w14:textFill>
            <w14:solidFill>
              <w14:schemeClr w14:val="tx1"/>
            </w14:solidFill>
          </w14:textFill>
        </w:rPr>
        <w:t>竣工验收</w:t>
      </w:r>
      <w:bookmarkEnd w:id="914"/>
      <w:bookmarkEnd w:id="915"/>
      <w:bookmarkEnd w:id="916"/>
      <w:bookmarkEnd w:id="917"/>
      <w:bookmarkEnd w:id="918"/>
      <w:bookmarkEnd w:id="919"/>
    </w:p>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14:paraId="02E65029">
      <w:pPr>
        <w:spacing w:line="360" w:lineRule="auto"/>
        <w:ind w:firstLine="420" w:firstLineChars="200"/>
        <w:jc w:val="left"/>
        <w:rPr>
          <w:color w:val="000000" w:themeColor="text1"/>
          <w:szCs w:val="21"/>
          <w:highlight w:val="none"/>
          <w14:textFill>
            <w14:solidFill>
              <w14:schemeClr w14:val="tx1"/>
            </w14:solidFill>
          </w14:textFill>
        </w:rPr>
      </w:pPr>
      <w:bookmarkStart w:id="943" w:name="_Toc280868704"/>
      <w:bookmarkStart w:id="944" w:name="_Toc280868705"/>
      <w:bookmarkStart w:id="945" w:name="_Toc280868706"/>
      <w:bookmarkStart w:id="946" w:name="_Toc280868707"/>
      <w:bookmarkStart w:id="947" w:name="_Toc280868708"/>
      <w:bookmarkStart w:id="948" w:name="_Toc280868709"/>
      <w:r>
        <w:rPr>
          <w:color w:val="000000" w:themeColor="text1"/>
          <w:szCs w:val="21"/>
          <w:highlight w:val="none"/>
          <w14:textFill>
            <w14:solidFill>
              <w14:schemeClr w14:val="tx1"/>
            </w14:solidFill>
          </w14:textFill>
        </w:rPr>
        <w:t>13.2.1</w:t>
      </w:r>
      <w:r>
        <w:rPr>
          <w:rFonts w:hint="eastAsia" w:hAnsi="宋体" w:cs="宋体"/>
          <w:color w:val="000000" w:themeColor="text1"/>
          <w:szCs w:val="21"/>
          <w:highlight w:val="none"/>
          <w14:textFill>
            <w14:solidFill>
              <w14:schemeClr w14:val="tx1"/>
            </w14:solidFill>
          </w14:textFill>
        </w:rPr>
        <w:t>竣工验收条件</w:t>
      </w:r>
    </w:p>
    <w:p w14:paraId="589DF75B">
      <w:pPr>
        <w:spacing w:line="360" w:lineRule="auto"/>
        <w:ind w:firstLine="420" w:firstLineChars="200"/>
        <w:rPr>
          <w:color w:val="000000" w:themeColor="text1"/>
          <w:spacing w:val="-6"/>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承包人负责整理和提交的竣工验收资料应当符合工程所在地建设行政主管部门和</w:t>
      </w:r>
      <w:r>
        <w:rPr>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或</w:t>
      </w:r>
      <w:r>
        <w:rPr>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城市</w:t>
      </w:r>
      <w:r>
        <w:rPr>
          <w:rFonts w:hint="eastAsia" w:hAnsi="宋体" w:cs="宋体"/>
          <w:color w:val="000000" w:themeColor="text1"/>
          <w:spacing w:val="-6"/>
          <w:szCs w:val="21"/>
          <w:highlight w:val="none"/>
          <w14:textFill>
            <w14:solidFill>
              <w14:schemeClr w14:val="tx1"/>
            </w14:solidFill>
          </w14:textFill>
        </w:rPr>
        <w:t>建设档案管理机构有关施工资料的要求，具体内容包括：</w:t>
      </w:r>
      <w:r>
        <w:rPr>
          <w:rFonts w:hint="eastAsia"/>
          <w:color w:val="000000" w:themeColor="text1"/>
          <w:spacing w:val="-6"/>
          <w:szCs w:val="21"/>
          <w:highlight w:val="none"/>
          <w:u w:val="single"/>
          <w14:textFill>
            <w14:solidFill>
              <w14:schemeClr w14:val="tx1"/>
            </w14:solidFill>
          </w14:textFill>
        </w:rPr>
        <w:t>提供完整的（含现场照片、录像）竣工资料</w:t>
      </w:r>
      <w:r>
        <w:rPr>
          <w:rFonts w:hint="eastAsia" w:hAnsi="宋体" w:cs="宋体"/>
          <w:color w:val="000000" w:themeColor="text1"/>
          <w:spacing w:val="-6"/>
          <w:szCs w:val="21"/>
          <w:highlight w:val="none"/>
          <w14:textFill>
            <w14:solidFill>
              <w14:schemeClr w14:val="tx1"/>
            </w14:solidFill>
          </w14:textFill>
        </w:rPr>
        <w:t>。</w:t>
      </w:r>
    </w:p>
    <w:p w14:paraId="3F273C52">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竣工验收资料的份数：</w:t>
      </w:r>
      <w:r>
        <w:rPr>
          <w:rFonts w:hint="eastAsia"/>
          <w:color w:val="000000" w:themeColor="text1"/>
          <w:szCs w:val="21"/>
          <w:highlight w:val="none"/>
          <w:u w:val="single"/>
          <w14:textFill>
            <w14:solidFill>
              <w14:schemeClr w14:val="tx1"/>
            </w14:solidFill>
          </w14:textFill>
        </w:rPr>
        <w:t>一式陆份及竣工验收报告</w:t>
      </w:r>
      <w:r>
        <w:rPr>
          <w:rFonts w:hint="eastAsia" w:hAnsi="宋体" w:cs="宋体"/>
          <w:color w:val="000000" w:themeColor="text1"/>
          <w:szCs w:val="21"/>
          <w:highlight w:val="none"/>
          <w14:textFill>
            <w14:solidFill>
              <w14:schemeClr w14:val="tx1"/>
            </w14:solidFill>
          </w14:textFill>
        </w:rPr>
        <w:t>。</w:t>
      </w:r>
    </w:p>
    <w:p w14:paraId="5F41F399">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承包人提供竣工图的约定：</w:t>
      </w:r>
      <w:r>
        <w:rPr>
          <w:rFonts w:hint="eastAsia" w:hAnsi="宋体" w:cs="宋体"/>
          <w:color w:val="000000" w:themeColor="text1"/>
          <w:szCs w:val="21"/>
          <w:highlight w:val="none"/>
          <w:u w:val="single"/>
          <w14:textFill>
            <w14:solidFill>
              <w14:schemeClr w14:val="tx1"/>
            </w14:solidFill>
          </w14:textFill>
        </w:rPr>
        <w:t>竣工验收正式通过后</w:t>
      </w:r>
      <w:r>
        <w:rPr>
          <w:color w:val="000000" w:themeColor="text1"/>
          <w:szCs w:val="21"/>
          <w:highlight w:val="none"/>
          <w:u w:val="single"/>
          <w14:textFill>
            <w14:solidFill>
              <w14:schemeClr w14:val="tx1"/>
            </w14:solidFill>
          </w14:textFill>
        </w:rPr>
        <w:t>5</w:t>
      </w:r>
      <w:r>
        <w:rPr>
          <w:rFonts w:hint="eastAsia" w:hAnsi="宋体" w:cs="宋体"/>
          <w:color w:val="000000" w:themeColor="text1"/>
          <w:szCs w:val="21"/>
          <w:highlight w:val="none"/>
          <w:u w:val="single"/>
          <w14:textFill>
            <w14:solidFill>
              <w14:schemeClr w14:val="tx1"/>
            </w14:solidFill>
          </w14:textFill>
        </w:rPr>
        <w:t>天（工程造价在</w:t>
      </w:r>
      <w:r>
        <w:rPr>
          <w:color w:val="000000" w:themeColor="text1"/>
          <w:szCs w:val="21"/>
          <w:highlight w:val="none"/>
          <w:u w:val="single"/>
          <w14:textFill>
            <w14:solidFill>
              <w14:schemeClr w14:val="tx1"/>
            </w14:solidFill>
          </w14:textFill>
        </w:rPr>
        <w:t>500</w:t>
      </w:r>
      <w:r>
        <w:rPr>
          <w:rFonts w:hint="eastAsia" w:hAnsi="宋体" w:cs="宋体"/>
          <w:color w:val="000000" w:themeColor="text1"/>
          <w:szCs w:val="21"/>
          <w:highlight w:val="none"/>
          <w:u w:val="single"/>
          <w14:textFill>
            <w14:solidFill>
              <w14:schemeClr w14:val="tx1"/>
            </w14:solidFill>
          </w14:textFill>
        </w:rPr>
        <w:t>万元以下含</w:t>
      </w:r>
      <w:r>
        <w:rPr>
          <w:color w:val="000000" w:themeColor="text1"/>
          <w:szCs w:val="21"/>
          <w:highlight w:val="none"/>
          <w:u w:val="single"/>
          <w14:textFill>
            <w14:solidFill>
              <w14:schemeClr w14:val="tx1"/>
            </w14:solidFill>
          </w14:textFill>
        </w:rPr>
        <w:t>500</w:t>
      </w:r>
      <w:r>
        <w:rPr>
          <w:rFonts w:hint="eastAsia" w:hAnsi="宋体" w:cs="宋体"/>
          <w:color w:val="000000" w:themeColor="text1"/>
          <w:szCs w:val="21"/>
          <w:highlight w:val="none"/>
          <w:u w:val="single"/>
          <w14:textFill>
            <w14:solidFill>
              <w14:schemeClr w14:val="tx1"/>
            </w14:solidFill>
          </w14:textFill>
        </w:rPr>
        <w:t>万元）、</w:t>
      </w:r>
      <w:r>
        <w:rPr>
          <w:color w:val="000000" w:themeColor="text1"/>
          <w:szCs w:val="21"/>
          <w:highlight w:val="none"/>
          <w:u w:val="single"/>
          <w14:textFill>
            <w14:solidFill>
              <w14:schemeClr w14:val="tx1"/>
            </w14:solidFill>
          </w14:textFill>
        </w:rPr>
        <w:t>10</w:t>
      </w:r>
      <w:r>
        <w:rPr>
          <w:rFonts w:hint="eastAsia" w:hAnsi="宋体" w:cs="宋体"/>
          <w:color w:val="000000" w:themeColor="text1"/>
          <w:szCs w:val="21"/>
          <w:highlight w:val="none"/>
          <w:u w:val="single"/>
          <w14:textFill>
            <w14:solidFill>
              <w14:schemeClr w14:val="tx1"/>
            </w14:solidFill>
          </w14:textFill>
        </w:rPr>
        <w:t>天（工程造价在</w:t>
      </w:r>
      <w:r>
        <w:rPr>
          <w:color w:val="000000" w:themeColor="text1"/>
          <w:szCs w:val="21"/>
          <w:highlight w:val="none"/>
          <w:u w:val="single"/>
          <w14:textFill>
            <w14:solidFill>
              <w14:schemeClr w14:val="tx1"/>
            </w14:solidFill>
          </w14:textFill>
        </w:rPr>
        <w:t>500</w:t>
      </w:r>
      <w:r>
        <w:rPr>
          <w:rFonts w:hint="eastAsia" w:hAnsi="宋体" w:cs="宋体"/>
          <w:color w:val="000000" w:themeColor="text1"/>
          <w:szCs w:val="21"/>
          <w:highlight w:val="none"/>
          <w:u w:val="single"/>
          <w14:textFill>
            <w14:solidFill>
              <w14:schemeClr w14:val="tx1"/>
            </w14:solidFill>
          </w14:textFill>
        </w:rPr>
        <w:t>万元至</w:t>
      </w:r>
      <w:r>
        <w:rPr>
          <w:color w:val="000000" w:themeColor="text1"/>
          <w:szCs w:val="21"/>
          <w:highlight w:val="none"/>
          <w:u w:val="single"/>
          <w14:textFill>
            <w14:solidFill>
              <w14:schemeClr w14:val="tx1"/>
            </w14:solidFill>
          </w14:textFill>
        </w:rPr>
        <w:t>1000</w:t>
      </w:r>
      <w:r>
        <w:rPr>
          <w:rFonts w:hint="eastAsia" w:hAnsi="宋体" w:cs="宋体"/>
          <w:color w:val="000000" w:themeColor="text1"/>
          <w:szCs w:val="21"/>
          <w:highlight w:val="none"/>
          <w:u w:val="single"/>
          <w14:textFill>
            <w14:solidFill>
              <w14:schemeClr w14:val="tx1"/>
            </w14:solidFill>
          </w14:textFill>
        </w:rPr>
        <w:t>万元之间含</w:t>
      </w:r>
      <w:r>
        <w:rPr>
          <w:color w:val="000000" w:themeColor="text1"/>
          <w:szCs w:val="21"/>
          <w:highlight w:val="none"/>
          <w:u w:val="single"/>
          <w14:textFill>
            <w14:solidFill>
              <w14:schemeClr w14:val="tx1"/>
            </w14:solidFill>
          </w14:textFill>
        </w:rPr>
        <w:t>1000</w:t>
      </w:r>
      <w:r>
        <w:rPr>
          <w:rFonts w:hint="eastAsia" w:hAnsi="宋体" w:cs="宋体"/>
          <w:color w:val="000000" w:themeColor="text1"/>
          <w:szCs w:val="21"/>
          <w:highlight w:val="none"/>
          <w:u w:val="single"/>
          <w14:textFill>
            <w14:solidFill>
              <w14:schemeClr w14:val="tx1"/>
            </w14:solidFill>
          </w14:textFill>
        </w:rPr>
        <w:t>万元）、</w:t>
      </w:r>
      <w:r>
        <w:rPr>
          <w:color w:val="000000" w:themeColor="text1"/>
          <w:szCs w:val="21"/>
          <w:highlight w:val="none"/>
          <w:u w:val="single"/>
          <w14:textFill>
            <w14:solidFill>
              <w14:schemeClr w14:val="tx1"/>
            </w14:solidFill>
          </w14:textFill>
        </w:rPr>
        <w:t>15</w:t>
      </w:r>
      <w:r>
        <w:rPr>
          <w:rFonts w:hint="eastAsia" w:hAnsi="宋体" w:cs="宋体"/>
          <w:color w:val="000000" w:themeColor="text1"/>
          <w:szCs w:val="21"/>
          <w:highlight w:val="none"/>
          <w:u w:val="single"/>
          <w14:textFill>
            <w14:solidFill>
              <w14:schemeClr w14:val="tx1"/>
            </w14:solidFill>
          </w14:textFill>
        </w:rPr>
        <w:t>天（工程造价在</w:t>
      </w:r>
      <w:r>
        <w:rPr>
          <w:color w:val="000000" w:themeColor="text1"/>
          <w:szCs w:val="21"/>
          <w:highlight w:val="none"/>
          <w:u w:val="single"/>
          <w14:textFill>
            <w14:solidFill>
              <w14:schemeClr w14:val="tx1"/>
            </w14:solidFill>
          </w14:textFill>
        </w:rPr>
        <w:t>1000</w:t>
      </w:r>
      <w:r>
        <w:rPr>
          <w:rFonts w:hint="eastAsia" w:hAnsi="宋体" w:cs="宋体"/>
          <w:color w:val="000000" w:themeColor="text1"/>
          <w:szCs w:val="21"/>
          <w:highlight w:val="none"/>
          <w:u w:val="single"/>
          <w14:textFill>
            <w14:solidFill>
              <w14:schemeClr w14:val="tx1"/>
            </w14:solidFill>
          </w14:textFill>
        </w:rPr>
        <w:t>万元以上），提供竣工图的数量分别为</w:t>
      </w:r>
      <w:r>
        <w:rPr>
          <w:color w:val="000000" w:themeColor="text1"/>
          <w:szCs w:val="21"/>
          <w:highlight w:val="none"/>
          <w:u w:val="single"/>
          <w14:textFill>
            <w14:solidFill>
              <w14:schemeClr w14:val="tx1"/>
            </w14:solidFill>
          </w14:textFill>
        </w:rPr>
        <w:t>2</w:t>
      </w:r>
      <w:r>
        <w:rPr>
          <w:rFonts w:hint="eastAsia" w:hAnsi="宋体" w:cs="宋体"/>
          <w:color w:val="000000" w:themeColor="text1"/>
          <w:szCs w:val="21"/>
          <w:highlight w:val="none"/>
          <w:u w:val="single"/>
          <w14:textFill>
            <w14:solidFill>
              <w14:schemeClr w14:val="tx1"/>
            </w14:solidFill>
          </w14:textFill>
        </w:rPr>
        <w:t>套、</w:t>
      </w:r>
      <w:r>
        <w:rPr>
          <w:color w:val="000000" w:themeColor="text1"/>
          <w:szCs w:val="21"/>
          <w:highlight w:val="none"/>
          <w:u w:val="single"/>
          <w14:textFill>
            <w14:solidFill>
              <w14:schemeClr w14:val="tx1"/>
            </w14:solidFill>
          </w14:textFill>
        </w:rPr>
        <w:t>4</w:t>
      </w:r>
      <w:r>
        <w:rPr>
          <w:rFonts w:hint="eastAsia" w:hAnsi="宋体" w:cs="宋体"/>
          <w:color w:val="000000" w:themeColor="text1"/>
          <w:szCs w:val="21"/>
          <w:highlight w:val="none"/>
          <w:u w:val="single"/>
          <w14:textFill>
            <w14:solidFill>
              <w14:schemeClr w14:val="tx1"/>
            </w14:solidFill>
          </w14:textFill>
        </w:rPr>
        <w:t>套、</w:t>
      </w:r>
      <w:r>
        <w:rPr>
          <w:color w:val="000000" w:themeColor="text1"/>
          <w:szCs w:val="21"/>
          <w:highlight w:val="none"/>
          <w:u w:val="single"/>
          <w14:textFill>
            <w14:solidFill>
              <w14:schemeClr w14:val="tx1"/>
            </w14:solidFill>
          </w14:textFill>
        </w:rPr>
        <w:t>6</w:t>
      </w:r>
      <w:r>
        <w:rPr>
          <w:rFonts w:hint="eastAsia" w:hAnsi="宋体" w:cs="宋体"/>
          <w:color w:val="000000" w:themeColor="text1"/>
          <w:szCs w:val="21"/>
          <w:highlight w:val="none"/>
          <w:u w:val="single"/>
          <w14:textFill>
            <w14:solidFill>
              <w14:schemeClr w14:val="tx1"/>
            </w14:solidFill>
          </w14:textFill>
        </w:rPr>
        <w:t>套。</w:t>
      </w:r>
    </w:p>
    <w:p w14:paraId="002B1E4F">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13.2.2</w:t>
      </w:r>
      <w:r>
        <w:rPr>
          <w:rFonts w:hint="eastAsia" w:hAnsi="宋体" w:cs="宋体"/>
          <w:color w:val="000000" w:themeColor="text1"/>
          <w:szCs w:val="21"/>
          <w:highlight w:val="none"/>
          <w14:textFill>
            <w14:solidFill>
              <w14:schemeClr w14:val="tx1"/>
            </w14:solidFill>
          </w14:textFill>
        </w:rPr>
        <w:t>竣工验收程序</w:t>
      </w:r>
    </w:p>
    <w:bookmarkEnd w:id="943"/>
    <w:p w14:paraId="11367B7E">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关于竣工验收程序的约定：</w:t>
      </w:r>
      <w:r>
        <w:rPr>
          <w:rFonts w:hint="eastAsia"/>
          <w:color w:val="000000" w:themeColor="text1"/>
          <w:szCs w:val="21"/>
          <w:highlight w:val="none"/>
          <w:u w:val="single"/>
          <w14:textFill>
            <w14:solidFill>
              <w14:schemeClr w14:val="tx1"/>
            </w14:solidFill>
          </w14:textFill>
        </w:rPr>
        <w:t>（1）发包人收到竣工验收报告后尽快协调有关部门组织有关单位验收，并在验收后14天内给予认可或提出修改意见。承包人按要求修改，并承担由自身原因造成修改的费用</w:t>
      </w:r>
      <w:r>
        <w:rPr>
          <w:rFonts w:hint="eastAsia" w:hAnsi="宋体" w:cs="宋体"/>
          <w:color w:val="000000" w:themeColor="text1"/>
          <w:szCs w:val="21"/>
          <w:highlight w:val="none"/>
          <w14:textFill>
            <w14:solidFill>
              <w14:schemeClr w14:val="tx1"/>
            </w14:solidFill>
          </w14:textFill>
        </w:rPr>
        <w:t>。</w:t>
      </w:r>
    </w:p>
    <w:p w14:paraId="722C4C7D">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（2）发包人收到承包人送交的竣工验收报告后无特殊情况不组织验收，或验收后14天内不提出修改意见，视为竣工验收报告已被认可。</w:t>
      </w:r>
    </w:p>
    <w:p w14:paraId="287F5D11">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（3）发包人收到承包人竣工验收报告后至组织验收移交前工程保管及一切意外责任仍由承包人负责</w:t>
      </w:r>
      <w:r>
        <w:rPr>
          <w:rFonts w:hAnsi="宋体"/>
          <w:color w:val="000000" w:themeColor="text1"/>
          <w:szCs w:val="21"/>
          <w:highlight w:val="none"/>
          <w14:textFill>
            <w14:solidFill>
              <w14:schemeClr w14:val="tx1"/>
            </w14:solidFill>
          </w14:textFill>
        </w:rPr>
        <w:t>。</w:t>
      </w:r>
    </w:p>
    <w:p w14:paraId="39221265">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发包人不按照本项约定组织竣工验收、颁发工程接收证书的违约金的计算方法：</w:t>
      </w:r>
      <w:r>
        <w:rPr>
          <w:rFonts w:hint="eastAsia"/>
          <w:color w:val="000000" w:themeColor="text1"/>
          <w:szCs w:val="21"/>
          <w:highlight w:val="none"/>
          <w:u w:val="single"/>
          <w14:textFill>
            <w14:solidFill>
              <w14:schemeClr w14:val="tx1"/>
            </w14:solidFill>
          </w14:textFill>
        </w:rPr>
        <w:t>无</w:t>
      </w:r>
      <w:r>
        <w:rPr>
          <w:rFonts w:hint="eastAsia" w:hAnsi="宋体" w:cs="宋体"/>
          <w:color w:val="000000" w:themeColor="text1"/>
          <w:szCs w:val="21"/>
          <w:highlight w:val="none"/>
          <w14:textFill>
            <w14:solidFill>
              <w14:schemeClr w14:val="tx1"/>
            </w14:solidFill>
          </w14:textFill>
        </w:rPr>
        <w:t>。</w:t>
      </w:r>
    </w:p>
    <w:bookmarkEnd w:id="944"/>
    <w:p w14:paraId="6B286F86">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13.2.5</w:t>
      </w:r>
      <w:r>
        <w:rPr>
          <w:rFonts w:hint="eastAsia" w:hAnsi="宋体" w:cs="宋体"/>
          <w:color w:val="000000" w:themeColor="text1"/>
          <w:szCs w:val="21"/>
          <w:highlight w:val="none"/>
          <w14:textFill>
            <w14:solidFill>
              <w14:schemeClr w14:val="tx1"/>
            </w14:solidFill>
          </w14:textFill>
        </w:rPr>
        <w:t>移交、接收全部与部分工程</w:t>
      </w:r>
    </w:p>
    <w:bookmarkEnd w:id="945"/>
    <w:p w14:paraId="094B68C9">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承包人向发包人移交工程的期限：</w:t>
      </w:r>
      <w:r>
        <w:rPr>
          <w:rFonts w:hint="eastAsia" w:hAnsi="宋体"/>
          <w:color w:val="000000" w:themeColor="text1"/>
          <w:kern w:val="0"/>
          <w:szCs w:val="21"/>
          <w:highlight w:val="none"/>
          <w:u w:val="single"/>
          <w14:textFill>
            <w14:solidFill>
              <w14:schemeClr w14:val="tx1"/>
            </w14:solidFill>
          </w14:textFill>
        </w:rPr>
        <w:t>在工程竣工保修期满并对验收发现的问题完成整改后</w:t>
      </w:r>
      <w:r>
        <w:rPr>
          <w:rFonts w:hint="eastAsia" w:hAnsi="宋体" w:cs="宋体"/>
          <w:color w:val="000000" w:themeColor="text1"/>
          <w:szCs w:val="21"/>
          <w:highlight w:val="none"/>
          <w14:textFill>
            <w14:solidFill>
              <w14:schemeClr w14:val="tx1"/>
            </w14:solidFill>
          </w14:textFill>
        </w:rPr>
        <w:t>。</w:t>
      </w:r>
    </w:p>
    <w:p w14:paraId="2CFF994C">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发包人未按本合同约定接收全部或部分工程的，违约金的计算方法为：</w:t>
      </w:r>
      <w:r>
        <w:rPr>
          <w:rFonts w:hint="eastAsia"/>
          <w:color w:val="000000" w:themeColor="text1"/>
          <w:szCs w:val="21"/>
          <w:highlight w:val="none"/>
          <w:u w:val="single"/>
          <w14:textFill>
            <w14:solidFill>
              <w14:schemeClr w14:val="tx1"/>
            </w14:solidFill>
          </w14:textFill>
        </w:rPr>
        <w:t>无</w:t>
      </w:r>
      <w:r>
        <w:rPr>
          <w:rFonts w:hint="eastAsia" w:hAnsi="宋体" w:cs="宋体"/>
          <w:color w:val="000000" w:themeColor="text1"/>
          <w:szCs w:val="21"/>
          <w:highlight w:val="none"/>
          <w14:textFill>
            <w14:solidFill>
              <w14:schemeClr w14:val="tx1"/>
            </w14:solidFill>
          </w14:textFill>
        </w:rPr>
        <w:t>。</w:t>
      </w:r>
    </w:p>
    <w:bookmarkEnd w:id="946"/>
    <w:p w14:paraId="64A8CDE0">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承包人未按时移交工程的，违约金的计算方法为：</w:t>
      </w:r>
      <w:r>
        <w:rPr>
          <w:rFonts w:hint="eastAsia"/>
          <w:color w:val="000000" w:themeColor="text1"/>
          <w:szCs w:val="21"/>
          <w:highlight w:val="none"/>
          <w:u w:val="single"/>
          <w14:textFill>
            <w14:solidFill>
              <w14:schemeClr w14:val="tx1"/>
            </w14:solidFill>
          </w14:textFill>
        </w:rPr>
        <w:t>按专用条款7.5.2执行</w:t>
      </w:r>
      <w:r>
        <w:rPr>
          <w:rFonts w:hint="eastAsia" w:hAnsi="宋体" w:cs="宋体"/>
          <w:color w:val="000000" w:themeColor="text1"/>
          <w:szCs w:val="21"/>
          <w:highlight w:val="none"/>
          <w14:textFill>
            <w14:solidFill>
              <w14:schemeClr w14:val="tx1"/>
            </w14:solidFill>
          </w14:textFill>
        </w:rPr>
        <w:t>。</w:t>
      </w:r>
    </w:p>
    <w:p w14:paraId="3AEEFF57">
      <w:pPr>
        <w:pStyle w:val="5"/>
        <w:ind w:firstLine="422" w:firstLineChars="200"/>
        <w:rPr>
          <w:rFonts w:ascii="宋体" w:hAnsi="宋体"/>
          <w:color w:val="000000" w:themeColor="text1"/>
          <w:sz w:val="21"/>
          <w:szCs w:val="21"/>
          <w:highlight w:val="none"/>
          <w14:textFill>
            <w14:solidFill>
              <w14:schemeClr w14:val="tx1"/>
            </w14:solidFill>
          </w14:textFill>
        </w:rPr>
      </w:pPr>
      <w:bookmarkStart w:id="949" w:name="_Toc114058896"/>
      <w:bookmarkStart w:id="950" w:name="_Toc78449845"/>
      <w:bookmarkStart w:id="951" w:name="_Toc373478403"/>
      <w:bookmarkStart w:id="952" w:name="_Toc373227756"/>
      <w:bookmarkStart w:id="953" w:name="_Toc389065321"/>
      <w:bookmarkStart w:id="954" w:name="_Toc407135259"/>
      <w:r>
        <w:rPr>
          <w:rFonts w:ascii="宋体" w:hAnsi="宋体"/>
          <w:color w:val="000000" w:themeColor="text1"/>
          <w:sz w:val="21"/>
          <w:szCs w:val="21"/>
          <w:highlight w:val="none"/>
          <w14:textFill>
            <w14:solidFill>
              <w14:schemeClr w14:val="tx1"/>
            </w14:solidFill>
          </w14:textFill>
        </w:rPr>
        <w:t>13.3</w:t>
      </w:r>
      <w:r>
        <w:rPr>
          <w:rFonts w:hint="eastAsia" w:ascii="宋体" w:hAnsi="宋体"/>
          <w:color w:val="000000" w:themeColor="text1"/>
          <w:sz w:val="21"/>
          <w:szCs w:val="21"/>
          <w:highlight w:val="none"/>
          <w14:textFill>
            <w14:solidFill>
              <w14:schemeClr w14:val="tx1"/>
            </w14:solidFill>
          </w14:textFill>
        </w:rPr>
        <w:t>工程试车</w:t>
      </w:r>
      <w:bookmarkEnd w:id="949"/>
      <w:bookmarkEnd w:id="950"/>
      <w:bookmarkEnd w:id="951"/>
      <w:bookmarkEnd w:id="952"/>
      <w:bookmarkEnd w:id="953"/>
      <w:bookmarkEnd w:id="954"/>
    </w:p>
    <w:bookmarkEnd w:id="947"/>
    <w:p w14:paraId="7DC674D5">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13.3.1</w:t>
      </w:r>
      <w:r>
        <w:rPr>
          <w:rFonts w:hint="eastAsia" w:hAnsi="宋体" w:cs="宋体"/>
          <w:color w:val="000000" w:themeColor="text1"/>
          <w:kern w:val="0"/>
          <w:szCs w:val="21"/>
          <w:highlight w:val="none"/>
          <w14:textFill>
            <w14:solidFill>
              <w14:schemeClr w14:val="tx1"/>
            </w14:solidFill>
          </w14:textFill>
        </w:rPr>
        <w:t>试车程序</w:t>
      </w:r>
    </w:p>
    <w:p w14:paraId="417D137A">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工程试车内容：</w:t>
      </w:r>
      <w:r>
        <w:rPr>
          <w:rFonts w:hint="eastAsia"/>
          <w:color w:val="000000" w:themeColor="text1"/>
          <w:szCs w:val="21"/>
          <w:highlight w:val="none"/>
          <w:u w:val="single"/>
          <w14:textFill>
            <w14:solidFill>
              <w14:schemeClr w14:val="tx1"/>
            </w14:solidFill>
          </w14:textFill>
        </w:rPr>
        <w:t>按通用条款</w:t>
      </w:r>
      <w:r>
        <w:rPr>
          <w:rFonts w:hAnsi="宋体"/>
          <w:color w:val="000000" w:themeColor="text1"/>
          <w:szCs w:val="21"/>
          <w:highlight w:val="none"/>
          <w14:textFill>
            <w14:solidFill>
              <w14:schemeClr w14:val="tx1"/>
            </w14:solidFill>
          </w14:textFill>
        </w:rPr>
        <w:t>。</w:t>
      </w:r>
    </w:p>
    <w:p w14:paraId="76611226">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）单机无负荷试车费用由</w:t>
      </w:r>
      <w:r>
        <w:rPr>
          <w:rFonts w:hint="eastAsia"/>
          <w:color w:val="000000" w:themeColor="text1"/>
          <w:szCs w:val="21"/>
          <w:highlight w:val="none"/>
          <w:u w:val="single"/>
          <w14:textFill>
            <w14:solidFill>
              <w14:schemeClr w14:val="tx1"/>
            </w14:solidFill>
          </w14:textFill>
        </w:rPr>
        <w:t>承包人</w:t>
      </w:r>
      <w:r>
        <w:rPr>
          <w:rFonts w:hAnsi="宋体"/>
          <w:color w:val="000000" w:themeColor="text1"/>
          <w:kern w:val="0"/>
          <w:szCs w:val="21"/>
          <w:highlight w:val="none"/>
          <w14:textFill>
            <w14:solidFill>
              <w14:schemeClr w14:val="tx1"/>
            </w14:solidFill>
          </w14:textFill>
        </w:rPr>
        <w:t>承担；</w:t>
      </w:r>
    </w:p>
    <w:p w14:paraId="05022C0D">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）无负荷联动试车费用由</w:t>
      </w:r>
      <w:r>
        <w:rPr>
          <w:rFonts w:hint="eastAsia"/>
          <w:color w:val="000000" w:themeColor="text1"/>
          <w:szCs w:val="21"/>
          <w:highlight w:val="none"/>
          <w:u w:val="single"/>
          <w14:textFill>
            <w14:solidFill>
              <w14:schemeClr w14:val="tx1"/>
            </w14:solidFill>
          </w14:textFill>
        </w:rPr>
        <w:t>承包人</w:t>
      </w:r>
      <w:r>
        <w:rPr>
          <w:rFonts w:hAnsi="宋体"/>
          <w:color w:val="000000" w:themeColor="text1"/>
          <w:kern w:val="0"/>
          <w:szCs w:val="21"/>
          <w:highlight w:val="none"/>
          <w14:textFill>
            <w14:solidFill>
              <w14:schemeClr w14:val="tx1"/>
            </w14:solidFill>
          </w14:textFill>
        </w:rPr>
        <w:t>承担</w:t>
      </w:r>
      <w:r>
        <w:rPr>
          <w:rFonts w:hint="eastAsia" w:hAnsi="宋体" w:cs="宋体"/>
          <w:color w:val="000000" w:themeColor="text1"/>
          <w:kern w:val="0"/>
          <w:szCs w:val="21"/>
          <w:highlight w:val="none"/>
          <w14:textFill>
            <w14:solidFill>
              <w14:schemeClr w14:val="tx1"/>
            </w14:solidFill>
          </w14:textFill>
        </w:rPr>
        <w:t>。</w:t>
      </w:r>
    </w:p>
    <w:p w14:paraId="3F60A618">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13.3.3</w:t>
      </w:r>
      <w:r>
        <w:rPr>
          <w:rFonts w:hint="eastAsia" w:hAnsi="宋体" w:cs="宋体"/>
          <w:color w:val="000000" w:themeColor="text1"/>
          <w:kern w:val="0"/>
          <w:szCs w:val="21"/>
          <w:highlight w:val="none"/>
          <w14:textFill>
            <w14:solidFill>
              <w14:schemeClr w14:val="tx1"/>
            </w14:solidFill>
          </w14:textFill>
        </w:rPr>
        <w:t>投料试车</w:t>
      </w:r>
    </w:p>
    <w:p w14:paraId="79D0C979">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关于投料试车相关事项的约定：</w:t>
      </w:r>
      <w:r>
        <w:rPr>
          <w:rFonts w:hint="eastAsia"/>
          <w:color w:val="000000" w:themeColor="text1"/>
          <w:szCs w:val="21"/>
          <w:highlight w:val="none"/>
          <w:u w:val="single"/>
          <w14:textFill>
            <w14:solidFill>
              <w14:schemeClr w14:val="tx1"/>
            </w14:solidFill>
          </w14:textFill>
        </w:rPr>
        <w:t>按通用条款</w:t>
      </w:r>
      <w:r>
        <w:rPr>
          <w:rFonts w:hint="eastAsia" w:hAnsi="宋体" w:cs="宋体"/>
          <w:color w:val="000000" w:themeColor="text1"/>
          <w:szCs w:val="21"/>
          <w:highlight w:val="none"/>
          <w14:textFill>
            <w14:solidFill>
              <w14:schemeClr w14:val="tx1"/>
            </w14:solidFill>
          </w14:textFill>
        </w:rPr>
        <w:t>。</w:t>
      </w:r>
    </w:p>
    <w:p w14:paraId="59CE103B">
      <w:pPr>
        <w:pStyle w:val="5"/>
        <w:ind w:firstLine="422" w:firstLineChars="200"/>
        <w:rPr>
          <w:rFonts w:ascii="宋体" w:hAnsi="宋体"/>
          <w:color w:val="000000" w:themeColor="text1"/>
          <w:sz w:val="21"/>
          <w:szCs w:val="21"/>
          <w:highlight w:val="none"/>
          <w14:textFill>
            <w14:solidFill>
              <w14:schemeClr w14:val="tx1"/>
            </w14:solidFill>
          </w14:textFill>
        </w:rPr>
      </w:pPr>
      <w:bookmarkStart w:id="955" w:name="_Toc389065322"/>
      <w:bookmarkStart w:id="956" w:name="_Toc114058897"/>
      <w:bookmarkStart w:id="957" w:name="_Toc373227757"/>
      <w:bookmarkStart w:id="958" w:name="_Toc78449846"/>
      <w:bookmarkStart w:id="959" w:name="_Toc373478404"/>
      <w:bookmarkStart w:id="960" w:name="_Toc407135260"/>
      <w:r>
        <w:rPr>
          <w:rFonts w:ascii="宋体" w:hAnsi="宋体"/>
          <w:color w:val="000000" w:themeColor="text1"/>
          <w:sz w:val="21"/>
          <w:szCs w:val="21"/>
          <w:highlight w:val="none"/>
          <w14:textFill>
            <w14:solidFill>
              <w14:schemeClr w14:val="tx1"/>
            </w14:solidFill>
          </w14:textFill>
        </w:rPr>
        <w:t>13.6</w:t>
      </w:r>
      <w:r>
        <w:rPr>
          <w:rFonts w:hint="eastAsia" w:ascii="宋体" w:hAnsi="宋体"/>
          <w:color w:val="000000" w:themeColor="text1"/>
          <w:sz w:val="21"/>
          <w:szCs w:val="21"/>
          <w:highlight w:val="none"/>
          <w14:textFill>
            <w14:solidFill>
              <w14:schemeClr w14:val="tx1"/>
            </w14:solidFill>
          </w14:textFill>
        </w:rPr>
        <w:t>竣工退场</w:t>
      </w:r>
      <w:bookmarkEnd w:id="955"/>
      <w:bookmarkEnd w:id="956"/>
      <w:bookmarkEnd w:id="957"/>
      <w:bookmarkEnd w:id="958"/>
      <w:bookmarkEnd w:id="959"/>
      <w:bookmarkEnd w:id="960"/>
    </w:p>
    <w:p w14:paraId="51518937">
      <w:pPr>
        <w:spacing w:line="360" w:lineRule="auto"/>
        <w:ind w:firstLine="420" w:firstLineChars="200"/>
        <w:jc w:val="left"/>
        <w:rPr>
          <w:color w:val="000000" w:themeColor="text1"/>
          <w:kern w:val="0"/>
          <w:szCs w:val="21"/>
          <w:highlight w:val="none"/>
          <w14:textFill>
            <w14:solidFill>
              <w14:schemeClr w14:val="tx1"/>
            </w14:solidFill>
          </w14:textFill>
        </w:rPr>
      </w:pPr>
      <w:bookmarkStart w:id="961" w:name="_Toc18427"/>
      <w:bookmarkStart w:id="962" w:name="_Toc9503"/>
      <w:r>
        <w:rPr>
          <w:color w:val="000000" w:themeColor="text1"/>
          <w:kern w:val="0"/>
          <w:szCs w:val="21"/>
          <w:highlight w:val="none"/>
          <w14:textFill>
            <w14:solidFill>
              <w14:schemeClr w14:val="tx1"/>
            </w14:solidFill>
          </w14:textFill>
        </w:rPr>
        <w:t>13.6.1</w:t>
      </w:r>
      <w:r>
        <w:rPr>
          <w:rFonts w:hint="eastAsia"/>
          <w:color w:val="000000" w:themeColor="text1"/>
          <w:kern w:val="0"/>
          <w:szCs w:val="21"/>
          <w:highlight w:val="none"/>
          <w14:textFill>
            <w14:solidFill>
              <w14:schemeClr w14:val="tx1"/>
            </w14:solidFill>
          </w14:textFill>
        </w:rPr>
        <w:t>竣工退场</w:t>
      </w:r>
      <w:bookmarkEnd w:id="961"/>
      <w:bookmarkEnd w:id="962"/>
    </w:p>
    <w:p w14:paraId="4009DE65">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承包人完成竣工退场的期限：</w:t>
      </w:r>
      <w:r>
        <w:rPr>
          <w:rFonts w:hint="eastAsia" w:ascii="宋体" w:hAnsi="宋体"/>
          <w:color w:val="000000" w:themeColor="text1"/>
          <w:szCs w:val="21"/>
          <w:highlight w:val="none"/>
          <w:u w:val="single"/>
          <w14:textFill>
            <w14:solidFill>
              <w14:schemeClr w14:val="tx1"/>
            </w14:solidFill>
          </w14:textFill>
        </w:rPr>
        <w:t>监理人颁发（出具）工程接收证书后7天内，承包人负责按照通用条款本项约定的要求对施工场地进行清理并承担相关费用，直至监理人检验合格为止。承包人的人员逾期撤除施工场地的，按每人每天500元支付违约金给发包人</w:t>
      </w:r>
      <w:r>
        <w:rPr>
          <w:rFonts w:hint="eastAsia" w:ascii="宋体" w:hAnsi="宋体"/>
          <w:color w:val="000000" w:themeColor="text1"/>
          <w:kern w:val="0"/>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机械设备和其他财产逾期撤离施工现场的，视为承包人放弃所有权，任由发包人处置，处置所得收益归发包人所有</w:t>
      </w:r>
      <w:r>
        <w:rPr>
          <w:rFonts w:hint="eastAsia" w:hAnsi="宋体" w:cs="宋体"/>
          <w:color w:val="000000" w:themeColor="text1"/>
          <w:kern w:val="0"/>
          <w:szCs w:val="21"/>
          <w:highlight w:val="none"/>
          <w14:textFill>
            <w14:solidFill>
              <w14:schemeClr w14:val="tx1"/>
            </w14:solidFill>
          </w14:textFill>
        </w:rPr>
        <w:t>。</w:t>
      </w:r>
    </w:p>
    <w:p w14:paraId="55A5933E">
      <w:pPr>
        <w:pStyle w:val="4"/>
        <w:jc w:val="left"/>
        <w:rPr>
          <w:rFonts w:ascii="宋体" w:hAnsi="宋体" w:eastAsia="宋体"/>
          <w:color w:val="000000" w:themeColor="text1"/>
          <w:sz w:val="28"/>
          <w:szCs w:val="28"/>
          <w:highlight w:val="none"/>
          <w14:textFill>
            <w14:solidFill>
              <w14:schemeClr w14:val="tx1"/>
            </w14:solidFill>
          </w14:textFill>
        </w:rPr>
      </w:pPr>
      <w:bookmarkStart w:id="963" w:name="_Toc23092"/>
      <w:bookmarkStart w:id="964" w:name="_Toc373227758"/>
      <w:bookmarkStart w:id="965" w:name="_Toc78449847"/>
      <w:bookmarkStart w:id="966" w:name="_Toc407135261"/>
      <w:bookmarkStart w:id="967" w:name="_Toc351203646"/>
      <w:bookmarkStart w:id="968" w:name="_Toc389065323"/>
      <w:bookmarkStart w:id="969" w:name="_Toc373478405"/>
      <w:bookmarkStart w:id="970" w:name="_Toc114058898"/>
      <w:r>
        <w:rPr>
          <w:rFonts w:ascii="宋体" w:hAnsi="宋体" w:eastAsia="宋体"/>
          <w:color w:val="000000" w:themeColor="text1"/>
          <w:sz w:val="28"/>
          <w:szCs w:val="28"/>
          <w:highlight w:val="none"/>
          <w14:textFill>
            <w14:solidFill>
              <w14:schemeClr w14:val="tx1"/>
            </w14:solidFill>
          </w14:textFill>
        </w:rPr>
        <w:t>14.</w:t>
      </w:r>
      <w:r>
        <w:rPr>
          <w:rFonts w:hint="eastAsia" w:ascii="宋体" w:hAnsi="宋体" w:eastAsia="宋体"/>
          <w:color w:val="000000" w:themeColor="text1"/>
          <w:sz w:val="28"/>
          <w:szCs w:val="28"/>
          <w:highlight w:val="none"/>
          <w14:textFill>
            <w14:solidFill>
              <w14:schemeClr w14:val="tx1"/>
            </w14:solidFill>
          </w14:textFill>
        </w:rPr>
        <w:t>竣工结算</w:t>
      </w:r>
      <w:bookmarkEnd w:id="963"/>
      <w:bookmarkEnd w:id="964"/>
      <w:bookmarkEnd w:id="965"/>
      <w:bookmarkEnd w:id="966"/>
      <w:bookmarkEnd w:id="967"/>
      <w:bookmarkEnd w:id="968"/>
      <w:bookmarkEnd w:id="969"/>
      <w:bookmarkEnd w:id="970"/>
    </w:p>
    <w:p w14:paraId="4C0EA776">
      <w:pPr>
        <w:pStyle w:val="5"/>
        <w:ind w:firstLine="422" w:firstLineChars="200"/>
        <w:rPr>
          <w:rFonts w:ascii="宋体" w:hAnsi="宋体"/>
          <w:color w:val="000000" w:themeColor="text1"/>
          <w:sz w:val="21"/>
          <w:szCs w:val="21"/>
          <w:highlight w:val="none"/>
          <w14:textFill>
            <w14:solidFill>
              <w14:schemeClr w14:val="tx1"/>
            </w14:solidFill>
          </w14:textFill>
        </w:rPr>
      </w:pPr>
      <w:bookmarkStart w:id="971" w:name="_Toc407135262"/>
      <w:bookmarkStart w:id="972" w:name="_Toc389065324"/>
      <w:bookmarkStart w:id="973" w:name="_Toc373227759"/>
      <w:bookmarkStart w:id="974" w:name="_Toc78449848"/>
      <w:bookmarkStart w:id="975" w:name="_Toc114058899"/>
      <w:bookmarkStart w:id="976" w:name="_Toc373478406"/>
      <w:r>
        <w:rPr>
          <w:rFonts w:ascii="宋体" w:hAnsi="宋体"/>
          <w:color w:val="000000" w:themeColor="text1"/>
          <w:sz w:val="21"/>
          <w:szCs w:val="21"/>
          <w:highlight w:val="none"/>
          <w14:textFill>
            <w14:solidFill>
              <w14:schemeClr w14:val="tx1"/>
            </w14:solidFill>
          </w14:textFill>
        </w:rPr>
        <w:t>14.1</w:t>
      </w:r>
      <w:r>
        <w:rPr>
          <w:rFonts w:hint="eastAsia" w:ascii="宋体" w:hAnsi="宋体"/>
          <w:color w:val="000000" w:themeColor="text1"/>
          <w:sz w:val="21"/>
          <w:szCs w:val="21"/>
          <w:highlight w:val="none"/>
          <w14:textFill>
            <w14:solidFill>
              <w14:schemeClr w14:val="tx1"/>
            </w14:solidFill>
          </w14:textFill>
        </w:rPr>
        <w:t>竣工付款申请</w:t>
      </w:r>
      <w:bookmarkEnd w:id="971"/>
      <w:bookmarkEnd w:id="972"/>
      <w:bookmarkEnd w:id="973"/>
      <w:bookmarkEnd w:id="974"/>
      <w:bookmarkEnd w:id="975"/>
      <w:bookmarkEnd w:id="976"/>
    </w:p>
    <w:p w14:paraId="693B2FF5">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承包人提交竣工付款申请单的期限：</w:t>
      </w:r>
      <w:r>
        <w:rPr>
          <w:rFonts w:hint="eastAsia"/>
          <w:color w:val="000000" w:themeColor="text1"/>
          <w:szCs w:val="21"/>
          <w:highlight w:val="none"/>
          <w:u w:val="single"/>
          <w14:textFill>
            <w14:solidFill>
              <w14:schemeClr w14:val="tx1"/>
            </w14:solidFill>
          </w14:textFill>
        </w:rPr>
        <w:t>工程竣工验收合格后42天内</w:t>
      </w:r>
      <w:r>
        <w:rPr>
          <w:rFonts w:hint="eastAsia" w:hAnsi="宋体" w:cs="宋体"/>
          <w:color w:val="000000" w:themeColor="text1"/>
          <w:szCs w:val="21"/>
          <w:highlight w:val="none"/>
          <w14:textFill>
            <w14:solidFill>
              <w14:schemeClr w14:val="tx1"/>
            </w14:solidFill>
          </w14:textFill>
        </w:rPr>
        <w:t>。</w:t>
      </w:r>
    </w:p>
    <w:p w14:paraId="1EABBEE5">
      <w:pPr>
        <w:spacing w:line="400" w:lineRule="exact"/>
        <w:ind w:firstLine="420" w:firstLineChars="200"/>
        <w:rPr>
          <w:rFonts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竣工结算申请的资料清单和份数：</w:t>
      </w:r>
      <w:r>
        <w:rPr>
          <w:color w:val="000000" w:themeColor="text1"/>
          <w:szCs w:val="21"/>
          <w:highlight w:val="none"/>
          <w:u w:val="single"/>
          <w14:textFill>
            <w14:solidFill>
              <w14:schemeClr w14:val="tx1"/>
            </w14:solidFill>
          </w14:textFill>
        </w:rPr>
        <w:t>竣工验收资料的份数：</w:t>
      </w:r>
      <w:r>
        <w:rPr>
          <w:rFonts w:hint="eastAsia"/>
          <w:color w:val="000000" w:themeColor="text1"/>
          <w:szCs w:val="21"/>
          <w:highlight w:val="none"/>
          <w:u w:val="single"/>
          <w14:textFill>
            <w14:solidFill>
              <w14:schemeClr w14:val="tx1"/>
            </w14:solidFill>
          </w14:textFill>
        </w:rPr>
        <w:t>承包人应在竣工验收合格后30天内按照建设行政主管部门及发包人的要求提供有关竣工资料，其套数除满足各政府部门存档案需要外还需另提供两套原件及完整电子文档一份由发包人存档备用。</w:t>
      </w:r>
    </w:p>
    <w:p w14:paraId="3DC71874">
      <w:pPr>
        <w:spacing w:line="360" w:lineRule="auto"/>
        <w:ind w:firstLine="420" w:firstLineChars="200"/>
        <w:jc w:val="left"/>
        <w:rPr>
          <w:rFonts w:ascii="宋体" w:hAnsi="宋体"/>
          <w:color w:val="000000" w:themeColor="text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竣工付款申请单应包括的内容：</w:t>
      </w:r>
      <w:bookmarkStart w:id="977" w:name="_Toc376269933"/>
      <w:r>
        <w:rPr>
          <w:rFonts w:hint="eastAsia" w:hAnsi="宋体" w:cs="宋体"/>
          <w:color w:val="000000" w:themeColor="text1"/>
          <w:szCs w:val="21"/>
          <w:highlight w:val="none"/>
          <w14:textFill>
            <w14:solidFill>
              <w14:schemeClr w14:val="tx1"/>
            </w14:solidFill>
          </w14:textFill>
        </w:rPr>
        <w:t>按《通用条款》执行。</w:t>
      </w:r>
      <w:r>
        <w:rPr>
          <w:rFonts w:hint="eastAsia" w:ascii="宋体" w:hAnsi="宋体"/>
          <w:color w:val="000000" w:themeColor="text1"/>
          <w:highlight w:val="none"/>
          <w:u w:val="single"/>
          <w14:textFill>
            <w14:solidFill>
              <w14:schemeClr w14:val="tx1"/>
            </w14:solidFill>
          </w14:textFill>
        </w:rPr>
        <w:t>本工程最终竣工结算需报</w:t>
      </w:r>
      <w:r>
        <w:rPr>
          <w:rFonts w:hint="eastAsia" w:hAnsi="宋体"/>
          <w:color w:val="000000" w:themeColor="text1"/>
          <w:szCs w:val="21"/>
          <w:highlight w:val="none"/>
          <w14:textFill>
            <w14:solidFill>
              <w14:schemeClr w14:val="tx1"/>
            </w14:solidFill>
          </w14:textFill>
        </w:rPr>
        <w:t>业主有关部门</w:t>
      </w:r>
      <w:r>
        <w:rPr>
          <w:rFonts w:hint="eastAsia" w:ascii="宋体" w:hAnsi="宋体"/>
          <w:color w:val="000000" w:themeColor="text1"/>
          <w:highlight w:val="none"/>
          <w:u w:val="single"/>
          <w14:textFill>
            <w14:solidFill>
              <w14:schemeClr w14:val="tx1"/>
            </w14:solidFill>
          </w14:textFill>
        </w:rPr>
        <w:t>审定，承包人所编制的工程竣工资料经</w:t>
      </w:r>
      <w:r>
        <w:rPr>
          <w:rFonts w:hint="eastAsia"/>
          <w:color w:val="000000" w:themeColor="text1"/>
          <w:highlight w:val="none"/>
          <w14:textFill>
            <w14:solidFill>
              <w14:schemeClr w14:val="tx1"/>
            </w14:solidFill>
          </w14:textFill>
        </w:rPr>
        <w:t>监理</w:t>
      </w:r>
      <w:r>
        <w:rPr>
          <w:rFonts w:hint="eastAsia" w:ascii="宋体" w:hAnsi="宋体"/>
          <w:color w:val="000000" w:themeColor="text1"/>
          <w:highlight w:val="none"/>
          <w:u w:val="single"/>
          <w14:textFill>
            <w14:solidFill>
              <w14:schemeClr w14:val="tx1"/>
            </w14:solidFill>
          </w14:textFill>
        </w:rPr>
        <w:t>审核后，送到</w:t>
      </w:r>
      <w:r>
        <w:rPr>
          <w:rFonts w:hint="eastAsia" w:hAnsi="宋体"/>
          <w:color w:val="000000" w:themeColor="text1"/>
          <w:szCs w:val="21"/>
          <w:highlight w:val="none"/>
          <w14:textFill>
            <w14:solidFill>
              <w14:schemeClr w14:val="tx1"/>
            </w14:solidFill>
          </w14:textFill>
        </w:rPr>
        <w:t>业主有关部门</w:t>
      </w:r>
      <w:r>
        <w:rPr>
          <w:rFonts w:hint="eastAsia" w:ascii="宋体" w:hAnsi="宋体"/>
          <w:color w:val="000000" w:themeColor="text1"/>
          <w:highlight w:val="none"/>
          <w:u w:val="single"/>
          <w14:textFill>
            <w14:solidFill>
              <w14:schemeClr w14:val="tx1"/>
            </w14:solidFill>
          </w14:textFill>
        </w:rPr>
        <w:t>之日起，承包人所遗漏的与工程造价有关的资料不再作为结算审核依据，按自动放弃处理。</w:t>
      </w:r>
      <w:bookmarkEnd w:id="977"/>
    </w:p>
    <w:p w14:paraId="1A01FC00">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竣工结算款支付申请（核准）表见合同附件12。</w:t>
      </w:r>
    </w:p>
    <w:p w14:paraId="592D4804">
      <w:pPr>
        <w:pStyle w:val="5"/>
        <w:ind w:firstLine="422" w:firstLineChars="200"/>
        <w:rPr>
          <w:rFonts w:ascii="宋体" w:hAnsi="宋体"/>
          <w:color w:val="000000" w:themeColor="text1"/>
          <w:sz w:val="21"/>
          <w:szCs w:val="21"/>
          <w:highlight w:val="none"/>
          <w14:textFill>
            <w14:solidFill>
              <w14:schemeClr w14:val="tx1"/>
            </w14:solidFill>
          </w14:textFill>
        </w:rPr>
      </w:pPr>
      <w:bookmarkStart w:id="978" w:name="_Toc407135263"/>
      <w:bookmarkStart w:id="979" w:name="_Toc373227760"/>
      <w:bookmarkStart w:id="980" w:name="_Toc78449849"/>
      <w:bookmarkStart w:id="981" w:name="_Toc373478407"/>
      <w:bookmarkStart w:id="982" w:name="_Toc389065325"/>
      <w:bookmarkStart w:id="983" w:name="_Toc114058900"/>
      <w:r>
        <w:rPr>
          <w:rFonts w:ascii="宋体" w:hAnsi="宋体"/>
          <w:color w:val="000000" w:themeColor="text1"/>
          <w:sz w:val="21"/>
          <w:szCs w:val="21"/>
          <w:highlight w:val="none"/>
          <w14:textFill>
            <w14:solidFill>
              <w14:schemeClr w14:val="tx1"/>
            </w14:solidFill>
          </w14:textFill>
        </w:rPr>
        <w:t>14.2</w:t>
      </w:r>
      <w:r>
        <w:rPr>
          <w:rFonts w:hint="eastAsia" w:ascii="宋体" w:hAnsi="宋体"/>
          <w:color w:val="000000" w:themeColor="text1"/>
          <w:sz w:val="21"/>
          <w:szCs w:val="21"/>
          <w:highlight w:val="none"/>
          <w14:textFill>
            <w14:solidFill>
              <w14:schemeClr w14:val="tx1"/>
            </w14:solidFill>
          </w14:textFill>
        </w:rPr>
        <w:t>竣工结算审核</w:t>
      </w:r>
      <w:bookmarkEnd w:id="978"/>
      <w:bookmarkEnd w:id="979"/>
      <w:bookmarkEnd w:id="980"/>
      <w:bookmarkEnd w:id="981"/>
      <w:bookmarkEnd w:id="982"/>
      <w:bookmarkEnd w:id="983"/>
    </w:p>
    <w:p w14:paraId="3930AE40">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发包人审批竣工付款申请单的期限：</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0353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B999D33">
            <w:pPr>
              <w:spacing w:line="360" w:lineRule="auto"/>
              <w:rPr>
                <w:color w:val="000000" w:themeColor="text1"/>
                <w:szCs w:val="21"/>
                <w:highlight w:val="none"/>
                <w14:textFill>
                  <w14:solidFill>
                    <w14:schemeClr w14:val="tx1"/>
                  </w14:solidFill>
                </w14:textFill>
              </w:rPr>
            </w:pPr>
          </w:p>
        </w:tc>
        <w:tc>
          <w:tcPr>
            <w:tcW w:w="2466" w:type="dxa"/>
            <w:vAlign w:val="center"/>
          </w:tcPr>
          <w:p w14:paraId="6F308019">
            <w:pPr>
              <w:spacing w:line="360" w:lineRule="auto"/>
              <w:ind w:firstLine="27" w:firstLineChars="13"/>
              <w:jc w:val="center"/>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工程竣工结算报告金额</w:t>
            </w:r>
          </w:p>
        </w:tc>
        <w:tc>
          <w:tcPr>
            <w:tcW w:w="5967" w:type="dxa"/>
            <w:vAlign w:val="center"/>
          </w:tcPr>
          <w:p w14:paraId="32AF1F5E">
            <w:pPr>
              <w:spacing w:line="360" w:lineRule="auto"/>
              <w:ind w:firstLine="441" w:firstLineChars="210"/>
              <w:jc w:val="center"/>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发包人审查时间</w:t>
            </w:r>
          </w:p>
        </w:tc>
      </w:tr>
      <w:tr w14:paraId="1899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673CCA4">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2466" w:type="dxa"/>
            <w:vAlign w:val="center"/>
          </w:tcPr>
          <w:p w14:paraId="437E738A">
            <w:pPr>
              <w:spacing w:line="360" w:lineRule="auto"/>
              <w:ind w:firstLine="27" w:firstLineChars="13"/>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500</w:t>
            </w:r>
            <w:r>
              <w:rPr>
                <w:rFonts w:hint="eastAsia" w:hAnsi="宋体" w:cs="宋体"/>
                <w:color w:val="000000" w:themeColor="text1"/>
                <w:szCs w:val="21"/>
                <w:highlight w:val="none"/>
                <w14:textFill>
                  <w14:solidFill>
                    <w14:schemeClr w14:val="tx1"/>
                  </w14:solidFill>
                </w14:textFill>
              </w:rPr>
              <w:t>万元以下</w:t>
            </w:r>
          </w:p>
        </w:tc>
        <w:tc>
          <w:tcPr>
            <w:tcW w:w="5967" w:type="dxa"/>
            <w:vAlign w:val="center"/>
          </w:tcPr>
          <w:p w14:paraId="65235C4F">
            <w:pPr>
              <w:ind w:firstLine="441" w:firstLineChars="210"/>
              <w:jc w:val="center"/>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从接到竣工结算报告和完整的竣工结算资料之日起</w:t>
            </w:r>
            <w:r>
              <w:rPr>
                <w:color w:val="000000" w:themeColor="text1"/>
                <w:szCs w:val="21"/>
                <w:highlight w:val="none"/>
                <w14:textFill>
                  <w14:solidFill>
                    <w14:schemeClr w14:val="tx1"/>
                  </w14:solidFill>
                </w14:textFill>
              </w:rPr>
              <w:t>20</w:t>
            </w:r>
            <w:r>
              <w:rPr>
                <w:rFonts w:hint="eastAsia" w:hAnsi="宋体" w:cs="宋体"/>
                <w:color w:val="000000" w:themeColor="text1"/>
                <w:szCs w:val="21"/>
                <w:highlight w:val="none"/>
                <w14:textFill>
                  <w14:solidFill>
                    <w14:schemeClr w14:val="tx1"/>
                  </w14:solidFill>
                </w14:textFill>
              </w:rPr>
              <w:t>天</w:t>
            </w:r>
          </w:p>
        </w:tc>
      </w:tr>
      <w:tr w14:paraId="2A63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59803EA">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2466" w:type="dxa"/>
            <w:vAlign w:val="center"/>
          </w:tcPr>
          <w:p w14:paraId="73DB128E">
            <w:pPr>
              <w:spacing w:line="360" w:lineRule="auto"/>
              <w:ind w:firstLine="27" w:firstLineChars="13"/>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500</w:t>
            </w:r>
            <w:r>
              <w:rPr>
                <w:rFonts w:hint="eastAsia" w:hAnsi="宋体" w:cs="宋体"/>
                <w:color w:val="000000" w:themeColor="text1"/>
                <w:szCs w:val="21"/>
                <w:highlight w:val="none"/>
                <w14:textFill>
                  <w14:solidFill>
                    <w14:schemeClr w14:val="tx1"/>
                  </w14:solidFill>
                </w14:textFill>
              </w:rPr>
              <w:t>万元</w:t>
            </w:r>
            <w:r>
              <w:rPr>
                <w:color w:val="000000" w:themeColor="text1"/>
                <w:szCs w:val="21"/>
                <w:highlight w:val="none"/>
                <w14:textFill>
                  <w14:solidFill>
                    <w14:schemeClr w14:val="tx1"/>
                  </w14:solidFill>
                </w14:textFill>
              </w:rPr>
              <w:t>-2000</w:t>
            </w:r>
            <w:r>
              <w:rPr>
                <w:rFonts w:hint="eastAsia" w:hAnsi="宋体" w:cs="宋体"/>
                <w:color w:val="000000" w:themeColor="text1"/>
                <w:szCs w:val="21"/>
                <w:highlight w:val="none"/>
                <w14:textFill>
                  <w14:solidFill>
                    <w14:schemeClr w14:val="tx1"/>
                  </w14:solidFill>
                </w14:textFill>
              </w:rPr>
              <w:t>万元</w:t>
            </w:r>
          </w:p>
        </w:tc>
        <w:tc>
          <w:tcPr>
            <w:tcW w:w="5967" w:type="dxa"/>
            <w:vAlign w:val="center"/>
          </w:tcPr>
          <w:p w14:paraId="3663B6AA">
            <w:pPr>
              <w:ind w:firstLine="441" w:firstLineChars="210"/>
              <w:jc w:val="center"/>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从接到竣工结算报告和完整的竣工结算资料之日起</w:t>
            </w:r>
            <w:r>
              <w:rPr>
                <w:color w:val="000000" w:themeColor="text1"/>
                <w:szCs w:val="21"/>
                <w:highlight w:val="none"/>
                <w14:textFill>
                  <w14:solidFill>
                    <w14:schemeClr w14:val="tx1"/>
                  </w14:solidFill>
                </w14:textFill>
              </w:rPr>
              <w:t>30</w:t>
            </w:r>
            <w:r>
              <w:rPr>
                <w:rFonts w:hint="eastAsia" w:hAnsi="宋体" w:cs="宋体"/>
                <w:color w:val="000000" w:themeColor="text1"/>
                <w:szCs w:val="21"/>
                <w:highlight w:val="none"/>
                <w14:textFill>
                  <w14:solidFill>
                    <w14:schemeClr w14:val="tx1"/>
                  </w14:solidFill>
                </w14:textFill>
              </w:rPr>
              <w:t>天</w:t>
            </w:r>
          </w:p>
        </w:tc>
      </w:tr>
      <w:tr w14:paraId="0D27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43D89ED">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66" w:type="dxa"/>
            <w:vAlign w:val="center"/>
          </w:tcPr>
          <w:p w14:paraId="07E1250A">
            <w:pPr>
              <w:spacing w:line="360" w:lineRule="auto"/>
              <w:ind w:firstLine="27" w:firstLineChars="13"/>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2000</w:t>
            </w:r>
            <w:r>
              <w:rPr>
                <w:rFonts w:hint="eastAsia" w:hAnsi="宋体" w:cs="宋体"/>
                <w:color w:val="000000" w:themeColor="text1"/>
                <w:szCs w:val="21"/>
                <w:highlight w:val="none"/>
                <w14:textFill>
                  <w14:solidFill>
                    <w14:schemeClr w14:val="tx1"/>
                  </w14:solidFill>
                </w14:textFill>
              </w:rPr>
              <w:t>万元</w:t>
            </w:r>
            <w:r>
              <w:rPr>
                <w:color w:val="000000" w:themeColor="text1"/>
                <w:szCs w:val="21"/>
                <w:highlight w:val="none"/>
                <w14:textFill>
                  <w14:solidFill>
                    <w14:schemeClr w14:val="tx1"/>
                  </w14:solidFill>
                </w14:textFill>
              </w:rPr>
              <w:t>-5000</w:t>
            </w:r>
            <w:r>
              <w:rPr>
                <w:rFonts w:hint="eastAsia" w:hAnsi="宋体" w:cs="宋体"/>
                <w:color w:val="000000" w:themeColor="text1"/>
                <w:szCs w:val="21"/>
                <w:highlight w:val="none"/>
                <w14:textFill>
                  <w14:solidFill>
                    <w14:schemeClr w14:val="tx1"/>
                  </w14:solidFill>
                </w14:textFill>
              </w:rPr>
              <w:t>万元</w:t>
            </w:r>
          </w:p>
        </w:tc>
        <w:tc>
          <w:tcPr>
            <w:tcW w:w="5967" w:type="dxa"/>
            <w:vAlign w:val="center"/>
          </w:tcPr>
          <w:p w14:paraId="63569F3D">
            <w:pPr>
              <w:ind w:firstLine="441" w:firstLineChars="210"/>
              <w:jc w:val="center"/>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从接到竣工结算报告和完整的竣工结算资料之日起</w:t>
            </w:r>
            <w:r>
              <w:rPr>
                <w:color w:val="000000" w:themeColor="text1"/>
                <w:szCs w:val="21"/>
                <w:highlight w:val="none"/>
                <w14:textFill>
                  <w14:solidFill>
                    <w14:schemeClr w14:val="tx1"/>
                  </w14:solidFill>
                </w14:textFill>
              </w:rPr>
              <w:t>45</w:t>
            </w:r>
            <w:r>
              <w:rPr>
                <w:rFonts w:hint="eastAsia" w:hAnsi="宋体" w:cs="宋体"/>
                <w:color w:val="000000" w:themeColor="text1"/>
                <w:szCs w:val="21"/>
                <w:highlight w:val="none"/>
                <w14:textFill>
                  <w14:solidFill>
                    <w14:schemeClr w14:val="tx1"/>
                  </w14:solidFill>
                </w14:textFill>
              </w:rPr>
              <w:t>天</w:t>
            </w:r>
          </w:p>
        </w:tc>
      </w:tr>
      <w:tr w14:paraId="3A27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9072FF7">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2466" w:type="dxa"/>
            <w:vAlign w:val="center"/>
          </w:tcPr>
          <w:p w14:paraId="33C7F2F8">
            <w:pPr>
              <w:spacing w:line="360" w:lineRule="auto"/>
              <w:ind w:firstLine="27" w:firstLineChars="13"/>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5000</w:t>
            </w:r>
            <w:r>
              <w:rPr>
                <w:rFonts w:hint="eastAsia" w:hAnsi="宋体" w:cs="宋体"/>
                <w:color w:val="000000" w:themeColor="text1"/>
                <w:szCs w:val="21"/>
                <w:highlight w:val="none"/>
                <w14:textFill>
                  <w14:solidFill>
                    <w14:schemeClr w14:val="tx1"/>
                  </w14:solidFill>
                </w14:textFill>
              </w:rPr>
              <w:t>万元以上</w:t>
            </w:r>
          </w:p>
        </w:tc>
        <w:tc>
          <w:tcPr>
            <w:tcW w:w="5967" w:type="dxa"/>
            <w:vAlign w:val="center"/>
          </w:tcPr>
          <w:p w14:paraId="18C0DE93">
            <w:pPr>
              <w:ind w:firstLine="441" w:firstLineChars="210"/>
              <w:jc w:val="center"/>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从接到竣工结算报告和完整的竣工结算资料之日起</w:t>
            </w:r>
            <w:r>
              <w:rPr>
                <w:color w:val="000000" w:themeColor="text1"/>
                <w:szCs w:val="21"/>
                <w:highlight w:val="none"/>
                <w14:textFill>
                  <w14:solidFill>
                    <w14:schemeClr w14:val="tx1"/>
                  </w14:solidFill>
                </w14:textFill>
              </w:rPr>
              <w:t>60</w:t>
            </w:r>
            <w:r>
              <w:rPr>
                <w:rFonts w:hint="eastAsia" w:hAnsi="宋体" w:cs="宋体"/>
                <w:color w:val="000000" w:themeColor="text1"/>
                <w:szCs w:val="21"/>
                <w:highlight w:val="none"/>
                <w14:textFill>
                  <w14:solidFill>
                    <w14:schemeClr w14:val="tx1"/>
                  </w14:solidFill>
                </w14:textFill>
              </w:rPr>
              <w:t>天</w:t>
            </w:r>
          </w:p>
        </w:tc>
      </w:tr>
      <w:tr w14:paraId="6442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6E704F1">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p>
        </w:tc>
        <w:tc>
          <w:tcPr>
            <w:tcW w:w="2466" w:type="dxa"/>
            <w:vAlign w:val="center"/>
          </w:tcPr>
          <w:p w14:paraId="37B55FB4">
            <w:pPr>
              <w:spacing w:line="360" w:lineRule="auto"/>
              <w:ind w:firstLine="27" w:firstLineChars="13"/>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5000万以上每增加</w:t>
            </w:r>
            <w:r>
              <w:rPr>
                <w:color w:val="000000" w:themeColor="text1"/>
                <w:szCs w:val="21"/>
                <w:highlight w:val="none"/>
                <w14:textFill>
                  <w14:solidFill>
                    <w14:schemeClr w14:val="tx1"/>
                  </w14:solidFill>
                </w14:textFill>
              </w:rPr>
              <w:t>0.5</w:t>
            </w:r>
            <w:r>
              <w:rPr>
                <w:rFonts w:hint="eastAsia"/>
                <w:color w:val="000000" w:themeColor="text1"/>
                <w:szCs w:val="21"/>
                <w:highlight w:val="none"/>
                <w14:textFill>
                  <w14:solidFill>
                    <w14:schemeClr w14:val="tx1"/>
                  </w14:solidFill>
                </w14:textFill>
              </w:rPr>
              <w:t>亿（不足0.5亿不增加）</w:t>
            </w:r>
          </w:p>
        </w:tc>
        <w:tc>
          <w:tcPr>
            <w:tcW w:w="5967" w:type="dxa"/>
            <w:vAlign w:val="center"/>
          </w:tcPr>
          <w:p w14:paraId="4425412D">
            <w:pPr>
              <w:spacing w:line="360" w:lineRule="auto"/>
              <w:ind w:firstLine="441" w:firstLineChars="210"/>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增加10天</w:t>
            </w:r>
          </w:p>
        </w:tc>
      </w:tr>
    </w:tbl>
    <w:p w14:paraId="598994EC">
      <w:pPr>
        <w:spacing w:line="360" w:lineRule="auto"/>
        <w:ind w:firstLine="420" w:firstLineChars="200"/>
        <w:jc w:val="left"/>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工程竣工验收合格后，承包人应按约定一次性报送完整的竣工结算资料至发包人，原则上不再接收补充的结算资料。审核过程中，如发包人提出需承包人补充的结算资料，经发包人催促后20天内仍未提供或没有明确答复，发包人可根据现有资料办理结算，审核时间相应顺延。本工程最终结算价以双方签订最终结算书为准或业主聘请的第三方有关造价单位审定为准。</w:t>
      </w:r>
    </w:p>
    <w:p w14:paraId="0E22F9C7">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因承包人提供的结算资料不完整而需要补充或承包人不按时对账耽误时间时，审查时间应相应顺延</w:t>
      </w:r>
      <w:r>
        <w:rPr>
          <w:rFonts w:hAnsi="宋体"/>
          <w:color w:val="000000" w:themeColor="text1"/>
          <w:szCs w:val="21"/>
          <w:highlight w:val="none"/>
          <w14:textFill>
            <w14:solidFill>
              <w14:schemeClr w14:val="tx1"/>
            </w14:solidFill>
          </w14:textFill>
        </w:rPr>
        <w:t>。</w:t>
      </w:r>
    </w:p>
    <w:p w14:paraId="6ED50B2D">
      <w:pPr>
        <w:spacing w:line="400" w:lineRule="exact"/>
        <w:ind w:firstLine="411" w:firstLineChars="196"/>
        <w:rPr>
          <w:rFonts w:hAnsi="宋体"/>
          <w:bCs/>
          <w:color w:val="000000" w:themeColor="text1"/>
          <w:szCs w:val="2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竣工</w:t>
      </w:r>
      <w:r>
        <w:rPr>
          <w:rFonts w:hint="eastAsia" w:hAnsi="宋体"/>
          <w:bCs/>
          <w:color w:val="000000" w:themeColor="text1"/>
          <w:szCs w:val="21"/>
          <w:highlight w:val="none"/>
          <w14:textFill>
            <w14:solidFill>
              <w14:schemeClr w14:val="tx1"/>
            </w14:solidFill>
          </w14:textFill>
        </w:rPr>
        <w:t>结算审核约定：</w:t>
      </w:r>
    </w:p>
    <w:p w14:paraId="7E1AACEA">
      <w:pPr>
        <w:spacing w:line="400" w:lineRule="exact"/>
        <w:ind w:firstLine="411" w:firstLineChars="196"/>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国有投资项目：</w:t>
      </w:r>
    </w:p>
    <w:p w14:paraId="606878AE">
      <w:pPr>
        <w:spacing w:line="400" w:lineRule="exact"/>
        <w:ind w:firstLine="411" w:firstLineChars="196"/>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自竣工结算完毕之日起</w:t>
      </w:r>
      <w:r>
        <w:rPr>
          <w:rFonts w:hint="eastAsia" w:hAnsi="宋体"/>
          <w:color w:val="000000" w:themeColor="text1"/>
          <w:szCs w:val="21"/>
          <w:highlight w:val="none"/>
          <w14:textFill>
            <w14:solidFill>
              <w14:schemeClr w14:val="tx1"/>
            </w14:solidFill>
          </w14:textFill>
        </w:rPr>
        <w:t xml:space="preserve"> 15  </w:t>
      </w:r>
      <w:r>
        <w:rPr>
          <w:rFonts w:hint="eastAsia" w:hAnsi="宋体" w:cs="宋体"/>
          <w:color w:val="000000" w:themeColor="text1"/>
          <w:szCs w:val="21"/>
          <w:highlight w:val="none"/>
          <w14:textFill>
            <w14:solidFill>
              <w14:schemeClr w14:val="tx1"/>
            </w14:solidFill>
          </w14:textFill>
        </w:rPr>
        <w:t>工作日内，</w:t>
      </w:r>
      <w:r>
        <w:rPr>
          <w:color w:val="000000" w:themeColor="text1"/>
          <w:szCs w:val="21"/>
          <w:highlight w:val="none"/>
          <w14:textFill>
            <w14:solidFill>
              <w14:schemeClr w14:val="tx1"/>
            </w14:solidFill>
          </w14:textFill>
        </w:rPr>
        <w:t>经承包人申请</w:t>
      </w:r>
      <w:r>
        <w:rPr>
          <w:rFonts w:hint="eastAsia" w:hAnsi="宋体" w:cs="宋体"/>
          <w:color w:val="000000" w:themeColor="text1"/>
          <w:szCs w:val="21"/>
          <w:highlight w:val="none"/>
          <w14:textFill>
            <w14:solidFill>
              <w14:schemeClr w14:val="tx1"/>
            </w14:solidFill>
          </w14:textFill>
        </w:rPr>
        <w:t>发包人按审定后的竣工结算价款，通知经办银行向承包人支付结算价款。</w:t>
      </w:r>
    </w:p>
    <w:p w14:paraId="22EA85CD">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工程最终竣工结算达到《自治区本级财政投资评审实施办法》（桂财办【2015】70号）规定的评审范围，需报财政部门审定，承包人所编制的工程竣工资料经发包人审核后，送到财政部门之日起，承包人所遗漏的与工程造价有关的签证不再作为结算审核依据，按自动放弃处理。竣工结算以财政评审意见为准。</w:t>
      </w:r>
    </w:p>
    <w:p w14:paraId="1A1BD41B">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3.如承包人报送的工程结算总价过高，造成该结算审减率超过6%以上的，则超出6%以上部分的审核费由承包人承担，费用由发包人从承包人工程结算款中扣除。计算公式如下：</w:t>
      </w:r>
    </w:p>
    <w:p w14:paraId="38A4BFFD">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审减率=（送审造价-审定造价）/送审造价*100%；当审减率大于6%时，承包人应承担的审核费=（净审减额-送审额*6%）*3.5%”。</w:t>
      </w:r>
    </w:p>
    <w:p w14:paraId="23661EE2">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4.工程竣工验收报告经发包人认可后30天内，承包人应向发包人递交竣工验收合格资料及完整的结算资料和报告，双方按照本工程合同约定的价格形式及价款调整办法进行工程竣工结算。</w:t>
      </w:r>
    </w:p>
    <w:p w14:paraId="1FBB9301">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如承包人逾期递交竣工验收合格资料及完整的结算资料和报告，每延误一天，按签约合同价的万分之二计算逾期违约金，违约金直接从结算款中扣除。违约金上限：签约合同价扣除发包人材料价款、暂估专业工程、暂列金额后的百分之二。</w:t>
      </w:r>
    </w:p>
    <w:p w14:paraId="7A034B1A">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6.承包人必须提供完整、真实的隐蔽工程原始施工、验收记录。如发现施工单位提供的隐蔽工程资料与实际不符时，按不利于施工单位原则结算。</w:t>
      </w:r>
    </w:p>
    <w:p w14:paraId="6B65180F">
      <w:pPr>
        <w:spacing w:line="400" w:lineRule="exact"/>
        <w:ind w:firstLine="411" w:firstLineChars="196"/>
        <w:rPr>
          <w:rFonts w:hAnsi="宋体"/>
          <w:bCs/>
          <w:color w:val="000000" w:themeColor="text1"/>
          <w:szCs w:val="21"/>
          <w:highlight w:val="none"/>
          <w:u w:val="singl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非国有投资项目：</w:t>
      </w:r>
      <w:r>
        <w:rPr>
          <w:rFonts w:hAnsi="宋体"/>
          <w:bCs/>
          <w:color w:val="000000" w:themeColor="text1"/>
          <w:szCs w:val="21"/>
          <w:highlight w:val="none"/>
          <w:u w:val="single"/>
          <w14:textFill>
            <w14:solidFill>
              <w14:schemeClr w14:val="tx1"/>
            </w14:solidFill>
          </w14:textFill>
        </w:rPr>
        <w:t>1</w:t>
      </w:r>
      <w:r>
        <w:rPr>
          <w:rFonts w:hint="eastAsia" w:hAnsi="宋体"/>
          <w:bCs/>
          <w:color w:val="000000" w:themeColor="text1"/>
          <w:szCs w:val="21"/>
          <w:highlight w:val="none"/>
          <w:u w:val="single"/>
          <w14:textFill>
            <w14:solidFill>
              <w14:schemeClr w14:val="tx1"/>
            </w14:solidFill>
          </w14:textFill>
        </w:rPr>
        <w:t>、工程竣工验收报告经发包人认可后天内，承包人向发包人递交竣工验收合格资料及完整的结算资料和报告，双方按照协议书约定的合同价款及专用条款约定的合同价调整内容，进行工程竣工结算。</w:t>
      </w:r>
      <w:r>
        <w:rPr>
          <w:rFonts w:hAnsi="宋体"/>
          <w:bCs/>
          <w:color w:val="000000" w:themeColor="text1"/>
          <w:szCs w:val="21"/>
          <w:highlight w:val="none"/>
          <w:u w:val="single"/>
          <w14:textFill>
            <w14:solidFill>
              <w14:schemeClr w14:val="tx1"/>
            </w14:solidFill>
          </w14:textFill>
        </w:rPr>
        <w:t>2</w:t>
      </w:r>
      <w:r>
        <w:rPr>
          <w:rFonts w:hint="eastAsia" w:hAnsi="宋体"/>
          <w:bCs/>
          <w:color w:val="000000" w:themeColor="text1"/>
          <w:szCs w:val="21"/>
          <w:highlight w:val="none"/>
          <w:u w:val="single"/>
          <w14:textFill>
            <w14:solidFill>
              <w14:schemeClr w14:val="tx1"/>
            </w14:solidFill>
          </w14:textFill>
        </w:rPr>
        <w:t>、发包人收到承包人递交的竣工结算报告及结算资料之日起天内进行审核，给予确认或者提出初审意见。发包人逾期不予审定结算的视为发包人已同意上述竣工结算报告及结算资料，并以此作为最终结算的依据。发包人初审竣工结算完毕之日起天内，按审定后的结算价款，通知经办银行向承包人支付工程竣工结算价款。承包人应根据发包人的需要随时将竣工工程交付发包人。</w:t>
      </w:r>
    </w:p>
    <w:p w14:paraId="2058DBC8">
      <w:pPr>
        <w:spacing w:line="400" w:lineRule="exact"/>
        <w:ind w:firstLine="411" w:firstLineChars="196"/>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发包人完成竣工付款的期限：</w:t>
      </w:r>
      <w:r>
        <w:rPr>
          <w:rFonts w:hint="eastAsia" w:ascii="宋体" w:hAnsi="宋体"/>
          <w:color w:val="000000" w:themeColor="text1"/>
          <w:szCs w:val="21"/>
          <w:highlight w:val="none"/>
          <w:u w:val="single"/>
          <w14:textFill>
            <w14:solidFill>
              <w14:schemeClr w14:val="tx1"/>
            </w14:solidFill>
          </w14:textFill>
        </w:rPr>
        <w:t>按本专用条款12.4.1的约定支付</w:t>
      </w:r>
      <w:r>
        <w:rPr>
          <w:rFonts w:hAnsi="宋体"/>
          <w:color w:val="000000" w:themeColor="text1"/>
          <w:szCs w:val="21"/>
          <w:highlight w:val="none"/>
          <w14:textFill>
            <w14:solidFill>
              <w14:schemeClr w14:val="tx1"/>
            </w14:solidFill>
          </w14:textFill>
        </w:rPr>
        <w:t>。</w:t>
      </w:r>
    </w:p>
    <w:p w14:paraId="0BF44387">
      <w:pPr>
        <w:spacing w:after="60" w:line="400" w:lineRule="exact"/>
        <w:ind w:firstLine="411" w:firstLineChars="196"/>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关于竣工付款证书异议部分复核的方式和程序：</w:t>
      </w:r>
      <w:r>
        <w:rPr>
          <w:rFonts w:hint="eastAsia" w:hAnsi="宋体"/>
          <w:color w:val="000000" w:themeColor="text1"/>
          <w:szCs w:val="21"/>
          <w:highlight w:val="none"/>
          <w:u w:val="single"/>
          <w14:textFill>
            <w14:solidFill>
              <w14:schemeClr w14:val="tx1"/>
            </w14:solidFill>
          </w14:textFill>
        </w:rPr>
        <w:t>执行通用条款</w:t>
      </w:r>
      <w:r>
        <w:rPr>
          <w:rFonts w:hAnsi="宋体"/>
          <w:color w:val="000000" w:themeColor="text1"/>
          <w:szCs w:val="21"/>
          <w:highlight w:val="none"/>
          <w14:textFill>
            <w14:solidFill>
              <w14:schemeClr w14:val="tx1"/>
            </w14:solidFill>
          </w14:textFill>
        </w:rPr>
        <w:t>。</w:t>
      </w:r>
    </w:p>
    <w:p w14:paraId="34CF4A8A">
      <w:pPr>
        <w:pStyle w:val="5"/>
        <w:ind w:firstLine="422" w:firstLineChars="200"/>
        <w:rPr>
          <w:rFonts w:ascii="宋体" w:hAnsi="宋体"/>
          <w:color w:val="000000" w:themeColor="text1"/>
          <w:sz w:val="21"/>
          <w:szCs w:val="21"/>
          <w:highlight w:val="none"/>
          <w14:textFill>
            <w14:solidFill>
              <w14:schemeClr w14:val="tx1"/>
            </w14:solidFill>
          </w14:textFill>
        </w:rPr>
      </w:pPr>
      <w:bookmarkStart w:id="984" w:name="_Toc389065326"/>
      <w:bookmarkStart w:id="985" w:name="_Toc373478408"/>
      <w:bookmarkStart w:id="986" w:name="_Toc78449850"/>
      <w:bookmarkStart w:id="987" w:name="_Toc114058901"/>
      <w:bookmarkStart w:id="988" w:name="_Toc407135264"/>
      <w:bookmarkStart w:id="989" w:name="_Toc373227761"/>
      <w:r>
        <w:rPr>
          <w:rFonts w:ascii="宋体" w:hAnsi="宋体"/>
          <w:color w:val="000000" w:themeColor="text1"/>
          <w:sz w:val="21"/>
          <w:szCs w:val="21"/>
          <w:highlight w:val="none"/>
          <w14:textFill>
            <w14:solidFill>
              <w14:schemeClr w14:val="tx1"/>
            </w14:solidFill>
          </w14:textFill>
        </w:rPr>
        <w:t>14.4</w:t>
      </w:r>
      <w:r>
        <w:rPr>
          <w:rFonts w:hint="eastAsia" w:ascii="宋体" w:hAnsi="宋体"/>
          <w:color w:val="000000" w:themeColor="text1"/>
          <w:sz w:val="21"/>
          <w:szCs w:val="21"/>
          <w:highlight w:val="none"/>
          <w14:textFill>
            <w14:solidFill>
              <w14:schemeClr w14:val="tx1"/>
            </w14:solidFill>
          </w14:textFill>
        </w:rPr>
        <w:t>最终结清</w:t>
      </w:r>
      <w:bookmarkEnd w:id="984"/>
      <w:bookmarkEnd w:id="985"/>
      <w:bookmarkEnd w:id="986"/>
      <w:bookmarkEnd w:id="987"/>
      <w:bookmarkEnd w:id="988"/>
      <w:bookmarkEnd w:id="989"/>
    </w:p>
    <w:p w14:paraId="0F6B6854">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14.4.1</w:t>
      </w:r>
      <w:r>
        <w:rPr>
          <w:rFonts w:hint="eastAsia" w:hAnsi="宋体" w:cs="宋体"/>
          <w:color w:val="000000" w:themeColor="text1"/>
          <w:kern w:val="0"/>
          <w:szCs w:val="21"/>
          <w:highlight w:val="none"/>
          <w14:textFill>
            <w14:solidFill>
              <w14:schemeClr w14:val="tx1"/>
            </w14:solidFill>
          </w14:textFill>
        </w:rPr>
        <w:t>最终结清申请单</w:t>
      </w:r>
    </w:p>
    <w:p w14:paraId="268E09FA">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承包人提交最终结清申请单的份数：</w:t>
      </w:r>
      <w:r>
        <w:rPr>
          <w:rFonts w:hint="eastAsia"/>
          <w:color w:val="000000" w:themeColor="text1"/>
          <w:szCs w:val="21"/>
          <w:highlight w:val="none"/>
          <w:u w:val="single"/>
          <w14:textFill>
            <w14:solidFill>
              <w14:schemeClr w14:val="tx1"/>
            </w14:solidFill>
          </w14:textFill>
        </w:rPr>
        <w:t>一式陆份</w:t>
      </w:r>
      <w:r>
        <w:rPr>
          <w:rFonts w:hAnsi="宋体"/>
          <w:color w:val="000000" w:themeColor="text1"/>
          <w:szCs w:val="21"/>
          <w:highlight w:val="none"/>
          <w14:textFill>
            <w14:solidFill>
              <w14:schemeClr w14:val="tx1"/>
            </w14:solidFill>
          </w14:textFill>
        </w:rPr>
        <w:t>。</w:t>
      </w:r>
    </w:p>
    <w:p w14:paraId="32217CC9">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承包人提交最终结算申请单的期限：</w:t>
      </w:r>
      <w:r>
        <w:rPr>
          <w:rFonts w:hint="eastAsia" w:ascii="宋体" w:hAnsi="宋体"/>
          <w:color w:val="000000" w:themeColor="text1"/>
          <w:szCs w:val="21"/>
          <w:highlight w:val="none"/>
          <w:u w:val="single"/>
          <w14:textFill>
            <w14:solidFill>
              <w14:schemeClr w14:val="tx1"/>
            </w14:solidFill>
          </w14:textFill>
        </w:rPr>
        <w:t>缺陷责任期终止证书签发后14天内</w:t>
      </w:r>
      <w:r>
        <w:rPr>
          <w:rFonts w:hint="eastAsia" w:hAnsi="宋体" w:cs="宋体"/>
          <w:color w:val="000000" w:themeColor="text1"/>
          <w:szCs w:val="21"/>
          <w:highlight w:val="none"/>
          <w14:textFill>
            <w14:solidFill>
              <w14:schemeClr w14:val="tx1"/>
            </w14:solidFill>
          </w14:textFill>
        </w:rPr>
        <w:t>。</w:t>
      </w:r>
    </w:p>
    <w:p w14:paraId="49BCF101">
      <w:pPr>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最终结算款支付申请（核准）表见合同附件13。</w:t>
      </w:r>
    </w:p>
    <w:p w14:paraId="70767FDD">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14.4.2</w:t>
      </w:r>
      <w:r>
        <w:rPr>
          <w:rFonts w:hint="eastAsia" w:hAnsi="宋体" w:cs="宋体"/>
          <w:color w:val="000000" w:themeColor="text1"/>
          <w:szCs w:val="21"/>
          <w:highlight w:val="none"/>
          <w14:textFill>
            <w14:solidFill>
              <w14:schemeClr w14:val="tx1"/>
            </w14:solidFill>
          </w14:textFill>
        </w:rPr>
        <w:t>最终结清证书和支付</w:t>
      </w:r>
    </w:p>
    <w:p w14:paraId="0D142C96">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Ansi="宋体"/>
          <w:color w:val="000000" w:themeColor="text1"/>
          <w:szCs w:val="21"/>
          <w:highlight w:val="none"/>
          <w14:textFill>
            <w14:solidFill>
              <w14:schemeClr w14:val="tx1"/>
            </w14:solidFill>
          </w14:textFill>
        </w:rPr>
        <w:t>）发包人完成最终结清申请单的审批并颁发最终结清证书的期限：</w:t>
      </w:r>
      <w:r>
        <w:rPr>
          <w:rFonts w:hint="eastAsia"/>
          <w:color w:val="000000" w:themeColor="text1"/>
          <w:szCs w:val="21"/>
          <w:highlight w:val="none"/>
          <w:u w:val="single"/>
          <w14:textFill>
            <w14:solidFill>
              <w14:schemeClr w14:val="tx1"/>
            </w14:solidFill>
          </w14:textFill>
        </w:rPr>
        <w:t>收到该申请28天内</w:t>
      </w:r>
      <w:r>
        <w:rPr>
          <w:rFonts w:hAnsi="宋体"/>
          <w:color w:val="000000" w:themeColor="text1"/>
          <w:szCs w:val="21"/>
          <w:highlight w:val="none"/>
          <w14:textFill>
            <w14:solidFill>
              <w14:schemeClr w14:val="tx1"/>
            </w14:solidFill>
          </w14:textFill>
        </w:rPr>
        <w:t>。</w:t>
      </w:r>
    </w:p>
    <w:p w14:paraId="59FF2E2A">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Ansi="宋体"/>
          <w:color w:val="000000" w:themeColor="text1"/>
          <w:szCs w:val="21"/>
          <w:highlight w:val="none"/>
          <w14:textFill>
            <w14:solidFill>
              <w14:schemeClr w14:val="tx1"/>
            </w14:solidFill>
          </w14:textFill>
        </w:rPr>
        <w:t>）发包人完成支付的期限：</w:t>
      </w:r>
      <w:r>
        <w:rPr>
          <w:rFonts w:hint="eastAsia" w:ascii="宋体" w:hAnsi="宋体"/>
          <w:color w:val="000000" w:themeColor="text1"/>
          <w:szCs w:val="21"/>
          <w:highlight w:val="none"/>
          <w:u w:val="single"/>
          <w14:textFill>
            <w14:solidFill>
              <w14:schemeClr w14:val="tx1"/>
            </w14:solidFill>
          </w14:textFill>
        </w:rPr>
        <w:t>按本专用条款12.4.1的约定支付</w:t>
      </w:r>
      <w:r>
        <w:rPr>
          <w:rFonts w:hint="eastAsia" w:hAnsi="宋体" w:cs="宋体"/>
          <w:color w:val="000000" w:themeColor="text1"/>
          <w:szCs w:val="21"/>
          <w:highlight w:val="none"/>
          <w14:textFill>
            <w14:solidFill>
              <w14:schemeClr w14:val="tx1"/>
            </w14:solidFill>
          </w14:textFill>
        </w:rPr>
        <w:t>。</w:t>
      </w:r>
    </w:p>
    <w:bookmarkEnd w:id="936"/>
    <w:bookmarkEnd w:id="937"/>
    <w:bookmarkEnd w:id="938"/>
    <w:bookmarkEnd w:id="939"/>
    <w:bookmarkEnd w:id="940"/>
    <w:bookmarkEnd w:id="941"/>
    <w:bookmarkEnd w:id="942"/>
    <w:bookmarkEnd w:id="948"/>
    <w:p w14:paraId="2D9AD986">
      <w:pPr>
        <w:pStyle w:val="4"/>
        <w:jc w:val="left"/>
        <w:rPr>
          <w:rFonts w:ascii="宋体" w:hAnsi="宋体" w:eastAsia="宋体"/>
          <w:color w:val="000000" w:themeColor="text1"/>
          <w:sz w:val="28"/>
          <w:szCs w:val="28"/>
          <w:highlight w:val="none"/>
          <w14:textFill>
            <w14:solidFill>
              <w14:schemeClr w14:val="tx1"/>
            </w14:solidFill>
          </w14:textFill>
        </w:rPr>
      </w:pPr>
      <w:bookmarkStart w:id="990" w:name="_Toc389065327"/>
      <w:bookmarkStart w:id="991" w:name="_Toc351203647"/>
      <w:bookmarkStart w:id="992" w:name="_Toc114058902"/>
      <w:bookmarkStart w:id="993" w:name="_Toc373478409"/>
      <w:bookmarkStart w:id="994" w:name="_Toc407135265"/>
      <w:bookmarkStart w:id="995" w:name="_Toc78449851"/>
      <w:bookmarkStart w:id="996" w:name="_Toc21519"/>
      <w:bookmarkStart w:id="997" w:name="_Toc373227762"/>
      <w:bookmarkStart w:id="998" w:name="_Toc267251483"/>
      <w:bookmarkStart w:id="999" w:name="_Toc267251482"/>
      <w:bookmarkStart w:id="1000" w:name="_Toc267251484"/>
      <w:bookmarkStart w:id="1001" w:name="_Toc267251485"/>
      <w:bookmarkStart w:id="1002" w:name="_Toc267251490"/>
      <w:bookmarkStart w:id="1003" w:name="_Toc267251489"/>
      <w:bookmarkStart w:id="1004" w:name="_Toc267251486"/>
      <w:bookmarkStart w:id="1005" w:name="_Toc267251488"/>
      <w:bookmarkStart w:id="1006" w:name="_Toc267251501"/>
      <w:bookmarkStart w:id="1007" w:name="_Toc267251499"/>
      <w:bookmarkStart w:id="1008" w:name="_Toc267251491"/>
      <w:bookmarkStart w:id="1009" w:name="_Toc267251502"/>
      <w:bookmarkStart w:id="1010" w:name="_Toc267251496"/>
      <w:bookmarkStart w:id="1011" w:name="_Toc267251503"/>
      <w:bookmarkStart w:id="1012" w:name="_Toc267251493"/>
      <w:bookmarkStart w:id="1013" w:name="_Toc267251495"/>
      <w:bookmarkStart w:id="1014" w:name="_Toc267251492"/>
      <w:bookmarkStart w:id="1015" w:name="_Toc267251497"/>
      <w:bookmarkStart w:id="1016" w:name="_Toc267251498"/>
      <w:bookmarkStart w:id="1017" w:name="_Toc267251494"/>
      <w:bookmarkStart w:id="1018" w:name="_Toc267251506"/>
      <w:bookmarkStart w:id="1019" w:name="_Toc267251504"/>
      <w:bookmarkStart w:id="1020" w:name="_Toc267251507"/>
      <w:bookmarkStart w:id="1021" w:name="_Toc267251508"/>
      <w:bookmarkStart w:id="1022" w:name="_Toc267251515"/>
      <w:bookmarkStart w:id="1023" w:name="_Toc267251511"/>
      <w:bookmarkStart w:id="1024" w:name="_Toc267251509"/>
      <w:bookmarkStart w:id="1025" w:name="_Toc267251510"/>
      <w:bookmarkStart w:id="1026" w:name="_Toc267251513"/>
      <w:bookmarkStart w:id="1027" w:name="_Toc267251514"/>
      <w:r>
        <w:rPr>
          <w:rFonts w:ascii="宋体" w:hAnsi="宋体" w:eastAsia="宋体"/>
          <w:color w:val="000000" w:themeColor="text1"/>
          <w:sz w:val="28"/>
          <w:szCs w:val="28"/>
          <w:highlight w:val="none"/>
          <w14:textFill>
            <w14:solidFill>
              <w14:schemeClr w14:val="tx1"/>
            </w14:solidFill>
          </w14:textFill>
        </w:rPr>
        <w:t>15.</w:t>
      </w:r>
      <w:r>
        <w:rPr>
          <w:rFonts w:hint="eastAsia" w:ascii="宋体" w:hAnsi="宋体" w:eastAsia="宋体"/>
          <w:color w:val="000000" w:themeColor="text1"/>
          <w:sz w:val="28"/>
          <w:szCs w:val="28"/>
          <w:highlight w:val="none"/>
          <w14:textFill>
            <w14:solidFill>
              <w14:schemeClr w14:val="tx1"/>
            </w14:solidFill>
          </w14:textFill>
        </w:rPr>
        <w:t>缺陷责任期与保修</w:t>
      </w:r>
      <w:bookmarkEnd w:id="990"/>
      <w:bookmarkEnd w:id="991"/>
      <w:bookmarkEnd w:id="992"/>
      <w:bookmarkEnd w:id="993"/>
      <w:bookmarkEnd w:id="994"/>
      <w:bookmarkEnd w:id="995"/>
      <w:bookmarkEnd w:id="996"/>
      <w:bookmarkEnd w:id="997"/>
    </w:p>
    <w:p w14:paraId="2897C279">
      <w:pPr>
        <w:pStyle w:val="5"/>
        <w:ind w:firstLine="422" w:firstLineChars="200"/>
        <w:rPr>
          <w:rFonts w:ascii="宋体" w:hAnsi="宋体"/>
          <w:color w:val="000000" w:themeColor="text1"/>
          <w:sz w:val="21"/>
          <w:szCs w:val="21"/>
          <w:highlight w:val="none"/>
          <w14:textFill>
            <w14:solidFill>
              <w14:schemeClr w14:val="tx1"/>
            </w14:solidFill>
          </w14:textFill>
        </w:rPr>
      </w:pPr>
      <w:bookmarkStart w:id="1028" w:name="_Toc78449852"/>
      <w:bookmarkStart w:id="1029" w:name="_Toc373478410"/>
      <w:bookmarkStart w:id="1030" w:name="_Toc114058903"/>
      <w:bookmarkStart w:id="1031" w:name="_Toc407135266"/>
      <w:bookmarkStart w:id="1032" w:name="_Toc373227763"/>
      <w:bookmarkStart w:id="1033" w:name="_Toc389065328"/>
      <w:r>
        <w:rPr>
          <w:rFonts w:ascii="宋体" w:hAnsi="宋体"/>
          <w:color w:val="000000" w:themeColor="text1"/>
          <w:sz w:val="21"/>
          <w:szCs w:val="21"/>
          <w:highlight w:val="none"/>
          <w14:textFill>
            <w14:solidFill>
              <w14:schemeClr w14:val="tx1"/>
            </w14:solidFill>
          </w14:textFill>
        </w:rPr>
        <w:t>15.2</w:t>
      </w:r>
      <w:r>
        <w:rPr>
          <w:rFonts w:hint="eastAsia" w:ascii="宋体" w:hAnsi="宋体"/>
          <w:color w:val="000000" w:themeColor="text1"/>
          <w:sz w:val="21"/>
          <w:szCs w:val="21"/>
          <w:highlight w:val="none"/>
          <w14:textFill>
            <w14:solidFill>
              <w14:schemeClr w14:val="tx1"/>
            </w14:solidFill>
          </w14:textFill>
        </w:rPr>
        <w:t>缺陷责任期</w:t>
      </w:r>
      <w:bookmarkEnd w:id="998"/>
      <w:bookmarkEnd w:id="1028"/>
      <w:bookmarkEnd w:id="1029"/>
      <w:bookmarkEnd w:id="1030"/>
      <w:bookmarkEnd w:id="1031"/>
      <w:bookmarkEnd w:id="1032"/>
      <w:bookmarkEnd w:id="1033"/>
    </w:p>
    <w:p w14:paraId="610C58CC">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缺陷责任期的具体期限：/。</w:t>
      </w:r>
    </w:p>
    <w:p w14:paraId="31B776D5">
      <w:pPr>
        <w:pStyle w:val="5"/>
        <w:ind w:firstLine="422" w:firstLineChars="200"/>
        <w:rPr>
          <w:rFonts w:ascii="宋体" w:hAnsi="宋体"/>
          <w:color w:val="000000" w:themeColor="text1"/>
          <w:sz w:val="21"/>
          <w:szCs w:val="21"/>
          <w:highlight w:val="none"/>
          <w14:textFill>
            <w14:solidFill>
              <w14:schemeClr w14:val="tx1"/>
            </w14:solidFill>
          </w14:textFill>
        </w:rPr>
      </w:pPr>
      <w:bookmarkStart w:id="1034" w:name="_Toc373478411"/>
      <w:bookmarkStart w:id="1035" w:name="_Toc78449853"/>
      <w:bookmarkStart w:id="1036" w:name="_Toc389065329"/>
      <w:bookmarkStart w:id="1037" w:name="_Toc373227764"/>
      <w:bookmarkStart w:id="1038" w:name="_Toc407135267"/>
      <w:bookmarkStart w:id="1039" w:name="_Toc114058904"/>
      <w:r>
        <w:rPr>
          <w:rFonts w:ascii="宋体" w:hAnsi="宋体"/>
          <w:color w:val="000000" w:themeColor="text1"/>
          <w:sz w:val="21"/>
          <w:szCs w:val="21"/>
          <w:highlight w:val="none"/>
          <w14:textFill>
            <w14:solidFill>
              <w14:schemeClr w14:val="tx1"/>
            </w14:solidFill>
          </w14:textFill>
        </w:rPr>
        <w:t>15.3</w:t>
      </w:r>
      <w:r>
        <w:rPr>
          <w:rFonts w:hint="eastAsia" w:ascii="宋体" w:hAnsi="宋体"/>
          <w:color w:val="000000" w:themeColor="text1"/>
          <w:sz w:val="21"/>
          <w:szCs w:val="21"/>
          <w:highlight w:val="none"/>
          <w14:textFill>
            <w14:solidFill>
              <w14:schemeClr w14:val="tx1"/>
            </w14:solidFill>
          </w14:textFill>
        </w:rPr>
        <w:t>质量保证金</w:t>
      </w:r>
      <w:bookmarkEnd w:id="1034"/>
      <w:bookmarkEnd w:id="1035"/>
      <w:bookmarkEnd w:id="1036"/>
      <w:bookmarkEnd w:id="1037"/>
      <w:bookmarkEnd w:id="1038"/>
      <w:bookmarkEnd w:id="1039"/>
    </w:p>
    <w:p w14:paraId="6656925B">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关于是否扣留质量保证金的约定：</w:t>
      </w:r>
      <w:r>
        <w:rPr>
          <w:rFonts w:hint="eastAsia" w:hAnsi="宋体" w:cs="宋体"/>
          <w:color w:val="000000" w:themeColor="text1"/>
          <w:szCs w:val="21"/>
          <w:highlight w:val="none"/>
          <w:u w:val="single"/>
          <w14:textFill>
            <w14:solidFill>
              <w14:schemeClr w14:val="tx1"/>
            </w14:solidFill>
          </w14:textFill>
        </w:rPr>
        <w:t>是</w:t>
      </w:r>
      <w:r>
        <w:rPr>
          <w:rFonts w:hint="eastAsia" w:hAnsi="宋体" w:cs="宋体"/>
          <w:color w:val="000000" w:themeColor="text1"/>
          <w:szCs w:val="21"/>
          <w:highlight w:val="none"/>
          <w14:textFill>
            <w14:solidFill>
              <w14:schemeClr w14:val="tx1"/>
            </w14:solidFill>
          </w14:textFill>
        </w:rPr>
        <w:t>。</w:t>
      </w:r>
    </w:p>
    <w:p w14:paraId="2239AA1E">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在工程项目竣工前，承包人按专用合同条款第3.7条提供履约担保的，发包人不得同时预留工程质量保证金。</w:t>
      </w:r>
    </w:p>
    <w:p w14:paraId="193FFA72">
      <w:pPr>
        <w:spacing w:line="360" w:lineRule="auto"/>
        <w:ind w:firstLine="420" w:firstLineChars="200"/>
        <w:jc w:val="left"/>
        <w:rPr>
          <w:rFonts w:hAnsi="宋体" w:cs="宋体"/>
          <w:color w:val="000000" w:themeColor="text1"/>
          <w:szCs w:val="21"/>
          <w:highlight w:val="none"/>
          <w14:textFill>
            <w14:solidFill>
              <w14:schemeClr w14:val="tx1"/>
            </w14:solidFill>
          </w14:textFill>
        </w:rPr>
      </w:pPr>
      <w:bookmarkStart w:id="1040" w:name="_Toc17933"/>
      <w:bookmarkStart w:id="1041" w:name="_Toc10003"/>
      <w:r>
        <w:rPr>
          <w:rFonts w:hAnsi="宋体" w:cs="宋体"/>
          <w:color w:val="000000" w:themeColor="text1"/>
          <w:szCs w:val="21"/>
          <w:highlight w:val="none"/>
          <w14:textFill>
            <w14:solidFill>
              <w14:schemeClr w14:val="tx1"/>
            </w14:solidFill>
          </w14:textFill>
        </w:rPr>
        <w:t>15.3.1</w:t>
      </w:r>
      <w:r>
        <w:rPr>
          <w:rFonts w:hint="eastAsia" w:hAnsi="宋体" w:cs="宋体"/>
          <w:color w:val="000000" w:themeColor="text1"/>
          <w:szCs w:val="21"/>
          <w:highlight w:val="none"/>
          <w14:textFill>
            <w14:solidFill>
              <w14:schemeClr w14:val="tx1"/>
            </w14:solidFill>
          </w14:textFill>
        </w:rPr>
        <w:t>承包人提供质量保证金的方式</w:t>
      </w:r>
      <w:bookmarkEnd w:id="1040"/>
      <w:bookmarkEnd w:id="1041"/>
    </w:p>
    <w:p w14:paraId="4677AE12">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质量保证金采用以下第</w:t>
      </w:r>
      <w:r>
        <w:rPr>
          <w:rFonts w:hint="eastAsia" w:hAnsi="宋体" w:cs="宋体"/>
          <w:color w:val="000000" w:themeColor="text1"/>
          <w:szCs w:val="21"/>
          <w:highlight w:val="none"/>
          <w:u w:val="singl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种方式：</w:t>
      </w:r>
    </w:p>
    <w:p w14:paraId="785DCD64">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）质量保证金保函</w:t>
      </w:r>
      <w:r>
        <w:rPr>
          <w:rFonts w:hint="eastAsia" w:hAnsi="宋体" w:cs="宋体"/>
          <w:color w:val="000000" w:themeColor="text1"/>
          <w:szCs w:val="21"/>
          <w:highlight w:val="none"/>
          <w14:textFill>
            <w14:solidFill>
              <w14:schemeClr w14:val="tx1"/>
            </w14:solidFill>
          </w14:textFill>
        </w:rPr>
        <w:t>（银行保函、电子保函、保证保险保函、工程担保保函，</w:t>
      </w:r>
      <w:r>
        <w:rPr>
          <w:rFonts w:hint="eastAsia" w:hAnsi="宋体" w:cs="宋体"/>
          <w:color w:val="000000" w:themeColor="text1"/>
          <w:kern w:val="0"/>
          <w:szCs w:val="21"/>
          <w:highlight w:val="none"/>
          <w14:textFill>
            <w14:solidFill>
              <w14:schemeClr w14:val="tx1"/>
            </w14:solidFill>
          </w14:textFill>
        </w:rPr>
        <w:t>工程担保保证人应将出具的保函相关信息录入“广西建筑市场监管云”平台（http://gxjzsc.caihcloud.com），以实现保函查询及验真功能。</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kern w:val="0"/>
          <w:szCs w:val="21"/>
          <w:highlight w:val="none"/>
          <w14:textFill>
            <w14:solidFill>
              <w14:schemeClr w14:val="tx1"/>
            </w14:solidFill>
          </w14:textFill>
        </w:rPr>
        <w:t>，保证金额为：；</w:t>
      </w:r>
    </w:p>
    <w:p w14:paraId="419D61E6">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承包人按最终审定结算金额的3%支付工程质量保修金，并开具合法有效的增值税专用发票后14个工作日内，工程款支付至最终审定结算金额的100%（含已支付的），待缺陷责任期满后返还，是否付息及利息计算方式为：</w:t>
      </w:r>
      <w:r>
        <w:rPr>
          <w:rFonts w:hint="eastAsia" w:hAnsi="宋体" w:cs="宋体"/>
          <w:color w:val="000000" w:themeColor="text1"/>
          <w:szCs w:val="21"/>
          <w:highlight w:val="none"/>
          <w:u w:val="single"/>
          <w14:textFill>
            <w14:solidFill>
              <w14:schemeClr w14:val="tx1"/>
            </w14:solidFill>
          </w14:textFill>
        </w:rPr>
        <w:t>不付息</w:t>
      </w:r>
      <w:r>
        <w:rPr>
          <w:rFonts w:hint="eastAsia" w:hAnsi="宋体" w:cs="宋体"/>
          <w:color w:val="000000" w:themeColor="text1"/>
          <w:kern w:val="0"/>
          <w:szCs w:val="21"/>
          <w:highlight w:val="none"/>
          <w14:textFill>
            <w14:solidFill>
              <w14:schemeClr w14:val="tx1"/>
            </w14:solidFill>
          </w14:textFill>
        </w:rPr>
        <w:t>；</w:t>
      </w:r>
    </w:p>
    <w:p w14:paraId="4DC19609">
      <w:pPr>
        <w:autoSpaceDE w:val="0"/>
        <w:autoSpaceDN w:val="0"/>
        <w:adjustRightInd w:val="0"/>
        <w:spacing w:line="360" w:lineRule="auto"/>
        <w:ind w:firstLine="420" w:firstLineChars="200"/>
        <w:jc w:val="left"/>
        <w:rPr>
          <w:color w:val="000000" w:themeColor="text1"/>
          <w:kern w:val="0"/>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）其他方式</w:t>
      </w:r>
      <w:r>
        <w:rPr>
          <w:rFonts w:hint="eastAsia" w:cs="宋体"/>
          <w:color w:val="000000" w:themeColor="text1"/>
          <w:kern w:val="0"/>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银行转账、电汇或网上支付等形式。</w:t>
      </w:r>
      <w:r>
        <w:rPr>
          <w:rFonts w:hint="eastAsia" w:hAnsi="宋体" w:cs="宋体"/>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w:t>
      </w:r>
    </w:p>
    <w:p w14:paraId="16A5BD2D">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15.3.2</w:t>
      </w:r>
      <w:r>
        <w:rPr>
          <w:rFonts w:hint="eastAsia" w:hAnsi="宋体" w:cs="宋体"/>
          <w:color w:val="000000" w:themeColor="text1"/>
          <w:szCs w:val="21"/>
          <w:highlight w:val="none"/>
          <w14:textFill>
            <w14:solidFill>
              <w14:schemeClr w14:val="tx1"/>
            </w14:solidFill>
          </w14:textFill>
        </w:rPr>
        <w:t>质量保证金的扣留</w:t>
      </w:r>
    </w:p>
    <w:p w14:paraId="6F571C05">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质量保证金的扣留采取以下第</w:t>
      </w:r>
      <w:r>
        <w:rPr>
          <w:rFonts w:hint="eastAsia" w:hAnsi="宋体" w:cs="宋体"/>
          <w:color w:val="000000" w:themeColor="text1"/>
          <w:szCs w:val="21"/>
          <w:highlight w:val="none"/>
          <w:u w:val="singl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种方式：</w:t>
      </w:r>
    </w:p>
    <w:p w14:paraId="7BDAE040">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）在</w:t>
      </w:r>
      <w:r>
        <w:rPr>
          <w:rFonts w:hAnsi="宋体" w:cs="宋体"/>
          <w:color w:val="000000" w:themeColor="text1"/>
          <w:kern w:val="0"/>
          <w:szCs w:val="21"/>
          <w:highlight w:val="none"/>
          <w14:textFill>
            <w14:solidFill>
              <w14:schemeClr w14:val="tx1"/>
            </w14:solidFill>
          </w14:textFill>
        </w:rPr>
        <w:t>不缴纳履</w:t>
      </w:r>
      <w:r>
        <w:rPr>
          <w:rFonts w:hint="eastAsia" w:hAnsi="宋体" w:cs="宋体"/>
          <w:color w:val="000000" w:themeColor="text1"/>
          <w:kern w:val="0"/>
          <w:szCs w:val="21"/>
          <w:highlight w:val="none"/>
          <w14:textFill>
            <w14:solidFill>
              <w14:schemeClr w14:val="tx1"/>
            </w14:solidFill>
          </w14:textFill>
        </w:rPr>
        <w:t>保</w:t>
      </w:r>
      <w:r>
        <w:rPr>
          <w:rFonts w:hAnsi="宋体" w:cs="宋体"/>
          <w:color w:val="000000" w:themeColor="text1"/>
          <w:kern w:val="0"/>
          <w:szCs w:val="21"/>
          <w:highlight w:val="none"/>
          <w14:textFill>
            <w14:solidFill>
              <w14:schemeClr w14:val="tx1"/>
            </w14:solidFill>
          </w14:textFill>
        </w:rPr>
        <w:t>证金情况下</w:t>
      </w:r>
      <w:r>
        <w:rPr>
          <w:rFonts w:hint="eastAsia" w:hAnsi="宋体" w:cs="宋体"/>
          <w:color w:val="000000" w:themeColor="text1"/>
          <w:kern w:val="0"/>
          <w:szCs w:val="21"/>
          <w:highlight w:val="none"/>
          <w14:textFill>
            <w14:solidFill>
              <w14:schemeClr w14:val="tx1"/>
            </w14:solidFill>
          </w14:textFill>
        </w:rPr>
        <w:t>，按支付工程进度款时逐次扣留，质量保证金的计算基数不包括预付款的支付、扣回以及价格调整的金额；</w:t>
      </w:r>
    </w:p>
    <w:p w14:paraId="15FEAF74">
      <w:pPr>
        <w:autoSpaceDE w:val="0"/>
        <w:autoSpaceDN w:val="0"/>
        <w:adjustRightInd w:val="0"/>
        <w:spacing w:line="360" w:lineRule="auto"/>
        <w:ind w:firstLine="420"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）工程竣工结算时，</w:t>
      </w:r>
      <w:r>
        <w:rPr>
          <w:rFonts w:hint="eastAsia" w:hAnsi="宋体" w:cs="宋体"/>
          <w:color w:val="000000" w:themeColor="text1"/>
          <w:szCs w:val="21"/>
          <w:highlight w:val="none"/>
          <w14:textFill>
            <w14:solidFill>
              <w14:schemeClr w14:val="tx1"/>
            </w14:solidFill>
          </w14:textFill>
        </w:rPr>
        <w:t>承包人按最终审定结算金额的3%支付工程质量保修金，并开具合法有效的增值税专用发票后14个工作日内，工程款支付至最终审定结算金额的100%（含已支付的）</w:t>
      </w:r>
      <w:r>
        <w:rPr>
          <w:rFonts w:hint="eastAsia" w:hAnsi="宋体" w:cs="宋体"/>
          <w:color w:val="000000" w:themeColor="text1"/>
          <w:kern w:val="0"/>
          <w:szCs w:val="21"/>
          <w:highlight w:val="none"/>
          <w14:textFill>
            <w14:solidFill>
              <w14:schemeClr w14:val="tx1"/>
            </w14:solidFill>
          </w14:textFill>
        </w:rPr>
        <w:t>；</w:t>
      </w:r>
    </w:p>
    <w:p w14:paraId="16DA01F2">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）其他扣留方式：</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w:t>
      </w:r>
    </w:p>
    <w:p w14:paraId="44895CC8">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关于质量保证金的补充约定：</w:t>
      </w:r>
      <w:r>
        <w:rPr>
          <w:rFonts w:hint="eastAsia"/>
          <w:color w:val="000000" w:themeColor="text1"/>
          <w:kern w:val="0"/>
          <w:szCs w:val="21"/>
          <w:highlight w:val="none"/>
          <w:u w:val="single"/>
          <w14:textFill>
            <w14:solidFill>
              <w14:schemeClr w14:val="tx1"/>
            </w14:solidFill>
          </w14:textFill>
        </w:rPr>
        <w:t>无</w:t>
      </w:r>
      <w:r>
        <w:rPr>
          <w:rFonts w:hint="eastAsia" w:hAnsi="宋体" w:cs="宋体"/>
          <w:color w:val="000000" w:themeColor="text1"/>
          <w:kern w:val="0"/>
          <w:szCs w:val="21"/>
          <w:highlight w:val="none"/>
          <w14:textFill>
            <w14:solidFill>
              <w14:schemeClr w14:val="tx1"/>
            </w14:solidFill>
          </w14:textFill>
        </w:rPr>
        <w:t>。</w:t>
      </w:r>
    </w:p>
    <w:bookmarkEnd w:id="999"/>
    <w:bookmarkEnd w:id="1000"/>
    <w:p w14:paraId="64B94383">
      <w:pPr>
        <w:pStyle w:val="5"/>
        <w:ind w:firstLine="422" w:firstLineChars="200"/>
        <w:rPr>
          <w:rFonts w:ascii="宋体" w:hAnsi="宋体"/>
          <w:color w:val="000000" w:themeColor="text1"/>
          <w:sz w:val="21"/>
          <w:szCs w:val="21"/>
          <w:highlight w:val="none"/>
          <w14:textFill>
            <w14:solidFill>
              <w14:schemeClr w14:val="tx1"/>
            </w14:solidFill>
          </w14:textFill>
        </w:rPr>
      </w:pPr>
      <w:bookmarkStart w:id="1042" w:name="_Toc389065330"/>
      <w:bookmarkStart w:id="1043" w:name="_Toc373478412"/>
      <w:bookmarkStart w:id="1044" w:name="_Toc373227765"/>
      <w:bookmarkStart w:id="1045" w:name="_Toc78449854"/>
      <w:bookmarkStart w:id="1046" w:name="_Toc407135268"/>
      <w:bookmarkStart w:id="1047" w:name="_Toc114058905"/>
      <w:r>
        <w:rPr>
          <w:rFonts w:ascii="宋体" w:hAnsi="宋体"/>
          <w:color w:val="000000" w:themeColor="text1"/>
          <w:sz w:val="21"/>
          <w:szCs w:val="21"/>
          <w:highlight w:val="none"/>
          <w14:textFill>
            <w14:solidFill>
              <w14:schemeClr w14:val="tx1"/>
            </w14:solidFill>
          </w14:textFill>
        </w:rPr>
        <w:t>15.4</w:t>
      </w:r>
      <w:r>
        <w:rPr>
          <w:rFonts w:hint="eastAsia" w:ascii="宋体" w:hAnsi="宋体"/>
          <w:color w:val="000000" w:themeColor="text1"/>
          <w:sz w:val="21"/>
          <w:szCs w:val="21"/>
          <w:highlight w:val="none"/>
          <w14:textFill>
            <w14:solidFill>
              <w14:schemeClr w14:val="tx1"/>
            </w14:solidFill>
          </w14:textFill>
        </w:rPr>
        <w:t>保修</w:t>
      </w:r>
      <w:bookmarkEnd w:id="1042"/>
      <w:bookmarkEnd w:id="1043"/>
      <w:bookmarkEnd w:id="1044"/>
      <w:bookmarkEnd w:id="1045"/>
      <w:bookmarkEnd w:id="1046"/>
      <w:bookmarkEnd w:id="1047"/>
    </w:p>
    <w:bookmarkEnd w:id="1001"/>
    <w:p w14:paraId="325FF725">
      <w:pPr>
        <w:spacing w:line="360" w:lineRule="auto"/>
        <w:ind w:firstLine="420" w:firstLineChars="200"/>
        <w:jc w:val="left"/>
        <w:rPr>
          <w:rFonts w:hAnsi="宋体" w:cs="宋体"/>
          <w:color w:val="000000" w:themeColor="text1"/>
          <w:szCs w:val="21"/>
          <w:highlight w:val="none"/>
          <w14:textFill>
            <w14:solidFill>
              <w14:schemeClr w14:val="tx1"/>
            </w14:solidFill>
          </w14:textFill>
        </w:rPr>
      </w:pPr>
      <w:bookmarkStart w:id="1048" w:name="_Toc2519"/>
      <w:bookmarkStart w:id="1049" w:name="_Toc23778"/>
      <w:r>
        <w:rPr>
          <w:rFonts w:hAnsi="宋体" w:cs="宋体"/>
          <w:color w:val="000000" w:themeColor="text1"/>
          <w:szCs w:val="21"/>
          <w:highlight w:val="none"/>
          <w14:textFill>
            <w14:solidFill>
              <w14:schemeClr w14:val="tx1"/>
            </w14:solidFill>
          </w14:textFill>
        </w:rPr>
        <w:t>15.4.1</w:t>
      </w:r>
      <w:r>
        <w:rPr>
          <w:rFonts w:hint="eastAsia" w:hAnsi="宋体" w:cs="宋体"/>
          <w:color w:val="000000" w:themeColor="text1"/>
          <w:szCs w:val="21"/>
          <w:highlight w:val="none"/>
          <w14:textFill>
            <w14:solidFill>
              <w14:schemeClr w14:val="tx1"/>
            </w14:solidFill>
          </w14:textFill>
        </w:rPr>
        <w:t>保修责任</w:t>
      </w:r>
      <w:bookmarkEnd w:id="1048"/>
      <w:bookmarkEnd w:id="1049"/>
    </w:p>
    <w:p w14:paraId="26991844">
      <w:pPr>
        <w:spacing w:line="360" w:lineRule="auto"/>
        <w:ind w:firstLine="409" w:firstLineChars="195"/>
        <w:jc w:val="left"/>
        <w:rPr>
          <w:rFonts w:hAnsi="宋体"/>
          <w:color w:val="000000" w:themeColor="text1"/>
          <w:kern w:val="0"/>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工程保修期为：</w:t>
      </w:r>
      <w:r>
        <w:rPr>
          <w:rFonts w:hint="eastAsia"/>
          <w:color w:val="000000" w:themeColor="text1"/>
          <w:kern w:val="0"/>
          <w:szCs w:val="21"/>
          <w:highlight w:val="none"/>
          <w:u w:val="single"/>
          <w14:textFill>
            <w14:solidFill>
              <w14:schemeClr w14:val="tx1"/>
            </w14:solidFill>
          </w14:textFill>
        </w:rPr>
        <w:t>工程质量保修范围、期限和责任在工程质量保修书中约定</w:t>
      </w:r>
      <w:r>
        <w:rPr>
          <w:rFonts w:hint="eastAsia" w:hAnsi="宋体" w:cs="宋体"/>
          <w:color w:val="000000" w:themeColor="text1"/>
          <w:kern w:val="0"/>
          <w:szCs w:val="21"/>
          <w:highlight w:val="none"/>
          <w14:textFill>
            <w14:solidFill>
              <w14:schemeClr w14:val="tx1"/>
            </w14:solidFill>
          </w14:textFill>
        </w:rPr>
        <w:t>。</w:t>
      </w:r>
    </w:p>
    <w:p w14:paraId="5A44A9AA">
      <w:pPr>
        <w:spacing w:line="360" w:lineRule="auto"/>
        <w:ind w:firstLine="409" w:firstLineChars="195"/>
        <w:jc w:val="left"/>
        <w:rPr>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工程保修书具体内容见合同附件2。</w:t>
      </w:r>
    </w:p>
    <w:p w14:paraId="172DCB1B">
      <w:pPr>
        <w:spacing w:line="360" w:lineRule="auto"/>
        <w:ind w:firstLine="409" w:firstLineChars="195"/>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15.4.3</w:t>
      </w:r>
      <w:r>
        <w:rPr>
          <w:rFonts w:hint="eastAsia" w:hAnsi="宋体" w:cs="宋体"/>
          <w:color w:val="000000" w:themeColor="text1"/>
          <w:szCs w:val="21"/>
          <w:highlight w:val="none"/>
          <w14:textFill>
            <w14:solidFill>
              <w14:schemeClr w14:val="tx1"/>
            </w14:solidFill>
          </w14:textFill>
        </w:rPr>
        <w:t>修复通知</w:t>
      </w:r>
    </w:p>
    <w:p w14:paraId="52D5974F">
      <w:pPr>
        <w:spacing w:line="360" w:lineRule="auto"/>
        <w:ind w:firstLine="409" w:firstLineChars="195"/>
        <w:jc w:val="left"/>
        <w:rPr>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承包人收到保修通知并到达工程现场的合理时间：</w:t>
      </w:r>
      <w:r>
        <w:rPr>
          <w:rFonts w:hint="eastAsia"/>
          <w:color w:val="000000" w:themeColor="text1"/>
          <w:kern w:val="0"/>
          <w:szCs w:val="21"/>
          <w:highlight w:val="none"/>
          <w:u w:val="single"/>
          <w14:textFill>
            <w14:solidFill>
              <w14:schemeClr w14:val="tx1"/>
            </w14:solidFill>
          </w14:textFill>
        </w:rPr>
        <w:t>24小时</w:t>
      </w:r>
      <w:r>
        <w:rPr>
          <w:rFonts w:hint="eastAsia" w:hAnsi="宋体" w:cs="宋体"/>
          <w:color w:val="000000" w:themeColor="text1"/>
          <w:kern w:val="0"/>
          <w:szCs w:val="21"/>
          <w:highlight w:val="none"/>
          <w14:textFill>
            <w14:solidFill>
              <w14:schemeClr w14:val="tx1"/>
            </w14:solidFill>
          </w14:textFill>
        </w:rPr>
        <w:t>。</w:t>
      </w:r>
    </w:p>
    <w:bookmarkEnd w:id="1002"/>
    <w:bookmarkEnd w:id="1003"/>
    <w:bookmarkEnd w:id="1004"/>
    <w:bookmarkEnd w:id="1005"/>
    <w:p w14:paraId="671A9CFF">
      <w:pPr>
        <w:pStyle w:val="4"/>
        <w:jc w:val="left"/>
        <w:rPr>
          <w:rFonts w:ascii="宋体" w:hAnsi="宋体" w:eastAsia="宋体"/>
          <w:color w:val="000000" w:themeColor="text1"/>
          <w:sz w:val="28"/>
          <w:szCs w:val="28"/>
          <w:highlight w:val="none"/>
          <w14:textFill>
            <w14:solidFill>
              <w14:schemeClr w14:val="tx1"/>
            </w14:solidFill>
          </w14:textFill>
        </w:rPr>
      </w:pPr>
      <w:bookmarkStart w:id="1050" w:name="_Toc114058906"/>
      <w:bookmarkStart w:id="1051" w:name="_Toc373227766"/>
      <w:bookmarkStart w:id="1052" w:name="_Toc373478413"/>
      <w:bookmarkStart w:id="1053" w:name="_Toc351203648"/>
      <w:bookmarkStart w:id="1054" w:name="_Toc389065331"/>
      <w:bookmarkStart w:id="1055" w:name="_Toc13503"/>
      <w:bookmarkStart w:id="1056" w:name="_Toc78449855"/>
      <w:bookmarkStart w:id="1057" w:name="_Toc407135269"/>
      <w:bookmarkStart w:id="1058" w:name="_Toc280868717"/>
      <w:bookmarkStart w:id="1059" w:name="_Toc280868718"/>
      <w:r>
        <w:rPr>
          <w:rFonts w:ascii="宋体" w:hAnsi="宋体" w:eastAsia="宋体"/>
          <w:color w:val="000000" w:themeColor="text1"/>
          <w:sz w:val="28"/>
          <w:szCs w:val="28"/>
          <w:highlight w:val="none"/>
          <w14:textFill>
            <w14:solidFill>
              <w14:schemeClr w14:val="tx1"/>
            </w14:solidFill>
          </w14:textFill>
        </w:rPr>
        <w:t>16.</w:t>
      </w:r>
      <w:r>
        <w:rPr>
          <w:rFonts w:hint="eastAsia" w:ascii="宋体" w:hAnsi="宋体" w:eastAsia="宋体"/>
          <w:color w:val="000000" w:themeColor="text1"/>
          <w:sz w:val="28"/>
          <w:szCs w:val="28"/>
          <w:highlight w:val="none"/>
          <w14:textFill>
            <w14:solidFill>
              <w14:schemeClr w14:val="tx1"/>
            </w14:solidFill>
          </w14:textFill>
        </w:rPr>
        <w:t>违约</w:t>
      </w:r>
      <w:bookmarkEnd w:id="1050"/>
      <w:bookmarkEnd w:id="1051"/>
      <w:bookmarkEnd w:id="1052"/>
      <w:bookmarkEnd w:id="1053"/>
      <w:bookmarkEnd w:id="1054"/>
      <w:bookmarkEnd w:id="1055"/>
      <w:bookmarkEnd w:id="1056"/>
      <w:bookmarkEnd w:id="1057"/>
    </w:p>
    <w:p w14:paraId="0305C0AD">
      <w:pPr>
        <w:pStyle w:val="5"/>
        <w:ind w:firstLine="422" w:firstLineChars="200"/>
        <w:rPr>
          <w:rFonts w:ascii="宋体" w:hAnsi="宋体"/>
          <w:color w:val="000000" w:themeColor="text1"/>
          <w:sz w:val="21"/>
          <w:szCs w:val="21"/>
          <w:highlight w:val="none"/>
          <w14:textFill>
            <w14:solidFill>
              <w14:schemeClr w14:val="tx1"/>
            </w14:solidFill>
          </w14:textFill>
        </w:rPr>
      </w:pPr>
      <w:bookmarkStart w:id="1060" w:name="_Toc407135270"/>
      <w:bookmarkStart w:id="1061" w:name="_Toc389065332"/>
      <w:bookmarkStart w:id="1062" w:name="_Toc373227767"/>
      <w:bookmarkStart w:id="1063" w:name="_Toc373478414"/>
      <w:bookmarkStart w:id="1064" w:name="_Toc114058907"/>
      <w:bookmarkStart w:id="1065" w:name="_Toc78449856"/>
      <w:r>
        <w:rPr>
          <w:rFonts w:ascii="宋体" w:hAnsi="宋体"/>
          <w:color w:val="000000" w:themeColor="text1"/>
          <w:sz w:val="21"/>
          <w:szCs w:val="21"/>
          <w:highlight w:val="none"/>
          <w14:textFill>
            <w14:solidFill>
              <w14:schemeClr w14:val="tx1"/>
            </w14:solidFill>
          </w14:textFill>
        </w:rPr>
        <w:t>16.1</w:t>
      </w:r>
      <w:r>
        <w:rPr>
          <w:rFonts w:hint="eastAsia" w:ascii="宋体" w:hAnsi="宋体"/>
          <w:color w:val="000000" w:themeColor="text1"/>
          <w:sz w:val="21"/>
          <w:szCs w:val="21"/>
          <w:highlight w:val="none"/>
          <w14:textFill>
            <w14:solidFill>
              <w14:schemeClr w14:val="tx1"/>
            </w14:solidFill>
          </w14:textFill>
        </w:rPr>
        <w:t>发包人违约</w:t>
      </w:r>
      <w:bookmarkEnd w:id="1060"/>
      <w:bookmarkEnd w:id="1061"/>
      <w:bookmarkEnd w:id="1062"/>
      <w:bookmarkEnd w:id="1063"/>
      <w:bookmarkEnd w:id="1064"/>
      <w:bookmarkEnd w:id="1065"/>
    </w:p>
    <w:p w14:paraId="0EBD5EC1">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16.1.1</w:t>
      </w:r>
      <w:r>
        <w:rPr>
          <w:rFonts w:hAnsi="宋体"/>
          <w:color w:val="000000" w:themeColor="text1"/>
          <w:szCs w:val="21"/>
          <w:highlight w:val="none"/>
          <w14:textFill>
            <w14:solidFill>
              <w14:schemeClr w14:val="tx1"/>
            </w14:solidFill>
          </w14:textFill>
        </w:rPr>
        <w:t>发包人违约的情形</w:t>
      </w:r>
    </w:p>
    <w:p w14:paraId="11E8C48C">
      <w:pPr>
        <w:spacing w:line="360" w:lineRule="auto"/>
        <w:ind w:firstLine="420" w:firstLineChars="200"/>
        <w:jc w:val="left"/>
        <w:rPr>
          <w:rFonts w:hAnsi="宋体"/>
          <w:color w:val="000000" w:themeColor="text1"/>
          <w:kern w:val="0"/>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发包人违约的其他情形：</w:t>
      </w:r>
      <w:r>
        <w:rPr>
          <w:rFonts w:hint="eastAsia" w:ascii="宋体" w:hAnsi="宋体"/>
          <w:color w:val="000000" w:themeColor="text1"/>
          <w:kern w:val="0"/>
          <w:highlight w:val="none"/>
          <w:u w:val="single"/>
          <w14:textFill>
            <w14:solidFill>
              <w14:schemeClr w14:val="tx1"/>
            </w14:solidFill>
          </w14:textFill>
        </w:rPr>
        <w:t>（1）未按国家相关规定取得项目所需批文和许可，导致承包人进场施工后被迫暂停施工；（2）未能按合同约定支付工程款；（3）自行实施被取消的工作或转由他人实施的；（4）提供的材料、工程设备的规格、数量或质量不符合合同约定，或因交货日期延误或交货地点变更等情况的；（5）违反合同约定（如迟延支付工程款等）造成暂停施工的；（6）无正当理由没有在约定期限内发出复工指示；（7）明确表示或者以其行为表明不履行合同主要义务的；（8）未能按照合同约定履行其他义务的</w:t>
      </w:r>
      <w:r>
        <w:rPr>
          <w:rFonts w:hint="eastAsia" w:ascii="宋体" w:hAnsi="宋体"/>
          <w:color w:val="000000" w:themeColor="text1"/>
          <w:kern w:val="0"/>
          <w:highlight w:val="none"/>
          <w14:textFill>
            <w14:solidFill>
              <w14:schemeClr w14:val="tx1"/>
            </w14:solidFill>
          </w14:textFill>
        </w:rPr>
        <w:t>。</w:t>
      </w:r>
    </w:p>
    <w:p w14:paraId="29C8DC58">
      <w:pPr>
        <w:spacing w:line="360" w:lineRule="auto"/>
        <w:ind w:firstLine="420" w:firstLineChars="200"/>
        <w:jc w:val="left"/>
        <w:rPr>
          <w:rFonts w:hAnsi="宋体" w:cs="宋体"/>
          <w:color w:val="000000" w:themeColor="text1"/>
          <w:szCs w:val="21"/>
          <w:highlight w:val="none"/>
          <w14:textFill>
            <w14:solidFill>
              <w14:schemeClr w14:val="tx1"/>
            </w14:solidFill>
          </w14:textFill>
        </w:rPr>
      </w:pPr>
      <w:bookmarkStart w:id="1066" w:name="_Toc21224"/>
      <w:bookmarkStart w:id="1067" w:name="_Toc6430"/>
      <w:r>
        <w:rPr>
          <w:rFonts w:hAnsi="宋体" w:cs="宋体"/>
          <w:color w:val="000000" w:themeColor="text1"/>
          <w:szCs w:val="21"/>
          <w:highlight w:val="none"/>
          <w14:textFill>
            <w14:solidFill>
              <w14:schemeClr w14:val="tx1"/>
            </w14:solidFill>
          </w14:textFill>
        </w:rPr>
        <w:t>16.1.2发包人违约的责任</w:t>
      </w:r>
      <w:bookmarkEnd w:id="1066"/>
      <w:bookmarkEnd w:id="1067"/>
    </w:p>
    <w:p w14:paraId="19B9D943">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发包人违约责任的承担方式和计算方法：</w:t>
      </w:r>
    </w:p>
    <w:p w14:paraId="09D0A926">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）因发包人原因未能在计划开工日期前</w:t>
      </w:r>
      <w:r>
        <w:rPr>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天内下达开工通知的违约责任：</w:t>
      </w:r>
      <w:r>
        <w:rPr>
          <w:rFonts w:hint="eastAsia"/>
          <w:color w:val="000000" w:themeColor="text1"/>
          <w:kern w:val="0"/>
          <w:szCs w:val="21"/>
          <w:highlight w:val="none"/>
          <w:u w:val="single"/>
          <w14:textFill>
            <w14:solidFill>
              <w14:schemeClr w14:val="tx1"/>
            </w14:solidFill>
          </w14:textFill>
        </w:rPr>
        <w:t>工期</w:t>
      </w:r>
      <w:r>
        <w:rPr>
          <w:color w:val="000000" w:themeColor="text1"/>
          <w:kern w:val="0"/>
          <w:szCs w:val="21"/>
          <w:highlight w:val="none"/>
          <w:u w:val="single"/>
          <w14:textFill>
            <w14:solidFill>
              <w14:schemeClr w14:val="tx1"/>
            </w14:solidFill>
          </w14:textFill>
        </w:rPr>
        <w:t>顺延</w:t>
      </w:r>
      <w:r>
        <w:rPr>
          <w:rFonts w:hAnsi="宋体"/>
          <w:color w:val="000000" w:themeColor="text1"/>
          <w:kern w:val="0"/>
          <w:szCs w:val="21"/>
          <w:highlight w:val="none"/>
          <w14:textFill>
            <w14:solidFill>
              <w14:schemeClr w14:val="tx1"/>
            </w14:solidFill>
          </w14:textFill>
        </w:rPr>
        <w:t>。</w:t>
      </w:r>
    </w:p>
    <w:p w14:paraId="24F5C70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）因发包人原因未能按合同约定支付合同价款的违约责任：</w:t>
      </w:r>
      <w:r>
        <w:rPr>
          <w:rFonts w:hint="eastAsia" w:ascii="宋体" w:hAnsi="宋体"/>
          <w:b/>
          <w:bCs/>
          <w:color w:val="000000" w:themeColor="text1"/>
          <w:kern w:val="0"/>
          <w:szCs w:val="21"/>
          <w:highlight w:val="none"/>
          <w:u w:val="single"/>
          <w14:textFill>
            <w14:solidFill>
              <w14:schemeClr w14:val="tx1"/>
            </w14:solidFill>
          </w14:textFill>
        </w:rPr>
        <w:t>无</w:t>
      </w:r>
      <w:r>
        <w:rPr>
          <w:rFonts w:hint="eastAsia" w:ascii="宋体" w:hAnsi="宋体"/>
          <w:color w:val="000000" w:themeColor="text1"/>
          <w:kern w:val="0"/>
          <w:szCs w:val="21"/>
          <w:highlight w:val="none"/>
          <w14:textFill>
            <w14:solidFill>
              <w14:schemeClr w14:val="tx1"/>
            </w14:solidFill>
          </w14:textFill>
        </w:rPr>
        <w:t>。</w:t>
      </w:r>
    </w:p>
    <w:p w14:paraId="03E26365">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）发包人违反第</w:t>
      </w:r>
      <w:r>
        <w:rPr>
          <w:color w:val="000000" w:themeColor="text1"/>
          <w:kern w:val="0"/>
          <w:szCs w:val="21"/>
          <w:highlight w:val="none"/>
          <w14:textFill>
            <w14:solidFill>
              <w14:schemeClr w14:val="tx1"/>
            </w14:solidFill>
          </w14:textFill>
        </w:rPr>
        <w:t>10.1</w:t>
      </w:r>
      <w:r>
        <w:rPr>
          <w:rFonts w:hAnsi="宋体"/>
          <w:color w:val="000000" w:themeColor="text1"/>
          <w:kern w:val="0"/>
          <w:szCs w:val="21"/>
          <w:highlight w:val="none"/>
          <w14:textFill>
            <w14:solidFill>
              <w14:schemeClr w14:val="tx1"/>
            </w14:solidFill>
          </w14:textFill>
        </w:rPr>
        <w:t>款〔变更的范围〕第（</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）项约定，自行实施被取消的工作或转由他人实施的违约责任：</w:t>
      </w:r>
      <w:r>
        <w:rPr>
          <w:rFonts w:hint="eastAsia"/>
          <w:color w:val="000000" w:themeColor="text1"/>
          <w:kern w:val="0"/>
          <w:szCs w:val="21"/>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p w14:paraId="1F0BBE1C">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4</w:t>
      </w:r>
      <w:r>
        <w:rPr>
          <w:rFonts w:hAnsi="宋体"/>
          <w:color w:val="000000" w:themeColor="text1"/>
          <w:kern w:val="0"/>
          <w:szCs w:val="21"/>
          <w:highlight w:val="none"/>
          <w14:textFill>
            <w14:solidFill>
              <w14:schemeClr w14:val="tx1"/>
            </w14:solidFill>
          </w14:textFill>
        </w:rPr>
        <w:t>）发包人提供的材料、工程设备的规格、数量或质量不符合合同约定，或因发包人原因导致交货日期延误或交货地点变更等情况的违约责任：</w:t>
      </w:r>
      <w:r>
        <w:rPr>
          <w:rFonts w:hint="eastAsia"/>
          <w:color w:val="000000" w:themeColor="text1"/>
          <w:kern w:val="0"/>
          <w:szCs w:val="21"/>
          <w:highlight w:val="none"/>
          <w:u w:val="single"/>
          <w14:textFill>
            <w14:solidFill>
              <w14:schemeClr w14:val="tx1"/>
            </w14:solidFill>
          </w14:textFill>
        </w:rPr>
        <w:t>承包人可以提出工期索赔</w:t>
      </w:r>
      <w:r>
        <w:rPr>
          <w:rFonts w:hAnsi="宋体"/>
          <w:color w:val="000000" w:themeColor="text1"/>
          <w:kern w:val="0"/>
          <w:szCs w:val="21"/>
          <w:highlight w:val="none"/>
          <w14:textFill>
            <w14:solidFill>
              <w14:schemeClr w14:val="tx1"/>
            </w14:solidFill>
          </w14:textFill>
        </w:rPr>
        <w:t>。</w:t>
      </w:r>
    </w:p>
    <w:p w14:paraId="2088F64A">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5</w:t>
      </w:r>
      <w:r>
        <w:rPr>
          <w:rFonts w:hAnsi="宋体"/>
          <w:color w:val="000000" w:themeColor="text1"/>
          <w:kern w:val="0"/>
          <w:szCs w:val="21"/>
          <w:highlight w:val="none"/>
          <w14:textFill>
            <w14:solidFill>
              <w14:schemeClr w14:val="tx1"/>
            </w14:solidFill>
          </w14:textFill>
        </w:rPr>
        <w:t>）因发包人违反合同约定造成暂停施工的违约责任：</w:t>
      </w:r>
      <w:r>
        <w:rPr>
          <w:rFonts w:hint="eastAsia"/>
          <w:color w:val="000000" w:themeColor="text1"/>
          <w:kern w:val="0"/>
          <w:szCs w:val="21"/>
          <w:highlight w:val="none"/>
          <w:u w:val="single"/>
          <w14:textFill>
            <w14:solidFill>
              <w14:schemeClr w14:val="tx1"/>
            </w14:solidFill>
          </w14:textFill>
        </w:rPr>
        <w:t>承包人可以提出工期索赔</w:t>
      </w:r>
      <w:r>
        <w:rPr>
          <w:rFonts w:hAnsi="宋体"/>
          <w:color w:val="000000" w:themeColor="text1"/>
          <w:kern w:val="0"/>
          <w:szCs w:val="21"/>
          <w:highlight w:val="none"/>
          <w14:textFill>
            <w14:solidFill>
              <w14:schemeClr w14:val="tx1"/>
            </w14:solidFill>
          </w14:textFill>
        </w:rPr>
        <w:t>。</w:t>
      </w:r>
    </w:p>
    <w:p w14:paraId="415D3E9D">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）发包人无正当理由没有在约定期限内发出复工指示，导致承包人无法复工的违约责任：</w:t>
      </w:r>
      <w:r>
        <w:rPr>
          <w:rFonts w:hint="eastAsia"/>
          <w:color w:val="000000" w:themeColor="text1"/>
          <w:kern w:val="0"/>
          <w:szCs w:val="21"/>
          <w:highlight w:val="none"/>
          <w:u w:val="single"/>
          <w14:textFill>
            <w14:solidFill>
              <w14:schemeClr w14:val="tx1"/>
            </w14:solidFill>
          </w14:textFill>
        </w:rPr>
        <w:t>承包人可以提出工期索赔</w:t>
      </w:r>
      <w:r>
        <w:rPr>
          <w:rFonts w:hAnsi="宋体"/>
          <w:color w:val="000000" w:themeColor="text1"/>
          <w:kern w:val="0"/>
          <w:szCs w:val="21"/>
          <w:highlight w:val="none"/>
          <w14:textFill>
            <w14:solidFill>
              <w14:schemeClr w14:val="tx1"/>
            </w14:solidFill>
          </w14:textFill>
        </w:rPr>
        <w:t>。</w:t>
      </w:r>
    </w:p>
    <w:p w14:paraId="3137DCAF">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）其他：</w:t>
      </w:r>
      <w:r>
        <w:rPr>
          <w:rFonts w:hint="eastAsia" w:ascii="宋体" w:hAnsi="宋体"/>
          <w:color w:val="000000" w:themeColor="text1"/>
          <w:kern w:val="0"/>
          <w:highlight w:val="none"/>
          <w:u w:val="single"/>
          <w:lang w:val="en-US" w:eastAsia="zh-CN"/>
          <w14:textFill>
            <w14:solidFill>
              <w14:schemeClr w14:val="tx1"/>
            </w14:solidFill>
          </w14:textFill>
        </w:rPr>
        <w:t>无</w:t>
      </w:r>
      <w:r>
        <w:rPr>
          <w:rFonts w:hint="eastAsia" w:ascii="宋体" w:hAnsi="宋体"/>
          <w:color w:val="000000" w:themeColor="text1"/>
          <w:kern w:val="0"/>
          <w:highlight w:val="none"/>
          <w14:textFill>
            <w14:solidFill>
              <w14:schemeClr w14:val="tx1"/>
            </w14:solidFill>
          </w14:textFill>
        </w:rPr>
        <w:t>。</w:t>
      </w:r>
    </w:p>
    <w:p w14:paraId="471A02A3">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16.1.3</w:t>
      </w:r>
      <w:r>
        <w:rPr>
          <w:rFonts w:hAnsi="宋体"/>
          <w:color w:val="000000" w:themeColor="text1"/>
          <w:szCs w:val="21"/>
          <w:highlight w:val="none"/>
          <w14:textFill>
            <w14:solidFill>
              <w14:schemeClr w14:val="tx1"/>
            </w14:solidFill>
          </w14:textFill>
        </w:rPr>
        <w:t>因发包人违约解除合同</w:t>
      </w:r>
    </w:p>
    <w:p w14:paraId="4BE3F19E">
      <w:pPr>
        <w:autoSpaceDE w:val="0"/>
        <w:autoSpaceDN w:val="0"/>
        <w:adjustRightInd w:val="0"/>
        <w:spacing w:line="360" w:lineRule="auto"/>
        <w:ind w:firstLine="420" w:firstLineChars="200"/>
        <w:jc w:val="left"/>
        <w:rPr>
          <w:color w:val="000000" w:themeColor="text1"/>
          <w:kern w:val="0"/>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承包人按</w:t>
      </w:r>
      <w:r>
        <w:rPr>
          <w:color w:val="000000" w:themeColor="text1"/>
          <w:kern w:val="0"/>
          <w:szCs w:val="21"/>
          <w:highlight w:val="none"/>
          <w14:textFill>
            <w14:solidFill>
              <w14:schemeClr w14:val="tx1"/>
            </w14:solidFill>
          </w14:textFill>
        </w:rPr>
        <w:t>16.1.1</w:t>
      </w:r>
      <w:r>
        <w:rPr>
          <w:rFonts w:hAnsi="宋体"/>
          <w:color w:val="000000" w:themeColor="text1"/>
          <w:kern w:val="0"/>
          <w:szCs w:val="21"/>
          <w:highlight w:val="none"/>
          <w14:textFill>
            <w14:solidFill>
              <w14:schemeClr w14:val="tx1"/>
            </w14:solidFill>
          </w14:textFill>
        </w:rPr>
        <w:t>项〔发包人违约的情形〕约定暂停施工满</w:t>
      </w:r>
      <w:r>
        <w:rPr>
          <w:rFonts w:hint="eastAsia"/>
          <w:color w:val="000000" w:themeColor="text1"/>
          <w:kern w:val="0"/>
          <w:szCs w:val="21"/>
          <w:highlight w:val="none"/>
          <w:u w:val="single"/>
          <w14:textFill>
            <w14:solidFill>
              <w14:schemeClr w14:val="tx1"/>
            </w14:solidFill>
          </w14:textFill>
        </w:rPr>
        <w:t>60</w:t>
      </w:r>
      <w:r>
        <w:rPr>
          <w:rFonts w:hAnsi="宋体"/>
          <w:color w:val="000000" w:themeColor="text1"/>
          <w:kern w:val="0"/>
          <w:szCs w:val="21"/>
          <w:highlight w:val="none"/>
          <w14:textFill>
            <w14:solidFill>
              <w14:schemeClr w14:val="tx1"/>
            </w14:solidFill>
          </w14:textFill>
        </w:rPr>
        <w:t>天后发包人仍不纠正其违约行为并致使合同目的不能实现的，承包人有权解除合同</w:t>
      </w:r>
    </w:p>
    <w:p w14:paraId="02B92267">
      <w:pPr>
        <w:pStyle w:val="5"/>
        <w:ind w:firstLine="422" w:firstLineChars="200"/>
        <w:rPr>
          <w:rFonts w:ascii="宋体" w:hAnsi="宋体"/>
          <w:color w:val="000000" w:themeColor="text1"/>
          <w:sz w:val="21"/>
          <w:szCs w:val="21"/>
          <w:highlight w:val="none"/>
          <w14:textFill>
            <w14:solidFill>
              <w14:schemeClr w14:val="tx1"/>
            </w14:solidFill>
          </w14:textFill>
        </w:rPr>
      </w:pPr>
      <w:bookmarkStart w:id="1068" w:name="_Toc78449857"/>
      <w:bookmarkStart w:id="1069" w:name="_Toc114058908"/>
      <w:bookmarkStart w:id="1070" w:name="_Toc373227768"/>
      <w:bookmarkStart w:id="1071" w:name="_Toc407135271"/>
      <w:bookmarkStart w:id="1072" w:name="_Toc389065333"/>
      <w:bookmarkStart w:id="1073" w:name="_Toc373478415"/>
      <w:r>
        <w:rPr>
          <w:rFonts w:ascii="宋体" w:hAnsi="宋体"/>
          <w:color w:val="000000" w:themeColor="text1"/>
          <w:sz w:val="21"/>
          <w:szCs w:val="21"/>
          <w:highlight w:val="none"/>
          <w14:textFill>
            <w14:solidFill>
              <w14:schemeClr w14:val="tx1"/>
            </w14:solidFill>
          </w14:textFill>
        </w:rPr>
        <w:t>16.2</w:t>
      </w:r>
      <w:r>
        <w:rPr>
          <w:rFonts w:hint="eastAsia" w:ascii="宋体" w:hAnsi="宋体"/>
          <w:color w:val="000000" w:themeColor="text1"/>
          <w:sz w:val="21"/>
          <w:szCs w:val="21"/>
          <w:highlight w:val="none"/>
          <w14:textFill>
            <w14:solidFill>
              <w14:schemeClr w14:val="tx1"/>
            </w14:solidFill>
          </w14:textFill>
        </w:rPr>
        <w:t>承包人违约</w:t>
      </w:r>
      <w:bookmarkEnd w:id="1068"/>
      <w:bookmarkEnd w:id="1069"/>
      <w:bookmarkEnd w:id="1070"/>
      <w:bookmarkEnd w:id="1071"/>
      <w:bookmarkEnd w:id="1072"/>
      <w:bookmarkEnd w:id="1073"/>
    </w:p>
    <w:p w14:paraId="13698164">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16.2.1</w:t>
      </w:r>
      <w:r>
        <w:rPr>
          <w:rFonts w:hAnsi="宋体"/>
          <w:color w:val="000000" w:themeColor="text1"/>
          <w:kern w:val="0"/>
          <w:szCs w:val="21"/>
          <w:highlight w:val="none"/>
          <w14:textFill>
            <w14:solidFill>
              <w14:schemeClr w14:val="tx1"/>
            </w14:solidFill>
          </w14:textFill>
        </w:rPr>
        <w:t>承包人违约的情形</w:t>
      </w:r>
    </w:p>
    <w:p w14:paraId="5195A71B">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承包人违约的其他情形：</w:t>
      </w:r>
      <w:r>
        <w:rPr>
          <w:rFonts w:hint="eastAsia" w:ascii="宋体" w:hAnsi="宋体"/>
          <w:color w:val="000000" w:themeColor="text1"/>
          <w:kern w:val="0"/>
          <w:szCs w:val="21"/>
          <w:highlight w:val="none"/>
          <w:u w:val="single"/>
          <w14:textFill>
            <w14:solidFill>
              <w14:schemeClr w14:val="tx1"/>
            </w14:solidFill>
          </w14:textFill>
        </w:rPr>
        <w:t>承包人有违反《南宁市建设工程造价管理办法》</w:t>
      </w:r>
      <w:r>
        <w:rPr>
          <w:rFonts w:hint="eastAsia" w:ascii="宋体" w:hAnsi="宋体"/>
          <w:b/>
          <w:bCs/>
          <w:color w:val="000000" w:themeColor="text1"/>
          <w:kern w:val="0"/>
          <w:szCs w:val="21"/>
          <w:highlight w:val="none"/>
          <w:u w:val="single"/>
          <w14:textFill>
            <w14:solidFill>
              <w14:schemeClr w14:val="tx1"/>
            </w14:solidFill>
          </w14:textFill>
        </w:rPr>
        <w:t>（南宁市人民政府令2007年第5号）</w:t>
      </w:r>
      <w:r>
        <w:rPr>
          <w:rFonts w:hint="eastAsia" w:ascii="宋体" w:hAnsi="宋体"/>
          <w:color w:val="000000" w:themeColor="text1"/>
          <w:kern w:val="0"/>
          <w:szCs w:val="21"/>
          <w:highlight w:val="none"/>
          <w:u w:val="single"/>
          <w14:textFill>
            <w14:solidFill>
              <w14:schemeClr w14:val="tx1"/>
            </w14:solidFill>
          </w14:textFill>
        </w:rPr>
        <w:t>规定的，按规定给予处罚</w:t>
      </w:r>
      <w:r>
        <w:rPr>
          <w:rFonts w:hAnsi="宋体"/>
          <w:color w:val="000000" w:themeColor="text1"/>
          <w:kern w:val="0"/>
          <w:szCs w:val="21"/>
          <w:highlight w:val="none"/>
          <w14:textFill>
            <w14:solidFill>
              <w14:schemeClr w14:val="tx1"/>
            </w14:solidFill>
          </w14:textFill>
        </w:rPr>
        <w:t>。</w:t>
      </w:r>
    </w:p>
    <w:p w14:paraId="7538961D">
      <w:pPr>
        <w:spacing w:line="360" w:lineRule="auto"/>
        <w:ind w:firstLine="420" w:firstLineChars="200"/>
        <w:jc w:val="left"/>
        <w:rPr>
          <w:rFonts w:hAnsi="宋体" w:cs="宋体"/>
          <w:color w:val="000000" w:themeColor="text1"/>
          <w:szCs w:val="21"/>
          <w:highlight w:val="none"/>
          <w14:textFill>
            <w14:solidFill>
              <w14:schemeClr w14:val="tx1"/>
            </w14:solidFill>
          </w14:textFill>
        </w:rPr>
      </w:pPr>
      <w:bookmarkStart w:id="1074" w:name="_Toc3869"/>
      <w:bookmarkStart w:id="1075" w:name="_Toc22874"/>
      <w:r>
        <w:rPr>
          <w:rFonts w:hAnsi="宋体" w:cs="宋体"/>
          <w:color w:val="000000" w:themeColor="text1"/>
          <w:szCs w:val="21"/>
          <w:highlight w:val="none"/>
          <w14:textFill>
            <w14:solidFill>
              <w14:schemeClr w14:val="tx1"/>
            </w14:solidFill>
          </w14:textFill>
        </w:rPr>
        <w:t>16.2.2承包人违约的责任</w:t>
      </w:r>
      <w:bookmarkEnd w:id="1074"/>
      <w:bookmarkEnd w:id="1075"/>
    </w:p>
    <w:p w14:paraId="16E3D88A">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承包人违约责任的承担方式和计算方法：</w:t>
      </w:r>
    </w:p>
    <w:p w14:paraId="3DF6DF4E">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）承包人未按本合同通用条款第</w:t>
      </w:r>
      <w:r>
        <w:rPr>
          <w:color w:val="000000" w:themeColor="text1"/>
          <w:kern w:val="0"/>
          <w:szCs w:val="21"/>
          <w:highlight w:val="none"/>
          <w14:textFill>
            <w14:solidFill>
              <w14:schemeClr w14:val="tx1"/>
            </w14:solidFill>
          </w14:textFill>
        </w:rPr>
        <w:t>16.2.1</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）条内容完成的，承包人无条件返工处理，修复至工程质量要求并承担相关费用，并在发包人规定的时间内完成返工，否则发包人有权扣罚该分项工程</w:t>
      </w:r>
      <w:r>
        <w:rPr>
          <w:color w:val="000000" w:themeColor="text1"/>
          <w:kern w:val="0"/>
          <w:szCs w:val="21"/>
          <w:highlight w:val="none"/>
          <w14:textFill>
            <w14:solidFill>
              <w14:schemeClr w14:val="tx1"/>
            </w14:solidFill>
          </w14:textFill>
        </w:rPr>
        <w:t>10%</w:t>
      </w:r>
      <w:r>
        <w:rPr>
          <w:rFonts w:hAnsi="宋体"/>
          <w:color w:val="000000" w:themeColor="text1"/>
          <w:kern w:val="0"/>
          <w:szCs w:val="21"/>
          <w:highlight w:val="none"/>
          <w14:textFill>
            <w14:solidFill>
              <w14:schemeClr w14:val="tx1"/>
            </w14:solidFill>
          </w14:textFill>
        </w:rPr>
        <w:t>的工程款作为处罚。</w:t>
      </w:r>
    </w:p>
    <w:p w14:paraId="42E17D84">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）承包人有本合同通用条款第</w:t>
      </w:r>
      <w:r>
        <w:rPr>
          <w:color w:val="000000" w:themeColor="text1"/>
          <w:kern w:val="0"/>
          <w:szCs w:val="21"/>
          <w:highlight w:val="none"/>
          <w14:textFill>
            <w14:solidFill>
              <w14:schemeClr w14:val="tx1"/>
            </w14:solidFill>
          </w14:textFill>
        </w:rPr>
        <w:t>16.2.1</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）条情形的，或经监理人检验认为修复质量不合格而承包人拒绝再进行修补的，发包人将扣除承包人全部质量保修金。</w:t>
      </w:r>
    </w:p>
    <w:p w14:paraId="5F99040C">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）承包人有本专用合同条款</w:t>
      </w:r>
      <w:r>
        <w:rPr>
          <w:color w:val="000000" w:themeColor="text1"/>
          <w:kern w:val="0"/>
          <w:szCs w:val="21"/>
          <w:highlight w:val="none"/>
          <w14:textFill>
            <w14:solidFill>
              <w14:schemeClr w14:val="tx1"/>
            </w14:solidFill>
          </w14:textFill>
        </w:rPr>
        <w:t>3.2</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3.3</w:t>
      </w:r>
      <w:r>
        <w:rPr>
          <w:rFonts w:hAnsi="宋体"/>
          <w:color w:val="000000" w:themeColor="text1"/>
          <w:kern w:val="0"/>
          <w:szCs w:val="21"/>
          <w:highlight w:val="none"/>
          <w14:textFill>
            <w14:solidFill>
              <w14:schemeClr w14:val="tx1"/>
            </w14:solidFill>
          </w14:textFill>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承包人在合同期内，完成合同规定的全部工程，且质量合格，在本工程施工竣工验收后十五天内可申请返还全部或部分罚款，返还金额由监理人审核，发包人批准。罚款金额返还时不包括银行利息。</w:t>
      </w:r>
    </w:p>
    <w:p w14:paraId="0C3D2B10">
      <w:pPr>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承包人应协助发包人办理该项目施工许可证，按南宁市质监部门有关安全文明现场施工的规定完成文明施工设施建设并通过质监部门验收，同时按发包人要求及时提供报监相关资料。因承包人未按发包人的要求按时完成文明施工设施建设并通过质监部门验收或未按发包人要求的时间提供报监相关资料而影响施工许可证的办理，视为承包人违约，每延误一日按5000元人民币向发包人支付违约金。</w:t>
      </w:r>
    </w:p>
    <w:p w14:paraId="21A9AB1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（5）承包人必须协助业主办理行政退费手续，如因承包人提供退费资料不全等原因导致业主退费不成功，该笔费用将从工程结算款中予以扣除。</w:t>
      </w:r>
    </w:p>
    <w:p w14:paraId="0515D752">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16.2.3</w:t>
      </w:r>
      <w:r>
        <w:rPr>
          <w:rFonts w:hAnsi="宋体"/>
          <w:color w:val="000000" w:themeColor="text1"/>
          <w:szCs w:val="21"/>
          <w:highlight w:val="none"/>
          <w14:textFill>
            <w14:solidFill>
              <w14:schemeClr w14:val="tx1"/>
            </w14:solidFill>
          </w14:textFill>
        </w:rPr>
        <w:t>因承包人违约解除合同</w:t>
      </w:r>
    </w:p>
    <w:p w14:paraId="314970A0">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关于承包人违约解除合同的特别约定：</w:t>
      </w:r>
      <w:r>
        <w:rPr>
          <w:rFonts w:hAnsi="宋体"/>
          <w:color w:val="000000" w:themeColor="text1"/>
          <w:kern w:val="0"/>
          <w:szCs w:val="21"/>
          <w:highlight w:val="none"/>
          <w:u w:val="single"/>
          <w14:textFill>
            <w14:solidFill>
              <w14:schemeClr w14:val="tx1"/>
            </w14:solidFill>
          </w14:textFill>
        </w:rPr>
        <w:t>承包人有违反以下情况之一的，发包人有权解除合同，并没收其全部履约保证金</w:t>
      </w:r>
      <w:r>
        <w:rPr>
          <w:rFonts w:hAnsi="宋体"/>
          <w:color w:val="000000" w:themeColor="text1"/>
          <w:kern w:val="0"/>
          <w:szCs w:val="21"/>
          <w:highlight w:val="none"/>
          <w14:textFill>
            <w14:solidFill>
              <w14:schemeClr w14:val="tx1"/>
            </w14:solidFill>
          </w14:textFill>
        </w:rPr>
        <w:t>。。</w:t>
      </w:r>
    </w:p>
    <w:p w14:paraId="2EFE815C">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r>
        <w:rPr>
          <w:rFonts w:hint="eastAsia" w:ascii="宋体" w:hAnsi="宋体"/>
          <w:b/>
          <w:bCs/>
          <w:color w:val="000000" w:themeColor="text1"/>
          <w:highlight w:val="none"/>
          <w14:textFill>
            <w14:solidFill>
              <w14:schemeClr w14:val="tx1"/>
            </w14:solidFill>
          </w14:textFill>
        </w:rPr>
        <w:t>因承包人的原因，造成施工许可证办理期限延误超过一个月、</w:t>
      </w:r>
      <w:r>
        <w:rPr>
          <w:rFonts w:hAnsi="宋体"/>
          <w:color w:val="000000" w:themeColor="text1"/>
          <w:kern w:val="0"/>
          <w:szCs w:val="21"/>
          <w:highlight w:val="none"/>
          <w14:textFill>
            <w14:solidFill>
              <w14:schemeClr w14:val="tx1"/>
            </w14:solidFill>
          </w14:textFill>
        </w:rPr>
        <w:t>承包人无正当理由不按开工通知的要求及时进场组织施工</w:t>
      </w:r>
      <w:r>
        <w:rPr>
          <w:rFonts w:hint="eastAsia" w:ascii="宋体" w:hAnsi="宋体"/>
          <w:b/>
          <w:bCs/>
          <w:color w:val="000000" w:themeColor="text1"/>
          <w:highlight w:val="none"/>
          <w14:textFill>
            <w14:solidFill>
              <w14:schemeClr w14:val="tx1"/>
            </w14:solidFill>
          </w14:textFill>
        </w:rPr>
        <w:t>超过一个月</w:t>
      </w:r>
      <w:r>
        <w:rPr>
          <w:rFonts w:hAnsi="宋体"/>
          <w:color w:val="000000" w:themeColor="text1"/>
          <w:kern w:val="0"/>
          <w:szCs w:val="21"/>
          <w:highlight w:val="none"/>
          <w14:textFill>
            <w14:solidFill>
              <w14:schemeClr w14:val="tx1"/>
            </w14:solidFill>
          </w14:textFill>
        </w:rPr>
        <w:t>和不按签订协议书时商</w:t>
      </w:r>
      <w:r>
        <w:rPr>
          <w:rFonts w:hint="eastAsia" w:hAnsi="宋体"/>
          <w:color w:val="000000" w:themeColor="text1"/>
          <w:kern w:val="0"/>
          <w:szCs w:val="21"/>
          <w:highlight w:val="none"/>
          <w14:textFill>
            <w14:solidFill>
              <w14:schemeClr w14:val="tx1"/>
            </w14:solidFill>
          </w14:textFill>
        </w:rPr>
        <w:t>定</w:t>
      </w:r>
      <w:r>
        <w:rPr>
          <w:rFonts w:hAnsi="宋体"/>
          <w:color w:val="000000" w:themeColor="text1"/>
          <w:kern w:val="0"/>
          <w:szCs w:val="21"/>
          <w:highlight w:val="none"/>
          <w14:textFill>
            <w14:solidFill>
              <w14:schemeClr w14:val="tx1"/>
            </w14:solidFill>
          </w14:textFill>
        </w:rPr>
        <w:t>的进度计划有效地开展施工准备，造成工期延误的；</w:t>
      </w:r>
    </w:p>
    <w:p w14:paraId="74B5782A">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承包人违反本合同通用条款第</w:t>
      </w:r>
      <w:r>
        <w:rPr>
          <w:color w:val="000000" w:themeColor="text1"/>
          <w:kern w:val="0"/>
          <w:szCs w:val="21"/>
          <w:highlight w:val="none"/>
          <w14:textFill>
            <w14:solidFill>
              <w14:schemeClr w14:val="tx1"/>
            </w14:solidFill>
          </w14:textFill>
        </w:rPr>
        <w:t>3.5</w:t>
      </w:r>
      <w:r>
        <w:rPr>
          <w:rFonts w:hAnsi="宋体"/>
          <w:color w:val="000000" w:themeColor="text1"/>
          <w:kern w:val="0"/>
          <w:szCs w:val="21"/>
          <w:highlight w:val="none"/>
          <w14:textFill>
            <w14:solidFill>
              <w14:schemeClr w14:val="tx1"/>
            </w14:solidFill>
          </w14:textFill>
        </w:rPr>
        <w:t>条规定私自将合同或合同的任何部分或任何权利转让给其他人，或私自将工程或工程的一部分分包出去的；</w:t>
      </w:r>
    </w:p>
    <w:p w14:paraId="70CFE9FA">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未经监理人批准，承包人私自将已按投标文件承诺进入工地的工程设备、施工设备、临时工程或材料撤离工地的；</w:t>
      </w:r>
    </w:p>
    <w:p w14:paraId="73500C6F">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（4）</w:t>
      </w:r>
      <w:r>
        <w:rPr>
          <w:rFonts w:hAnsi="宋体"/>
          <w:color w:val="000000" w:themeColor="text1"/>
          <w:kern w:val="0"/>
          <w:szCs w:val="21"/>
          <w:highlight w:val="none"/>
          <w14:textFill>
            <w14:solidFill>
              <w14:schemeClr w14:val="tx1"/>
            </w14:solidFill>
          </w14:textFill>
        </w:rPr>
        <w:t>由于承包人原因拒绝按合同进度计划及时完成合同规定的工程，而又未采取有效措施赶上进度，造成工期</w:t>
      </w:r>
      <w:r>
        <w:rPr>
          <w:rFonts w:hint="eastAsia" w:hAnsi="宋体"/>
          <w:color w:val="000000" w:themeColor="text1"/>
          <w:kern w:val="0"/>
          <w:szCs w:val="21"/>
          <w:highlight w:val="none"/>
          <w14:textFill>
            <w14:solidFill>
              <w14:schemeClr w14:val="tx1"/>
            </w14:solidFill>
          </w14:textFill>
        </w:rPr>
        <w:t>严重</w:t>
      </w:r>
      <w:r>
        <w:rPr>
          <w:rFonts w:hAnsi="宋体"/>
          <w:color w:val="000000" w:themeColor="text1"/>
          <w:kern w:val="0"/>
          <w:szCs w:val="21"/>
          <w:highlight w:val="none"/>
          <w14:textFill>
            <w14:solidFill>
              <w14:schemeClr w14:val="tx1"/>
            </w14:solidFill>
          </w14:textFill>
        </w:rPr>
        <w:t>延误的；</w:t>
      </w:r>
    </w:p>
    <w:p w14:paraId="60F9FED3">
      <w:pPr>
        <w:spacing w:line="360" w:lineRule="auto"/>
        <w:ind w:firstLine="420" w:firstLineChars="200"/>
        <w:rPr>
          <w:rFonts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（5）</w:t>
      </w:r>
      <w:r>
        <w:rPr>
          <w:rFonts w:hAnsi="宋体"/>
          <w:color w:val="000000" w:themeColor="text1"/>
          <w:kern w:val="0"/>
          <w:szCs w:val="21"/>
          <w:highlight w:val="none"/>
          <w14:textFill>
            <w14:solidFill>
              <w14:schemeClr w14:val="tx1"/>
            </w14:solidFill>
          </w14:textFill>
        </w:rPr>
        <w:t>承包人否认合同有效或拒绝履行合同规定的承包人义务，或由于法律、财务等原因导致承包人无法继续履行或</w:t>
      </w:r>
      <w:r>
        <w:rPr>
          <w:rFonts w:hint="eastAsia" w:ascii="宋体" w:hAnsi="宋体"/>
          <w:b/>
          <w:bCs/>
          <w:color w:val="000000" w:themeColor="text1"/>
          <w:kern w:val="0"/>
          <w:highlight w:val="none"/>
          <w14:textFill>
            <w14:solidFill>
              <w14:schemeClr w14:val="tx1"/>
            </w14:solidFill>
          </w14:textFill>
        </w:rPr>
        <w:t>事实全面已停</w:t>
      </w:r>
      <w:r>
        <w:rPr>
          <w:rFonts w:hint="eastAsia" w:ascii="宋体" w:hAnsi="宋体"/>
          <w:color w:val="000000" w:themeColor="text1"/>
          <w:highlight w:val="none"/>
          <w14:textFill>
            <w14:solidFill>
              <w14:schemeClr w14:val="tx1"/>
            </w14:solidFill>
          </w14:textFill>
        </w:rPr>
        <w:t>工连续超过一个月</w:t>
      </w:r>
      <w:r>
        <w:rPr>
          <w:rFonts w:hint="eastAsia" w:ascii="宋体" w:hAnsi="宋体"/>
          <w:b/>
          <w:bCs/>
          <w:color w:val="000000" w:themeColor="text1"/>
          <w:kern w:val="0"/>
          <w:highlight w:val="none"/>
          <w14:textFill>
            <w14:solidFill>
              <w14:schemeClr w14:val="tx1"/>
            </w14:solidFill>
          </w14:textFill>
        </w:rPr>
        <w:t>的</w:t>
      </w:r>
      <w:r>
        <w:rPr>
          <w:rFonts w:hint="eastAsia" w:hAnsi="宋体" w:cs="宋体"/>
          <w:color w:val="000000" w:themeColor="text1"/>
          <w:kern w:val="0"/>
          <w:highlight w:val="none"/>
          <w14:textFill>
            <w14:solidFill>
              <w14:schemeClr w14:val="tx1"/>
            </w14:solidFill>
          </w14:textFill>
        </w:rPr>
        <w:t>或</w:t>
      </w:r>
      <w:r>
        <w:rPr>
          <w:rFonts w:hAnsi="宋体"/>
          <w:color w:val="000000" w:themeColor="text1"/>
          <w:kern w:val="0"/>
          <w:szCs w:val="21"/>
          <w:highlight w:val="none"/>
          <w14:textFill>
            <w14:solidFill>
              <w14:schemeClr w14:val="tx1"/>
            </w14:solidFill>
          </w14:textFill>
        </w:rPr>
        <w:t>实质上已停止履行合同的义务的；</w:t>
      </w:r>
    </w:p>
    <w:p w14:paraId="71B1D245">
      <w:pPr>
        <w:spacing w:line="360" w:lineRule="auto"/>
        <w:ind w:firstLine="420" w:firstLineChars="200"/>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（6）</w:t>
      </w:r>
      <w:r>
        <w:rPr>
          <w:rFonts w:hint="eastAsia" w:hAnsi="宋体" w:cs="宋体"/>
          <w:color w:val="000000" w:themeColor="text1"/>
          <w:kern w:val="0"/>
          <w:highlight w:val="none"/>
          <w14:textFill>
            <w14:solidFill>
              <w14:schemeClr w14:val="tx1"/>
            </w14:solidFill>
          </w14:textFill>
        </w:rPr>
        <w:t>合同签订</w:t>
      </w:r>
      <w:r>
        <w:rPr>
          <w:rFonts w:hint="eastAsia" w:ascii="仿宋_GB2312" w:hAnsi="宋体" w:cs="宋体"/>
          <w:color w:val="000000" w:themeColor="text1"/>
          <w:highlight w:val="none"/>
          <w14:textFill>
            <w14:solidFill>
              <w14:schemeClr w14:val="tx1"/>
            </w14:solidFill>
          </w14:textFill>
        </w:rPr>
        <w:t>且具备法定开工条件后</w:t>
      </w:r>
      <w:r>
        <w:rPr>
          <w:rFonts w:hint="eastAsia" w:hAnsi="宋体" w:cs="宋体"/>
          <w:color w:val="000000" w:themeColor="text1"/>
          <w:kern w:val="0"/>
          <w:highlight w:val="none"/>
          <w14:textFill>
            <w14:solidFill>
              <w14:schemeClr w14:val="tx1"/>
            </w14:solidFill>
          </w14:textFill>
        </w:rPr>
        <w:t>之日起十五日内，承包人无法按合同规定及投标文件的承诺进场经监理工程师认可的该</w:t>
      </w:r>
      <w:r>
        <w:rPr>
          <w:rFonts w:hAnsi="宋体" w:cs="宋体"/>
          <w:color w:val="000000" w:themeColor="text1"/>
          <w:kern w:val="0"/>
          <w:highlight w:val="none"/>
          <w14:textFill>
            <w14:solidFill>
              <w14:schemeClr w14:val="tx1"/>
            </w14:solidFill>
          </w14:textFill>
        </w:rPr>
        <w:t>施工</w:t>
      </w:r>
      <w:r>
        <w:rPr>
          <w:rFonts w:hint="eastAsia" w:hAnsi="宋体" w:cs="宋体"/>
          <w:color w:val="000000" w:themeColor="text1"/>
          <w:kern w:val="0"/>
          <w:highlight w:val="none"/>
          <w14:textFill>
            <w14:solidFill>
              <w14:schemeClr w14:val="tx1"/>
            </w14:solidFill>
          </w14:textFill>
        </w:rPr>
        <w:t>阶段</w:t>
      </w:r>
      <w:r>
        <w:rPr>
          <w:rFonts w:hAnsi="宋体" w:cs="宋体"/>
          <w:color w:val="000000" w:themeColor="text1"/>
          <w:kern w:val="0"/>
          <w:highlight w:val="none"/>
          <w14:textFill>
            <w14:solidFill>
              <w14:schemeClr w14:val="tx1"/>
            </w14:solidFill>
          </w14:textFill>
        </w:rPr>
        <w:t>应有的</w:t>
      </w:r>
      <w:r>
        <w:rPr>
          <w:rFonts w:hint="eastAsia" w:hAnsi="宋体" w:cs="宋体"/>
          <w:color w:val="000000" w:themeColor="text1"/>
          <w:kern w:val="0"/>
          <w:highlight w:val="none"/>
          <w14:textFill>
            <w14:solidFill>
              <w14:schemeClr w14:val="tx1"/>
            </w14:solidFill>
          </w14:textFill>
        </w:rPr>
        <w:t>全部人员和机械的。</w:t>
      </w:r>
      <w:r>
        <w:rPr>
          <w:rFonts w:hint="eastAsia"/>
          <w:color w:val="000000" w:themeColor="text1"/>
          <w:szCs w:val="21"/>
          <w:highlight w:val="none"/>
          <w14:textFill>
            <w14:solidFill>
              <w14:schemeClr w14:val="tx1"/>
            </w14:solidFill>
          </w14:textFill>
        </w:rPr>
        <w:t>承包人应按发包人解除合同的通知支付合同总价的5%的违约金给发包人，造成发包人经济损失的，承包人还应赔偿全部损失。</w:t>
      </w:r>
    </w:p>
    <w:p w14:paraId="4DDC974E">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kern w:val="0"/>
          <w:szCs w:val="21"/>
          <w:highlight w:val="none"/>
          <w14:textFill>
            <w14:solidFill>
              <w14:schemeClr w14:val="tx1"/>
            </w14:solidFill>
          </w14:textFill>
        </w:rPr>
        <w:t>（7）</w:t>
      </w:r>
      <w:r>
        <w:rPr>
          <w:rFonts w:hint="eastAsia" w:ascii="宋体" w:hAnsi="宋体"/>
          <w:b/>
          <w:bCs/>
          <w:color w:val="000000" w:themeColor="text1"/>
          <w:szCs w:val="21"/>
          <w:highlight w:val="none"/>
          <w14:textFill>
            <w14:solidFill>
              <w14:schemeClr w14:val="tx1"/>
            </w14:solidFill>
          </w14:textFill>
        </w:rPr>
        <w:t>承包人报监备案的项目经理、项目副经理、技术负责人、施工员、造价员、质量员、材料员、安全员等主要管理人员实际施工现场不到位人数超过50%的。</w:t>
      </w:r>
    </w:p>
    <w:p w14:paraId="22A55717">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color w:val="000000" w:themeColor="text1"/>
          <w:kern w:val="0"/>
          <w:szCs w:val="21"/>
          <w:highlight w:val="none"/>
          <w:u w:val="single"/>
          <w14:textFill>
            <w14:solidFill>
              <w14:schemeClr w14:val="tx1"/>
            </w14:solidFill>
          </w14:textFill>
        </w:rPr>
        <w:t>如有，另行协商</w:t>
      </w:r>
      <w:r>
        <w:rPr>
          <w:rFonts w:hAnsi="宋体"/>
          <w:color w:val="000000" w:themeColor="text1"/>
          <w:kern w:val="0"/>
          <w:szCs w:val="21"/>
          <w:highlight w:val="none"/>
          <w14:textFill>
            <w14:solidFill>
              <w14:schemeClr w14:val="tx1"/>
            </w14:solidFill>
          </w14:textFill>
        </w:rPr>
        <w:t>。</w:t>
      </w:r>
    </w:p>
    <w:p w14:paraId="3C0AD95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收到发包人解除合同通知后10天内，将所有人员和机械设备和其他财产撤离施工现场，负责按照通用条款本项约定的要求对施工场地进行清理并承担相关费用。承包人的人员逾期撤除施工场地的，按每人每天500元支付违约金给发包人</w:t>
      </w: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机械设备和其他财产逾期撤离施工现场的，视为承包人放弃所有权，任由发包人处置，处置所得收益归发包人所有。</w:t>
      </w:r>
    </w:p>
    <w:p w14:paraId="074072C4">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承包人应按合同总价款的5%支付违约金给发包人，已完成单项工程且经验收合格的工程按造价的</w:t>
      </w:r>
      <w:r>
        <w:rPr>
          <w:rFonts w:hint="eastAsia"/>
          <w:color w:val="000000" w:themeColor="text1"/>
          <w:szCs w:val="21"/>
          <w:highlight w:val="none"/>
          <w14:textFill>
            <w14:solidFill>
              <w14:schemeClr w14:val="tx1"/>
            </w14:solidFill>
          </w14:textFill>
        </w:rPr>
        <w:t>80%</w:t>
      </w:r>
      <w:r>
        <w:rPr>
          <w:rFonts w:hint="eastAsia" w:ascii="宋体" w:hAnsi="宋体"/>
          <w:color w:val="000000" w:themeColor="text1"/>
          <w:szCs w:val="21"/>
          <w:highlight w:val="none"/>
          <w14:textFill>
            <w14:solidFill>
              <w14:schemeClr w14:val="tx1"/>
            </w14:solidFill>
          </w14:textFill>
        </w:rPr>
        <w:t>结付工程款，未完成的单项工程或虽已完成单项工程但验收不合格的工程不结付工程款。</w:t>
      </w:r>
    </w:p>
    <w:p w14:paraId="4E7F775C">
      <w:pPr>
        <w:pStyle w:val="4"/>
        <w:jc w:val="left"/>
        <w:rPr>
          <w:rFonts w:ascii="宋体" w:hAnsi="宋体" w:eastAsia="宋体"/>
          <w:color w:val="000000" w:themeColor="text1"/>
          <w:sz w:val="28"/>
          <w:szCs w:val="28"/>
          <w:highlight w:val="none"/>
          <w14:textFill>
            <w14:solidFill>
              <w14:schemeClr w14:val="tx1"/>
            </w14:solidFill>
          </w14:textFill>
        </w:rPr>
      </w:pPr>
      <w:bookmarkStart w:id="1076" w:name="_Toc373478416"/>
      <w:bookmarkStart w:id="1077" w:name="_Toc78449858"/>
      <w:bookmarkStart w:id="1078" w:name="_Toc389065334"/>
      <w:bookmarkStart w:id="1079" w:name="_Toc114058909"/>
      <w:bookmarkStart w:id="1080" w:name="_Toc407135272"/>
      <w:bookmarkStart w:id="1081" w:name="_Toc10907"/>
      <w:bookmarkStart w:id="1082" w:name="_Toc351203649"/>
      <w:bookmarkStart w:id="1083" w:name="_Toc373227769"/>
      <w:r>
        <w:rPr>
          <w:rFonts w:ascii="宋体" w:hAnsi="宋体" w:eastAsia="宋体"/>
          <w:color w:val="000000" w:themeColor="text1"/>
          <w:sz w:val="28"/>
          <w:szCs w:val="28"/>
          <w:highlight w:val="none"/>
          <w14:textFill>
            <w14:solidFill>
              <w14:schemeClr w14:val="tx1"/>
            </w14:solidFill>
          </w14:textFill>
        </w:rPr>
        <w:t>17.</w:t>
      </w:r>
      <w:r>
        <w:rPr>
          <w:rFonts w:hint="eastAsia" w:ascii="宋体" w:hAnsi="宋体" w:eastAsia="宋体"/>
          <w:color w:val="000000" w:themeColor="text1"/>
          <w:sz w:val="28"/>
          <w:szCs w:val="28"/>
          <w:highlight w:val="none"/>
          <w14:textFill>
            <w14:solidFill>
              <w14:schemeClr w14:val="tx1"/>
            </w14:solidFill>
          </w14:textFill>
        </w:rPr>
        <w:t>不可抗力</w:t>
      </w:r>
      <w:bookmarkEnd w:id="1058"/>
      <w:bookmarkEnd w:id="1076"/>
      <w:bookmarkEnd w:id="1077"/>
      <w:bookmarkEnd w:id="1078"/>
      <w:bookmarkEnd w:id="1079"/>
      <w:bookmarkEnd w:id="1080"/>
      <w:bookmarkEnd w:id="1081"/>
      <w:bookmarkEnd w:id="1082"/>
      <w:bookmarkEnd w:id="1083"/>
    </w:p>
    <w:p w14:paraId="0B12DA12">
      <w:pPr>
        <w:pStyle w:val="5"/>
        <w:ind w:firstLine="422" w:firstLineChars="200"/>
        <w:rPr>
          <w:rFonts w:ascii="宋体" w:hAnsi="宋体"/>
          <w:color w:val="000000" w:themeColor="text1"/>
          <w:sz w:val="21"/>
          <w:szCs w:val="21"/>
          <w:highlight w:val="none"/>
          <w14:textFill>
            <w14:solidFill>
              <w14:schemeClr w14:val="tx1"/>
            </w14:solidFill>
          </w14:textFill>
        </w:rPr>
      </w:pPr>
      <w:bookmarkStart w:id="1084" w:name="_Toc373227770"/>
      <w:bookmarkStart w:id="1085" w:name="_Toc78449859"/>
      <w:bookmarkStart w:id="1086" w:name="_Toc373478417"/>
      <w:bookmarkStart w:id="1087" w:name="_Toc114058910"/>
      <w:bookmarkStart w:id="1088" w:name="_Toc407135273"/>
      <w:bookmarkStart w:id="1089" w:name="_Toc389065335"/>
      <w:r>
        <w:rPr>
          <w:rFonts w:ascii="宋体" w:hAnsi="宋体"/>
          <w:color w:val="000000" w:themeColor="text1"/>
          <w:sz w:val="21"/>
          <w:szCs w:val="21"/>
          <w:highlight w:val="none"/>
          <w14:textFill>
            <w14:solidFill>
              <w14:schemeClr w14:val="tx1"/>
            </w14:solidFill>
          </w14:textFill>
        </w:rPr>
        <w:t>17.1</w:t>
      </w:r>
      <w:r>
        <w:rPr>
          <w:rFonts w:hint="eastAsia" w:ascii="宋体" w:hAnsi="宋体"/>
          <w:color w:val="000000" w:themeColor="text1"/>
          <w:sz w:val="21"/>
          <w:szCs w:val="21"/>
          <w:highlight w:val="none"/>
          <w14:textFill>
            <w14:solidFill>
              <w14:schemeClr w14:val="tx1"/>
            </w14:solidFill>
          </w14:textFill>
        </w:rPr>
        <w:t>不可抗力的确认</w:t>
      </w:r>
      <w:bookmarkEnd w:id="1084"/>
      <w:bookmarkEnd w:id="1085"/>
      <w:bookmarkEnd w:id="1086"/>
      <w:bookmarkEnd w:id="1087"/>
      <w:bookmarkEnd w:id="1088"/>
      <w:bookmarkEnd w:id="1089"/>
    </w:p>
    <w:p w14:paraId="6D448940">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除通用合同条款约定的不可抗力事件之外，视为不可抗力的其他情形：</w:t>
      </w:r>
      <w:r>
        <w:rPr>
          <w:rFonts w:hint="eastAsia"/>
          <w:color w:val="000000" w:themeColor="text1"/>
          <w:kern w:val="0"/>
          <w:szCs w:val="21"/>
          <w:highlight w:val="none"/>
          <w:u w:val="single"/>
          <w14:textFill>
            <w14:solidFill>
              <w14:schemeClr w14:val="tx1"/>
            </w14:solidFill>
          </w14:textFill>
        </w:rPr>
        <w:t>（1）6级以上的地震；（2）10级以上的持续3日的大风；（3）暴雨级以上的持续3日的大雨；（4）50年以上未发生过，持续3日的高温天气；（5）50年以上未发生过，持续3日的严寒天气；（6）50年以上未发生过的洪水</w:t>
      </w:r>
      <w:r>
        <w:rPr>
          <w:rFonts w:hAnsi="宋体"/>
          <w:color w:val="000000" w:themeColor="text1"/>
          <w:kern w:val="0"/>
          <w:szCs w:val="21"/>
          <w:highlight w:val="none"/>
          <w:u w:val="single"/>
          <w14:textFill>
            <w14:solidFill>
              <w14:schemeClr w14:val="tx1"/>
            </w14:solidFill>
          </w14:textFill>
        </w:rPr>
        <w:t>。</w:t>
      </w:r>
      <w:r>
        <w:rPr>
          <w:rFonts w:hint="eastAsia" w:ascii="宋体" w:hAnsi="宋体"/>
          <w:color w:val="000000" w:themeColor="text1"/>
          <w:kern w:val="0"/>
          <w:szCs w:val="21"/>
          <w:highlight w:val="none"/>
          <w:u w:val="single"/>
          <w14:textFill>
            <w14:solidFill>
              <w14:schemeClr w14:val="tx1"/>
            </w14:solidFill>
          </w14:textFill>
        </w:rPr>
        <w:t>自然原因发生的火灾；其它不可抗力原因</w:t>
      </w:r>
      <w:r>
        <w:rPr>
          <w:rFonts w:hint="eastAsia" w:hAnsi="宋体" w:cs="宋体"/>
          <w:color w:val="000000" w:themeColor="text1"/>
          <w:kern w:val="0"/>
          <w:szCs w:val="21"/>
          <w:highlight w:val="none"/>
          <w14:textFill>
            <w14:solidFill>
              <w14:schemeClr w14:val="tx1"/>
            </w14:solidFill>
          </w14:textFill>
        </w:rPr>
        <w:t>。</w:t>
      </w:r>
    </w:p>
    <w:p w14:paraId="79525C99">
      <w:pPr>
        <w:pStyle w:val="5"/>
        <w:ind w:firstLine="422" w:firstLineChars="200"/>
        <w:rPr>
          <w:rFonts w:ascii="宋体" w:hAnsi="宋体"/>
          <w:color w:val="000000" w:themeColor="text1"/>
          <w:sz w:val="21"/>
          <w:szCs w:val="21"/>
          <w:highlight w:val="none"/>
          <w14:textFill>
            <w14:solidFill>
              <w14:schemeClr w14:val="tx1"/>
            </w14:solidFill>
          </w14:textFill>
        </w:rPr>
      </w:pPr>
      <w:bookmarkStart w:id="1090" w:name="_Toc78449860"/>
      <w:bookmarkStart w:id="1091" w:name="_Toc407135274"/>
      <w:bookmarkStart w:id="1092" w:name="_Toc389065336"/>
      <w:bookmarkStart w:id="1093" w:name="_Toc114058911"/>
      <w:bookmarkStart w:id="1094" w:name="_Toc373478418"/>
      <w:bookmarkStart w:id="1095" w:name="_Toc373227771"/>
      <w:r>
        <w:rPr>
          <w:rFonts w:ascii="宋体" w:hAnsi="宋体"/>
          <w:color w:val="000000" w:themeColor="text1"/>
          <w:sz w:val="21"/>
          <w:szCs w:val="21"/>
          <w:highlight w:val="none"/>
          <w14:textFill>
            <w14:solidFill>
              <w14:schemeClr w14:val="tx1"/>
            </w14:solidFill>
          </w14:textFill>
        </w:rPr>
        <w:t>17.4</w:t>
      </w:r>
      <w:r>
        <w:rPr>
          <w:rFonts w:hint="eastAsia" w:ascii="宋体" w:hAnsi="宋体"/>
          <w:color w:val="000000" w:themeColor="text1"/>
          <w:sz w:val="21"/>
          <w:szCs w:val="21"/>
          <w:highlight w:val="none"/>
          <w14:textFill>
            <w14:solidFill>
              <w14:schemeClr w14:val="tx1"/>
            </w14:solidFill>
          </w14:textFill>
        </w:rPr>
        <w:t>因不可抗力解除合同</w:t>
      </w:r>
      <w:bookmarkEnd w:id="1090"/>
      <w:bookmarkEnd w:id="1091"/>
      <w:bookmarkEnd w:id="1092"/>
      <w:bookmarkEnd w:id="1093"/>
      <w:bookmarkEnd w:id="1094"/>
      <w:bookmarkEnd w:id="1095"/>
    </w:p>
    <w:p w14:paraId="67B75FA0">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合同解除后，发包人应在商定或确定发包人应支付款项后</w:t>
      </w:r>
      <w:r>
        <w:rPr>
          <w:rFonts w:hint="eastAsia"/>
          <w:color w:val="000000" w:themeColor="text1"/>
          <w:szCs w:val="21"/>
          <w:highlight w:val="none"/>
          <w:u w:val="single"/>
          <w14:textFill>
            <w14:solidFill>
              <w14:schemeClr w14:val="tx1"/>
            </w14:solidFill>
          </w14:textFill>
        </w:rPr>
        <w:t>56</w:t>
      </w:r>
      <w:r>
        <w:rPr>
          <w:rFonts w:hint="eastAsia" w:hAnsi="宋体" w:cs="宋体"/>
          <w:color w:val="000000" w:themeColor="text1"/>
          <w:szCs w:val="21"/>
          <w:highlight w:val="none"/>
          <w14:textFill>
            <w14:solidFill>
              <w14:schemeClr w14:val="tx1"/>
            </w14:solidFill>
          </w14:textFill>
        </w:rPr>
        <w:t>天内完成款项的支付。</w:t>
      </w:r>
    </w:p>
    <w:p w14:paraId="00DC7BAF">
      <w:pPr>
        <w:pStyle w:val="4"/>
        <w:jc w:val="left"/>
        <w:rPr>
          <w:rFonts w:ascii="宋体" w:hAnsi="宋体" w:eastAsia="宋体"/>
          <w:color w:val="000000" w:themeColor="text1"/>
          <w:sz w:val="28"/>
          <w:szCs w:val="28"/>
          <w:highlight w:val="none"/>
          <w14:textFill>
            <w14:solidFill>
              <w14:schemeClr w14:val="tx1"/>
            </w14:solidFill>
          </w14:textFill>
        </w:rPr>
      </w:pPr>
      <w:bookmarkStart w:id="1096" w:name="_Toc78449861"/>
      <w:bookmarkStart w:id="1097" w:name="_Toc114058912"/>
      <w:bookmarkStart w:id="1098" w:name="_Toc407135275"/>
      <w:bookmarkStart w:id="1099" w:name="_Toc389065337"/>
      <w:bookmarkStart w:id="1100" w:name="_Toc373478419"/>
      <w:bookmarkStart w:id="1101" w:name="_Toc14638"/>
      <w:bookmarkStart w:id="1102" w:name="_Toc373227772"/>
      <w:bookmarkStart w:id="1103" w:name="_Toc351203650"/>
      <w:r>
        <w:rPr>
          <w:rFonts w:ascii="宋体" w:hAnsi="宋体" w:eastAsia="宋体"/>
          <w:color w:val="000000" w:themeColor="text1"/>
          <w:sz w:val="28"/>
          <w:szCs w:val="28"/>
          <w:highlight w:val="none"/>
          <w14:textFill>
            <w14:solidFill>
              <w14:schemeClr w14:val="tx1"/>
            </w14:solidFill>
          </w14:textFill>
        </w:rPr>
        <w:t>18.</w:t>
      </w:r>
      <w:r>
        <w:rPr>
          <w:rFonts w:hint="eastAsia" w:ascii="宋体" w:hAnsi="宋体" w:eastAsia="宋体"/>
          <w:color w:val="000000" w:themeColor="text1"/>
          <w:sz w:val="28"/>
          <w:szCs w:val="28"/>
          <w:highlight w:val="none"/>
          <w14:textFill>
            <w14:solidFill>
              <w14:schemeClr w14:val="tx1"/>
            </w14:solidFill>
          </w14:textFill>
        </w:rPr>
        <w:t>保险</w:t>
      </w:r>
      <w:bookmarkEnd w:id="1096"/>
      <w:bookmarkEnd w:id="1097"/>
      <w:bookmarkEnd w:id="1098"/>
      <w:bookmarkEnd w:id="1099"/>
      <w:bookmarkEnd w:id="1100"/>
      <w:bookmarkEnd w:id="1101"/>
      <w:bookmarkEnd w:id="1102"/>
      <w:bookmarkEnd w:id="1103"/>
    </w:p>
    <w:bookmarkEnd w:id="1059"/>
    <w:p w14:paraId="25819409">
      <w:pPr>
        <w:pStyle w:val="5"/>
        <w:ind w:firstLine="422" w:firstLineChars="200"/>
        <w:rPr>
          <w:rFonts w:ascii="宋体" w:hAnsi="宋体"/>
          <w:color w:val="000000" w:themeColor="text1"/>
          <w:sz w:val="21"/>
          <w:szCs w:val="21"/>
          <w:highlight w:val="none"/>
          <w14:textFill>
            <w14:solidFill>
              <w14:schemeClr w14:val="tx1"/>
            </w14:solidFill>
          </w14:textFill>
        </w:rPr>
      </w:pPr>
      <w:bookmarkStart w:id="1104" w:name="_Toc389065338"/>
      <w:bookmarkStart w:id="1105" w:name="_Toc407135276"/>
      <w:bookmarkStart w:id="1106" w:name="_Toc114058913"/>
      <w:bookmarkStart w:id="1107" w:name="_Toc373478420"/>
      <w:bookmarkStart w:id="1108" w:name="_Toc78449862"/>
      <w:bookmarkStart w:id="1109" w:name="_Toc373227773"/>
      <w:r>
        <w:rPr>
          <w:rFonts w:ascii="宋体" w:hAnsi="宋体"/>
          <w:color w:val="000000" w:themeColor="text1"/>
          <w:sz w:val="21"/>
          <w:szCs w:val="21"/>
          <w:highlight w:val="none"/>
          <w14:textFill>
            <w14:solidFill>
              <w14:schemeClr w14:val="tx1"/>
            </w14:solidFill>
          </w14:textFill>
        </w:rPr>
        <w:t>18.1</w:t>
      </w:r>
      <w:r>
        <w:rPr>
          <w:rFonts w:hint="eastAsia" w:ascii="宋体" w:hAnsi="宋体"/>
          <w:color w:val="000000" w:themeColor="text1"/>
          <w:sz w:val="21"/>
          <w:szCs w:val="21"/>
          <w:highlight w:val="none"/>
          <w14:textFill>
            <w14:solidFill>
              <w14:schemeClr w14:val="tx1"/>
            </w14:solidFill>
          </w14:textFill>
        </w:rPr>
        <w:t>工程保险</w:t>
      </w:r>
      <w:bookmarkEnd w:id="1104"/>
      <w:bookmarkEnd w:id="1105"/>
      <w:bookmarkEnd w:id="1106"/>
      <w:bookmarkEnd w:id="1107"/>
      <w:bookmarkEnd w:id="1108"/>
      <w:bookmarkEnd w:id="1109"/>
    </w:p>
    <w:p w14:paraId="7718DE3B">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关于工程保险的特别约定：</w:t>
      </w:r>
      <w:r>
        <w:rPr>
          <w:rFonts w:hint="eastAsia" w:hAnsi="宋体"/>
          <w:bCs/>
          <w:color w:val="000000" w:themeColor="text1"/>
          <w:szCs w:val="21"/>
          <w:highlight w:val="none"/>
          <w:u w:val="single"/>
          <w14:textFill>
            <w14:solidFill>
              <w14:schemeClr w14:val="tx1"/>
            </w14:solidFill>
          </w14:textFill>
        </w:rPr>
        <w:t>发包人可根据需要投保工程质量保险；对已投保的工程项目，承包人应积极配合保险公司开展相关工作</w:t>
      </w:r>
      <w:r>
        <w:rPr>
          <w:rFonts w:hint="eastAsia" w:hAnsi="宋体" w:cs="宋体"/>
          <w:color w:val="000000" w:themeColor="text1"/>
          <w:kern w:val="0"/>
          <w:szCs w:val="21"/>
          <w:highlight w:val="none"/>
          <w14:textFill>
            <w14:solidFill>
              <w14:schemeClr w14:val="tx1"/>
            </w14:solidFill>
          </w14:textFill>
        </w:rPr>
        <w:t>。</w:t>
      </w:r>
    </w:p>
    <w:p w14:paraId="10127549">
      <w:pPr>
        <w:pStyle w:val="5"/>
        <w:ind w:firstLine="422" w:firstLineChars="200"/>
        <w:rPr>
          <w:rFonts w:ascii="宋体" w:hAnsi="宋体"/>
          <w:color w:val="000000" w:themeColor="text1"/>
          <w:sz w:val="21"/>
          <w:szCs w:val="21"/>
          <w:highlight w:val="none"/>
          <w14:textFill>
            <w14:solidFill>
              <w14:schemeClr w14:val="tx1"/>
            </w14:solidFill>
          </w14:textFill>
        </w:rPr>
      </w:pPr>
      <w:bookmarkStart w:id="1110" w:name="_Toc78449863"/>
      <w:bookmarkStart w:id="1111" w:name="_Toc389065339"/>
      <w:bookmarkStart w:id="1112" w:name="_Toc373478421"/>
      <w:bookmarkStart w:id="1113" w:name="_Toc373227774"/>
      <w:bookmarkStart w:id="1114" w:name="_Toc407135277"/>
      <w:bookmarkStart w:id="1115" w:name="_Toc114058914"/>
      <w:r>
        <w:rPr>
          <w:rFonts w:ascii="宋体" w:hAnsi="宋体"/>
          <w:color w:val="000000" w:themeColor="text1"/>
          <w:sz w:val="21"/>
          <w:szCs w:val="21"/>
          <w:highlight w:val="none"/>
          <w14:textFill>
            <w14:solidFill>
              <w14:schemeClr w14:val="tx1"/>
            </w14:solidFill>
          </w14:textFill>
        </w:rPr>
        <w:t>18.3</w:t>
      </w:r>
      <w:r>
        <w:rPr>
          <w:rFonts w:hint="eastAsia" w:ascii="宋体" w:hAnsi="宋体"/>
          <w:color w:val="000000" w:themeColor="text1"/>
          <w:sz w:val="21"/>
          <w:szCs w:val="21"/>
          <w:highlight w:val="none"/>
          <w14:textFill>
            <w14:solidFill>
              <w14:schemeClr w14:val="tx1"/>
            </w14:solidFill>
          </w14:textFill>
        </w:rPr>
        <w:t>其他保险</w:t>
      </w:r>
      <w:bookmarkEnd w:id="1110"/>
      <w:bookmarkEnd w:id="1111"/>
      <w:bookmarkEnd w:id="1112"/>
      <w:bookmarkEnd w:id="1113"/>
      <w:bookmarkEnd w:id="1114"/>
      <w:bookmarkEnd w:id="1115"/>
    </w:p>
    <w:p w14:paraId="2F2A2658">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关于其他保险的约定：</w:t>
      </w:r>
      <w:r>
        <w:rPr>
          <w:rFonts w:hint="eastAsia" w:hAnsi="宋体"/>
          <w:bCs/>
          <w:color w:val="000000" w:themeColor="text1"/>
          <w:szCs w:val="21"/>
          <w:highlight w:val="none"/>
          <w:u w:val="single"/>
          <w14:textFill>
            <w14:solidFill>
              <w14:schemeClr w14:val="tx1"/>
            </w14:solidFill>
          </w14:textFill>
        </w:rPr>
        <w:t>承包人必须为施工现场从事施工的所有作业人员和管理人员办理办理工伤保险，并支付保费</w:t>
      </w:r>
      <w:r>
        <w:rPr>
          <w:rFonts w:hint="eastAsia" w:hAnsi="宋体" w:cs="宋体"/>
          <w:color w:val="000000" w:themeColor="text1"/>
          <w:szCs w:val="21"/>
          <w:highlight w:val="none"/>
          <w14:textFill>
            <w14:solidFill>
              <w14:schemeClr w14:val="tx1"/>
            </w14:solidFill>
          </w14:textFill>
        </w:rPr>
        <w:t>。</w:t>
      </w:r>
    </w:p>
    <w:p w14:paraId="7F0DD9FA">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承包人是否应为其施工设备等办理财产保险：</w:t>
      </w:r>
      <w:r>
        <w:rPr>
          <w:rFonts w:hint="eastAsia"/>
          <w:color w:val="000000" w:themeColor="text1"/>
          <w:szCs w:val="21"/>
          <w:highlight w:val="none"/>
          <w:u w:val="single"/>
          <w14:textFill>
            <w14:solidFill>
              <w14:schemeClr w14:val="tx1"/>
            </w14:solidFill>
          </w14:textFill>
        </w:rPr>
        <w:t>是</w:t>
      </w:r>
      <w:r>
        <w:rPr>
          <w:rFonts w:hint="eastAsia" w:hAnsi="宋体" w:cs="宋体"/>
          <w:color w:val="000000" w:themeColor="text1"/>
          <w:szCs w:val="21"/>
          <w:highlight w:val="none"/>
          <w14:textFill>
            <w14:solidFill>
              <w14:schemeClr w14:val="tx1"/>
            </w14:solidFill>
          </w14:textFill>
        </w:rPr>
        <w:t>。</w:t>
      </w:r>
    </w:p>
    <w:p w14:paraId="51704E1F">
      <w:pPr>
        <w:pStyle w:val="5"/>
        <w:ind w:firstLine="422" w:firstLineChars="200"/>
        <w:rPr>
          <w:rFonts w:ascii="宋体" w:hAnsi="宋体"/>
          <w:color w:val="000000" w:themeColor="text1"/>
          <w:sz w:val="21"/>
          <w:szCs w:val="21"/>
          <w:highlight w:val="none"/>
          <w14:textFill>
            <w14:solidFill>
              <w14:schemeClr w14:val="tx1"/>
            </w14:solidFill>
          </w14:textFill>
        </w:rPr>
      </w:pPr>
      <w:bookmarkStart w:id="1116" w:name="_Toc373227775"/>
      <w:bookmarkStart w:id="1117" w:name="_Toc373478422"/>
      <w:bookmarkStart w:id="1118" w:name="_Toc389065340"/>
      <w:bookmarkStart w:id="1119" w:name="_Toc114058915"/>
      <w:bookmarkStart w:id="1120" w:name="_Toc78449864"/>
      <w:bookmarkStart w:id="1121" w:name="_Toc407135278"/>
      <w:r>
        <w:rPr>
          <w:rFonts w:ascii="宋体" w:hAnsi="宋体"/>
          <w:color w:val="000000" w:themeColor="text1"/>
          <w:sz w:val="21"/>
          <w:szCs w:val="21"/>
          <w:highlight w:val="none"/>
          <w14:textFill>
            <w14:solidFill>
              <w14:schemeClr w14:val="tx1"/>
            </w14:solidFill>
          </w14:textFill>
        </w:rPr>
        <w:t>18.7</w:t>
      </w:r>
      <w:r>
        <w:rPr>
          <w:rFonts w:hint="eastAsia" w:ascii="宋体" w:hAnsi="宋体"/>
          <w:color w:val="000000" w:themeColor="text1"/>
          <w:sz w:val="21"/>
          <w:szCs w:val="21"/>
          <w:highlight w:val="none"/>
          <w14:textFill>
            <w14:solidFill>
              <w14:schemeClr w14:val="tx1"/>
            </w14:solidFill>
          </w14:textFill>
        </w:rPr>
        <w:t>通知义务</w:t>
      </w:r>
      <w:bookmarkEnd w:id="1116"/>
      <w:bookmarkEnd w:id="1117"/>
      <w:bookmarkEnd w:id="1118"/>
      <w:bookmarkEnd w:id="1119"/>
      <w:bookmarkEnd w:id="1120"/>
      <w:bookmarkEnd w:id="1121"/>
    </w:p>
    <w:p w14:paraId="5C71D04E">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关于变更保险合同时的通知义务的约定：</w:t>
      </w:r>
      <w:r>
        <w:rPr>
          <w:rFonts w:hint="eastAsia"/>
          <w:color w:val="000000" w:themeColor="text1"/>
          <w:szCs w:val="21"/>
          <w:highlight w:val="none"/>
          <w:u w:val="single"/>
          <w14:textFill>
            <w14:solidFill>
              <w14:schemeClr w14:val="tx1"/>
            </w14:solidFill>
          </w14:textFill>
        </w:rPr>
        <w:t>按通用条款执行</w:t>
      </w:r>
      <w:r>
        <w:rPr>
          <w:rFonts w:hint="eastAsia" w:hAnsi="宋体" w:cs="宋体"/>
          <w:color w:val="000000" w:themeColor="text1"/>
          <w:szCs w:val="21"/>
          <w:highlight w:val="none"/>
          <w14:textFill>
            <w14:solidFill>
              <w14:schemeClr w14:val="tx1"/>
            </w14:solidFill>
          </w14:textFill>
        </w:rPr>
        <w:t>。</w:t>
      </w:r>
    </w:p>
    <w:bookmarkEnd w:id="1006"/>
    <w:bookmarkEnd w:id="1007"/>
    <w:bookmarkEnd w:id="1008"/>
    <w:bookmarkEnd w:id="1009"/>
    <w:bookmarkEnd w:id="1010"/>
    <w:bookmarkEnd w:id="1011"/>
    <w:bookmarkEnd w:id="1012"/>
    <w:bookmarkEnd w:id="1013"/>
    <w:bookmarkEnd w:id="1014"/>
    <w:bookmarkEnd w:id="1015"/>
    <w:bookmarkEnd w:id="1016"/>
    <w:bookmarkEnd w:id="1017"/>
    <w:p w14:paraId="15512066">
      <w:pPr>
        <w:pStyle w:val="4"/>
        <w:jc w:val="left"/>
        <w:rPr>
          <w:rFonts w:ascii="宋体" w:hAnsi="宋体" w:eastAsia="宋体"/>
          <w:color w:val="000000" w:themeColor="text1"/>
          <w:sz w:val="28"/>
          <w:szCs w:val="28"/>
          <w:highlight w:val="none"/>
          <w14:textFill>
            <w14:solidFill>
              <w14:schemeClr w14:val="tx1"/>
            </w14:solidFill>
          </w14:textFill>
        </w:rPr>
      </w:pPr>
      <w:bookmarkStart w:id="1122" w:name="_Toc78449865"/>
      <w:bookmarkStart w:id="1123" w:name="_Toc389065341"/>
      <w:bookmarkStart w:id="1124" w:name="_Toc21805"/>
      <w:bookmarkStart w:id="1125" w:name="_Toc373227776"/>
      <w:bookmarkStart w:id="1126" w:name="_Toc114058916"/>
      <w:bookmarkStart w:id="1127" w:name="_Toc373478423"/>
      <w:bookmarkStart w:id="1128" w:name="_Toc351203651"/>
      <w:bookmarkStart w:id="1129" w:name="_Toc407135279"/>
      <w:r>
        <w:rPr>
          <w:rFonts w:ascii="宋体" w:hAnsi="宋体" w:eastAsia="宋体"/>
          <w:color w:val="000000" w:themeColor="text1"/>
          <w:sz w:val="28"/>
          <w:szCs w:val="28"/>
          <w:highlight w:val="none"/>
          <w14:textFill>
            <w14:solidFill>
              <w14:schemeClr w14:val="tx1"/>
            </w14:solidFill>
          </w14:textFill>
        </w:rPr>
        <w:t>20.</w:t>
      </w:r>
      <w:r>
        <w:rPr>
          <w:rFonts w:hint="eastAsia" w:ascii="宋体" w:hAnsi="宋体" w:eastAsia="宋体"/>
          <w:color w:val="000000" w:themeColor="text1"/>
          <w:sz w:val="28"/>
          <w:szCs w:val="28"/>
          <w:highlight w:val="none"/>
          <w14:textFill>
            <w14:solidFill>
              <w14:schemeClr w14:val="tx1"/>
            </w14:solidFill>
          </w14:textFill>
        </w:rPr>
        <w:t>争议解决</w:t>
      </w:r>
      <w:bookmarkEnd w:id="1122"/>
      <w:bookmarkEnd w:id="1123"/>
      <w:bookmarkEnd w:id="1124"/>
      <w:bookmarkEnd w:id="1125"/>
      <w:bookmarkEnd w:id="1126"/>
      <w:bookmarkEnd w:id="1127"/>
      <w:bookmarkEnd w:id="1128"/>
      <w:bookmarkEnd w:id="1129"/>
    </w:p>
    <w:bookmarkEnd w:id="1018"/>
    <w:bookmarkEnd w:id="1019"/>
    <w:p w14:paraId="64549749">
      <w:pPr>
        <w:pStyle w:val="5"/>
        <w:ind w:firstLine="422" w:firstLineChars="200"/>
        <w:rPr>
          <w:rFonts w:ascii="宋体" w:hAnsi="宋体"/>
          <w:color w:val="000000" w:themeColor="text1"/>
          <w:sz w:val="21"/>
          <w:szCs w:val="21"/>
          <w:highlight w:val="none"/>
          <w14:textFill>
            <w14:solidFill>
              <w14:schemeClr w14:val="tx1"/>
            </w14:solidFill>
          </w14:textFill>
        </w:rPr>
      </w:pPr>
      <w:bookmarkStart w:id="1130" w:name="_Toc78449866"/>
      <w:bookmarkStart w:id="1131" w:name="_Toc114058917"/>
      <w:bookmarkStart w:id="1132" w:name="_Toc389065342"/>
      <w:bookmarkStart w:id="1133" w:name="_Toc373227777"/>
      <w:bookmarkStart w:id="1134" w:name="_Toc407135280"/>
      <w:bookmarkStart w:id="1135" w:name="_Toc373478424"/>
      <w:r>
        <w:rPr>
          <w:rFonts w:ascii="宋体" w:hAnsi="宋体"/>
          <w:color w:val="000000" w:themeColor="text1"/>
          <w:sz w:val="21"/>
          <w:szCs w:val="21"/>
          <w:highlight w:val="none"/>
          <w14:textFill>
            <w14:solidFill>
              <w14:schemeClr w14:val="tx1"/>
            </w14:solidFill>
          </w14:textFill>
        </w:rPr>
        <w:t>20.3</w:t>
      </w:r>
      <w:r>
        <w:rPr>
          <w:rFonts w:hint="eastAsia" w:ascii="宋体" w:hAnsi="宋体"/>
          <w:color w:val="000000" w:themeColor="text1"/>
          <w:sz w:val="21"/>
          <w:szCs w:val="21"/>
          <w:highlight w:val="none"/>
          <w14:textFill>
            <w14:solidFill>
              <w14:schemeClr w14:val="tx1"/>
            </w14:solidFill>
          </w14:textFill>
        </w:rPr>
        <w:t>争</w:t>
      </w:r>
      <w:bookmarkEnd w:id="1020"/>
      <w:r>
        <w:rPr>
          <w:rFonts w:hint="eastAsia" w:ascii="宋体" w:hAnsi="宋体"/>
          <w:color w:val="000000" w:themeColor="text1"/>
          <w:sz w:val="21"/>
          <w:szCs w:val="21"/>
          <w:highlight w:val="none"/>
          <w14:textFill>
            <w14:solidFill>
              <w14:schemeClr w14:val="tx1"/>
            </w14:solidFill>
          </w14:textFill>
        </w:rPr>
        <w:t>议评审</w:t>
      </w:r>
      <w:bookmarkEnd w:id="1130"/>
      <w:bookmarkEnd w:id="1131"/>
      <w:bookmarkEnd w:id="1132"/>
      <w:bookmarkEnd w:id="1133"/>
      <w:bookmarkEnd w:id="1134"/>
      <w:bookmarkEnd w:id="1135"/>
    </w:p>
    <w:p w14:paraId="1C3CA822">
      <w:pPr>
        <w:spacing w:line="360" w:lineRule="auto"/>
        <w:ind w:left="149" w:leftChars="71" w:firstLine="315" w:firstLineChars="15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合同当事人是否同意将工程争议提交争议评审小组决定：</w:t>
      </w:r>
      <w:r>
        <w:rPr>
          <w:rFonts w:hint="eastAsia"/>
          <w:color w:val="000000" w:themeColor="text1"/>
          <w:szCs w:val="21"/>
          <w:highlight w:val="none"/>
          <w:u w:val="single"/>
          <w14:textFill>
            <w14:solidFill>
              <w14:schemeClr w14:val="tx1"/>
            </w14:solidFill>
          </w14:textFill>
        </w:rPr>
        <w:t>由发包人与承包人双方协商确定</w:t>
      </w:r>
      <w:r>
        <w:rPr>
          <w:rFonts w:hAnsi="宋体"/>
          <w:color w:val="000000" w:themeColor="text1"/>
          <w:szCs w:val="21"/>
          <w:highlight w:val="none"/>
          <w14:textFill>
            <w14:solidFill>
              <w14:schemeClr w14:val="tx1"/>
            </w14:solidFill>
          </w14:textFill>
        </w:rPr>
        <w:t>。</w:t>
      </w:r>
    </w:p>
    <w:p w14:paraId="5E0AE74F">
      <w:pPr>
        <w:spacing w:line="360" w:lineRule="auto"/>
        <w:ind w:firstLine="420" w:firstLineChars="200"/>
        <w:jc w:val="left"/>
        <w:rPr>
          <w:rFonts w:hAnsi="宋体" w:cs="宋体"/>
          <w:color w:val="000000" w:themeColor="text1"/>
          <w:szCs w:val="21"/>
          <w:highlight w:val="none"/>
          <w14:textFill>
            <w14:solidFill>
              <w14:schemeClr w14:val="tx1"/>
            </w14:solidFill>
          </w14:textFill>
        </w:rPr>
      </w:pPr>
      <w:bookmarkStart w:id="1136" w:name="_Toc20488"/>
      <w:bookmarkStart w:id="1137" w:name="_Toc22070"/>
      <w:r>
        <w:rPr>
          <w:rFonts w:hAnsi="宋体" w:cs="宋体"/>
          <w:color w:val="000000" w:themeColor="text1"/>
          <w:szCs w:val="21"/>
          <w:highlight w:val="none"/>
          <w14:textFill>
            <w14:solidFill>
              <w14:schemeClr w14:val="tx1"/>
            </w14:solidFill>
          </w14:textFill>
        </w:rPr>
        <w:t>20.3.1争议评审小组的确定</w:t>
      </w:r>
      <w:bookmarkEnd w:id="1136"/>
      <w:bookmarkEnd w:id="1137"/>
    </w:p>
    <w:p w14:paraId="63589C10">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争议评审小组成员的确定：</w:t>
      </w:r>
      <w:r>
        <w:rPr>
          <w:rFonts w:hint="eastAsia"/>
          <w:color w:val="000000" w:themeColor="text1"/>
          <w:szCs w:val="21"/>
          <w:highlight w:val="none"/>
          <w:u w:val="single"/>
          <w14:textFill>
            <w14:solidFill>
              <w14:schemeClr w14:val="tx1"/>
            </w14:solidFill>
          </w14:textFill>
        </w:rPr>
        <w:t>如双方商定采用争议评审方式解决，则按通用条款执行</w:t>
      </w:r>
      <w:r>
        <w:rPr>
          <w:rFonts w:hAnsi="宋体"/>
          <w:color w:val="000000" w:themeColor="text1"/>
          <w:szCs w:val="21"/>
          <w:highlight w:val="none"/>
          <w14:textFill>
            <w14:solidFill>
              <w14:schemeClr w14:val="tx1"/>
            </w14:solidFill>
          </w14:textFill>
        </w:rPr>
        <w:t>。</w:t>
      </w:r>
    </w:p>
    <w:p w14:paraId="5967EDE6">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选定争议评审员的期限：</w:t>
      </w:r>
      <w:r>
        <w:rPr>
          <w:rFonts w:hint="eastAsia"/>
          <w:color w:val="000000" w:themeColor="text1"/>
          <w:szCs w:val="21"/>
          <w:highlight w:val="none"/>
          <w:u w:val="single"/>
          <w14:textFill>
            <w14:solidFill>
              <w14:schemeClr w14:val="tx1"/>
            </w14:solidFill>
          </w14:textFill>
        </w:rPr>
        <w:t>如双方商定采用争议评审方式解决，则按通用条款执行</w:t>
      </w:r>
      <w:r>
        <w:rPr>
          <w:rFonts w:hAnsi="宋体"/>
          <w:color w:val="000000" w:themeColor="text1"/>
          <w:szCs w:val="21"/>
          <w:highlight w:val="none"/>
          <w14:textFill>
            <w14:solidFill>
              <w14:schemeClr w14:val="tx1"/>
            </w14:solidFill>
          </w14:textFill>
        </w:rPr>
        <w:t>。</w:t>
      </w:r>
    </w:p>
    <w:p w14:paraId="031E7377">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争议评审小组成员的报酬承担方式：</w:t>
      </w:r>
      <w:r>
        <w:rPr>
          <w:rFonts w:hint="eastAsia"/>
          <w:color w:val="000000" w:themeColor="text1"/>
          <w:szCs w:val="21"/>
          <w:highlight w:val="none"/>
          <w:u w:val="single"/>
          <w14:textFill>
            <w14:solidFill>
              <w14:schemeClr w14:val="tx1"/>
            </w14:solidFill>
          </w14:textFill>
        </w:rPr>
        <w:t>如双方商定采用争议评审方式解决，则按通用条款执行</w:t>
      </w:r>
      <w:r>
        <w:rPr>
          <w:rFonts w:hAnsi="宋体"/>
          <w:color w:val="000000" w:themeColor="text1"/>
          <w:szCs w:val="21"/>
          <w:highlight w:val="none"/>
          <w14:textFill>
            <w14:solidFill>
              <w14:schemeClr w14:val="tx1"/>
            </w14:solidFill>
          </w14:textFill>
        </w:rPr>
        <w:t>。</w:t>
      </w:r>
    </w:p>
    <w:p w14:paraId="424046B7">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其他事项的约定：</w:t>
      </w:r>
      <w:r>
        <w:rPr>
          <w:rFonts w:hint="eastAsia"/>
          <w:color w:val="000000" w:themeColor="text1"/>
          <w:szCs w:val="2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36E5B3F3">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20.3.2</w:t>
      </w:r>
      <w:r>
        <w:rPr>
          <w:rFonts w:hAnsi="宋体"/>
          <w:color w:val="000000" w:themeColor="text1"/>
          <w:kern w:val="0"/>
          <w:szCs w:val="21"/>
          <w:highlight w:val="none"/>
          <w14:textFill>
            <w14:solidFill>
              <w14:schemeClr w14:val="tx1"/>
            </w14:solidFill>
          </w14:textFill>
        </w:rPr>
        <w:t>争议评审小组的决定</w:t>
      </w:r>
    </w:p>
    <w:p w14:paraId="2535371D">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合同当事人关于本项的约定：</w:t>
      </w:r>
      <w:r>
        <w:rPr>
          <w:rFonts w:hint="eastAsia"/>
          <w:color w:val="000000" w:themeColor="text1"/>
          <w:szCs w:val="21"/>
          <w:highlight w:val="none"/>
          <w:u w:val="single"/>
          <w14:textFill>
            <w14:solidFill>
              <w14:schemeClr w14:val="tx1"/>
            </w14:solidFill>
          </w14:textFill>
        </w:rPr>
        <w:t>无</w:t>
      </w:r>
      <w:r>
        <w:rPr>
          <w:rFonts w:hint="eastAsia" w:hAnsi="宋体" w:cs="宋体"/>
          <w:color w:val="000000" w:themeColor="text1"/>
          <w:szCs w:val="21"/>
          <w:highlight w:val="none"/>
          <w14:textFill>
            <w14:solidFill>
              <w14:schemeClr w14:val="tx1"/>
            </w14:solidFill>
          </w14:textFill>
        </w:rPr>
        <w:t>。</w:t>
      </w:r>
    </w:p>
    <w:p w14:paraId="0590121B">
      <w:pPr>
        <w:pStyle w:val="5"/>
        <w:ind w:firstLine="422" w:firstLineChars="200"/>
        <w:rPr>
          <w:rFonts w:ascii="宋体" w:hAnsi="宋体"/>
          <w:color w:val="000000" w:themeColor="text1"/>
          <w:sz w:val="21"/>
          <w:szCs w:val="21"/>
          <w:highlight w:val="none"/>
          <w14:textFill>
            <w14:solidFill>
              <w14:schemeClr w14:val="tx1"/>
            </w14:solidFill>
          </w14:textFill>
        </w:rPr>
      </w:pPr>
      <w:bookmarkStart w:id="1138" w:name="_Toc389065343"/>
      <w:bookmarkStart w:id="1139" w:name="_Toc114058918"/>
      <w:bookmarkStart w:id="1140" w:name="_Toc407135281"/>
      <w:bookmarkStart w:id="1141" w:name="_Toc78449867"/>
      <w:bookmarkStart w:id="1142" w:name="_Toc373478425"/>
      <w:bookmarkStart w:id="1143" w:name="_Toc373227778"/>
      <w:r>
        <w:rPr>
          <w:rFonts w:ascii="宋体" w:hAnsi="宋体"/>
          <w:color w:val="000000" w:themeColor="text1"/>
          <w:sz w:val="21"/>
          <w:szCs w:val="21"/>
          <w:highlight w:val="none"/>
          <w14:textFill>
            <w14:solidFill>
              <w14:schemeClr w14:val="tx1"/>
            </w14:solidFill>
          </w14:textFill>
        </w:rPr>
        <w:t>20.4</w:t>
      </w:r>
      <w:r>
        <w:rPr>
          <w:rFonts w:hint="eastAsia" w:ascii="宋体" w:hAnsi="宋体"/>
          <w:color w:val="000000" w:themeColor="text1"/>
          <w:sz w:val="21"/>
          <w:szCs w:val="21"/>
          <w:highlight w:val="none"/>
          <w14:textFill>
            <w14:solidFill>
              <w14:schemeClr w14:val="tx1"/>
            </w14:solidFill>
          </w14:textFill>
        </w:rPr>
        <w:t>仲裁或诉讼</w:t>
      </w:r>
      <w:bookmarkEnd w:id="1021"/>
      <w:bookmarkEnd w:id="1138"/>
      <w:bookmarkEnd w:id="1139"/>
      <w:bookmarkEnd w:id="1140"/>
      <w:bookmarkEnd w:id="1141"/>
      <w:bookmarkEnd w:id="1142"/>
      <w:bookmarkEnd w:id="1143"/>
    </w:p>
    <w:p w14:paraId="03133CA0">
      <w:pPr>
        <w:spacing w:line="360" w:lineRule="auto"/>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因合同及合同有关事项发生的争议，按下列第</w:t>
      </w:r>
      <w:r>
        <w:rPr>
          <w:rFonts w:hint="eastAsia"/>
          <w:color w:val="000000" w:themeColor="text1"/>
          <w:szCs w:val="21"/>
          <w:highlight w:val="none"/>
          <w:u w:val="singl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种方式解决：</w:t>
      </w:r>
    </w:p>
    <w:p w14:paraId="14097D0D">
      <w:pPr>
        <w:spacing w:line="360" w:lineRule="auto"/>
        <w:ind w:firstLine="396" w:firstLineChars="200"/>
        <w:jc w:val="left"/>
        <w:rPr>
          <w:color w:val="000000" w:themeColor="text1"/>
          <w:spacing w:val="-6"/>
          <w:szCs w:val="21"/>
          <w:highlight w:val="none"/>
          <w14:textFill>
            <w14:solidFill>
              <w14:schemeClr w14:val="tx1"/>
            </w14:solidFill>
          </w14:textFill>
        </w:rPr>
      </w:pPr>
      <w:r>
        <w:rPr>
          <w:rFonts w:hint="eastAsia" w:hAnsi="宋体" w:cs="宋体"/>
          <w:color w:val="000000" w:themeColor="text1"/>
          <w:spacing w:val="-6"/>
          <w:szCs w:val="21"/>
          <w:highlight w:val="none"/>
          <w14:textFill>
            <w14:solidFill>
              <w14:schemeClr w14:val="tx1"/>
            </w14:solidFill>
          </w14:textFill>
        </w:rPr>
        <w:t>（</w:t>
      </w:r>
      <w:r>
        <w:rPr>
          <w:color w:val="000000" w:themeColor="text1"/>
          <w:spacing w:val="-6"/>
          <w:szCs w:val="21"/>
          <w:highlight w:val="none"/>
          <w14:textFill>
            <w14:solidFill>
              <w14:schemeClr w14:val="tx1"/>
            </w14:solidFill>
          </w14:textFill>
        </w:rPr>
        <w:t>1</w:t>
      </w:r>
      <w:r>
        <w:rPr>
          <w:rFonts w:hint="eastAsia" w:hAnsi="宋体" w:cs="宋体"/>
          <w:color w:val="000000" w:themeColor="text1"/>
          <w:spacing w:val="-6"/>
          <w:szCs w:val="21"/>
          <w:highlight w:val="none"/>
          <w14:textFill>
            <w14:solidFill>
              <w14:schemeClr w14:val="tx1"/>
            </w14:solidFill>
          </w14:textFill>
        </w:rPr>
        <w:t>）提请</w:t>
      </w:r>
      <w:r>
        <w:rPr>
          <w:rFonts w:hint="eastAsia"/>
          <w:color w:val="000000" w:themeColor="text1"/>
          <w:spacing w:val="-6"/>
          <w:szCs w:val="21"/>
          <w:highlight w:val="none"/>
          <w:u w:val="single"/>
          <w14:textFill>
            <w14:solidFill>
              <w14:schemeClr w14:val="tx1"/>
            </w14:solidFill>
          </w14:textFill>
        </w:rPr>
        <w:t>/</w:t>
      </w:r>
      <w:r>
        <w:rPr>
          <w:rFonts w:hint="eastAsia" w:hAnsi="宋体" w:cs="宋体"/>
          <w:color w:val="000000" w:themeColor="text1"/>
          <w:spacing w:val="-6"/>
          <w:szCs w:val="21"/>
          <w:highlight w:val="none"/>
          <w14:textFill>
            <w14:solidFill>
              <w14:schemeClr w14:val="tx1"/>
            </w14:solidFill>
          </w14:textFill>
        </w:rPr>
        <w:t>仲裁委员会按照该会仲裁规则进行仲裁，仲裁裁决是终局的，对合同双方均有约束力。</w:t>
      </w:r>
    </w:p>
    <w:p w14:paraId="4B0F14AC">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向</w:t>
      </w:r>
      <w:r>
        <w:rPr>
          <w:rFonts w:hint="eastAsia"/>
          <w:color w:val="000000" w:themeColor="text1"/>
          <w:szCs w:val="21"/>
          <w:highlight w:val="none"/>
          <w:u w:val="single"/>
          <w14:textFill>
            <w14:solidFill>
              <w14:schemeClr w14:val="tx1"/>
            </w14:solidFill>
          </w14:textFill>
        </w:rPr>
        <w:t>工程所在地</w:t>
      </w:r>
      <w:r>
        <w:rPr>
          <w:rFonts w:hAnsi="宋体"/>
          <w:color w:val="000000" w:themeColor="text1"/>
          <w:szCs w:val="21"/>
          <w:highlight w:val="none"/>
          <w14:textFill>
            <w14:solidFill>
              <w14:schemeClr w14:val="tx1"/>
            </w14:solidFill>
          </w14:textFill>
        </w:rPr>
        <w:t>人民法院起诉</w:t>
      </w:r>
      <w:r>
        <w:rPr>
          <w:rFonts w:hint="eastAsia" w:hAnsi="宋体" w:cs="宋体"/>
          <w:color w:val="000000" w:themeColor="text1"/>
          <w:szCs w:val="21"/>
          <w:highlight w:val="none"/>
          <w14:textFill>
            <w14:solidFill>
              <w14:schemeClr w14:val="tx1"/>
            </w14:solidFill>
          </w14:textFill>
        </w:rPr>
        <w:t>。</w:t>
      </w:r>
      <w:bookmarkEnd w:id="1022"/>
      <w:bookmarkEnd w:id="1023"/>
      <w:bookmarkEnd w:id="1024"/>
      <w:bookmarkEnd w:id="1025"/>
      <w:bookmarkEnd w:id="1026"/>
      <w:bookmarkEnd w:id="1027"/>
    </w:p>
    <w:p w14:paraId="1C98D6C4">
      <w:pPr>
        <w:pStyle w:val="4"/>
        <w:jc w:val="left"/>
        <w:rPr>
          <w:rFonts w:ascii="宋体" w:hAnsi="宋体" w:eastAsia="宋体"/>
          <w:color w:val="000000" w:themeColor="text1"/>
          <w:sz w:val="28"/>
          <w:szCs w:val="28"/>
          <w:highlight w:val="none"/>
          <w14:textFill>
            <w14:solidFill>
              <w14:schemeClr w14:val="tx1"/>
            </w14:solidFill>
          </w14:textFill>
        </w:rPr>
      </w:pPr>
      <w:bookmarkStart w:id="1144" w:name="_Toc373227779"/>
      <w:bookmarkStart w:id="1145" w:name="_Toc8572"/>
      <w:bookmarkStart w:id="1146" w:name="_Toc2032"/>
      <w:bookmarkStart w:id="1147" w:name="_Toc17230"/>
      <w:bookmarkStart w:id="1148" w:name="_Toc373743696"/>
      <w:bookmarkStart w:id="1149" w:name="_Toc373478426"/>
      <w:r>
        <w:rPr>
          <w:rFonts w:ascii="宋体" w:hAnsi="宋体" w:eastAsia="宋体"/>
          <w:color w:val="000000" w:themeColor="text1"/>
          <w:sz w:val="28"/>
          <w:szCs w:val="28"/>
          <w:highlight w:val="none"/>
          <w14:textFill>
            <w14:solidFill>
              <w14:schemeClr w14:val="tx1"/>
            </w14:solidFill>
          </w14:textFill>
        </w:rPr>
        <w:t>21.</w:t>
      </w:r>
      <w:r>
        <w:rPr>
          <w:rFonts w:hint="eastAsia" w:ascii="宋体" w:hAnsi="宋体" w:eastAsia="宋体"/>
          <w:color w:val="000000" w:themeColor="text1"/>
          <w:sz w:val="28"/>
          <w:szCs w:val="28"/>
          <w:highlight w:val="none"/>
          <w14:textFill>
            <w14:solidFill>
              <w14:schemeClr w14:val="tx1"/>
            </w14:solidFill>
          </w14:textFill>
        </w:rPr>
        <w:t>补充条款</w:t>
      </w:r>
      <w:bookmarkEnd w:id="1144"/>
      <w:bookmarkEnd w:id="1145"/>
      <w:bookmarkEnd w:id="1146"/>
      <w:bookmarkEnd w:id="1147"/>
      <w:bookmarkEnd w:id="1148"/>
      <w:bookmarkEnd w:id="1149"/>
    </w:p>
    <w:p w14:paraId="2E73CD3C">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21.1本工程禁止使用童工。</w:t>
      </w:r>
    </w:p>
    <w:p w14:paraId="2B953AD5">
      <w:pPr>
        <w:spacing w:line="360" w:lineRule="auto"/>
        <w:ind w:firstLine="404" w:firstLineChars="200"/>
        <w:jc w:val="left"/>
        <w:rPr>
          <w:rFonts w:ascii="宋体" w:hAnsi="宋体" w:cs="Courier New"/>
          <w:color w:val="000000" w:themeColor="text1"/>
          <w:spacing w:val="-4"/>
          <w:szCs w:val="21"/>
          <w:highlight w:val="none"/>
          <w14:textFill>
            <w14:solidFill>
              <w14:schemeClr w14:val="tx1"/>
            </w14:solidFill>
          </w14:textFill>
        </w:rPr>
      </w:pPr>
      <w:r>
        <w:rPr>
          <w:rFonts w:hint="eastAsia" w:ascii="宋体" w:hAnsi="宋体" w:cs="Courier New"/>
          <w:color w:val="000000" w:themeColor="text1"/>
          <w:spacing w:val="-4"/>
          <w:szCs w:val="21"/>
          <w:highlight w:val="none"/>
          <w14:textFill>
            <w14:solidFill>
              <w14:schemeClr w14:val="tx1"/>
            </w14:solidFill>
          </w14:textFill>
        </w:rPr>
        <w:t>21.2与本合同有关的通知应以书面形式作出并直接送达有关方，或经电子邮件、专递方式送达有关方或其代表人（包括：发包人现场代表、承包人项目经理、总监理工程师）在本合同中注明的电子信箱或通信地址。除接受通知一方可另行证明，一方以电子邮件发出的通知应视为接受通知一方于通知发出当日收悉该通知，一方以专递方式发出的通知应视为接受通知一方于通知发出当日后第二个工作日收悉该通知。</w:t>
      </w:r>
    </w:p>
    <w:p w14:paraId="16FED486">
      <w:pPr>
        <w:spacing w:line="360" w:lineRule="auto"/>
        <w:ind w:firstLine="404" w:firstLineChars="200"/>
        <w:rPr>
          <w:rFonts w:ascii="宋体" w:hAnsi="宋体" w:cs="Courier New"/>
          <w:color w:val="000000" w:themeColor="text1"/>
          <w:spacing w:val="-4"/>
          <w:szCs w:val="21"/>
          <w:highlight w:val="none"/>
          <w14:textFill>
            <w14:solidFill>
              <w14:schemeClr w14:val="tx1"/>
            </w14:solidFill>
          </w14:textFill>
        </w:rPr>
      </w:pPr>
      <w:r>
        <w:rPr>
          <w:rFonts w:hint="eastAsia" w:ascii="宋体" w:hAnsi="宋体" w:cs="Courier New"/>
          <w:color w:val="000000" w:themeColor="text1"/>
          <w:spacing w:val="-4"/>
          <w:szCs w:val="21"/>
          <w:highlight w:val="none"/>
          <w14:textFill>
            <w14:solidFill>
              <w14:schemeClr w14:val="tx1"/>
            </w14:solidFill>
          </w14:textFill>
        </w:rPr>
        <w:t>21.3实现债权的费用承担：因任何一方违约致使相对方采取诉讼方式实现债权的，违约方应承担相对方为此支付的合理费用，包括但不限于诉讼费、律师费、差旅费等。</w:t>
      </w:r>
    </w:p>
    <w:p w14:paraId="492BD5AC">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 xml:space="preserve">21.4关于施工管理：遵守发包人的各项管理规定；按现行法律、法规、现行施工规范及相关规定、进行施工。其中临时设施、安全施工、文明施工，并符合现行规范及技术标准 的要求，费用由承包人负责；施工中所产生的建筑垃圾由承包人负责清运出校区外，费用由承包人承担； </w:t>
      </w:r>
    </w:p>
    <w:p w14:paraId="31B0FBC8">
      <w:pPr>
        <w:spacing w:line="360" w:lineRule="auto"/>
        <w:ind w:firstLine="404" w:firstLineChars="200"/>
        <w:rPr>
          <w:rFonts w:ascii="宋体" w:hAnsi="宋体" w:cs="Courier New"/>
          <w:color w:val="000000" w:themeColor="text1"/>
          <w:spacing w:val="-4"/>
          <w:szCs w:val="21"/>
          <w:highlight w:val="none"/>
          <w14:textFill>
            <w14:solidFill>
              <w14:schemeClr w14:val="tx1"/>
            </w14:solidFill>
          </w14:textFill>
        </w:rPr>
      </w:pPr>
      <w:r>
        <w:rPr>
          <w:rFonts w:hint="eastAsia" w:ascii="宋体" w:hAnsi="宋体" w:cs="Courier New"/>
          <w:color w:val="000000" w:themeColor="text1"/>
          <w:spacing w:val="-4"/>
          <w:szCs w:val="21"/>
          <w:highlight w:val="none"/>
          <w14:textFill>
            <w14:solidFill>
              <w14:schemeClr w14:val="tx1"/>
            </w14:solidFill>
          </w14:textFill>
        </w:rPr>
        <w:t>21.5发包人采购文件及相关答疑均视为合同约定内容，如承包人不遵守，则视为承包人违约。</w:t>
      </w:r>
    </w:p>
    <w:p w14:paraId="6DB7E864">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21.6</w:t>
      </w:r>
      <w:r>
        <w:rPr>
          <w:rFonts w:hint="eastAsia" w:ascii="宋体" w:hAnsi="宋体" w:cs="Arial"/>
          <w:color w:val="000000" w:themeColor="text1"/>
          <w:szCs w:val="21"/>
          <w:highlight w:val="none"/>
          <w14:textFill>
            <w14:solidFill>
              <w14:schemeClr w14:val="tx1"/>
            </w14:solidFill>
          </w14:textFill>
        </w:rPr>
        <w:t>承包人应有具体措施，保证任何临时和永久性工程中不使用政府明令禁止使用的对人体有害的任何材料和方法，同时也不会在永久性工程中使用政府虽未明令禁止但会给人带来不适感觉或嗅觉的任何材料和添加剂，承包人违背此项约定的责任和后果由承包人完全负责。</w:t>
      </w:r>
    </w:p>
    <w:p w14:paraId="435B4222">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21.7</w:t>
      </w:r>
      <w:r>
        <w:rPr>
          <w:rFonts w:hint="eastAsia" w:ascii="宋体" w:hAnsi="宋体" w:cs="Arial"/>
          <w:color w:val="000000" w:themeColor="text1"/>
          <w:szCs w:val="21"/>
          <w:highlight w:val="none"/>
          <w14:textFill>
            <w14:solidFill>
              <w14:schemeClr w14:val="tx1"/>
            </w14:solidFill>
          </w14:textFill>
        </w:rPr>
        <w:t>对于发包人认为不合格的项目管理人员，发包人有权要求更换，在发包人提出书面更换要求7个工作日内，承包人将合格的项目管理人员更换到位。</w:t>
      </w:r>
    </w:p>
    <w:p w14:paraId="1F04EB4B">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21.8</w:t>
      </w:r>
      <w:r>
        <w:rPr>
          <w:rFonts w:hint="eastAsia" w:ascii="宋体" w:hAnsi="宋体" w:cs="Arial"/>
          <w:color w:val="000000" w:themeColor="text1"/>
          <w:szCs w:val="21"/>
          <w:highlight w:val="none"/>
          <w14:textFill>
            <w14:solidFill>
              <w14:schemeClr w14:val="tx1"/>
            </w14:solidFill>
          </w14:textFill>
        </w:rPr>
        <w:t>合同总价包括了竣工资料编制费，并由总承包单位统一归档；如果竣工资料编制不合格，无法正常移交档案馆，由承包人承担一切责任和费用。</w:t>
      </w:r>
    </w:p>
    <w:p w14:paraId="1AC36707">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21.9</w:t>
      </w:r>
      <w:r>
        <w:rPr>
          <w:rFonts w:hint="eastAsia" w:ascii="宋体" w:hAnsi="宋体" w:cs="Arial"/>
          <w:color w:val="000000" w:themeColor="text1"/>
          <w:szCs w:val="21"/>
          <w:highlight w:val="none"/>
          <w14:textFill>
            <w14:solidFill>
              <w14:schemeClr w14:val="tx1"/>
            </w14:solidFill>
          </w14:textFill>
        </w:rPr>
        <w:t>承包人不得转包。</w:t>
      </w:r>
    </w:p>
    <w:p w14:paraId="555435A8">
      <w:pPr>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21.10</w:t>
      </w:r>
      <w:r>
        <w:rPr>
          <w:rFonts w:hint="eastAsia" w:ascii="宋体" w:hAnsi="宋体" w:cs="Arial"/>
          <w:color w:val="000000" w:themeColor="text1"/>
          <w:szCs w:val="21"/>
          <w:highlight w:val="none"/>
          <w14:textFill>
            <w14:solidFill>
              <w14:schemeClr w14:val="tx1"/>
            </w14:solidFill>
          </w14:textFill>
        </w:rPr>
        <w:t>合同总价包括了本分包范围所有现场垃圾的清运费用。承包人应在接到发包人清场通知后3天内，将承包人的所有的临设（包括基础等）及材料、设备全部撤场；否则发包人将自行找人清理，费用由承包人方负责。</w:t>
      </w:r>
    </w:p>
    <w:p w14:paraId="1A9B5E20">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21.11</w:t>
      </w:r>
      <w:r>
        <w:rPr>
          <w:rFonts w:hint="eastAsia" w:ascii="宋体" w:hAnsi="宋体" w:cs="Arial"/>
          <w:color w:val="000000" w:themeColor="text1"/>
          <w:szCs w:val="21"/>
          <w:highlight w:val="none"/>
          <w14:textFill>
            <w14:solidFill>
              <w14:schemeClr w14:val="tx1"/>
            </w14:solidFill>
          </w14:textFill>
        </w:rPr>
        <w:t>竣工清理和成品保护：进行承包人承包范围内的竣工清理和成品保护工作，费用已含在合同总价中。</w:t>
      </w:r>
    </w:p>
    <w:p w14:paraId="5576C146">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21.12</w:t>
      </w:r>
      <w:r>
        <w:rPr>
          <w:rFonts w:hint="eastAsia" w:ascii="宋体" w:hAnsi="宋体" w:cs="Arial"/>
          <w:color w:val="000000" w:themeColor="text1"/>
          <w:szCs w:val="21"/>
          <w:highlight w:val="none"/>
          <w14:textFill>
            <w14:solidFill>
              <w14:schemeClr w14:val="tx1"/>
            </w14:solidFill>
          </w14:textFill>
        </w:rPr>
        <w:t>结算依据的整理工作：</w:t>
      </w:r>
    </w:p>
    <w:p w14:paraId="47E1777E">
      <w:pPr>
        <w:spacing w:line="360" w:lineRule="auto"/>
        <w:ind w:left="2" w:leftChars="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图纸外需增加费用任何工程实施（包括变更洽商、合同外新增工程、各种索赔等），必须有发包人负责人签字确认，并在发生后14个工作日内将增减的费用报送监理和发包人，否则结算时不予办理；核减的洽商据实结算。</w:t>
      </w:r>
    </w:p>
    <w:p w14:paraId="2FB1E72E">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21.13</w:t>
      </w:r>
      <w:r>
        <w:rPr>
          <w:rFonts w:hint="eastAsia" w:ascii="宋体" w:hAnsi="宋体" w:cs="Arial"/>
          <w:color w:val="000000" w:themeColor="text1"/>
          <w:szCs w:val="21"/>
          <w:highlight w:val="none"/>
          <w14:textFill>
            <w14:solidFill>
              <w14:schemeClr w14:val="tx1"/>
            </w14:solidFill>
          </w14:textFill>
        </w:rPr>
        <w:t>农民工工资的有关规定按国家或地方有关政策或文件执行。禁止承包人拖欠劳务人员（农民工）工资。承包人承诺将发包人付款直接发到劳务人员（农民工）的手中，按国家或地方规定建立农民工工资制度，与全部劳务人员签订正式的劳动合同，将农民工工资每月直接打到农民工的工资卡（银行帐户）中。承包人将每月农民工的工资发放记录和签字表交给发包人工程部，否则发包人在下月付款时有权不予支付。</w:t>
      </w:r>
    </w:p>
    <w:p w14:paraId="56FE9159">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应按月足额发放全部工人工资，若承包人有拖欠工人工资的现象，发包单位可考虑代付该部分工人工资，并从当月工程进度款中扣回。由此引发的工人罢工、闹事等不良后果，承包人应承担全部责任，发包单位可视情节要求承保人支付一定的违约金。</w:t>
      </w:r>
    </w:p>
    <w:p w14:paraId="7F1AE1AA">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21.14</w:t>
      </w:r>
      <w:r>
        <w:rPr>
          <w:rFonts w:hint="eastAsia" w:ascii="宋体" w:hAnsi="宋体" w:cs="Arial"/>
          <w:color w:val="000000" w:themeColor="text1"/>
          <w:szCs w:val="21"/>
          <w:highlight w:val="none"/>
          <w14:textFill>
            <w14:solidFill>
              <w14:schemeClr w14:val="tx1"/>
            </w14:solidFill>
          </w14:textFill>
        </w:rPr>
        <w:t>承包人应考虑工程现场的特殊地理位置，现场应达到南宁市对现场安全文明施工要求；承包人应对安全及文明施工费用做到专款专用。若违反政府有关规定，在发包人两次指出仍未达到要求时，承包人须支付相应的违约金；施工现场因承包人原因如出现重大安全事故，一切费用由承包人负责，并在结算时按安全文明施工费金额作为违约金予以扣罚。且发包人有权解除合同。</w:t>
      </w:r>
    </w:p>
    <w:p w14:paraId="45502AE6">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21.15</w:t>
      </w:r>
      <w:r>
        <w:rPr>
          <w:rFonts w:hint="eastAsia" w:ascii="宋体" w:hAnsi="宋体" w:cs="Arial"/>
          <w:color w:val="000000" w:themeColor="text1"/>
          <w:szCs w:val="21"/>
          <w:highlight w:val="none"/>
          <w14:textFill>
            <w14:solidFill>
              <w14:schemeClr w14:val="tx1"/>
            </w14:solidFill>
          </w14:textFill>
        </w:rPr>
        <w:t>监理单位具有根据本工程需要发出有关工程质量、进度、造价、安全管理、经济处罚等工作联系函或指令的权利，上述工作联系函或指令经发包人同意后，承包人必须执行。</w:t>
      </w:r>
    </w:p>
    <w:p w14:paraId="2F8A8203">
      <w:pPr>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21.16</w:t>
      </w:r>
      <w:r>
        <w:rPr>
          <w:rFonts w:hint="eastAsia" w:ascii="宋体" w:hAnsi="宋体" w:cs="Arial"/>
          <w:color w:val="000000" w:themeColor="text1"/>
          <w:szCs w:val="21"/>
          <w:highlight w:val="none"/>
          <w14:textFill>
            <w14:solidFill>
              <w14:schemeClr w14:val="tx1"/>
            </w14:solidFill>
          </w14:textFill>
        </w:rPr>
        <w:t>发包人仅提供现场水、电的源头，其余接管、接线、装表等均由承包人负责，水电费由承包人缴纳。水电费及计量表等费用均已包含在承包人合同造价内。</w:t>
      </w:r>
    </w:p>
    <w:p w14:paraId="6FAA795D">
      <w:pPr>
        <w:spacing w:line="360" w:lineRule="auto"/>
        <w:ind w:left="2" w:leftChars="1"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21.17</w:t>
      </w:r>
      <w:r>
        <w:rPr>
          <w:rFonts w:hint="eastAsia" w:ascii="宋体" w:hAnsi="宋体" w:cs="Arial"/>
          <w:color w:val="000000" w:themeColor="text1"/>
          <w:szCs w:val="21"/>
          <w:highlight w:val="none"/>
          <w14:textFill>
            <w14:solidFill>
              <w14:schemeClr w14:val="tx1"/>
            </w14:solidFill>
          </w14:textFill>
        </w:rPr>
        <w:t>如果发包人发现承包人无本专业工程的施工能力，或者承包人无继续合作本工程的诚意，发包人有权解除合同，承包人予以服从并及时退场。若承包人以任何理由要挟发包人管理人员或有妨碍工程施工进度的行为，发包人将视同承包方违约，结算时扣除合同价的10%作为违约金。</w:t>
      </w:r>
    </w:p>
    <w:p w14:paraId="79FEE18A">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21.18本专用条款未约定的均按本合同通用条款规定执行。</w:t>
      </w:r>
    </w:p>
    <w:p w14:paraId="421F559B">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21.19因任何一方违约致使相对方采取诉讼方式实现债权的，违约方应承担相对方为此支付的合理费用，包括但不限于诉讼费、律师费、差旅费等。</w:t>
      </w:r>
    </w:p>
    <w:p w14:paraId="4723F97E">
      <w:pPr>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21.20本合同不受任何一方法人代表或单位名称的变更而改变合作性质和合同约定。</w:t>
      </w:r>
    </w:p>
    <w:p w14:paraId="4A273CFA">
      <w:pPr>
        <w:spacing w:line="360" w:lineRule="auto"/>
        <w:ind w:firstLine="420" w:firstLineChars="200"/>
        <w:rPr>
          <w:rFonts w:hAnsi="宋体"/>
          <w:color w:val="000000" w:themeColor="text1"/>
          <w:kern w:val="0"/>
          <w:highlight w:val="none"/>
          <w14:textFill>
            <w14:solidFill>
              <w14:schemeClr w14:val="tx1"/>
            </w14:solidFill>
          </w14:textFill>
        </w:rPr>
      </w:pPr>
      <w:r>
        <w:rPr>
          <w:rFonts w:hint="eastAsia" w:ascii="Calibri" w:hAnsi="宋体" w:cs="宋体"/>
          <w:color w:val="000000" w:themeColor="text1"/>
          <w:szCs w:val="21"/>
          <w:highlight w:val="none"/>
          <w14:textFill>
            <w14:solidFill>
              <w14:schemeClr w14:val="tx1"/>
            </w14:solidFill>
          </w14:textFill>
        </w:rPr>
        <w:t>21.21本合同未约定其他事项，双方可签订补充协议。补充协议与本合同具有同等法律效力</w:t>
      </w:r>
      <w:r>
        <w:rPr>
          <w:rFonts w:hint="eastAsia" w:hAnsi="宋体" w:cs="宋体"/>
          <w:color w:val="000000" w:themeColor="text1"/>
          <w:szCs w:val="21"/>
          <w:highlight w:val="none"/>
          <w14:textFill>
            <w14:solidFill>
              <w14:schemeClr w14:val="tx1"/>
            </w14:solidFill>
          </w14:textFill>
        </w:rPr>
        <w:t>。</w:t>
      </w:r>
    </w:p>
    <w:p w14:paraId="35BCE4AA">
      <w:pPr>
        <w:pStyle w:val="177"/>
        <w:spacing w:line="360" w:lineRule="auto"/>
        <w:ind w:firstLine="420" w:firstLineChars="200"/>
        <w:rPr>
          <w:rFonts w:ascii="宋体" w:hAnsi="宋体"/>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702E11A">
      <w:pPr>
        <w:pStyle w:val="177"/>
        <w:spacing w:line="360" w:lineRule="auto"/>
        <w:ind w:firstLine="562" w:firstLineChars="200"/>
        <w:rPr>
          <w:rFonts w:ascii="黑体" w:hAnsi="黑体" w:eastAsia="黑体"/>
          <w:b/>
          <w:color w:val="000000" w:themeColor="text1"/>
          <w:sz w:val="28"/>
          <w:szCs w:val="28"/>
          <w:highlight w:val="none"/>
          <w14:textFill>
            <w14:solidFill>
              <w14:schemeClr w14:val="tx1"/>
            </w14:solidFill>
          </w14:textFill>
        </w:rPr>
      </w:pPr>
      <w:r>
        <w:rPr>
          <w:rFonts w:hint="eastAsia" w:ascii="黑体" w:hAnsi="黑体" w:eastAsia="黑体"/>
          <w:b/>
          <w:color w:val="000000" w:themeColor="text1"/>
          <w:sz w:val="28"/>
          <w:szCs w:val="28"/>
          <w:highlight w:val="none"/>
          <w14:textFill>
            <w14:solidFill>
              <w14:schemeClr w14:val="tx1"/>
            </w14:solidFill>
          </w14:textFill>
        </w:rPr>
        <w:t>附件</w:t>
      </w:r>
    </w:p>
    <w:p w14:paraId="7482881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附件1：承包人承揽工程项目一览表</w:t>
      </w:r>
    </w:p>
    <w:p w14:paraId="4EACF9C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附件2：工程质量保修书</w:t>
      </w:r>
    </w:p>
    <w:p w14:paraId="5CF661E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附件3：主要建设工程文件目录</w:t>
      </w:r>
    </w:p>
    <w:p w14:paraId="7317310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附件4：承包人用于本工程施工的机械设备表</w:t>
      </w:r>
    </w:p>
    <w:p w14:paraId="5BC2119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附件5：承包人主要施工管理人员表</w:t>
      </w:r>
    </w:p>
    <w:p w14:paraId="3F29EBE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附件6：分包人主要施工管理人员表</w:t>
      </w:r>
    </w:p>
    <w:p w14:paraId="464AF3A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附件7：履约保函示范文本（独立保函、非独立保函）</w:t>
      </w:r>
    </w:p>
    <w:p w14:paraId="44720A2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附件8：预付款保函示范文本（独立保函、非独立保函）</w:t>
      </w:r>
    </w:p>
    <w:p w14:paraId="65FBAA9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附件9：支付保函示范文本（独立保函、非独立保函）</w:t>
      </w:r>
    </w:p>
    <w:p w14:paraId="02CC66C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附件10：预付款支付申请（核准）表</w:t>
      </w:r>
    </w:p>
    <w:p w14:paraId="7690C1A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附件11：进度款支付申请（核准）表</w:t>
      </w:r>
    </w:p>
    <w:p w14:paraId="2A62153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附件12：竣工结算款支付申请（核准）表</w:t>
      </w:r>
    </w:p>
    <w:p w14:paraId="0FD3A40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附件13：最终结算款支付申请（核准）表</w:t>
      </w:r>
    </w:p>
    <w:p w14:paraId="4548BFB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附件14：总价合同进度款支付分解表</w:t>
      </w:r>
    </w:p>
    <w:p w14:paraId="12EEBBA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6BA19AAE">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7C47EF2B">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附件1：</w:t>
      </w:r>
    </w:p>
    <w:p w14:paraId="00D0632E">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承包人承揽工程项目一览表</w:t>
      </w:r>
    </w:p>
    <w:tbl>
      <w:tblPr>
        <w:tblStyle w:val="3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866"/>
        <w:gridCol w:w="1134"/>
        <w:gridCol w:w="566"/>
        <w:gridCol w:w="426"/>
        <w:gridCol w:w="426"/>
        <w:gridCol w:w="708"/>
        <w:gridCol w:w="1559"/>
        <w:gridCol w:w="426"/>
        <w:gridCol w:w="567"/>
      </w:tblGrid>
      <w:tr w14:paraId="15DA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3" w:type="dxa"/>
            <w:vAlign w:val="center"/>
          </w:tcPr>
          <w:p w14:paraId="40761E11">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单位工程名称</w:t>
            </w:r>
          </w:p>
        </w:tc>
        <w:tc>
          <w:tcPr>
            <w:tcW w:w="2866" w:type="dxa"/>
            <w:vAlign w:val="center"/>
          </w:tcPr>
          <w:p w14:paraId="20135C51">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建设规模</w:t>
            </w:r>
          </w:p>
        </w:tc>
        <w:tc>
          <w:tcPr>
            <w:tcW w:w="1134" w:type="dxa"/>
            <w:vAlign w:val="center"/>
          </w:tcPr>
          <w:p w14:paraId="1042BA8B">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建筑面积（平方米）</w:t>
            </w:r>
          </w:p>
        </w:tc>
        <w:tc>
          <w:tcPr>
            <w:tcW w:w="566" w:type="dxa"/>
            <w:vAlign w:val="center"/>
          </w:tcPr>
          <w:p w14:paraId="771D2B65">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结构形式</w:t>
            </w:r>
          </w:p>
        </w:tc>
        <w:tc>
          <w:tcPr>
            <w:tcW w:w="426" w:type="dxa"/>
            <w:vAlign w:val="center"/>
          </w:tcPr>
          <w:p w14:paraId="60117481">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层数</w:t>
            </w:r>
          </w:p>
        </w:tc>
        <w:tc>
          <w:tcPr>
            <w:tcW w:w="426" w:type="dxa"/>
            <w:vAlign w:val="center"/>
          </w:tcPr>
          <w:p w14:paraId="23994291">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生产能力</w:t>
            </w:r>
          </w:p>
        </w:tc>
        <w:tc>
          <w:tcPr>
            <w:tcW w:w="708" w:type="dxa"/>
            <w:vAlign w:val="center"/>
          </w:tcPr>
          <w:p w14:paraId="33B2E287">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设备安装内容</w:t>
            </w:r>
          </w:p>
        </w:tc>
        <w:tc>
          <w:tcPr>
            <w:tcW w:w="1559" w:type="dxa"/>
            <w:vAlign w:val="center"/>
          </w:tcPr>
          <w:p w14:paraId="43A79435">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合同价格（元）</w:t>
            </w:r>
          </w:p>
        </w:tc>
        <w:tc>
          <w:tcPr>
            <w:tcW w:w="426" w:type="dxa"/>
            <w:vAlign w:val="center"/>
          </w:tcPr>
          <w:p w14:paraId="5749E48F">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开工日期</w:t>
            </w:r>
          </w:p>
        </w:tc>
        <w:tc>
          <w:tcPr>
            <w:tcW w:w="567" w:type="dxa"/>
            <w:vAlign w:val="center"/>
          </w:tcPr>
          <w:p w14:paraId="7C9D3344">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竣工日期</w:t>
            </w:r>
          </w:p>
        </w:tc>
      </w:tr>
      <w:tr w14:paraId="1529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40641544">
            <w:pPr>
              <w:pStyle w:val="177"/>
              <w:jc w:val="center"/>
              <w:rPr>
                <w:rFonts w:ascii="宋体" w:hAnsi="宋体"/>
                <w:color w:val="000000" w:themeColor="text1"/>
                <w:szCs w:val="21"/>
                <w:highlight w:val="none"/>
                <w14:textFill>
                  <w14:solidFill>
                    <w14:schemeClr w14:val="tx1"/>
                  </w14:solidFill>
                </w14:textFill>
              </w:rPr>
            </w:pPr>
          </w:p>
        </w:tc>
        <w:tc>
          <w:tcPr>
            <w:tcW w:w="2866" w:type="dxa"/>
            <w:vAlign w:val="center"/>
          </w:tcPr>
          <w:p w14:paraId="4B79ACDA">
            <w:pPr>
              <w:pStyle w:val="177"/>
              <w:jc w:val="left"/>
              <w:rPr>
                <w:rFonts w:ascii="宋体" w:hAnsi="宋体"/>
                <w:color w:val="000000" w:themeColor="text1"/>
                <w:szCs w:val="21"/>
                <w:highlight w:val="none"/>
                <w14:textFill>
                  <w14:solidFill>
                    <w14:schemeClr w14:val="tx1"/>
                  </w14:solidFill>
                </w14:textFill>
              </w:rPr>
            </w:pPr>
          </w:p>
        </w:tc>
        <w:tc>
          <w:tcPr>
            <w:tcW w:w="1134" w:type="dxa"/>
            <w:vAlign w:val="center"/>
          </w:tcPr>
          <w:p w14:paraId="66582F93">
            <w:pPr>
              <w:pStyle w:val="177"/>
              <w:jc w:val="center"/>
              <w:rPr>
                <w:rFonts w:ascii="宋体" w:hAnsi="宋体"/>
                <w:color w:val="000000" w:themeColor="text1"/>
                <w:szCs w:val="21"/>
                <w:highlight w:val="none"/>
                <w14:textFill>
                  <w14:solidFill>
                    <w14:schemeClr w14:val="tx1"/>
                  </w14:solidFill>
                </w14:textFill>
              </w:rPr>
            </w:pPr>
          </w:p>
        </w:tc>
        <w:tc>
          <w:tcPr>
            <w:tcW w:w="566" w:type="dxa"/>
            <w:vAlign w:val="center"/>
          </w:tcPr>
          <w:p w14:paraId="6AACF69C">
            <w:pPr>
              <w:pStyle w:val="177"/>
              <w:jc w:val="center"/>
              <w:rPr>
                <w:rFonts w:ascii="宋体" w:hAnsi="宋体"/>
                <w:color w:val="000000" w:themeColor="text1"/>
                <w:szCs w:val="21"/>
                <w:highlight w:val="none"/>
                <w14:textFill>
                  <w14:solidFill>
                    <w14:schemeClr w14:val="tx1"/>
                  </w14:solidFill>
                </w14:textFill>
              </w:rPr>
            </w:pPr>
          </w:p>
        </w:tc>
        <w:tc>
          <w:tcPr>
            <w:tcW w:w="426" w:type="dxa"/>
            <w:vAlign w:val="center"/>
          </w:tcPr>
          <w:p w14:paraId="70A5ECC3">
            <w:pPr>
              <w:pStyle w:val="177"/>
              <w:jc w:val="center"/>
              <w:rPr>
                <w:rFonts w:ascii="宋体" w:hAnsi="宋体"/>
                <w:color w:val="000000" w:themeColor="text1"/>
                <w:szCs w:val="21"/>
                <w:highlight w:val="none"/>
                <w14:textFill>
                  <w14:solidFill>
                    <w14:schemeClr w14:val="tx1"/>
                  </w14:solidFill>
                </w14:textFill>
              </w:rPr>
            </w:pPr>
          </w:p>
        </w:tc>
        <w:tc>
          <w:tcPr>
            <w:tcW w:w="426" w:type="dxa"/>
            <w:vAlign w:val="center"/>
          </w:tcPr>
          <w:p w14:paraId="397DC37E">
            <w:pPr>
              <w:pStyle w:val="177"/>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16233E49">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5F883D62">
            <w:pPr>
              <w:pStyle w:val="177"/>
              <w:jc w:val="center"/>
              <w:rPr>
                <w:rFonts w:ascii="宋体" w:hAnsi="宋体"/>
                <w:color w:val="000000" w:themeColor="text1"/>
                <w:szCs w:val="21"/>
                <w:highlight w:val="none"/>
                <w14:textFill>
                  <w14:solidFill>
                    <w14:schemeClr w14:val="tx1"/>
                  </w14:solidFill>
                </w14:textFill>
              </w:rPr>
            </w:pPr>
          </w:p>
        </w:tc>
        <w:tc>
          <w:tcPr>
            <w:tcW w:w="426" w:type="dxa"/>
            <w:vAlign w:val="center"/>
          </w:tcPr>
          <w:p w14:paraId="29C8BDEC">
            <w:pPr>
              <w:pStyle w:val="177"/>
              <w:jc w:val="center"/>
              <w:rPr>
                <w:rFonts w:ascii="宋体" w:hAnsi="宋体"/>
                <w:color w:val="000000" w:themeColor="text1"/>
                <w:szCs w:val="21"/>
                <w:highlight w:val="none"/>
                <w14:textFill>
                  <w14:solidFill>
                    <w14:schemeClr w14:val="tx1"/>
                  </w14:solidFill>
                </w14:textFill>
              </w:rPr>
            </w:pPr>
          </w:p>
        </w:tc>
        <w:tc>
          <w:tcPr>
            <w:tcW w:w="567" w:type="dxa"/>
            <w:vAlign w:val="center"/>
          </w:tcPr>
          <w:p w14:paraId="59AABA94">
            <w:pPr>
              <w:pStyle w:val="177"/>
              <w:jc w:val="center"/>
              <w:rPr>
                <w:rFonts w:ascii="宋体" w:hAnsi="宋体"/>
                <w:color w:val="000000" w:themeColor="text1"/>
                <w:szCs w:val="21"/>
                <w:highlight w:val="none"/>
                <w14:textFill>
                  <w14:solidFill>
                    <w14:schemeClr w14:val="tx1"/>
                  </w14:solidFill>
                </w14:textFill>
              </w:rPr>
            </w:pPr>
          </w:p>
        </w:tc>
      </w:tr>
    </w:tbl>
    <w:p w14:paraId="7837CC96">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085C2531">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附件2：</w:t>
      </w:r>
    </w:p>
    <w:p w14:paraId="4C457E03">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工程质量保修书（房屋建筑工程）</w:t>
      </w:r>
    </w:p>
    <w:p w14:paraId="6D477E91">
      <w:pPr>
        <w:pStyle w:val="177"/>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lang w:eastAsia="zh-CN"/>
          <w14:textFill>
            <w14:solidFill>
              <w14:schemeClr w14:val="tx1"/>
            </w14:solidFill>
          </w14:textFill>
        </w:rPr>
        <w:t>广西艺术学院</w:t>
      </w:r>
    </w:p>
    <w:p w14:paraId="0C7598F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bookmarkStart w:id="1150" w:name="OLE_LINK60"/>
      <w:r>
        <w:rPr>
          <w:rFonts w:ascii="宋体" w:hAnsi="宋体"/>
          <w:color w:val="000000" w:themeColor="text1"/>
          <w:szCs w:val="21"/>
          <w:highlight w:val="none"/>
          <w:u w:val="single"/>
          <w14:textFill>
            <w14:solidFill>
              <w14:schemeClr w14:val="tx1"/>
            </w14:solidFill>
          </w14:textFill>
        </w:rPr>
        <w:t xml:space="preserve">      </w:t>
      </w:r>
      <w:bookmarkEnd w:id="1150"/>
    </w:p>
    <w:p w14:paraId="0B8BEA9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发包人和承包人根据《中华人民共和国建筑法》和《建设工程质量管理条例》，经协商一致就</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6299146F">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一、工程质量保修范围和内容</w:t>
      </w:r>
    </w:p>
    <w:p w14:paraId="198F4BB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承包人在质量保修期内，按照有关法律规定和合同约定，承担工程质量保修责任。</w:t>
      </w:r>
    </w:p>
    <w:p w14:paraId="42B700F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AE10E76">
      <w:pPr>
        <w:pStyle w:val="177"/>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w:t>
      </w:r>
    </w:p>
    <w:p w14:paraId="790E1370">
      <w:pPr>
        <w:pStyle w:val="177"/>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防水防渗工程质量保证金中扣留用于质量保修的各项支出；若质量保证金不足以抵扣实际支出费用，发包人有权要求承包人补足差额。</w:t>
      </w:r>
    </w:p>
    <w:p w14:paraId="2F4F6C91">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二、质量保修期</w:t>
      </w:r>
    </w:p>
    <w:p w14:paraId="6759457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9C7A65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D1A982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2．屋面防水工程、有防水要求的卫生间、房间和外墙面的防渗为</w:t>
      </w:r>
      <w:r>
        <w:rPr>
          <w:rFonts w:hint="eastAsia" w:ascii="宋体" w:hAnsi="宋体"/>
          <w:color w:val="000000" w:themeColor="text1"/>
          <w:szCs w:val="21"/>
          <w:highlight w:val="none"/>
          <w:u w:val="singl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p>
    <w:p w14:paraId="488FCBB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p>
    <w:p w14:paraId="621BDE0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p>
    <w:p w14:paraId="4B8365F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个采暖期、供冷期；</w:t>
      </w:r>
    </w:p>
    <w:p w14:paraId="0D5C8FE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p>
    <w:p w14:paraId="31DEDFD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7．其他项目保修期限约定如下：</w:t>
      </w:r>
      <w:r>
        <w:rPr>
          <w:rFonts w:hint="eastAsia" w:ascii="宋体" w:hAnsi="宋体"/>
          <w:color w:val="000000" w:themeColor="text1"/>
          <w:szCs w:val="21"/>
          <w:highlight w:val="none"/>
          <w:u w:val="single"/>
          <w14:textFill>
            <w14:solidFill>
              <w14:schemeClr w14:val="tx1"/>
            </w14:solidFill>
          </w14:textFill>
        </w:rPr>
        <w:t>1年</w:t>
      </w:r>
      <w:r>
        <w:rPr>
          <w:rFonts w:hint="eastAsia" w:ascii="宋体" w:hAnsi="宋体"/>
          <w:color w:val="000000" w:themeColor="text1"/>
          <w:szCs w:val="21"/>
          <w:highlight w:val="none"/>
          <w14:textFill>
            <w14:solidFill>
              <w14:schemeClr w14:val="tx1"/>
            </w14:solidFill>
          </w14:textFill>
        </w:rPr>
        <w:t>。</w:t>
      </w:r>
    </w:p>
    <w:p w14:paraId="7B9B7BC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质量保修期自工程竣工验收合格之日起计算。</w:t>
      </w:r>
    </w:p>
    <w:p w14:paraId="0B8D89B2">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三、缺陷责任期</w:t>
      </w:r>
    </w:p>
    <w:p w14:paraId="527AF4D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0A49F14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缺陷责任期满之日起</w:t>
      </w:r>
      <w:r>
        <w:rPr>
          <w:rFonts w:hint="eastAsia" w:ascii="宋体" w:hAnsi="宋体"/>
          <w:color w:val="000000" w:themeColor="text1"/>
          <w:szCs w:val="21"/>
          <w:highlight w:val="none"/>
          <w:u w:val="single"/>
          <w14:textFill>
            <w14:solidFill>
              <w14:schemeClr w14:val="tx1"/>
            </w14:solidFill>
          </w14:textFill>
        </w:rPr>
        <w:t>14个工作日内</w:t>
      </w:r>
      <w:r>
        <w:rPr>
          <w:rFonts w:hint="eastAsia" w:ascii="宋体" w:hAnsi="宋体"/>
          <w:color w:val="000000" w:themeColor="text1"/>
          <w:szCs w:val="21"/>
          <w:highlight w:val="none"/>
          <w14:textFill>
            <w14:solidFill>
              <w14:schemeClr w14:val="tx1"/>
            </w14:solidFill>
          </w14:textFill>
        </w:rPr>
        <w:t>，发包人应退还剩余的质量保证金</w:t>
      </w:r>
      <w:r>
        <w:rPr>
          <w:rFonts w:hint="eastAsia" w:ascii="宋体" w:hAnsi="宋体"/>
          <w:color w:val="000000" w:themeColor="text1"/>
          <w:szCs w:val="21"/>
          <w:highlight w:val="none"/>
          <w:u w:val="single"/>
          <w14:textFill>
            <w14:solidFill>
              <w14:schemeClr w14:val="tx1"/>
            </w14:solidFill>
          </w14:textFill>
        </w:rPr>
        <w:t>（防水防渗工程质量保证金待工程竣工验收合格之日起满五年后的14个工作日内退还），无息</w:t>
      </w:r>
      <w:r>
        <w:rPr>
          <w:rFonts w:hint="eastAsia" w:ascii="宋体" w:hAnsi="宋体"/>
          <w:color w:val="000000" w:themeColor="text1"/>
          <w:szCs w:val="21"/>
          <w:highlight w:val="none"/>
          <w14:textFill>
            <w14:solidFill>
              <w14:schemeClr w14:val="tx1"/>
            </w14:solidFill>
          </w14:textFill>
        </w:rPr>
        <w:t>。</w:t>
      </w:r>
    </w:p>
    <w:p w14:paraId="047E68E6">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四、质量保修责任</w:t>
      </w:r>
    </w:p>
    <w:p w14:paraId="5301F60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w:t>
      </w:r>
      <w:r>
        <w:rPr>
          <w:rFonts w:hint="eastAsia" w:ascii="宋体" w:hAnsi="宋体"/>
          <w:color w:val="000000" w:themeColor="text1"/>
          <w:szCs w:val="21"/>
          <w:highlight w:val="none"/>
          <w:u w:val="single"/>
          <w14:textFill>
            <w14:solidFill>
              <w14:schemeClr w14:val="tx1"/>
            </w14:solidFill>
          </w14:textFill>
        </w:rPr>
        <w:t>门（窗）锁、水龙头（冲水阀）、灯具等</w:t>
      </w:r>
      <w:r>
        <w:rPr>
          <w:rFonts w:hint="eastAsia" w:ascii="宋体" w:hAnsi="宋体"/>
          <w:color w:val="000000" w:themeColor="text1"/>
          <w:szCs w:val="21"/>
          <w:highlight w:val="none"/>
          <w14:textFill>
            <w14:solidFill>
              <w14:schemeClr w14:val="tx1"/>
            </w14:solidFill>
          </w14:textFill>
        </w:rPr>
        <w:t>，承包人应在接到保修电话通知后</w:t>
      </w:r>
      <w:r>
        <w:rPr>
          <w:rFonts w:hint="eastAsia" w:ascii="宋体" w:hAnsi="宋体"/>
          <w:color w:val="000000" w:themeColor="text1"/>
          <w:szCs w:val="21"/>
          <w:highlight w:val="none"/>
          <w:u w:val="single"/>
          <w14:textFill>
            <w14:solidFill>
              <w14:schemeClr w14:val="tx1"/>
            </w14:solidFill>
          </w14:textFill>
        </w:rPr>
        <w:t>8小时</w:t>
      </w:r>
      <w:r>
        <w:rPr>
          <w:rFonts w:hint="eastAsia" w:ascii="宋体" w:hAnsi="宋体"/>
          <w:color w:val="000000" w:themeColor="text1"/>
          <w:szCs w:val="21"/>
          <w:highlight w:val="none"/>
          <w14:textFill>
            <w14:solidFill>
              <w14:schemeClr w14:val="tx1"/>
            </w14:solidFill>
          </w14:textFill>
        </w:rPr>
        <w:t>内派人保修，</w:t>
      </w:r>
      <w:r>
        <w:rPr>
          <w:rFonts w:hint="eastAsia" w:ascii="宋体" w:hAnsi="宋体"/>
          <w:color w:val="000000" w:themeColor="text1"/>
          <w:szCs w:val="21"/>
          <w:highlight w:val="none"/>
          <w:u w:val="single"/>
          <w14:textFill>
            <w14:solidFill>
              <w14:schemeClr w14:val="tx1"/>
            </w14:solidFill>
          </w14:textFill>
        </w:rPr>
        <w:t>其余项目在2天内派人保修</w:t>
      </w:r>
      <w:r>
        <w:rPr>
          <w:rFonts w:hint="eastAsia" w:ascii="宋体" w:hAnsi="宋体"/>
          <w:color w:val="000000" w:themeColor="text1"/>
          <w:szCs w:val="21"/>
          <w:highlight w:val="none"/>
          <w14:textFill>
            <w14:solidFill>
              <w14:schemeClr w14:val="tx1"/>
            </w14:solidFill>
          </w14:textFill>
        </w:rPr>
        <w:t>。承包人不在约定期限内派人保修的，发包人可以委托他人修理，修理费用从质量保证金内扣除。</w:t>
      </w:r>
    </w:p>
    <w:p w14:paraId="1A2CEB4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B79308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1473F3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630407D1">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五、保修费用</w:t>
      </w:r>
    </w:p>
    <w:p w14:paraId="6F6B6A0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保修费用由造成质量缺陷的责任方承担。</w:t>
      </w:r>
    </w:p>
    <w:p w14:paraId="22E0A53B">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六、双方约定的其他工程质量保修事项：</w:t>
      </w:r>
    </w:p>
    <w:p w14:paraId="687B7E2A">
      <w:pPr>
        <w:pStyle w:val="177"/>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承包人未按照法律法规有关规定和合同约定履行质量保修义务的，发包人有权从质量保证金中扣留用于质量保修的各项支出；若质量保证金不足以抵扣实际支出费用，发包人有权要求承包人补足差额。</w:t>
      </w:r>
    </w:p>
    <w:p w14:paraId="000C01D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前述处理方式，并不表示承包人可以不再履行质量保修义务、免于承担违约责任</w:t>
      </w:r>
      <w:r>
        <w:rPr>
          <w:rFonts w:hint="eastAsia" w:ascii="宋体" w:hAnsi="宋体"/>
          <w:color w:val="000000" w:themeColor="text1"/>
          <w:szCs w:val="21"/>
          <w:highlight w:val="none"/>
          <w14:textFill>
            <w14:solidFill>
              <w14:schemeClr w14:val="tx1"/>
            </w14:solidFill>
          </w14:textFill>
        </w:rPr>
        <w:t>。</w:t>
      </w:r>
    </w:p>
    <w:p w14:paraId="7243EB8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2150A31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0CDA887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6205E53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20ED7EB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052B70C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tbl>
      <w:tblPr>
        <w:tblStyle w:val="38"/>
        <w:tblW w:w="0" w:type="auto"/>
        <w:tblInd w:w="108" w:type="dxa"/>
        <w:tblLayout w:type="autofit"/>
        <w:tblCellMar>
          <w:top w:w="0" w:type="dxa"/>
          <w:left w:w="108" w:type="dxa"/>
          <w:bottom w:w="0" w:type="dxa"/>
          <w:right w:w="108" w:type="dxa"/>
        </w:tblCellMar>
      </w:tblPr>
      <w:tblGrid>
        <w:gridCol w:w="4672"/>
        <w:gridCol w:w="4672"/>
      </w:tblGrid>
      <w:tr w14:paraId="078369E1">
        <w:tblPrEx>
          <w:tblCellMar>
            <w:top w:w="0" w:type="dxa"/>
            <w:left w:w="108" w:type="dxa"/>
            <w:bottom w:w="0" w:type="dxa"/>
            <w:right w:w="108" w:type="dxa"/>
          </w:tblCellMar>
        </w:tblPrEx>
        <w:trPr>
          <w:trHeight w:val="1021" w:hRule="atLeast"/>
        </w:trPr>
        <w:tc>
          <w:tcPr>
            <w:tcW w:w="4672" w:type="dxa"/>
          </w:tcPr>
          <w:p w14:paraId="28CA0587">
            <w:pPr>
              <w:pStyle w:val="177"/>
              <w:spacing w:line="360" w:lineRule="auto"/>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lang w:eastAsia="zh-CN"/>
                <w14:textFill>
                  <w14:solidFill>
                    <w14:schemeClr w14:val="tx1"/>
                  </w14:solidFill>
                </w14:textFill>
              </w:rPr>
              <w:t>广西艺术学院</w:t>
            </w:r>
          </w:p>
        </w:tc>
        <w:tc>
          <w:tcPr>
            <w:tcW w:w="4672" w:type="dxa"/>
          </w:tcPr>
          <w:p w14:paraId="19F74719">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承包人（公章）：</w:t>
            </w:r>
            <w:r>
              <w:rPr>
                <w:rFonts w:ascii="宋体" w:hAnsi="宋体"/>
                <w:color w:val="000000" w:themeColor="text1"/>
                <w:szCs w:val="21"/>
                <w:highlight w:val="none"/>
                <w14:textFill>
                  <w14:solidFill>
                    <w14:schemeClr w14:val="tx1"/>
                  </w14:solidFill>
                </w14:textFill>
              </w:rPr>
              <w:t>______</w:t>
            </w:r>
          </w:p>
        </w:tc>
      </w:tr>
      <w:tr w14:paraId="0392F1C1">
        <w:tblPrEx>
          <w:tblCellMar>
            <w:top w:w="0" w:type="dxa"/>
            <w:left w:w="108" w:type="dxa"/>
            <w:bottom w:w="0" w:type="dxa"/>
            <w:right w:w="108" w:type="dxa"/>
          </w:tblCellMar>
        </w:tblPrEx>
        <w:trPr>
          <w:trHeight w:val="1021" w:hRule="atLeast"/>
        </w:trPr>
        <w:tc>
          <w:tcPr>
            <w:tcW w:w="4672" w:type="dxa"/>
          </w:tcPr>
          <w:p w14:paraId="79D36C48">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p>
        </w:tc>
        <w:tc>
          <w:tcPr>
            <w:tcW w:w="4672" w:type="dxa"/>
          </w:tcPr>
          <w:p w14:paraId="33DE17A1">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14:textFill>
                  <w14:solidFill>
                    <w14:schemeClr w14:val="tx1"/>
                  </w14:solidFill>
                </w14:textFill>
              </w:rPr>
              <w:t>______</w:t>
            </w:r>
          </w:p>
        </w:tc>
      </w:tr>
      <w:tr w14:paraId="20A19725">
        <w:tblPrEx>
          <w:tblCellMar>
            <w:top w:w="0" w:type="dxa"/>
            <w:left w:w="108" w:type="dxa"/>
            <w:bottom w:w="0" w:type="dxa"/>
            <w:right w:w="108" w:type="dxa"/>
          </w:tblCellMar>
        </w:tblPrEx>
        <w:trPr>
          <w:trHeight w:val="1021" w:hRule="atLeast"/>
        </w:trPr>
        <w:tc>
          <w:tcPr>
            <w:tcW w:w="4672" w:type="dxa"/>
          </w:tcPr>
          <w:p w14:paraId="491B9969">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法定代表人（签章）：</w:t>
            </w:r>
          </w:p>
        </w:tc>
        <w:tc>
          <w:tcPr>
            <w:tcW w:w="4672" w:type="dxa"/>
          </w:tcPr>
          <w:p w14:paraId="3AAB0B55">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法定代表人（签章）：</w:t>
            </w:r>
            <w:r>
              <w:rPr>
                <w:rFonts w:ascii="宋体" w:hAnsi="宋体"/>
                <w:color w:val="000000" w:themeColor="text1"/>
                <w:szCs w:val="21"/>
                <w:highlight w:val="none"/>
                <w14:textFill>
                  <w14:solidFill>
                    <w14:schemeClr w14:val="tx1"/>
                  </w14:solidFill>
                </w14:textFill>
              </w:rPr>
              <w:t>______</w:t>
            </w:r>
          </w:p>
        </w:tc>
      </w:tr>
      <w:tr w14:paraId="1F6D4DDB">
        <w:tblPrEx>
          <w:tblCellMar>
            <w:top w:w="0" w:type="dxa"/>
            <w:left w:w="108" w:type="dxa"/>
            <w:bottom w:w="0" w:type="dxa"/>
            <w:right w:w="108" w:type="dxa"/>
          </w:tblCellMar>
        </w:tblPrEx>
        <w:trPr>
          <w:trHeight w:val="1021" w:hRule="atLeast"/>
        </w:trPr>
        <w:tc>
          <w:tcPr>
            <w:tcW w:w="4672" w:type="dxa"/>
          </w:tcPr>
          <w:p w14:paraId="727E2644">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p>
        </w:tc>
        <w:tc>
          <w:tcPr>
            <w:tcW w:w="4672" w:type="dxa"/>
          </w:tcPr>
          <w:p w14:paraId="5763E486">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ascii="宋体" w:hAnsi="宋体"/>
                <w:color w:val="000000" w:themeColor="text1"/>
                <w:szCs w:val="21"/>
                <w:highlight w:val="none"/>
                <w14:textFill>
                  <w14:solidFill>
                    <w14:schemeClr w14:val="tx1"/>
                  </w14:solidFill>
                </w14:textFill>
              </w:rPr>
              <w:t>______</w:t>
            </w:r>
          </w:p>
        </w:tc>
      </w:tr>
      <w:tr w14:paraId="5126EDCB">
        <w:tblPrEx>
          <w:tblCellMar>
            <w:top w:w="0" w:type="dxa"/>
            <w:left w:w="108" w:type="dxa"/>
            <w:bottom w:w="0" w:type="dxa"/>
            <w:right w:w="108" w:type="dxa"/>
          </w:tblCellMar>
        </w:tblPrEx>
        <w:trPr>
          <w:trHeight w:val="1021" w:hRule="atLeast"/>
        </w:trPr>
        <w:tc>
          <w:tcPr>
            <w:tcW w:w="4672" w:type="dxa"/>
          </w:tcPr>
          <w:p w14:paraId="6F243A4F">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电话：0771-</w:t>
            </w:r>
          </w:p>
        </w:tc>
        <w:tc>
          <w:tcPr>
            <w:tcW w:w="4672" w:type="dxa"/>
          </w:tcPr>
          <w:p w14:paraId="3050B175">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14:textFill>
                  <w14:solidFill>
                    <w14:schemeClr w14:val="tx1"/>
                  </w14:solidFill>
                </w14:textFill>
              </w:rPr>
              <w:t>______</w:t>
            </w:r>
          </w:p>
        </w:tc>
      </w:tr>
      <w:tr w14:paraId="10C0C332">
        <w:tblPrEx>
          <w:tblCellMar>
            <w:top w:w="0" w:type="dxa"/>
            <w:left w:w="108" w:type="dxa"/>
            <w:bottom w:w="0" w:type="dxa"/>
            <w:right w:w="108" w:type="dxa"/>
          </w:tblCellMar>
        </w:tblPrEx>
        <w:trPr>
          <w:trHeight w:val="1021" w:hRule="atLeast"/>
        </w:trPr>
        <w:tc>
          <w:tcPr>
            <w:tcW w:w="4672" w:type="dxa"/>
          </w:tcPr>
          <w:p w14:paraId="6C33BD9D">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传真：0771-</w:t>
            </w:r>
          </w:p>
        </w:tc>
        <w:tc>
          <w:tcPr>
            <w:tcW w:w="4672" w:type="dxa"/>
          </w:tcPr>
          <w:p w14:paraId="5C24DE12">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14:textFill>
                  <w14:solidFill>
                    <w14:schemeClr w14:val="tx1"/>
                  </w14:solidFill>
                </w14:textFill>
              </w:rPr>
              <w:t>______</w:t>
            </w:r>
          </w:p>
        </w:tc>
      </w:tr>
      <w:tr w14:paraId="55F0667B">
        <w:tblPrEx>
          <w:tblCellMar>
            <w:top w:w="0" w:type="dxa"/>
            <w:left w:w="108" w:type="dxa"/>
            <w:bottom w:w="0" w:type="dxa"/>
            <w:right w:w="108" w:type="dxa"/>
          </w:tblCellMar>
        </w:tblPrEx>
        <w:trPr>
          <w:trHeight w:val="1021" w:hRule="atLeast"/>
        </w:trPr>
        <w:tc>
          <w:tcPr>
            <w:tcW w:w="4672" w:type="dxa"/>
          </w:tcPr>
          <w:p w14:paraId="2522DEE0">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c>
          <w:tcPr>
            <w:tcW w:w="4672" w:type="dxa"/>
          </w:tcPr>
          <w:p w14:paraId="30E74613">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ascii="宋体" w:hAnsi="宋体"/>
                <w:color w:val="000000" w:themeColor="text1"/>
                <w:szCs w:val="21"/>
                <w:highlight w:val="none"/>
                <w14:textFill>
                  <w14:solidFill>
                    <w14:schemeClr w14:val="tx1"/>
                  </w14:solidFill>
                </w14:textFill>
              </w:rPr>
              <w:t>______</w:t>
            </w:r>
          </w:p>
        </w:tc>
      </w:tr>
      <w:tr w14:paraId="113AA9CA">
        <w:tblPrEx>
          <w:tblCellMar>
            <w:top w:w="0" w:type="dxa"/>
            <w:left w:w="108" w:type="dxa"/>
            <w:bottom w:w="0" w:type="dxa"/>
            <w:right w:w="108" w:type="dxa"/>
          </w:tblCellMar>
        </w:tblPrEx>
        <w:trPr>
          <w:trHeight w:val="1021" w:hRule="atLeast"/>
        </w:trPr>
        <w:tc>
          <w:tcPr>
            <w:tcW w:w="4672" w:type="dxa"/>
          </w:tcPr>
          <w:p w14:paraId="30E8E666">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c>
          <w:tcPr>
            <w:tcW w:w="4672" w:type="dxa"/>
          </w:tcPr>
          <w:p w14:paraId="47983DEB">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r>
              <w:rPr>
                <w:rFonts w:ascii="宋体" w:hAnsi="宋体"/>
                <w:color w:val="000000" w:themeColor="text1"/>
                <w:szCs w:val="21"/>
                <w:highlight w:val="none"/>
                <w14:textFill>
                  <w14:solidFill>
                    <w14:schemeClr w14:val="tx1"/>
                  </w14:solidFill>
                </w14:textFill>
              </w:rPr>
              <w:t>______</w:t>
            </w:r>
          </w:p>
        </w:tc>
      </w:tr>
      <w:tr w14:paraId="285EB524">
        <w:tblPrEx>
          <w:tblCellMar>
            <w:top w:w="0" w:type="dxa"/>
            <w:left w:w="108" w:type="dxa"/>
            <w:bottom w:w="0" w:type="dxa"/>
            <w:right w:w="108" w:type="dxa"/>
          </w:tblCellMar>
        </w:tblPrEx>
        <w:trPr>
          <w:trHeight w:val="1021" w:hRule="atLeast"/>
        </w:trPr>
        <w:tc>
          <w:tcPr>
            <w:tcW w:w="4672" w:type="dxa"/>
          </w:tcPr>
          <w:p w14:paraId="5F5128FE">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邮政编码：530004</w:t>
            </w:r>
          </w:p>
        </w:tc>
        <w:tc>
          <w:tcPr>
            <w:tcW w:w="4672" w:type="dxa"/>
          </w:tcPr>
          <w:p w14:paraId="46485595">
            <w:pPr>
              <w:pStyle w:val="177"/>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14:textFill>
                  <w14:solidFill>
                    <w14:schemeClr w14:val="tx1"/>
                  </w14:solidFill>
                </w14:textFill>
              </w:rPr>
              <w:t>______</w:t>
            </w:r>
          </w:p>
        </w:tc>
      </w:tr>
    </w:tbl>
    <w:p w14:paraId="4BED0FCC">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B6BA500">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附件3：</w:t>
      </w:r>
    </w:p>
    <w:p w14:paraId="4BA5CD50">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主要建设工程文件目录</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594"/>
        <w:gridCol w:w="1684"/>
        <w:gridCol w:w="1594"/>
        <w:gridCol w:w="1596"/>
        <w:gridCol w:w="1596"/>
      </w:tblGrid>
      <w:tr w14:paraId="3FA7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593" w:type="dxa"/>
          </w:tcPr>
          <w:p w14:paraId="32C24783">
            <w:pPr>
              <w:pStyle w:val="177"/>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文件名称</w:t>
            </w:r>
          </w:p>
        </w:tc>
        <w:tc>
          <w:tcPr>
            <w:tcW w:w="1594" w:type="dxa"/>
          </w:tcPr>
          <w:p w14:paraId="623E3113">
            <w:pPr>
              <w:pStyle w:val="177"/>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套数</w:t>
            </w:r>
          </w:p>
        </w:tc>
        <w:tc>
          <w:tcPr>
            <w:tcW w:w="1684" w:type="dxa"/>
          </w:tcPr>
          <w:p w14:paraId="06ED807F">
            <w:pPr>
              <w:pStyle w:val="177"/>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费用（元）</w:t>
            </w:r>
          </w:p>
        </w:tc>
        <w:tc>
          <w:tcPr>
            <w:tcW w:w="1594" w:type="dxa"/>
          </w:tcPr>
          <w:p w14:paraId="60672C66">
            <w:pPr>
              <w:pStyle w:val="177"/>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w:t>
            </w:r>
          </w:p>
        </w:tc>
        <w:tc>
          <w:tcPr>
            <w:tcW w:w="1596" w:type="dxa"/>
          </w:tcPr>
          <w:p w14:paraId="711F41F5">
            <w:pPr>
              <w:pStyle w:val="177"/>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596" w:type="dxa"/>
          </w:tcPr>
          <w:p w14:paraId="57324C56">
            <w:pPr>
              <w:pStyle w:val="177"/>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7376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93" w:type="dxa"/>
          </w:tcPr>
          <w:p w14:paraId="16331CB6">
            <w:pPr>
              <w:pStyle w:val="177"/>
              <w:spacing w:line="360" w:lineRule="auto"/>
              <w:jc w:val="center"/>
              <w:rPr>
                <w:rFonts w:ascii="宋体" w:hAnsi="宋体"/>
                <w:color w:val="000000" w:themeColor="text1"/>
                <w:szCs w:val="21"/>
                <w:highlight w:val="none"/>
                <w14:textFill>
                  <w14:solidFill>
                    <w14:schemeClr w14:val="tx1"/>
                  </w14:solidFill>
                </w14:textFill>
              </w:rPr>
            </w:pPr>
          </w:p>
        </w:tc>
        <w:tc>
          <w:tcPr>
            <w:tcW w:w="1594" w:type="dxa"/>
          </w:tcPr>
          <w:p w14:paraId="41E13720">
            <w:pPr>
              <w:pStyle w:val="177"/>
              <w:spacing w:line="360" w:lineRule="auto"/>
              <w:jc w:val="center"/>
              <w:rPr>
                <w:rFonts w:ascii="宋体" w:hAnsi="宋体"/>
                <w:color w:val="000000" w:themeColor="text1"/>
                <w:szCs w:val="21"/>
                <w:highlight w:val="none"/>
                <w14:textFill>
                  <w14:solidFill>
                    <w14:schemeClr w14:val="tx1"/>
                  </w14:solidFill>
                </w14:textFill>
              </w:rPr>
            </w:pPr>
          </w:p>
        </w:tc>
        <w:tc>
          <w:tcPr>
            <w:tcW w:w="1684" w:type="dxa"/>
          </w:tcPr>
          <w:p w14:paraId="780CABA0">
            <w:pPr>
              <w:pStyle w:val="177"/>
              <w:spacing w:line="360" w:lineRule="auto"/>
              <w:jc w:val="center"/>
              <w:rPr>
                <w:rFonts w:ascii="宋体" w:hAnsi="宋体"/>
                <w:color w:val="000000" w:themeColor="text1"/>
                <w:szCs w:val="21"/>
                <w:highlight w:val="none"/>
                <w14:textFill>
                  <w14:solidFill>
                    <w14:schemeClr w14:val="tx1"/>
                  </w14:solidFill>
                </w14:textFill>
              </w:rPr>
            </w:pPr>
          </w:p>
        </w:tc>
        <w:tc>
          <w:tcPr>
            <w:tcW w:w="1594" w:type="dxa"/>
          </w:tcPr>
          <w:p w14:paraId="192113A3">
            <w:pPr>
              <w:pStyle w:val="177"/>
              <w:spacing w:line="360" w:lineRule="auto"/>
              <w:jc w:val="center"/>
              <w:rPr>
                <w:rFonts w:ascii="宋体" w:hAnsi="宋体"/>
                <w:color w:val="000000" w:themeColor="text1"/>
                <w:szCs w:val="21"/>
                <w:highlight w:val="none"/>
                <w14:textFill>
                  <w14:solidFill>
                    <w14:schemeClr w14:val="tx1"/>
                  </w14:solidFill>
                </w14:textFill>
              </w:rPr>
            </w:pPr>
          </w:p>
        </w:tc>
        <w:tc>
          <w:tcPr>
            <w:tcW w:w="1596" w:type="dxa"/>
          </w:tcPr>
          <w:p w14:paraId="24FB0718">
            <w:pPr>
              <w:pStyle w:val="177"/>
              <w:spacing w:line="360" w:lineRule="auto"/>
              <w:jc w:val="center"/>
              <w:rPr>
                <w:rFonts w:ascii="宋体" w:hAnsi="宋体"/>
                <w:color w:val="000000" w:themeColor="text1"/>
                <w:szCs w:val="21"/>
                <w:highlight w:val="none"/>
                <w14:textFill>
                  <w14:solidFill>
                    <w14:schemeClr w14:val="tx1"/>
                  </w14:solidFill>
                </w14:textFill>
              </w:rPr>
            </w:pPr>
          </w:p>
        </w:tc>
        <w:tc>
          <w:tcPr>
            <w:tcW w:w="1596" w:type="dxa"/>
          </w:tcPr>
          <w:p w14:paraId="4D4BE402">
            <w:pPr>
              <w:pStyle w:val="177"/>
              <w:spacing w:line="360" w:lineRule="auto"/>
              <w:jc w:val="center"/>
              <w:rPr>
                <w:rFonts w:ascii="宋体" w:hAnsi="宋体"/>
                <w:color w:val="000000" w:themeColor="text1"/>
                <w:szCs w:val="21"/>
                <w:highlight w:val="none"/>
                <w14:textFill>
                  <w14:solidFill>
                    <w14:schemeClr w14:val="tx1"/>
                  </w14:solidFill>
                </w14:textFill>
              </w:rPr>
            </w:pPr>
          </w:p>
        </w:tc>
      </w:tr>
    </w:tbl>
    <w:p w14:paraId="35972870">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70A90F96">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附件4：</w:t>
      </w:r>
    </w:p>
    <w:p w14:paraId="47B231A1">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承包人用于本工程施工的机械设备表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9"/>
        <w:gridCol w:w="1039"/>
      </w:tblGrid>
      <w:tr w14:paraId="53BE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6991481B">
            <w:pPr>
              <w:pStyle w:val="7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038" w:type="dxa"/>
            <w:vAlign w:val="center"/>
          </w:tcPr>
          <w:p w14:paraId="5A720D28">
            <w:pPr>
              <w:pStyle w:val="7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机械或设备名称</w:t>
            </w:r>
          </w:p>
        </w:tc>
        <w:tc>
          <w:tcPr>
            <w:tcW w:w="1038" w:type="dxa"/>
            <w:vAlign w:val="center"/>
          </w:tcPr>
          <w:p w14:paraId="77B028DC">
            <w:pPr>
              <w:pStyle w:val="7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规格型号</w:t>
            </w:r>
          </w:p>
        </w:tc>
        <w:tc>
          <w:tcPr>
            <w:tcW w:w="1038" w:type="dxa"/>
            <w:vAlign w:val="center"/>
          </w:tcPr>
          <w:p w14:paraId="4B1EEBD7">
            <w:pPr>
              <w:pStyle w:val="7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038" w:type="dxa"/>
            <w:vAlign w:val="center"/>
          </w:tcPr>
          <w:p w14:paraId="259EF5E5">
            <w:pPr>
              <w:pStyle w:val="7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038" w:type="dxa"/>
            <w:vAlign w:val="center"/>
          </w:tcPr>
          <w:p w14:paraId="784EDF64">
            <w:pPr>
              <w:pStyle w:val="7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制造年份</w:t>
            </w:r>
          </w:p>
        </w:tc>
        <w:tc>
          <w:tcPr>
            <w:tcW w:w="1038" w:type="dxa"/>
            <w:vAlign w:val="center"/>
          </w:tcPr>
          <w:p w14:paraId="419E226D">
            <w:pPr>
              <w:pStyle w:val="7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额定功率（kW）</w:t>
            </w:r>
          </w:p>
        </w:tc>
        <w:tc>
          <w:tcPr>
            <w:tcW w:w="1039" w:type="dxa"/>
            <w:vAlign w:val="center"/>
          </w:tcPr>
          <w:p w14:paraId="0D835B6B">
            <w:pPr>
              <w:pStyle w:val="7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生产能力</w:t>
            </w:r>
          </w:p>
        </w:tc>
        <w:tc>
          <w:tcPr>
            <w:tcW w:w="1039" w:type="dxa"/>
            <w:vAlign w:val="center"/>
          </w:tcPr>
          <w:p w14:paraId="2DD69DE3">
            <w:pPr>
              <w:pStyle w:val="7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39D2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4CCB134D">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3C788542">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20817B96">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78B1B8ED">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6A3D5844">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358837A6">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4CC54E77">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57ABB851">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56900D4A">
            <w:pPr>
              <w:pStyle w:val="72"/>
              <w:jc w:val="center"/>
              <w:rPr>
                <w:rFonts w:ascii="宋体" w:hAnsi="宋体"/>
                <w:color w:val="000000" w:themeColor="text1"/>
                <w:szCs w:val="21"/>
                <w:highlight w:val="none"/>
                <w14:textFill>
                  <w14:solidFill>
                    <w14:schemeClr w14:val="tx1"/>
                  </w14:solidFill>
                </w14:textFill>
              </w:rPr>
            </w:pPr>
          </w:p>
        </w:tc>
      </w:tr>
      <w:tr w14:paraId="3392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44145953">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523607C5">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7FB27D40">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6D0F9297">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3CBEE7F6">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5372448A">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3DB48BE6">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15D78CF5">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5DCF1EF2">
            <w:pPr>
              <w:pStyle w:val="72"/>
              <w:jc w:val="center"/>
              <w:rPr>
                <w:rFonts w:ascii="宋体" w:hAnsi="宋体"/>
                <w:color w:val="000000" w:themeColor="text1"/>
                <w:szCs w:val="21"/>
                <w:highlight w:val="none"/>
                <w14:textFill>
                  <w14:solidFill>
                    <w14:schemeClr w14:val="tx1"/>
                  </w14:solidFill>
                </w14:textFill>
              </w:rPr>
            </w:pPr>
          </w:p>
        </w:tc>
      </w:tr>
      <w:tr w14:paraId="78AD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2FEEE771">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297D5282">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0AD0EF4B">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2460ABED">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702EF204">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38EB072B">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59458270">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37727E4A">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1BC9A822">
            <w:pPr>
              <w:pStyle w:val="72"/>
              <w:jc w:val="center"/>
              <w:rPr>
                <w:rFonts w:ascii="宋体" w:hAnsi="宋体"/>
                <w:color w:val="000000" w:themeColor="text1"/>
                <w:szCs w:val="21"/>
                <w:highlight w:val="none"/>
                <w14:textFill>
                  <w14:solidFill>
                    <w14:schemeClr w14:val="tx1"/>
                  </w14:solidFill>
                </w14:textFill>
              </w:rPr>
            </w:pPr>
          </w:p>
        </w:tc>
      </w:tr>
      <w:tr w14:paraId="723A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13A0EB46">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4907330D">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708D4BD2">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6F9FE547">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1F3FD6DA">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43A6D29A">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476EEC44">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0C8E8857">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353D2856">
            <w:pPr>
              <w:pStyle w:val="72"/>
              <w:jc w:val="center"/>
              <w:rPr>
                <w:rFonts w:ascii="宋体" w:hAnsi="宋体"/>
                <w:color w:val="000000" w:themeColor="text1"/>
                <w:szCs w:val="21"/>
                <w:highlight w:val="none"/>
                <w14:textFill>
                  <w14:solidFill>
                    <w14:schemeClr w14:val="tx1"/>
                  </w14:solidFill>
                </w14:textFill>
              </w:rPr>
            </w:pPr>
          </w:p>
        </w:tc>
      </w:tr>
      <w:tr w14:paraId="7851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565C6E01">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371A8D56">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1B29026A">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799FD6E0">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29E37073">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231C961C">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2280ACCF">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545BC0BE">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2934E093">
            <w:pPr>
              <w:pStyle w:val="72"/>
              <w:jc w:val="center"/>
              <w:rPr>
                <w:rFonts w:ascii="宋体" w:hAnsi="宋体"/>
                <w:color w:val="000000" w:themeColor="text1"/>
                <w:szCs w:val="21"/>
                <w:highlight w:val="none"/>
                <w14:textFill>
                  <w14:solidFill>
                    <w14:schemeClr w14:val="tx1"/>
                  </w14:solidFill>
                </w14:textFill>
              </w:rPr>
            </w:pPr>
          </w:p>
        </w:tc>
      </w:tr>
      <w:tr w14:paraId="1B1C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1B551E94">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49774AFD">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7A984A9F">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6FF6DAFC">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65DA7503">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49D0AF81">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0A3D3100">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1362B0F8">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5254F432">
            <w:pPr>
              <w:pStyle w:val="72"/>
              <w:jc w:val="center"/>
              <w:rPr>
                <w:rFonts w:ascii="宋体" w:hAnsi="宋体"/>
                <w:color w:val="000000" w:themeColor="text1"/>
                <w:szCs w:val="21"/>
                <w:highlight w:val="none"/>
                <w14:textFill>
                  <w14:solidFill>
                    <w14:schemeClr w14:val="tx1"/>
                  </w14:solidFill>
                </w14:textFill>
              </w:rPr>
            </w:pPr>
          </w:p>
        </w:tc>
      </w:tr>
      <w:tr w14:paraId="1D6D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7A4A5E0C">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48465A17">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6E15635E">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4DA34E6A">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6F8F4438">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70309E24">
            <w:pPr>
              <w:pStyle w:val="72"/>
              <w:jc w:val="center"/>
              <w:rPr>
                <w:rFonts w:ascii="宋体" w:hAnsi="宋体"/>
                <w:color w:val="000000" w:themeColor="text1"/>
                <w:szCs w:val="21"/>
                <w:highlight w:val="none"/>
                <w14:textFill>
                  <w14:solidFill>
                    <w14:schemeClr w14:val="tx1"/>
                  </w14:solidFill>
                </w14:textFill>
              </w:rPr>
            </w:pPr>
          </w:p>
        </w:tc>
        <w:tc>
          <w:tcPr>
            <w:tcW w:w="1038" w:type="dxa"/>
            <w:vAlign w:val="center"/>
          </w:tcPr>
          <w:p w14:paraId="1D48DDF8">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2D5CA3FF">
            <w:pPr>
              <w:pStyle w:val="72"/>
              <w:jc w:val="center"/>
              <w:rPr>
                <w:rFonts w:ascii="宋体" w:hAnsi="宋体"/>
                <w:color w:val="000000" w:themeColor="text1"/>
                <w:szCs w:val="21"/>
                <w:highlight w:val="none"/>
                <w14:textFill>
                  <w14:solidFill>
                    <w14:schemeClr w14:val="tx1"/>
                  </w14:solidFill>
                </w14:textFill>
              </w:rPr>
            </w:pPr>
          </w:p>
        </w:tc>
        <w:tc>
          <w:tcPr>
            <w:tcW w:w="1039" w:type="dxa"/>
            <w:vAlign w:val="center"/>
          </w:tcPr>
          <w:p w14:paraId="64FEAA08">
            <w:pPr>
              <w:pStyle w:val="72"/>
              <w:jc w:val="center"/>
              <w:rPr>
                <w:rFonts w:ascii="宋体" w:hAnsi="宋体"/>
                <w:color w:val="000000" w:themeColor="text1"/>
                <w:szCs w:val="21"/>
                <w:highlight w:val="none"/>
                <w14:textFill>
                  <w14:solidFill>
                    <w14:schemeClr w14:val="tx1"/>
                  </w14:solidFill>
                </w14:textFill>
              </w:rPr>
            </w:pPr>
          </w:p>
        </w:tc>
      </w:tr>
    </w:tbl>
    <w:p w14:paraId="4790C222">
      <w:pPr>
        <w:pStyle w:val="177"/>
        <w:spacing w:line="360" w:lineRule="auto"/>
        <w:jc w:val="center"/>
        <w:rPr>
          <w:rFonts w:ascii="宋体" w:hAnsi="宋体"/>
          <w:color w:val="000000" w:themeColor="text1"/>
          <w:sz w:val="30"/>
          <w:szCs w:val="30"/>
          <w:highlight w:val="none"/>
          <w14:textFill>
            <w14:solidFill>
              <w14:schemeClr w14:val="tx1"/>
            </w14:solidFill>
          </w14:textFill>
        </w:rPr>
      </w:pPr>
    </w:p>
    <w:p w14:paraId="5BBBCDA0">
      <w:pPr>
        <w:pStyle w:val="177"/>
        <w:spacing w:line="360" w:lineRule="auto"/>
        <w:jc w:val="center"/>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A6FCF6D">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附件5：</w:t>
      </w:r>
    </w:p>
    <w:p w14:paraId="14A19091">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承包人主要施工管理人员表</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1869"/>
        <w:gridCol w:w="1869"/>
        <w:gridCol w:w="1869"/>
        <w:gridCol w:w="1869"/>
      </w:tblGrid>
      <w:tr w14:paraId="4BF5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168714C4">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1869" w:type="dxa"/>
          </w:tcPr>
          <w:p w14:paraId="761338B0">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869" w:type="dxa"/>
          </w:tcPr>
          <w:p w14:paraId="4D2799CF">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1869" w:type="dxa"/>
          </w:tcPr>
          <w:p w14:paraId="4144D9F5">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职称</w:t>
            </w:r>
          </w:p>
        </w:tc>
        <w:tc>
          <w:tcPr>
            <w:tcW w:w="1869" w:type="dxa"/>
          </w:tcPr>
          <w:p w14:paraId="25848CA6">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计划进场时间</w:t>
            </w:r>
          </w:p>
        </w:tc>
      </w:tr>
      <w:tr w14:paraId="2B30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11612677">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项目经理</w:t>
            </w:r>
          </w:p>
        </w:tc>
        <w:tc>
          <w:tcPr>
            <w:tcW w:w="1869" w:type="dxa"/>
          </w:tcPr>
          <w:p w14:paraId="19C7BBF2">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513AFFAD">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6C011ABD">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0B154498">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0303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4A5BA0F9">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项目副经理</w:t>
            </w:r>
          </w:p>
        </w:tc>
        <w:tc>
          <w:tcPr>
            <w:tcW w:w="1869" w:type="dxa"/>
          </w:tcPr>
          <w:p w14:paraId="64E849F5">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3388610D">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41D01080">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3A067018">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5239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3E186EC6">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技术负责人</w:t>
            </w:r>
          </w:p>
        </w:tc>
        <w:tc>
          <w:tcPr>
            <w:tcW w:w="1869" w:type="dxa"/>
          </w:tcPr>
          <w:p w14:paraId="15892353">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2F6A2250">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6CF3B24D">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129F51F6">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4A18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05F3EE2F">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造价管理</w:t>
            </w:r>
          </w:p>
        </w:tc>
        <w:tc>
          <w:tcPr>
            <w:tcW w:w="1869" w:type="dxa"/>
          </w:tcPr>
          <w:p w14:paraId="1BB3AC61">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0F060F05">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73C43719">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52D66F90">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3974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65791A2D">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质量管理</w:t>
            </w:r>
          </w:p>
        </w:tc>
        <w:tc>
          <w:tcPr>
            <w:tcW w:w="1869" w:type="dxa"/>
          </w:tcPr>
          <w:p w14:paraId="03D97726">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55D3DEF9">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17D90938">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4B073881">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3F25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31E1F5A7">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材料管理</w:t>
            </w:r>
          </w:p>
        </w:tc>
        <w:tc>
          <w:tcPr>
            <w:tcW w:w="1869" w:type="dxa"/>
          </w:tcPr>
          <w:p w14:paraId="3E658DF5">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1E59EB16">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4171D8C5">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76CAE83F">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5A75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5633E3B7">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计划管理</w:t>
            </w:r>
          </w:p>
        </w:tc>
        <w:tc>
          <w:tcPr>
            <w:tcW w:w="1869" w:type="dxa"/>
          </w:tcPr>
          <w:p w14:paraId="60B56EDB">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6BF94EE2">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60D89B02">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07E6BA24">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0989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79B6C508">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安全管理</w:t>
            </w:r>
          </w:p>
        </w:tc>
        <w:tc>
          <w:tcPr>
            <w:tcW w:w="1869" w:type="dxa"/>
          </w:tcPr>
          <w:p w14:paraId="4CC27B3E">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006778FF">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68AE5F26">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04BC01D5">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2CE0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45C45941">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其他人员</w:t>
            </w:r>
          </w:p>
        </w:tc>
        <w:tc>
          <w:tcPr>
            <w:tcW w:w="1869" w:type="dxa"/>
          </w:tcPr>
          <w:p w14:paraId="12F9801A">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41EB4C1F">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6C84F8EC">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tcPr>
          <w:p w14:paraId="47BDD7E0">
            <w:pPr>
              <w:pStyle w:val="72"/>
              <w:spacing w:line="360" w:lineRule="auto"/>
              <w:jc w:val="center"/>
              <w:rPr>
                <w:rFonts w:ascii="宋体" w:hAnsi="宋体"/>
                <w:color w:val="000000" w:themeColor="text1"/>
                <w:szCs w:val="21"/>
                <w:highlight w:val="none"/>
                <w14:textFill>
                  <w14:solidFill>
                    <w14:schemeClr w14:val="tx1"/>
                  </w14:solidFill>
                </w14:textFill>
              </w:rPr>
            </w:pPr>
          </w:p>
        </w:tc>
      </w:tr>
    </w:tbl>
    <w:p w14:paraId="19D65DF0">
      <w:pPr>
        <w:pStyle w:val="177"/>
        <w:spacing w:line="360" w:lineRule="auto"/>
        <w:jc w:val="center"/>
        <w:rPr>
          <w:rFonts w:ascii="宋体" w:hAnsi="宋体"/>
          <w:color w:val="000000" w:themeColor="text1"/>
          <w:sz w:val="30"/>
          <w:szCs w:val="30"/>
          <w:highlight w:val="none"/>
          <w14:textFill>
            <w14:solidFill>
              <w14:schemeClr w14:val="tx1"/>
            </w14:solidFill>
          </w14:textFill>
        </w:rPr>
      </w:pPr>
    </w:p>
    <w:p w14:paraId="59DE4AE9">
      <w:pPr>
        <w:pStyle w:val="177"/>
        <w:spacing w:line="360" w:lineRule="auto"/>
        <w:jc w:val="center"/>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D6ECF88">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附件6：</w:t>
      </w:r>
    </w:p>
    <w:p w14:paraId="01E5ECD5">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分包人主要施工管理人员表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1869"/>
        <w:gridCol w:w="1869"/>
        <w:gridCol w:w="1869"/>
        <w:gridCol w:w="1869"/>
      </w:tblGrid>
      <w:tr w14:paraId="0E99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3E5BAE32">
            <w:pPr>
              <w:pStyle w:val="72"/>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名称</w:t>
            </w:r>
          </w:p>
        </w:tc>
        <w:tc>
          <w:tcPr>
            <w:tcW w:w="1869" w:type="dxa"/>
            <w:vAlign w:val="center"/>
          </w:tcPr>
          <w:p w14:paraId="1A258FC3">
            <w:pPr>
              <w:pStyle w:val="72"/>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姓名</w:t>
            </w:r>
          </w:p>
        </w:tc>
        <w:tc>
          <w:tcPr>
            <w:tcW w:w="1869" w:type="dxa"/>
            <w:vAlign w:val="center"/>
          </w:tcPr>
          <w:p w14:paraId="090B306F">
            <w:pPr>
              <w:pStyle w:val="72"/>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职务</w:t>
            </w:r>
          </w:p>
        </w:tc>
        <w:tc>
          <w:tcPr>
            <w:tcW w:w="1869" w:type="dxa"/>
            <w:vAlign w:val="center"/>
          </w:tcPr>
          <w:p w14:paraId="34EE8305">
            <w:pPr>
              <w:pStyle w:val="72"/>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职称</w:t>
            </w:r>
          </w:p>
        </w:tc>
        <w:tc>
          <w:tcPr>
            <w:tcW w:w="1869" w:type="dxa"/>
            <w:vAlign w:val="center"/>
          </w:tcPr>
          <w:p w14:paraId="679C06F8">
            <w:pPr>
              <w:pStyle w:val="72"/>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主要资历、经验及承担过的项目</w:t>
            </w:r>
          </w:p>
        </w:tc>
      </w:tr>
      <w:tr w14:paraId="5D56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7780BDA5">
            <w:pPr>
              <w:pStyle w:val="72"/>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一、总部人员</w:t>
            </w:r>
          </w:p>
        </w:tc>
      </w:tr>
      <w:tr w14:paraId="7273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1DDCA4B4">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项目主管</w:t>
            </w:r>
          </w:p>
        </w:tc>
        <w:tc>
          <w:tcPr>
            <w:tcW w:w="1869" w:type="dxa"/>
            <w:vAlign w:val="center"/>
          </w:tcPr>
          <w:p w14:paraId="40EC54F1">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1C59382A">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2C90F68A">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662AE26D">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1672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68B4A174">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其他人员</w:t>
            </w:r>
          </w:p>
        </w:tc>
        <w:tc>
          <w:tcPr>
            <w:tcW w:w="1869" w:type="dxa"/>
            <w:vAlign w:val="center"/>
          </w:tcPr>
          <w:p w14:paraId="2C9BD489">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3D3F9204">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A221D21">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4D88CA44">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618D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3473E87E">
            <w:pPr>
              <w:pStyle w:val="72"/>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二、现场人员</w:t>
            </w:r>
          </w:p>
        </w:tc>
      </w:tr>
      <w:tr w14:paraId="663A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0FE63974">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项目经理</w:t>
            </w:r>
          </w:p>
        </w:tc>
        <w:tc>
          <w:tcPr>
            <w:tcW w:w="1869" w:type="dxa"/>
            <w:vAlign w:val="center"/>
          </w:tcPr>
          <w:p w14:paraId="16236142">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05B4E27D">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40FCCD8E">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44F15141">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7EA2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6823E865">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项目副经理</w:t>
            </w:r>
          </w:p>
        </w:tc>
        <w:tc>
          <w:tcPr>
            <w:tcW w:w="1869" w:type="dxa"/>
            <w:vAlign w:val="center"/>
          </w:tcPr>
          <w:p w14:paraId="273D45C3">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77F08F0">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343050FF">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5B9279D6">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05AE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1F9412A4">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技术负责人</w:t>
            </w:r>
          </w:p>
        </w:tc>
        <w:tc>
          <w:tcPr>
            <w:tcW w:w="1869" w:type="dxa"/>
            <w:vAlign w:val="center"/>
          </w:tcPr>
          <w:p w14:paraId="01542D30">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586629FA">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15FCD162">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0ED8C3F">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7C0B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33D3F0B3">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造价管理</w:t>
            </w:r>
          </w:p>
        </w:tc>
        <w:tc>
          <w:tcPr>
            <w:tcW w:w="1869" w:type="dxa"/>
            <w:vAlign w:val="center"/>
          </w:tcPr>
          <w:p w14:paraId="4B6F0107">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1BFF3F4">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FA22D6B">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04F86EB6">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48A0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36238547">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质量管理</w:t>
            </w:r>
          </w:p>
        </w:tc>
        <w:tc>
          <w:tcPr>
            <w:tcW w:w="1869" w:type="dxa"/>
            <w:vAlign w:val="center"/>
          </w:tcPr>
          <w:p w14:paraId="1684AA88">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28B15823">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687039B7">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BFFCFF9">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7506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61A41DA9">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材料管理</w:t>
            </w:r>
          </w:p>
        </w:tc>
        <w:tc>
          <w:tcPr>
            <w:tcW w:w="1869" w:type="dxa"/>
            <w:vAlign w:val="center"/>
          </w:tcPr>
          <w:p w14:paraId="7969EEE5">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5D93B054">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9DB0F2B">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247C698C">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1C6A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10ABF226">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计划管理</w:t>
            </w:r>
          </w:p>
        </w:tc>
        <w:tc>
          <w:tcPr>
            <w:tcW w:w="1869" w:type="dxa"/>
            <w:vAlign w:val="center"/>
          </w:tcPr>
          <w:p w14:paraId="64C45721">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6C8DB128">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90DC580">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33C1C04">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2CA8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76A5B474">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安全管理</w:t>
            </w:r>
          </w:p>
        </w:tc>
        <w:tc>
          <w:tcPr>
            <w:tcW w:w="1869" w:type="dxa"/>
            <w:vAlign w:val="center"/>
          </w:tcPr>
          <w:p w14:paraId="31B6BCD1">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254A015F">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3492968F">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BF69709">
            <w:pPr>
              <w:pStyle w:val="72"/>
              <w:spacing w:line="360" w:lineRule="auto"/>
              <w:jc w:val="center"/>
              <w:rPr>
                <w:rFonts w:ascii="宋体" w:hAnsi="宋体"/>
                <w:color w:val="000000" w:themeColor="text1"/>
                <w:szCs w:val="21"/>
                <w:highlight w:val="none"/>
                <w14:textFill>
                  <w14:solidFill>
                    <w14:schemeClr w14:val="tx1"/>
                  </w14:solidFill>
                </w14:textFill>
              </w:rPr>
            </w:pPr>
          </w:p>
        </w:tc>
      </w:tr>
      <w:tr w14:paraId="0111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0FC68579">
            <w:pPr>
              <w:pStyle w:val="72"/>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其他人员</w:t>
            </w:r>
          </w:p>
        </w:tc>
        <w:tc>
          <w:tcPr>
            <w:tcW w:w="1869" w:type="dxa"/>
            <w:vAlign w:val="center"/>
          </w:tcPr>
          <w:p w14:paraId="7A9928A1">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3E39A63E">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7AFAD85C">
            <w:pPr>
              <w:pStyle w:val="72"/>
              <w:spacing w:line="360" w:lineRule="auto"/>
              <w:jc w:val="center"/>
              <w:rPr>
                <w:rFonts w:ascii="宋体" w:hAnsi="宋体"/>
                <w:color w:val="000000" w:themeColor="text1"/>
                <w:szCs w:val="21"/>
                <w:highlight w:val="none"/>
                <w14:textFill>
                  <w14:solidFill>
                    <w14:schemeClr w14:val="tx1"/>
                  </w14:solidFill>
                </w14:textFill>
              </w:rPr>
            </w:pPr>
          </w:p>
        </w:tc>
        <w:tc>
          <w:tcPr>
            <w:tcW w:w="1869" w:type="dxa"/>
            <w:vAlign w:val="center"/>
          </w:tcPr>
          <w:p w14:paraId="41BFC186">
            <w:pPr>
              <w:pStyle w:val="72"/>
              <w:spacing w:line="360" w:lineRule="auto"/>
              <w:jc w:val="center"/>
              <w:rPr>
                <w:rFonts w:ascii="宋体" w:hAnsi="宋体"/>
                <w:color w:val="000000" w:themeColor="text1"/>
                <w:szCs w:val="21"/>
                <w:highlight w:val="none"/>
                <w14:textFill>
                  <w14:solidFill>
                    <w14:schemeClr w14:val="tx1"/>
                  </w14:solidFill>
                </w14:textFill>
              </w:rPr>
            </w:pPr>
          </w:p>
        </w:tc>
      </w:tr>
    </w:tbl>
    <w:p w14:paraId="55B4BE76">
      <w:pPr>
        <w:pStyle w:val="177"/>
        <w:spacing w:line="360" w:lineRule="auto"/>
        <w:jc w:val="center"/>
        <w:rPr>
          <w:rFonts w:ascii="宋体" w:hAnsi="宋体"/>
          <w:color w:val="000000" w:themeColor="text1"/>
          <w:sz w:val="30"/>
          <w:szCs w:val="30"/>
          <w:highlight w:val="none"/>
          <w14:textFill>
            <w14:solidFill>
              <w14:schemeClr w14:val="tx1"/>
            </w14:solidFill>
          </w14:textFill>
        </w:rPr>
      </w:pPr>
    </w:p>
    <w:p w14:paraId="22250EDB">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795D85F7">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附件7</w:t>
      </w:r>
    </w:p>
    <w:p w14:paraId="51771901">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履约保函示范文本</w:t>
      </w:r>
    </w:p>
    <w:p w14:paraId="77B94B3D">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（独立保函）</w:t>
      </w:r>
    </w:p>
    <w:p w14:paraId="61BF685D">
      <w:pPr>
        <w:pStyle w:val="177"/>
        <w:spacing w:line="360" w:lineRule="auto"/>
        <w:ind w:right="1260" w:rightChars="600"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w:t>
      </w:r>
    </w:p>
    <w:p w14:paraId="10DBF32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p>
    <w:p w14:paraId="1F506DC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p>
    <w:p w14:paraId="0550DC0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受益人：</w:t>
      </w:r>
    </w:p>
    <w:p w14:paraId="6B5DFED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p>
    <w:p w14:paraId="68FA8A7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开立人：</w:t>
      </w:r>
    </w:p>
    <w:p w14:paraId="5A04D25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p>
    <w:p w14:paraId="281B61A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59AADED2">
      <w:pPr>
        <w:pStyle w:val="177"/>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（受益人名称）：</w:t>
      </w:r>
    </w:p>
    <w:p w14:paraId="647A08D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（以下简称“受益人”）与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（以下简称“申请人”）于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工程（以下简称“本工程”）施工和有关事项协商一致共同签订</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施工合同》</w:t>
      </w:r>
      <w:r>
        <w:rPr>
          <w:rFonts w:hint="eastAsia" w:ascii="宋体" w:hAnsi="宋体"/>
          <w:color w:val="000000" w:themeColor="text1"/>
          <w:szCs w:val="21"/>
          <w:highlight w:val="none"/>
          <w14:textFill>
            <w14:solidFill>
              <w14:schemeClr w14:val="tx1"/>
            </w14:solidFill>
          </w14:textFill>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25CA252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一、本保函担保范围：承包人未按照基础合同的约定履行义务，应当向贵方承担的违约责任和赔偿因此造成的损失、利息、律师费、诉讼费用、财产保全费用、强制执行申请费等实现债权的费用。</w:t>
      </w:r>
    </w:p>
    <w:p w14:paraId="5F099AA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二、本保函担保金额最高不超过人民币（大写）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8445BA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三、本保函有效期自开立之日起至基础合同约定的缺陷责任期后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日止，最迟不超过</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3D99DF4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四、我方承诺，在收到受益人发来的书面付款通知后的</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日内无条件支付，无需申请人对合同违约条款进行任何审查。前述书面付款通知即为付款要求之单据，且应满足以下要求：</w:t>
      </w:r>
    </w:p>
    <w:p w14:paraId="1A7B98B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（1）付款通知到达的日期在本保函的有效期内；</w:t>
      </w:r>
    </w:p>
    <w:p w14:paraId="3E793E0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（2）载明要求支付的金额；</w:t>
      </w:r>
    </w:p>
    <w:p w14:paraId="7AC0074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（3）载明申请人违反合同义务的条款和内容；</w:t>
      </w:r>
    </w:p>
    <w:p w14:paraId="5AC80B8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（4）声明不存在合同文件约定或我国法律规定免除申请人或开立人支付责任的情形；</w:t>
      </w:r>
    </w:p>
    <w:p w14:paraId="206A428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（5）付款通知应在本保函有效期内到达的地址是：</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37154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受益人发出的书面付款通知应由其为鉴明受益人法定代表人（负责人）或授权代理人签字并加盖公章。</w:t>
      </w:r>
    </w:p>
    <w:p w14:paraId="1EBA6D2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66B01C5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419B1FC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0CD0165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宋体" w:hAnsi="宋体"/>
          <w:color w:val="000000" w:themeColor="text1"/>
          <w:szCs w:val="21"/>
          <w:highlight w:val="none"/>
          <w:u w:val="single"/>
          <w14:textFill>
            <w14:solidFill>
              <w14:schemeClr w14:val="tx1"/>
            </w14:solidFill>
          </w14:textFill>
        </w:rPr>
        <w:t>广西壮族自治区南宁市西乡塘区</w:t>
      </w:r>
      <w:r>
        <w:rPr>
          <w:rFonts w:hint="eastAsia" w:ascii="宋体" w:hAnsi="宋体"/>
          <w:color w:val="000000" w:themeColor="text1"/>
          <w:szCs w:val="21"/>
          <w:highlight w:val="none"/>
          <w14:textFill>
            <w14:solidFill>
              <w14:schemeClr w14:val="tx1"/>
            </w14:solidFill>
          </w14:textFill>
        </w:rPr>
        <w:t>。</w:t>
      </w:r>
    </w:p>
    <w:p w14:paraId="562198F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九、本保函自我方法定代表人或授权代表签字并加盖公章之日起生效。</w:t>
      </w:r>
    </w:p>
    <w:p w14:paraId="5141837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开立人：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23BCC2E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52F82AD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294C05E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 xml:space="preserve">      </w:t>
      </w:r>
    </w:p>
    <w:p w14:paraId="69A51FB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 xml:space="preserve">      </w:t>
      </w:r>
    </w:p>
    <w:p w14:paraId="5875149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 xml:space="preserve">      </w:t>
      </w:r>
    </w:p>
    <w:p w14:paraId="45A58BA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开立时间：</w:t>
      </w:r>
      <w:bookmarkStart w:id="1151" w:name="OLE_LINK33"/>
      <w:bookmarkStart w:id="1152" w:name="OLE_LINK36"/>
      <w:r>
        <w:rPr>
          <w:rFonts w:ascii="宋体" w:hAnsi="宋体"/>
          <w:color w:val="000000" w:themeColor="text1"/>
          <w:szCs w:val="21"/>
          <w:highlight w:val="none"/>
          <w:u w:val="single"/>
          <w14:textFill>
            <w14:solidFill>
              <w14:schemeClr w14:val="tx1"/>
            </w14:solidFill>
          </w14:textFill>
        </w:rPr>
        <w:t xml:space="preserve">      </w:t>
      </w:r>
      <w:bookmarkEnd w:id="1151"/>
      <w:bookmarkEnd w:id="1152"/>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73F00E6B">
      <w:pPr>
        <w:pStyle w:val="177"/>
        <w:spacing w:line="360" w:lineRule="auto"/>
        <w:rPr>
          <w:rFonts w:ascii="宋体" w:hAnsi="宋体"/>
          <w:color w:val="000000" w:themeColor="text1"/>
          <w:sz w:val="30"/>
          <w:szCs w:val="30"/>
          <w:highlight w:val="none"/>
          <w14:textFill>
            <w14:solidFill>
              <w14:schemeClr w14:val="tx1"/>
            </w14:solidFill>
          </w14:textFill>
        </w:rPr>
      </w:pPr>
    </w:p>
    <w:p w14:paraId="5120C978">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C5A33CB">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附件7：</w:t>
      </w:r>
    </w:p>
    <w:p w14:paraId="641952DA">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履约保函示范文本</w:t>
      </w:r>
    </w:p>
    <w:p w14:paraId="1F197007">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（非独立保函）</w:t>
      </w:r>
    </w:p>
    <w:p w14:paraId="60F0974B">
      <w:pPr>
        <w:pStyle w:val="177"/>
        <w:spacing w:line="360" w:lineRule="auto"/>
        <w:ind w:right="1260" w:rightChars="600"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w:t>
      </w:r>
    </w:p>
    <w:p w14:paraId="5DF7711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w:t>
      </w:r>
      <w:r>
        <w:rPr>
          <w:rFonts w:ascii="宋体" w:hAnsi="宋体"/>
          <w:color w:val="000000" w:themeColor="text1"/>
          <w:szCs w:val="21"/>
          <w:highlight w:val="none"/>
          <w:u w:val="single"/>
          <w14:textFill>
            <w14:solidFill>
              <w14:schemeClr w14:val="tx1"/>
            </w14:solidFill>
          </w14:textFill>
        </w:rPr>
        <w:t xml:space="preserve">      </w:t>
      </w:r>
    </w:p>
    <w:p w14:paraId="2275098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5143939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担保权人/发包人：</w:t>
      </w:r>
      <w:r>
        <w:rPr>
          <w:rFonts w:ascii="宋体" w:hAnsi="宋体"/>
          <w:color w:val="000000" w:themeColor="text1"/>
          <w:szCs w:val="21"/>
          <w:highlight w:val="none"/>
          <w:u w:val="single"/>
          <w14:textFill>
            <w14:solidFill>
              <w14:schemeClr w14:val="tx1"/>
            </w14:solidFill>
          </w14:textFill>
        </w:rPr>
        <w:t xml:space="preserve">      </w:t>
      </w:r>
    </w:p>
    <w:p w14:paraId="70D1418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3D8625F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w:t>
      </w:r>
      <w:r>
        <w:rPr>
          <w:rFonts w:ascii="宋体" w:hAnsi="宋体"/>
          <w:color w:val="000000" w:themeColor="text1"/>
          <w:szCs w:val="21"/>
          <w:highlight w:val="none"/>
          <w:u w:val="single"/>
          <w14:textFill>
            <w14:solidFill>
              <w14:schemeClr w14:val="tx1"/>
            </w14:solidFill>
          </w14:textFill>
        </w:rPr>
        <w:t xml:space="preserve">      </w:t>
      </w:r>
    </w:p>
    <w:p w14:paraId="319FC14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425B500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5C7C6A4E">
      <w:pPr>
        <w:pStyle w:val="177"/>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w:t>
      </w:r>
    </w:p>
    <w:p w14:paraId="2D7D03A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（以下简称“发包人”）与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（以下简称“承包人”）于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工程（以下简称“本工程”）施工和有关事项协商一致共同签订《</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施工合同》（以下简称“主合同”），我方即保证人基于承包人的请求，同意就承包人履行与贵方签订的主合同项下的义务，向贵方提供如下保证担保（以下简称“本保证担保”）。</w:t>
      </w:r>
    </w:p>
    <w:p w14:paraId="521DD91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一、保证担保的范围及保证担保金额</w:t>
      </w:r>
    </w:p>
    <w:p w14:paraId="4E8B4CA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1.保证担保范围：承包人未按照主合同的约定履行义务，应当向贵方承担的违约责任和赔偿因此造成的损失、利息、律师费、诉讼费用、财产保全费用、强制执行申请费等实现债权的费用。</w:t>
      </w:r>
    </w:p>
    <w:p w14:paraId="263D0DE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2.保证担保金额最高不超过人民币（大写）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E63F8D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二、保证担保的方式及保证期间</w:t>
      </w:r>
    </w:p>
    <w:p w14:paraId="5D4A7C0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1.保证担保方式：连带责任保证。</w:t>
      </w:r>
    </w:p>
    <w:p w14:paraId="6AFCC50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2.保证期间：自出具之日起至主合同约定的缺陷责任期后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日止，最迟不超过</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6F5AF2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三、承担保证担保责任的形式</w:t>
      </w:r>
    </w:p>
    <w:p w14:paraId="2DB9E9A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我方按照贵方的要求以下列方式之一承担保证担保责任：</w:t>
      </w:r>
    </w:p>
    <w:p w14:paraId="58F3124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1.向承包人资金、设备或者技术援助，使其能继续履行合同义务；</w:t>
      </w:r>
    </w:p>
    <w:p w14:paraId="149E48E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2.直接接管该项工程或者委托经贵方同意的其他承包商，继续履行合同义务；</w:t>
      </w:r>
    </w:p>
    <w:p w14:paraId="67B05D8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14:paraId="0B98056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四、代偿的安排</w:t>
      </w:r>
    </w:p>
    <w:p w14:paraId="50CECEB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4735154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2.贵方以工程质量不符合主合同约定标准为由，向我方提出违约索赔的，还需同时提供符合相应条件要求的工程质量检测部门出具的质量说明材料。</w:t>
      </w:r>
    </w:p>
    <w:p w14:paraId="791AE28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3.我方收到贵方的书面索赔通知及相应证明材料后，在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工作日内进行核定后按照本保函的承诺承担保证责任。</w:t>
      </w:r>
    </w:p>
    <w:p w14:paraId="762263B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五、保证担保责任的解除</w:t>
      </w:r>
    </w:p>
    <w:p w14:paraId="5F2C7CF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1.保证期间届满贵方未向我方书面主张保证责任的，自保证期间届满次日起，我方解除保证责任。</w:t>
      </w:r>
    </w:p>
    <w:p w14:paraId="12CE586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2.我方按照本保证担保向贵方履行了保证担保责任后，自我方向贵方支付的金额达到最高保证担保金额之日起，保证担保责任解除。</w:t>
      </w:r>
    </w:p>
    <w:p w14:paraId="281CF27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3.按照法律法规的规定应解除我方保证担保责任的其它情形的，我方在本保证担保项下的保证担保责任亦解除。</w:t>
      </w:r>
    </w:p>
    <w:p w14:paraId="2996E4B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6B411B3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六、免责条款</w:t>
      </w:r>
    </w:p>
    <w:p w14:paraId="7015A4C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1.因贵方原因致使承包人未按照主合同约定履行义务的，我方不承担保证担保责任。</w:t>
      </w:r>
    </w:p>
    <w:p w14:paraId="6EE70AE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2.依照法律规定或贵方与发包人的另行约定，免除承包人部分或全部义务的，我方亦免除其相应的保证担保责任。</w:t>
      </w:r>
    </w:p>
    <w:p w14:paraId="79FE5AD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3.因不可抗力造成承包人未按照主合同约定履行义务的，我方不承担保证担保责任。</w:t>
      </w:r>
    </w:p>
    <w:p w14:paraId="1B48D3F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七、其他</w:t>
      </w:r>
    </w:p>
    <w:p w14:paraId="54B5004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1.本保证担保项下的权利不得转让，不得设定担保。贵方未经我方书面同意转让本保证担保或其项下任何权利，对我方不发生法律效力。</w:t>
      </w:r>
    </w:p>
    <w:p w14:paraId="3F3670D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2.本保证担保适用的法律为中华人民共和国法律，争议裁判管辖地为中华人民共和国</w:t>
      </w:r>
      <w:r>
        <w:rPr>
          <w:rFonts w:hint="eastAsia" w:ascii="宋体" w:hAnsi="宋体"/>
          <w:color w:val="000000" w:themeColor="text1"/>
          <w:szCs w:val="21"/>
          <w:highlight w:val="none"/>
          <w:u w:val="single"/>
          <w14:textFill>
            <w14:solidFill>
              <w14:schemeClr w14:val="tx1"/>
            </w14:solidFill>
          </w14:textFill>
        </w:rPr>
        <w:t>广西壮族自治区南宁市西乡塘区</w:t>
      </w:r>
      <w:r>
        <w:rPr>
          <w:rFonts w:hint="eastAsia" w:ascii="宋体" w:hAnsi="宋体"/>
          <w:color w:val="000000" w:themeColor="text1"/>
          <w:szCs w:val="21"/>
          <w:highlight w:val="none"/>
          <w14:textFill>
            <w14:solidFill>
              <w14:schemeClr w14:val="tx1"/>
            </w14:solidFill>
          </w14:textFill>
        </w:rPr>
        <w:t>。</w:t>
      </w:r>
    </w:p>
    <w:p w14:paraId="452BE12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3.本保证担保自我方法定代表人或授权代表签字并加盖公章之日起生效。</w:t>
      </w:r>
    </w:p>
    <w:p w14:paraId="4711D47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28EC59A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25C390E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82A871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2A2E2E8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 xml:space="preserve">      </w:t>
      </w:r>
    </w:p>
    <w:p w14:paraId="11899F3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 xml:space="preserve">      </w:t>
      </w:r>
    </w:p>
    <w:p w14:paraId="2E4E4F9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 xml:space="preserve">      </w:t>
      </w:r>
    </w:p>
    <w:p w14:paraId="2FF935D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29083A6D">
      <w:pPr>
        <w:pStyle w:val="177"/>
        <w:spacing w:line="360" w:lineRule="auto"/>
        <w:rPr>
          <w:rFonts w:ascii="宋体" w:hAnsi="宋体"/>
          <w:color w:val="000000" w:themeColor="text1"/>
          <w:sz w:val="30"/>
          <w:szCs w:val="30"/>
          <w:highlight w:val="none"/>
          <w14:textFill>
            <w14:solidFill>
              <w14:schemeClr w14:val="tx1"/>
            </w14:solidFill>
          </w14:textFill>
        </w:rPr>
      </w:pPr>
    </w:p>
    <w:p w14:paraId="62A254E8">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2DC5598A">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附件8：</w:t>
      </w:r>
    </w:p>
    <w:p w14:paraId="183250F8">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预付款保函示范文本</w:t>
      </w:r>
    </w:p>
    <w:p w14:paraId="2AF6FDAA">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（独立保函）</w:t>
      </w:r>
    </w:p>
    <w:p w14:paraId="2FF5488C">
      <w:pPr>
        <w:pStyle w:val="177"/>
        <w:spacing w:line="360" w:lineRule="auto"/>
        <w:ind w:right="1260" w:rightChars="600"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w:t>
      </w:r>
    </w:p>
    <w:p w14:paraId="69DF960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1E2AF55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ascii="宋体" w:hAnsi="宋体"/>
          <w:color w:val="000000" w:themeColor="text1"/>
          <w:szCs w:val="21"/>
          <w:highlight w:val="none"/>
          <w:u w:val="single"/>
          <w14:textFill>
            <w14:solidFill>
              <w14:schemeClr w14:val="tx1"/>
            </w14:solidFill>
          </w14:textFill>
        </w:rPr>
        <w:t xml:space="preserve">      </w:t>
      </w:r>
    </w:p>
    <w:p w14:paraId="3192E2D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336D8E9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受益人：</w:t>
      </w:r>
      <w:r>
        <w:rPr>
          <w:rFonts w:ascii="宋体" w:hAnsi="宋体"/>
          <w:color w:val="000000" w:themeColor="text1"/>
          <w:szCs w:val="21"/>
          <w:highlight w:val="none"/>
          <w:u w:val="single"/>
          <w14:textFill>
            <w14:solidFill>
              <w14:schemeClr w14:val="tx1"/>
            </w14:solidFill>
          </w14:textFill>
        </w:rPr>
        <w:t xml:space="preserve">      </w:t>
      </w:r>
    </w:p>
    <w:p w14:paraId="585E4F3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5118408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开立人：</w:t>
      </w:r>
      <w:r>
        <w:rPr>
          <w:rFonts w:ascii="宋体" w:hAnsi="宋体"/>
          <w:color w:val="000000" w:themeColor="text1"/>
          <w:szCs w:val="21"/>
          <w:highlight w:val="none"/>
          <w:u w:val="single"/>
          <w14:textFill>
            <w14:solidFill>
              <w14:schemeClr w14:val="tx1"/>
            </w14:solidFill>
          </w14:textFill>
        </w:rPr>
        <w:t xml:space="preserve">      </w:t>
      </w:r>
    </w:p>
    <w:p w14:paraId="188259A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5DEC1BB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547BC7C8">
      <w:pPr>
        <w:pStyle w:val="177"/>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（受益人名称）：</w:t>
      </w:r>
    </w:p>
    <w:p w14:paraId="780909F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（以下简称“受益人”）与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（以下简称“申请人”）于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工程（以下简称“本工程”）施工和有关事项协商一致共同签订《</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施工合同》（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p>
    <w:p w14:paraId="7BBAF64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本保函担保范围：申请人未按照合同约定正确和合理地为合同目的使用预付款，应当向贵方承担的违约责任和赔偿因此造成的损失、利息、律师费、诉讼费用、财产保全费用、强制执行申请费等实现债权的费用。</w:t>
      </w:r>
    </w:p>
    <w:p w14:paraId="1B1A38B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二、本保函担保金额最高不超过人民币（大写）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1417B3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三、本保函有效期自开立之日起至发包人全额扣回预付款后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日止，最迟不超过</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B39D2A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四、我方承诺，在收到受益人发来的书面付款通知后的</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日内无条件支付，前述书面付款通知即为付款要求之单据，且应满足以下要求：</w:t>
      </w:r>
    </w:p>
    <w:p w14:paraId="300BA18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（1）付款通知到达的日期在本保函的有效期内；</w:t>
      </w:r>
    </w:p>
    <w:p w14:paraId="3003A99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（2）载明要求支付的金额；</w:t>
      </w:r>
    </w:p>
    <w:p w14:paraId="2C389C5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（3）载明申请人违反合同义务的条款和内容；</w:t>
      </w:r>
    </w:p>
    <w:p w14:paraId="085D677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（4）声明不存在合同文件约定或我国法律规定免除申请人或开立人支付责任的情形；</w:t>
      </w:r>
    </w:p>
    <w:p w14:paraId="291F070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（5）付款通知应在本保函有效期内到达的地址是：</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9B7475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受益人发出的书面付款通知应由其为鉴明受益人法定代表人（负责人）或授权代理人签字并加盖公章。</w:t>
      </w:r>
    </w:p>
    <w:p w14:paraId="4C7C467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2DF7D6A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5CFD860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70417CA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宋体" w:hAnsi="宋体"/>
          <w:color w:val="000000" w:themeColor="text1"/>
          <w:szCs w:val="21"/>
          <w:highlight w:val="none"/>
          <w:u w:val="single"/>
          <w14:textFill>
            <w14:solidFill>
              <w14:schemeClr w14:val="tx1"/>
            </w14:solidFill>
          </w14:textFill>
        </w:rPr>
        <w:t>广西壮族自治区南宁市西乡塘区</w:t>
      </w:r>
      <w:r>
        <w:rPr>
          <w:rFonts w:hint="eastAsia" w:ascii="宋体" w:hAnsi="宋体"/>
          <w:color w:val="000000" w:themeColor="text1"/>
          <w:szCs w:val="21"/>
          <w:highlight w:val="none"/>
          <w14:textFill>
            <w14:solidFill>
              <w14:schemeClr w14:val="tx1"/>
            </w14:solidFill>
          </w14:textFill>
        </w:rPr>
        <w:t>。</w:t>
      </w:r>
    </w:p>
    <w:p w14:paraId="20F2CE1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九、本保函自我方法定代表人或授权代表签字并加盖公章之日起生效。</w:t>
      </w:r>
    </w:p>
    <w:p w14:paraId="34C6626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59DF053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开立人：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790F338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4907EC1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144C98B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 xml:space="preserve">      </w:t>
      </w:r>
    </w:p>
    <w:p w14:paraId="521038F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 xml:space="preserve">      </w:t>
      </w:r>
    </w:p>
    <w:p w14:paraId="2E8A99F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 xml:space="preserve">      </w:t>
      </w:r>
    </w:p>
    <w:p w14:paraId="2C5BF4C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开立时间：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6D042AAB">
      <w:pPr>
        <w:pStyle w:val="177"/>
        <w:spacing w:line="360" w:lineRule="auto"/>
        <w:rPr>
          <w:rFonts w:ascii="宋体" w:hAnsi="宋体"/>
          <w:color w:val="000000" w:themeColor="text1"/>
          <w:sz w:val="30"/>
          <w:szCs w:val="30"/>
          <w:highlight w:val="none"/>
          <w14:textFill>
            <w14:solidFill>
              <w14:schemeClr w14:val="tx1"/>
            </w14:solidFill>
          </w14:textFill>
        </w:rPr>
      </w:pPr>
    </w:p>
    <w:p w14:paraId="71B3C49D">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2567B52E">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附件8</w:t>
      </w:r>
    </w:p>
    <w:p w14:paraId="1C019640">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预付款保函示范文本</w:t>
      </w:r>
    </w:p>
    <w:p w14:paraId="778DCA10">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（非独立保函）</w:t>
      </w:r>
    </w:p>
    <w:p w14:paraId="35FDB56D">
      <w:pPr>
        <w:pStyle w:val="177"/>
        <w:spacing w:line="360" w:lineRule="auto"/>
        <w:ind w:right="1260" w:rightChars="600"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w:t>
      </w:r>
    </w:p>
    <w:p w14:paraId="05554AE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担保权人/发包人：</w:t>
      </w:r>
      <w:r>
        <w:rPr>
          <w:rFonts w:ascii="宋体" w:hAnsi="宋体"/>
          <w:color w:val="000000" w:themeColor="text1"/>
          <w:szCs w:val="21"/>
          <w:highlight w:val="none"/>
          <w:u w:val="single"/>
          <w14:textFill>
            <w14:solidFill>
              <w14:schemeClr w14:val="tx1"/>
            </w14:solidFill>
          </w14:textFill>
        </w:rPr>
        <w:t xml:space="preserve">      </w:t>
      </w:r>
    </w:p>
    <w:p w14:paraId="583FBA3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52CCC39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w:t>
      </w:r>
      <w:r>
        <w:rPr>
          <w:rFonts w:ascii="宋体" w:hAnsi="宋体"/>
          <w:color w:val="000000" w:themeColor="text1"/>
          <w:szCs w:val="21"/>
          <w:highlight w:val="none"/>
          <w:u w:val="single"/>
          <w14:textFill>
            <w14:solidFill>
              <w14:schemeClr w14:val="tx1"/>
            </w14:solidFill>
          </w14:textFill>
        </w:rPr>
        <w:t xml:space="preserve">      </w:t>
      </w:r>
    </w:p>
    <w:p w14:paraId="382F874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329A6B2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w:t>
      </w:r>
      <w:r>
        <w:rPr>
          <w:rFonts w:ascii="宋体" w:hAnsi="宋体"/>
          <w:color w:val="000000" w:themeColor="text1"/>
          <w:szCs w:val="21"/>
          <w:highlight w:val="none"/>
          <w:u w:val="single"/>
          <w14:textFill>
            <w14:solidFill>
              <w14:schemeClr w14:val="tx1"/>
            </w14:solidFill>
          </w14:textFill>
        </w:rPr>
        <w:t xml:space="preserve">      </w:t>
      </w:r>
    </w:p>
    <w:p w14:paraId="153C52C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12EFA9C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0CB2EBFF">
      <w:pPr>
        <w:pStyle w:val="177"/>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w:t>
      </w:r>
    </w:p>
    <w:p w14:paraId="70C0C35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以下简称“发包人”）与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（以下简称“承包人”）于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工程（以下简称“本工程”）施工和有关事项协商一致共同签订《</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施工合同》（以下简称“主合同”），我方即保证人基于承包人的请求，同意就承包人按照合同约定正确和合理地为合同目的使用预付款，不将预付款挪作他用，向贵方提供如下保证担保（以下简称“本保证担保”）。</w:t>
      </w:r>
    </w:p>
    <w:p w14:paraId="5FDD48F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一、保证担保的范围及保证担保金额</w:t>
      </w:r>
    </w:p>
    <w:p w14:paraId="5200190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1.保证担保范围：申请人未按照合同约定正确和合理地为合同目的使用预付款，应当向贵方承担的违约责任和赔偿因此造成的损失、利息、律师费、诉讼费用、财产保全费用、强制执行申请费等实现债权的费用。</w:t>
      </w:r>
    </w:p>
    <w:p w14:paraId="61D1E1F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2.保证担保金额最高不超过人民币（大写）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CB0AA7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二、保证担保的方式及保证期间</w:t>
      </w:r>
    </w:p>
    <w:p w14:paraId="10E54F1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1.保证担保方式：连带责任保证。</w:t>
      </w:r>
    </w:p>
    <w:p w14:paraId="0722DFA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2.保证期间：自出具之日起至发包人全额扣回预付款后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日止，最迟不超过</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3F45FDC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三、承担保证担保责任的形式</w:t>
      </w:r>
    </w:p>
    <w:p w14:paraId="4BE3827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发生应承担保证责任情形的，我方在保证金额内向贵方支付，并赔偿因此给贵方造成的损失，以及利息和律师费、诉讼费用等实现债权的费用。</w:t>
      </w:r>
    </w:p>
    <w:p w14:paraId="08A01C9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四、代偿的安排</w:t>
      </w:r>
    </w:p>
    <w:p w14:paraId="4D8DB69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44814D4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2.我方收到贵方的书面索赔通知及相应证明材料后，在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工作日内进行核定后按照本保函的承诺承担保证责任。</w:t>
      </w:r>
    </w:p>
    <w:p w14:paraId="2DF3BCE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五、保证担保责任的解除</w:t>
      </w:r>
    </w:p>
    <w:p w14:paraId="59ADB89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1.保证期间届满贵方未向我方书面主张保证责任的，自保证期间届满次日起，我方解除保证责任。</w:t>
      </w:r>
    </w:p>
    <w:p w14:paraId="6BE3040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2.我方按照本保证担保向贵方履行了保证担保责任后，自我方向贵方支付的金额达到最高保证担保金额之日起，保证担保责任解除。</w:t>
      </w:r>
    </w:p>
    <w:p w14:paraId="416D39F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3.按照法律法规的规定应解除我方保证担保责任的其它情形的，我方在本保证担保项下的保证担保责任亦解除。</w:t>
      </w:r>
    </w:p>
    <w:p w14:paraId="75C3CA1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8191A5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六、免责条款</w:t>
      </w:r>
    </w:p>
    <w:p w14:paraId="5B52313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1.因贵方原因致使发生应承担保证责任情形的，我方不承担保证担保责任。</w:t>
      </w:r>
    </w:p>
    <w:p w14:paraId="33AC479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2.依照法律规定或贵方与承包人的另行约定，免除承包人部分或全部义务的，我方亦免除其相应的保证担保责任。</w:t>
      </w:r>
    </w:p>
    <w:p w14:paraId="1D92F7B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3.因不可抗力造成发生应承担保证责任情形的，我方不承担保证担保责任。</w:t>
      </w:r>
    </w:p>
    <w:p w14:paraId="6B36F83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七、其他</w:t>
      </w:r>
    </w:p>
    <w:p w14:paraId="59023D2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1.本保证担保项下的权利不得转让，不得设定担保。贵方未经我方书面同意转让本保证担保或其项下任何权利，对我方不发生法律效力。</w:t>
      </w:r>
    </w:p>
    <w:p w14:paraId="2595693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2.本保证担保适用的法律为中华人民共和国法律，争议裁判管辖地为中华人民共和国</w:t>
      </w:r>
      <w:r>
        <w:rPr>
          <w:rFonts w:hint="eastAsia" w:ascii="宋体" w:hAnsi="宋体"/>
          <w:color w:val="000000" w:themeColor="text1"/>
          <w:szCs w:val="21"/>
          <w:highlight w:val="none"/>
          <w:u w:val="single"/>
          <w14:textFill>
            <w14:solidFill>
              <w14:schemeClr w14:val="tx1"/>
            </w14:solidFill>
          </w14:textFill>
        </w:rPr>
        <w:t>广西壮族自治区南宁市西乡塘区</w:t>
      </w:r>
      <w:r>
        <w:rPr>
          <w:rFonts w:hint="eastAsia" w:ascii="宋体" w:hAnsi="宋体"/>
          <w:color w:val="000000" w:themeColor="text1"/>
          <w:szCs w:val="21"/>
          <w:highlight w:val="none"/>
          <w14:textFill>
            <w14:solidFill>
              <w14:schemeClr w14:val="tx1"/>
            </w14:solidFill>
          </w14:textFill>
        </w:rPr>
        <w:t>。</w:t>
      </w:r>
    </w:p>
    <w:p w14:paraId="6583970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3.本保证担保自我方法定代表人或授权代表签字并加盖公章之日起生效。</w:t>
      </w:r>
    </w:p>
    <w:p w14:paraId="288FDFF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598ED02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609168D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210970F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61B2708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 xml:space="preserve">      </w:t>
      </w:r>
    </w:p>
    <w:p w14:paraId="0610826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 xml:space="preserve">      </w:t>
      </w:r>
    </w:p>
    <w:p w14:paraId="7ABD3BE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 xml:space="preserve">      </w:t>
      </w:r>
    </w:p>
    <w:p w14:paraId="60BC45A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3A1B5184">
      <w:pPr>
        <w:pStyle w:val="177"/>
        <w:spacing w:line="360" w:lineRule="auto"/>
        <w:rPr>
          <w:rFonts w:ascii="宋体" w:hAnsi="宋体"/>
          <w:color w:val="000000" w:themeColor="text1"/>
          <w:sz w:val="30"/>
          <w:szCs w:val="30"/>
          <w:highlight w:val="none"/>
          <w14:textFill>
            <w14:solidFill>
              <w14:schemeClr w14:val="tx1"/>
            </w14:solidFill>
          </w14:textFill>
        </w:rPr>
      </w:pPr>
    </w:p>
    <w:p w14:paraId="7A02437C">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0558AE37">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附件9：</w:t>
      </w:r>
    </w:p>
    <w:p w14:paraId="0080618A">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支付保函示范文本</w:t>
      </w:r>
    </w:p>
    <w:p w14:paraId="033EC1AC">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（独立保函）</w:t>
      </w:r>
    </w:p>
    <w:p w14:paraId="2FA74A5B">
      <w:pPr>
        <w:pStyle w:val="177"/>
        <w:spacing w:line="360" w:lineRule="auto"/>
        <w:ind w:right="1260" w:rightChars="600"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w:t>
      </w:r>
    </w:p>
    <w:p w14:paraId="08C2416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ascii="宋体" w:hAnsi="宋体"/>
          <w:color w:val="000000" w:themeColor="text1"/>
          <w:szCs w:val="21"/>
          <w:highlight w:val="none"/>
          <w:u w:val="single"/>
          <w14:textFill>
            <w14:solidFill>
              <w14:schemeClr w14:val="tx1"/>
            </w14:solidFill>
          </w14:textFill>
        </w:rPr>
        <w:t xml:space="preserve">      </w:t>
      </w:r>
    </w:p>
    <w:p w14:paraId="333E1EB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35ADCBE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受益人：</w:t>
      </w:r>
      <w:r>
        <w:rPr>
          <w:rFonts w:ascii="宋体" w:hAnsi="宋体"/>
          <w:color w:val="000000" w:themeColor="text1"/>
          <w:szCs w:val="21"/>
          <w:highlight w:val="none"/>
          <w:u w:val="single"/>
          <w14:textFill>
            <w14:solidFill>
              <w14:schemeClr w14:val="tx1"/>
            </w14:solidFill>
          </w14:textFill>
        </w:rPr>
        <w:t xml:space="preserve">      </w:t>
      </w:r>
    </w:p>
    <w:p w14:paraId="2403512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7ECA60A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开立人：</w:t>
      </w:r>
      <w:r>
        <w:rPr>
          <w:rFonts w:ascii="宋体" w:hAnsi="宋体"/>
          <w:color w:val="000000" w:themeColor="text1"/>
          <w:szCs w:val="21"/>
          <w:highlight w:val="none"/>
          <w:u w:val="single"/>
          <w14:textFill>
            <w14:solidFill>
              <w14:schemeClr w14:val="tx1"/>
            </w14:solidFill>
          </w14:textFill>
        </w:rPr>
        <w:t xml:space="preserve">      </w:t>
      </w:r>
    </w:p>
    <w:p w14:paraId="00CCFAF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59CD85B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376AD009">
      <w:pPr>
        <w:pStyle w:val="177"/>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（受益人名称）：</w:t>
      </w:r>
    </w:p>
    <w:p w14:paraId="2F73521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（以下简称“受益人”）与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（以下简称“申请人”）于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工程（以下简称“本工程”）施工和有关事项协商一致共同签订《</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施工合同》（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p>
    <w:p w14:paraId="29D800D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一、本保函担保范围：申请人未履行基础合同约定的工程款支付义务，应当向贵方承担的违约责任和赔偿因此造成的损失、利息、律师费、诉讼费用、财产保全费用、强制执行申请费等实现债权的费用。</w:t>
      </w:r>
    </w:p>
    <w:p w14:paraId="0D6CA75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二、本保函担保金额最高不超过人民币（大写）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27B395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三、本保函有效期自开立之日起至基础合同约定的除工程质量保修金以外的全部工程结算款项支付之日后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日止，最迟不超过</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E27122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四、我方承诺，在收到受益人发来的书面付款通知后的日内无条件支付，前述书面付款通知即为付款要求之单据，且应满足以下要求：</w:t>
      </w:r>
    </w:p>
    <w:p w14:paraId="0CCE260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（1）付款通知到达的日期在本保函的有效期内；</w:t>
      </w:r>
    </w:p>
    <w:p w14:paraId="40B19C9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（2）载明要求支付的金额；</w:t>
      </w:r>
    </w:p>
    <w:p w14:paraId="67B4632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（3）载明申请人违反合同义务的条款和内容；</w:t>
      </w:r>
    </w:p>
    <w:p w14:paraId="07C5E04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（4）声明不存在合同文件约定或我国法律规定免除申请人或开立人支付责任的情形；</w:t>
      </w:r>
    </w:p>
    <w:p w14:paraId="2665B7C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（5）付款通知应在本保函有效期内到达的地址是：</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0ED59C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受益人发出的书面付款通知应由其为鉴明受益人法定代表人（负责人）或授权代理人签字并加盖公章。</w:t>
      </w:r>
    </w:p>
    <w:p w14:paraId="36ECAAE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69DFF74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7A9FCD2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11335D9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宋体" w:hAnsi="宋体"/>
          <w:color w:val="000000" w:themeColor="text1"/>
          <w:szCs w:val="21"/>
          <w:highlight w:val="none"/>
          <w:u w:val="single"/>
          <w14:textFill>
            <w14:solidFill>
              <w14:schemeClr w14:val="tx1"/>
            </w14:solidFill>
          </w14:textFill>
        </w:rPr>
        <w:t>广西壮族自治区南宁市西乡塘区</w:t>
      </w:r>
      <w:r>
        <w:rPr>
          <w:rFonts w:hint="eastAsia" w:ascii="宋体" w:hAnsi="宋体"/>
          <w:color w:val="000000" w:themeColor="text1"/>
          <w:szCs w:val="21"/>
          <w:highlight w:val="none"/>
          <w14:textFill>
            <w14:solidFill>
              <w14:schemeClr w14:val="tx1"/>
            </w14:solidFill>
          </w14:textFill>
        </w:rPr>
        <w:t>。</w:t>
      </w:r>
    </w:p>
    <w:p w14:paraId="1C4A429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九、本保函自我方法定代表人或授权代表签字并加盖公章之日起生效。</w:t>
      </w:r>
    </w:p>
    <w:p w14:paraId="699001F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13D689D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开立人：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049A902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09A5002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5F63AA4C">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 xml:space="preserve">      </w:t>
      </w:r>
    </w:p>
    <w:p w14:paraId="4F57B78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 xml:space="preserve">      </w:t>
      </w:r>
    </w:p>
    <w:p w14:paraId="2A3B4A3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 xml:space="preserve">      </w:t>
      </w:r>
    </w:p>
    <w:p w14:paraId="2271FB2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开立时间：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24B9C08D">
      <w:pPr>
        <w:pStyle w:val="177"/>
        <w:spacing w:line="360" w:lineRule="auto"/>
        <w:rPr>
          <w:rFonts w:ascii="宋体" w:hAnsi="宋体"/>
          <w:color w:val="000000" w:themeColor="text1"/>
          <w:sz w:val="30"/>
          <w:szCs w:val="30"/>
          <w:highlight w:val="none"/>
          <w14:textFill>
            <w14:solidFill>
              <w14:schemeClr w14:val="tx1"/>
            </w14:solidFill>
          </w14:textFill>
        </w:rPr>
      </w:pPr>
    </w:p>
    <w:p w14:paraId="75A20AD5">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BD015F5">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附件9：</w:t>
      </w:r>
    </w:p>
    <w:p w14:paraId="29F28FDE">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支付保函示范文本</w:t>
      </w:r>
    </w:p>
    <w:p w14:paraId="74E23079">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（非独立保函）</w:t>
      </w:r>
    </w:p>
    <w:p w14:paraId="440EC179">
      <w:pPr>
        <w:pStyle w:val="177"/>
        <w:spacing w:line="360" w:lineRule="auto"/>
        <w:ind w:right="1260" w:rightChars="600"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w:t>
      </w:r>
    </w:p>
    <w:p w14:paraId="16ECF5F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w:t>
      </w:r>
      <w:r>
        <w:rPr>
          <w:rFonts w:ascii="宋体" w:hAnsi="宋体"/>
          <w:color w:val="000000" w:themeColor="text1"/>
          <w:szCs w:val="21"/>
          <w:highlight w:val="none"/>
          <w:u w:val="single"/>
          <w14:textFill>
            <w14:solidFill>
              <w14:schemeClr w14:val="tx1"/>
            </w14:solidFill>
          </w14:textFill>
        </w:rPr>
        <w:t xml:space="preserve">      </w:t>
      </w:r>
    </w:p>
    <w:p w14:paraId="654B9A4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5A07B59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担保权人/承包人：</w:t>
      </w:r>
      <w:r>
        <w:rPr>
          <w:rFonts w:ascii="宋体" w:hAnsi="宋体"/>
          <w:color w:val="000000" w:themeColor="text1"/>
          <w:szCs w:val="21"/>
          <w:highlight w:val="none"/>
          <w:u w:val="single"/>
          <w14:textFill>
            <w14:solidFill>
              <w14:schemeClr w14:val="tx1"/>
            </w14:solidFill>
          </w14:textFill>
        </w:rPr>
        <w:t xml:space="preserve">      </w:t>
      </w:r>
    </w:p>
    <w:p w14:paraId="6B03BD5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7F46D66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w:t>
      </w:r>
      <w:r>
        <w:rPr>
          <w:rFonts w:ascii="宋体" w:hAnsi="宋体"/>
          <w:color w:val="000000" w:themeColor="text1"/>
          <w:szCs w:val="21"/>
          <w:highlight w:val="none"/>
          <w:u w:val="single"/>
          <w14:textFill>
            <w14:solidFill>
              <w14:schemeClr w14:val="tx1"/>
            </w14:solidFill>
          </w14:textFill>
        </w:rPr>
        <w:t xml:space="preserve">      </w:t>
      </w:r>
    </w:p>
    <w:p w14:paraId="620885E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31522C9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6C95B2A7">
      <w:pPr>
        <w:pStyle w:val="177"/>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w:t>
      </w:r>
    </w:p>
    <w:p w14:paraId="438B7B1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（以下简称“发包人”）与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（以下简称“承包人”）于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工程（以下简称“本工程”）施工和有关事项协商一致共同签订《</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施工合同》（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14:paraId="19BABB03">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一、保证担保的范围及保证担保金额</w:t>
      </w:r>
    </w:p>
    <w:p w14:paraId="406CDC7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1.保证担保范围：申请人未履行主合同约定的工程款支付义务，应当向贵方承担的违约责任和赔偿因此造成的损失、利息、律师费、诉讼费用、财产保全费用、强制执行申请费等实现债权的费用。</w:t>
      </w:r>
    </w:p>
    <w:p w14:paraId="65563E3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2.保证担保金额最高不超过人民币（大写）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3351071">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二、保证担保的方式及保证期间</w:t>
      </w:r>
    </w:p>
    <w:p w14:paraId="7E67797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1.保证担保方式：连带责任保证。</w:t>
      </w:r>
    </w:p>
    <w:p w14:paraId="406E796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2.保证期间：自出具之日起至主合同约定的除工程质量保修金以外的工程款支付之日后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日止，最迟不超过</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9BF9135">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三、承担保证担保责任的形式</w:t>
      </w:r>
    </w:p>
    <w:p w14:paraId="0136317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发包人未按合同约定向贵方支付主合同项下工程款的，由我方在保证金额内代为支付，并赔偿因此给贵方造成的损失，以及利息和律师费、诉讼费用等实现债权的费用。</w:t>
      </w:r>
    </w:p>
    <w:p w14:paraId="2A2B4434">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四、代偿的安排</w:t>
      </w:r>
    </w:p>
    <w:p w14:paraId="2692EF40">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1.贵方要求我方承担保证责任的，应向我方发出书面索赔通知及发包人未支付主合同约定工程款的证明材料。索赔通知应写明要求索赔的金额，支付款项应到达的账号。</w:t>
      </w:r>
    </w:p>
    <w:p w14:paraId="6737E94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14755A9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3.我方收到贵方的书面索赔通知及相应证明材料后，在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工作日内进行核定后按照本保函的承诺承担保证责任。</w:t>
      </w:r>
    </w:p>
    <w:p w14:paraId="2C85332B">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五、保证担保责任的解除</w:t>
      </w:r>
    </w:p>
    <w:p w14:paraId="509FD69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1.保证期间届满贵方未向我方书面主张保证责任的，自保证期间届满次日起，我方解除保证责任。</w:t>
      </w:r>
    </w:p>
    <w:p w14:paraId="2BFCFD7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2.我方按照本保证担保向贵方履行了保证担保责任后，自我方向贵方支付的金额达到最高保证担保金额之日起，保证担保责任解除。</w:t>
      </w:r>
    </w:p>
    <w:p w14:paraId="1D1424ED">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3.按照法律法规的规定应解除我方保证担保责任的其它情形的，我方在本保证担保项下的保证担保责任亦解除。</w:t>
      </w:r>
    </w:p>
    <w:p w14:paraId="218AD972">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3E8DBF9">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六、免责条款</w:t>
      </w:r>
    </w:p>
    <w:p w14:paraId="6FD616FE">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1.因贵方原因致使发包人未履行主合同项下工程款付款义务的，我方不承担保证担保责任。</w:t>
      </w:r>
    </w:p>
    <w:p w14:paraId="6B1F97F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2.依照法律规定或贵方与发包人的另行约定，免除发包人部分或全部义务的，我方亦免除其相应的保证担保责任。</w:t>
      </w:r>
    </w:p>
    <w:p w14:paraId="24D9D7FF">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3.因不可抗力造成发包人未履行主合同项下工程款付款义务的，我方不承担保证担保责任。</w:t>
      </w:r>
    </w:p>
    <w:p w14:paraId="68512750">
      <w:pPr>
        <w:pStyle w:val="177"/>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七、其他</w:t>
      </w:r>
    </w:p>
    <w:p w14:paraId="6091812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1.本保证担保项下的权利不得转让，不得设定担保。贵方未经我方书面同意转让本保证担保或其项下任何权利，对我方不发生法律效力。</w:t>
      </w:r>
    </w:p>
    <w:p w14:paraId="7E895A8A">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2.本保证担保适用的法律为中华人民共和国法律，争议裁判管辖地为中华人民共和国</w:t>
      </w:r>
      <w:r>
        <w:rPr>
          <w:rFonts w:hint="eastAsia" w:ascii="宋体" w:hAnsi="宋体"/>
          <w:color w:val="000000" w:themeColor="text1"/>
          <w:szCs w:val="21"/>
          <w:highlight w:val="none"/>
          <w:u w:val="single"/>
          <w14:textFill>
            <w14:solidFill>
              <w14:schemeClr w14:val="tx1"/>
            </w14:solidFill>
          </w14:textFill>
        </w:rPr>
        <w:t>广西壮族自治区南宁市西乡塘区</w:t>
      </w:r>
      <w:r>
        <w:rPr>
          <w:rFonts w:hint="eastAsia" w:ascii="宋体" w:hAnsi="宋体"/>
          <w:color w:val="000000" w:themeColor="text1"/>
          <w:szCs w:val="21"/>
          <w:highlight w:val="none"/>
          <w14:textFill>
            <w14:solidFill>
              <w14:schemeClr w14:val="tx1"/>
            </w14:solidFill>
          </w14:textFill>
        </w:rPr>
        <w:t>。</w:t>
      </w:r>
    </w:p>
    <w:p w14:paraId="59E4794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3.本保证担保自我方法定代表人或授权代表签字并加盖公章之日起生效。</w:t>
      </w:r>
    </w:p>
    <w:p w14:paraId="6022CB5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p>
    <w:p w14:paraId="549A47C1">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13CC174B">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2135CC8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14:paraId="014A71C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 xml:space="preserve">      </w:t>
      </w:r>
    </w:p>
    <w:p w14:paraId="39ACF17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 xml:space="preserve">      </w:t>
      </w:r>
    </w:p>
    <w:p w14:paraId="35E76196">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 xml:space="preserve">      </w:t>
      </w:r>
    </w:p>
    <w:p w14:paraId="75A5E1C8">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3688D217">
      <w:pPr>
        <w:pStyle w:val="177"/>
        <w:spacing w:line="360" w:lineRule="auto"/>
        <w:rPr>
          <w:rFonts w:ascii="宋体" w:hAnsi="宋体"/>
          <w:color w:val="000000" w:themeColor="text1"/>
          <w:sz w:val="30"/>
          <w:szCs w:val="30"/>
          <w:highlight w:val="none"/>
          <w14:textFill>
            <w14:solidFill>
              <w14:schemeClr w14:val="tx1"/>
            </w14:solidFill>
          </w14:textFill>
        </w:rPr>
      </w:pPr>
    </w:p>
    <w:p w14:paraId="11D149B7">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43A3CE1">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附件10：</w:t>
      </w:r>
    </w:p>
    <w:p w14:paraId="1DC09CE8">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预付款支付申请（核准）表</w:t>
      </w:r>
    </w:p>
    <w:p w14:paraId="0EC308B3">
      <w:pPr>
        <w:pStyle w:val="17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工程名称：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4D8F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44" w:type="dxa"/>
            <w:gridSpan w:val="2"/>
            <w:vAlign w:val="center"/>
          </w:tcPr>
          <w:p w14:paraId="4266310F">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（发包人全称）</w:t>
            </w:r>
          </w:p>
          <w:p w14:paraId="6FA86FF8">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我方根据施工合同的约定，现申请支付工程预付款额人民币（大写）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），请予核准。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60"/>
              <w:gridCol w:w="1701"/>
              <w:gridCol w:w="1701"/>
              <w:gridCol w:w="1723"/>
            </w:tblGrid>
            <w:tr w14:paraId="6D75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5CF5D14E">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3260" w:type="dxa"/>
                  <w:vAlign w:val="center"/>
                </w:tcPr>
                <w:p w14:paraId="231E41D5">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1701" w:type="dxa"/>
                  <w:vAlign w:val="center"/>
                </w:tcPr>
                <w:p w14:paraId="74BBC5AD">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申请金额（元）</w:t>
                  </w:r>
                </w:p>
              </w:tc>
              <w:tc>
                <w:tcPr>
                  <w:tcW w:w="1701" w:type="dxa"/>
                  <w:vAlign w:val="center"/>
                </w:tcPr>
                <w:p w14:paraId="77C4D7EC">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复核金额（元）</w:t>
                  </w:r>
                </w:p>
              </w:tc>
              <w:tc>
                <w:tcPr>
                  <w:tcW w:w="1723" w:type="dxa"/>
                  <w:vAlign w:val="center"/>
                </w:tcPr>
                <w:p w14:paraId="3FEC20EE">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600B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6FE0EBB3">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260" w:type="dxa"/>
                  <w:vAlign w:val="center"/>
                </w:tcPr>
                <w:p w14:paraId="6C0AFB45">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已签约合同价款金额</w:t>
                  </w:r>
                </w:p>
              </w:tc>
              <w:tc>
                <w:tcPr>
                  <w:tcW w:w="1701" w:type="dxa"/>
                  <w:vAlign w:val="center"/>
                </w:tcPr>
                <w:p w14:paraId="32C9FA9E">
                  <w:pPr>
                    <w:pStyle w:val="177"/>
                    <w:jc w:val="center"/>
                    <w:rPr>
                      <w:rFonts w:ascii="宋体" w:hAnsi="宋体"/>
                      <w:color w:val="000000" w:themeColor="text1"/>
                      <w:szCs w:val="21"/>
                      <w:highlight w:val="none"/>
                      <w14:textFill>
                        <w14:solidFill>
                          <w14:schemeClr w14:val="tx1"/>
                        </w14:solidFill>
                      </w14:textFill>
                    </w:rPr>
                  </w:pPr>
                </w:p>
              </w:tc>
              <w:tc>
                <w:tcPr>
                  <w:tcW w:w="1701" w:type="dxa"/>
                  <w:vAlign w:val="center"/>
                </w:tcPr>
                <w:p w14:paraId="47207A80">
                  <w:pPr>
                    <w:pStyle w:val="177"/>
                    <w:jc w:val="center"/>
                    <w:rPr>
                      <w:rFonts w:ascii="宋体" w:hAnsi="宋体"/>
                      <w:color w:val="000000" w:themeColor="text1"/>
                      <w:szCs w:val="21"/>
                      <w:highlight w:val="none"/>
                      <w14:textFill>
                        <w14:solidFill>
                          <w14:schemeClr w14:val="tx1"/>
                        </w14:solidFill>
                      </w14:textFill>
                    </w:rPr>
                  </w:pPr>
                </w:p>
              </w:tc>
              <w:tc>
                <w:tcPr>
                  <w:tcW w:w="1723" w:type="dxa"/>
                  <w:vAlign w:val="center"/>
                </w:tcPr>
                <w:p w14:paraId="75ECA043">
                  <w:pPr>
                    <w:pStyle w:val="177"/>
                    <w:jc w:val="center"/>
                    <w:rPr>
                      <w:rFonts w:ascii="宋体" w:hAnsi="宋体"/>
                      <w:color w:val="000000" w:themeColor="text1"/>
                      <w:szCs w:val="21"/>
                      <w:highlight w:val="none"/>
                      <w14:textFill>
                        <w14:solidFill>
                          <w14:schemeClr w14:val="tx1"/>
                        </w14:solidFill>
                      </w14:textFill>
                    </w:rPr>
                  </w:pPr>
                </w:p>
              </w:tc>
            </w:tr>
            <w:tr w14:paraId="0DD1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742C7DE8">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3260" w:type="dxa"/>
                  <w:vAlign w:val="center"/>
                </w:tcPr>
                <w:p w14:paraId="487EBFFE">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其中：安全文明施工费</w:t>
                  </w:r>
                </w:p>
              </w:tc>
              <w:tc>
                <w:tcPr>
                  <w:tcW w:w="1701" w:type="dxa"/>
                  <w:vAlign w:val="center"/>
                </w:tcPr>
                <w:p w14:paraId="3A5B5F26">
                  <w:pPr>
                    <w:pStyle w:val="177"/>
                    <w:jc w:val="center"/>
                    <w:rPr>
                      <w:rFonts w:ascii="宋体" w:hAnsi="宋体"/>
                      <w:color w:val="000000" w:themeColor="text1"/>
                      <w:szCs w:val="21"/>
                      <w:highlight w:val="none"/>
                      <w14:textFill>
                        <w14:solidFill>
                          <w14:schemeClr w14:val="tx1"/>
                        </w14:solidFill>
                      </w14:textFill>
                    </w:rPr>
                  </w:pPr>
                </w:p>
              </w:tc>
              <w:tc>
                <w:tcPr>
                  <w:tcW w:w="1701" w:type="dxa"/>
                  <w:vAlign w:val="center"/>
                </w:tcPr>
                <w:p w14:paraId="56D42154">
                  <w:pPr>
                    <w:pStyle w:val="177"/>
                    <w:jc w:val="center"/>
                    <w:rPr>
                      <w:rFonts w:ascii="宋体" w:hAnsi="宋体"/>
                      <w:color w:val="000000" w:themeColor="text1"/>
                      <w:szCs w:val="21"/>
                      <w:highlight w:val="none"/>
                      <w14:textFill>
                        <w14:solidFill>
                          <w14:schemeClr w14:val="tx1"/>
                        </w14:solidFill>
                      </w14:textFill>
                    </w:rPr>
                  </w:pPr>
                </w:p>
              </w:tc>
              <w:tc>
                <w:tcPr>
                  <w:tcW w:w="1723" w:type="dxa"/>
                  <w:vAlign w:val="center"/>
                </w:tcPr>
                <w:p w14:paraId="1FF3152A">
                  <w:pPr>
                    <w:pStyle w:val="177"/>
                    <w:jc w:val="center"/>
                    <w:rPr>
                      <w:rFonts w:ascii="宋体" w:hAnsi="宋体"/>
                      <w:color w:val="000000" w:themeColor="text1"/>
                      <w:szCs w:val="21"/>
                      <w:highlight w:val="none"/>
                      <w14:textFill>
                        <w14:solidFill>
                          <w14:schemeClr w14:val="tx1"/>
                        </w14:solidFill>
                      </w14:textFill>
                    </w:rPr>
                  </w:pPr>
                </w:p>
              </w:tc>
            </w:tr>
            <w:tr w14:paraId="1F27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1237A97E">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3260" w:type="dxa"/>
                  <w:vAlign w:val="center"/>
                </w:tcPr>
                <w:p w14:paraId="31830F3C">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应支付的预付款</w:t>
                  </w:r>
                </w:p>
              </w:tc>
              <w:tc>
                <w:tcPr>
                  <w:tcW w:w="1701" w:type="dxa"/>
                  <w:vAlign w:val="center"/>
                </w:tcPr>
                <w:p w14:paraId="04E86BDF">
                  <w:pPr>
                    <w:pStyle w:val="177"/>
                    <w:jc w:val="center"/>
                    <w:rPr>
                      <w:rFonts w:ascii="宋体" w:hAnsi="宋体"/>
                      <w:color w:val="000000" w:themeColor="text1"/>
                      <w:szCs w:val="21"/>
                      <w:highlight w:val="none"/>
                      <w14:textFill>
                        <w14:solidFill>
                          <w14:schemeClr w14:val="tx1"/>
                        </w14:solidFill>
                      </w14:textFill>
                    </w:rPr>
                  </w:pPr>
                </w:p>
              </w:tc>
              <w:tc>
                <w:tcPr>
                  <w:tcW w:w="1701" w:type="dxa"/>
                  <w:vAlign w:val="center"/>
                </w:tcPr>
                <w:p w14:paraId="67472E60">
                  <w:pPr>
                    <w:pStyle w:val="177"/>
                    <w:jc w:val="center"/>
                    <w:rPr>
                      <w:rFonts w:ascii="宋体" w:hAnsi="宋体"/>
                      <w:color w:val="000000" w:themeColor="text1"/>
                      <w:szCs w:val="21"/>
                      <w:highlight w:val="none"/>
                      <w14:textFill>
                        <w14:solidFill>
                          <w14:schemeClr w14:val="tx1"/>
                        </w14:solidFill>
                      </w14:textFill>
                    </w:rPr>
                  </w:pPr>
                </w:p>
              </w:tc>
              <w:tc>
                <w:tcPr>
                  <w:tcW w:w="1723" w:type="dxa"/>
                  <w:vAlign w:val="center"/>
                </w:tcPr>
                <w:p w14:paraId="70D4A0AD">
                  <w:pPr>
                    <w:pStyle w:val="177"/>
                    <w:jc w:val="center"/>
                    <w:rPr>
                      <w:rFonts w:ascii="宋体" w:hAnsi="宋体"/>
                      <w:color w:val="000000" w:themeColor="text1"/>
                      <w:szCs w:val="21"/>
                      <w:highlight w:val="none"/>
                      <w14:textFill>
                        <w14:solidFill>
                          <w14:schemeClr w14:val="tx1"/>
                        </w14:solidFill>
                      </w14:textFill>
                    </w:rPr>
                  </w:pPr>
                </w:p>
              </w:tc>
            </w:tr>
            <w:tr w14:paraId="5F25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56A4FA8F">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3260" w:type="dxa"/>
                  <w:vAlign w:val="center"/>
                </w:tcPr>
                <w:p w14:paraId="678409D9">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应支付的安全文明施工费预付款</w:t>
                  </w:r>
                </w:p>
              </w:tc>
              <w:tc>
                <w:tcPr>
                  <w:tcW w:w="1701" w:type="dxa"/>
                  <w:vAlign w:val="center"/>
                </w:tcPr>
                <w:p w14:paraId="1DA24B90">
                  <w:pPr>
                    <w:pStyle w:val="177"/>
                    <w:jc w:val="center"/>
                    <w:rPr>
                      <w:rFonts w:ascii="宋体" w:hAnsi="宋体"/>
                      <w:color w:val="000000" w:themeColor="text1"/>
                      <w:szCs w:val="21"/>
                      <w:highlight w:val="none"/>
                      <w14:textFill>
                        <w14:solidFill>
                          <w14:schemeClr w14:val="tx1"/>
                        </w14:solidFill>
                      </w14:textFill>
                    </w:rPr>
                  </w:pPr>
                </w:p>
              </w:tc>
              <w:tc>
                <w:tcPr>
                  <w:tcW w:w="1701" w:type="dxa"/>
                  <w:vAlign w:val="center"/>
                </w:tcPr>
                <w:p w14:paraId="437BD52A">
                  <w:pPr>
                    <w:pStyle w:val="177"/>
                    <w:jc w:val="center"/>
                    <w:rPr>
                      <w:rFonts w:ascii="宋体" w:hAnsi="宋体"/>
                      <w:color w:val="000000" w:themeColor="text1"/>
                      <w:szCs w:val="21"/>
                      <w:highlight w:val="none"/>
                      <w14:textFill>
                        <w14:solidFill>
                          <w14:schemeClr w14:val="tx1"/>
                        </w14:solidFill>
                      </w14:textFill>
                    </w:rPr>
                  </w:pPr>
                </w:p>
              </w:tc>
              <w:tc>
                <w:tcPr>
                  <w:tcW w:w="1723" w:type="dxa"/>
                  <w:vAlign w:val="center"/>
                </w:tcPr>
                <w:p w14:paraId="2FD17090">
                  <w:pPr>
                    <w:pStyle w:val="177"/>
                    <w:jc w:val="center"/>
                    <w:rPr>
                      <w:rFonts w:ascii="宋体" w:hAnsi="宋体"/>
                      <w:color w:val="000000" w:themeColor="text1"/>
                      <w:szCs w:val="21"/>
                      <w:highlight w:val="none"/>
                      <w14:textFill>
                        <w14:solidFill>
                          <w14:schemeClr w14:val="tx1"/>
                        </w14:solidFill>
                      </w14:textFill>
                    </w:rPr>
                  </w:pPr>
                </w:p>
              </w:tc>
            </w:tr>
            <w:tr w14:paraId="4C3D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62F6EB67">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3260" w:type="dxa"/>
                  <w:vAlign w:val="center"/>
                </w:tcPr>
                <w:p w14:paraId="51DF2FFC">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合计应支付的预付款</w:t>
                  </w:r>
                </w:p>
              </w:tc>
              <w:tc>
                <w:tcPr>
                  <w:tcW w:w="1701" w:type="dxa"/>
                  <w:vAlign w:val="center"/>
                </w:tcPr>
                <w:p w14:paraId="4EB0A815">
                  <w:pPr>
                    <w:pStyle w:val="177"/>
                    <w:jc w:val="center"/>
                    <w:rPr>
                      <w:rFonts w:ascii="宋体" w:hAnsi="宋体"/>
                      <w:color w:val="000000" w:themeColor="text1"/>
                      <w:szCs w:val="21"/>
                      <w:highlight w:val="none"/>
                      <w14:textFill>
                        <w14:solidFill>
                          <w14:schemeClr w14:val="tx1"/>
                        </w14:solidFill>
                      </w14:textFill>
                    </w:rPr>
                  </w:pPr>
                </w:p>
              </w:tc>
              <w:tc>
                <w:tcPr>
                  <w:tcW w:w="1701" w:type="dxa"/>
                  <w:vAlign w:val="center"/>
                </w:tcPr>
                <w:p w14:paraId="3DDC5C04">
                  <w:pPr>
                    <w:pStyle w:val="177"/>
                    <w:jc w:val="center"/>
                    <w:rPr>
                      <w:rFonts w:ascii="宋体" w:hAnsi="宋体"/>
                      <w:color w:val="000000" w:themeColor="text1"/>
                      <w:szCs w:val="21"/>
                      <w:highlight w:val="none"/>
                      <w14:textFill>
                        <w14:solidFill>
                          <w14:schemeClr w14:val="tx1"/>
                        </w14:solidFill>
                      </w14:textFill>
                    </w:rPr>
                  </w:pPr>
                </w:p>
              </w:tc>
              <w:tc>
                <w:tcPr>
                  <w:tcW w:w="1723" w:type="dxa"/>
                  <w:vAlign w:val="center"/>
                </w:tcPr>
                <w:p w14:paraId="6DEA6B47">
                  <w:pPr>
                    <w:pStyle w:val="177"/>
                    <w:jc w:val="center"/>
                    <w:rPr>
                      <w:rFonts w:ascii="宋体" w:hAnsi="宋体"/>
                      <w:color w:val="000000" w:themeColor="text1"/>
                      <w:szCs w:val="21"/>
                      <w:highlight w:val="none"/>
                      <w14:textFill>
                        <w14:solidFill>
                          <w14:schemeClr w14:val="tx1"/>
                        </w14:solidFill>
                      </w14:textFill>
                    </w:rPr>
                  </w:pPr>
                </w:p>
              </w:tc>
            </w:tr>
          </w:tbl>
          <w:p w14:paraId="64FDF416">
            <w:pPr>
              <w:pStyle w:val="177"/>
              <w:jc w:val="left"/>
              <w:rPr>
                <w:rFonts w:ascii="宋体" w:hAnsi="宋体"/>
                <w:color w:val="000000" w:themeColor="text1"/>
                <w:szCs w:val="21"/>
                <w:highlight w:val="none"/>
                <w14:textFill>
                  <w14:solidFill>
                    <w14:schemeClr w14:val="tx1"/>
                  </w14:solidFill>
                </w14:textFill>
              </w:rPr>
            </w:pPr>
          </w:p>
          <w:p w14:paraId="3AF048B2">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承包人（章）</w:t>
            </w:r>
          </w:p>
          <w:p w14:paraId="6B061805">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造价人员：</w:t>
            </w:r>
            <w:r>
              <w:rPr>
                <w:rFonts w:ascii="宋体" w:hAnsi="宋体"/>
                <w:color w:val="000000" w:themeColor="text1"/>
                <w:szCs w:val="21"/>
                <w:highlight w:val="none"/>
                <w:u w:val="single"/>
                <w14:textFill>
                  <w14:solidFill>
                    <w14:schemeClr w14:val="tx1"/>
                  </w14:solidFill>
                </w14:textFill>
              </w:rPr>
              <w:t xml:space="preserve">      </w:t>
            </w:r>
          </w:p>
          <w:p w14:paraId="18307F3A">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承包人代表：</w:t>
            </w:r>
            <w:r>
              <w:rPr>
                <w:rFonts w:ascii="宋体" w:hAnsi="宋体"/>
                <w:color w:val="000000" w:themeColor="text1"/>
                <w:szCs w:val="21"/>
                <w:highlight w:val="none"/>
                <w:u w:val="single"/>
                <w14:textFill>
                  <w14:solidFill>
                    <w14:schemeClr w14:val="tx1"/>
                  </w14:solidFill>
                </w14:textFill>
              </w:rPr>
              <w:t xml:space="preserve">      </w:t>
            </w:r>
          </w:p>
          <w:p w14:paraId="1C38C630">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r w14:paraId="2FFE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2D6651C9">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复核意见：</w:t>
            </w:r>
          </w:p>
          <w:p w14:paraId="4789A6BA">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□与合同约定不相符，修改意见见附件。</w:t>
            </w:r>
          </w:p>
          <w:p w14:paraId="4C39FE2F">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□与合同约定相符，具体金额由造价工程师复核。</w:t>
            </w:r>
          </w:p>
          <w:p w14:paraId="31B68408">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监理工程师（签字）：</w:t>
            </w:r>
            <w:r>
              <w:rPr>
                <w:rFonts w:ascii="宋体" w:hAnsi="宋体"/>
                <w:color w:val="000000" w:themeColor="text1"/>
                <w:szCs w:val="21"/>
                <w:highlight w:val="none"/>
                <w:u w:val="single"/>
                <w14:textFill>
                  <w14:solidFill>
                    <w14:schemeClr w14:val="tx1"/>
                  </w14:solidFill>
                </w14:textFill>
              </w:rPr>
              <w:t xml:space="preserve">      </w:t>
            </w:r>
          </w:p>
          <w:p w14:paraId="000FF2B9">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c>
          <w:tcPr>
            <w:tcW w:w="4672" w:type="dxa"/>
            <w:vAlign w:val="center"/>
          </w:tcPr>
          <w:p w14:paraId="5935ED9C">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复核意见：</w:t>
            </w:r>
          </w:p>
          <w:p w14:paraId="1700F4C1">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你方提出的支付申请经复核，应支付预付款金额为人民币（大写）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9A2E1B3">
            <w:pPr>
              <w:pStyle w:val="177"/>
              <w:jc w:val="left"/>
              <w:rPr>
                <w:rFonts w:ascii="宋体" w:hAnsi="宋体"/>
                <w:color w:val="000000" w:themeColor="text1"/>
                <w:szCs w:val="21"/>
                <w:highlight w:val="none"/>
                <w14:textFill>
                  <w14:solidFill>
                    <w14:schemeClr w14:val="tx1"/>
                  </w14:solidFill>
                </w14:textFill>
              </w:rPr>
            </w:pPr>
          </w:p>
          <w:p w14:paraId="2A19DA0B">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造价工程师（签字）：</w:t>
            </w:r>
            <w:r>
              <w:rPr>
                <w:rFonts w:ascii="宋体" w:hAnsi="宋体"/>
                <w:color w:val="000000" w:themeColor="text1"/>
                <w:szCs w:val="21"/>
                <w:highlight w:val="none"/>
                <w:u w:val="single"/>
                <w14:textFill>
                  <w14:solidFill>
                    <w14:schemeClr w14:val="tx1"/>
                  </w14:solidFill>
                </w14:textFill>
              </w:rPr>
              <w:t xml:space="preserve">      </w:t>
            </w:r>
          </w:p>
          <w:p w14:paraId="2B286803">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日</w:t>
            </w:r>
          </w:p>
        </w:tc>
      </w:tr>
      <w:tr w14:paraId="3731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22097460">
            <w:pPr>
              <w:pStyle w:val="17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审核意见：</w:t>
            </w:r>
          </w:p>
          <w:p w14:paraId="32E80FFC">
            <w:pPr>
              <w:pStyle w:val="177"/>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□不同意。</w:t>
            </w:r>
          </w:p>
          <w:p w14:paraId="27AE9EE0">
            <w:pPr>
              <w:pStyle w:val="177"/>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□同意，支付时间为本表签发后的15天内。</w:t>
            </w:r>
          </w:p>
          <w:p w14:paraId="46E84581">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发包人（章）：</w:t>
            </w:r>
            <w:r>
              <w:rPr>
                <w:rFonts w:ascii="宋体" w:hAnsi="宋体"/>
                <w:color w:val="000000" w:themeColor="text1"/>
                <w:szCs w:val="21"/>
                <w:highlight w:val="none"/>
                <w:u w:val="single"/>
                <w14:textFill>
                  <w14:solidFill>
                    <w14:schemeClr w14:val="tx1"/>
                  </w14:solidFill>
                </w14:textFill>
              </w:rPr>
              <w:t xml:space="preserve">      </w:t>
            </w:r>
          </w:p>
          <w:p w14:paraId="5827F2F2">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发包人代表（签字）：</w:t>
            </w:r>
            <w:r>
              <w:rPr>
                <w:rFonts w:ascii="宋体" w:hAnsi="宋体"/>
                <w:color w:val="000000" w:themeColor="text1"/>
                <w:szCs w:val="21"/>
                <w:highlight w:val="none"/>
                <w:u w:val="single"/>
                <w14:textFill>
                  <w14:solidFill>
                    <w14:schemeClr w14:val="tx1"/>
                  </w14:solidFill>
                </w14:textFill>
              </w:rPr>
              <w:t xml:space="preserve">      </w:t>
            </w:r>
          </w:p>
          <w:p w14:paraId="7A3841F1">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bl>
    <w:p w14:paraId="3899C245">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注：1.在选择栏中的“□”内作标识“√”。</w:t>
      </w:r>
    </w:p>
    <w:p w14:paraId="2564432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2.本表一式肆份，由承包人填报，发包人、监理人、造价咨询人、承包人各存壹份。</w:t>
      </w:r>
    </w:p>
    <w:p w14:paraId="0D4085CD">
      <w:pPr>
        <w:pStyle w:val="177"/>
        <w:spacing w:line="360" w:lineRule="auto"/>
        <w:rPr>
          <w:rFonts w:ascii="宋体" w:hAnsi="宋体"/>
          <w:color w:val="000000" w:themeColor="text1"/>
          <w:sz w:val="30"/>
          <w:szCs w:val="30"/>
          <w:highlight w:val="none"/>
          <w14:textFill>
            <w14:solidFill>
              <w14:schemeClr w14:val="tx1"/>
            </w14:solidFill>
          </w14:textFill>
        </w:rPr>
      </w:pPr>
    </w:p>
    <w:p w14:paraId="3BAB64D4">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01873A35">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附件11：</w:t>
      </w:r>
    </w:p>
    <w:p w14:paraId="0C4C9625">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进度款支付申请（核准）表</w:t>
      </w:r>
    </w:p>
    <w:p w14:paraId="4A42AD41">
      <w:pPr>
        <w:pStyle w:val="17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工程名称：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287F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7A6D30B3">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（发包人全称）</w:t>
            </w:r>
          </w:p>
          <w:p w14:paraId="635ED554">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至</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期间已完成了</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工作，根据施工合同的约定，现申请支付本期的合同款额为人民币（大写）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），请予核准。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906"/>
              <w:gridCol w:w="1701"/>
              <w:gridCol w:w="1559"/>
              <w:gridCol w:w="1559"/>
              <w:gridCol w:w="731"/>
            </w:tblGrid>
            <w:tr w14:paraId="7DA3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51927D46">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906" w:type="dxa"/>
                  <w:vAlign w:val="center"/>
                </w:tcPr>
                <w:p w14:paraId="693837D5">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1701" w:type="dxa"/>
                  <w:vAlign w:val="center"/>
                </w:tcPr>
                <w:p w14:paraId="7D6F1B2C">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实际金额（元）</w:t>
                  </w:r>
                </w:p>
              </w:tc>
              <w:tc>
                <w:tcPr>
                  <w:tcW w:w="1559" w:type="dxa"/>
                  <w:vAlign w:val="center"/>
                </w:tcPr>
                <w:p w14:paraId="2B99F02C">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申请金额（元）</w:t>
                  </w:r>
                </w:p>
              </w:tc>
              <w:tc>
                <w:tcPr>
                  <w:tcW w:w="1559" w:type="dxa"/>
                  <w:vAlign w:val="center"/>
                </w:tcPr>
                <w:p w14:paraId="6CF65C73">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复核金额（元）</w:t>
                  </w:r>
                </w:p>
              </w:tc>
              <w:tc>
                <w:tcPr>
                  <w:tcW w:w="731" w:type="dxa"/>
                  <w:vAlign w:val="center"/>
                </w:tcPr>
                <w:p w14:paraId="04645D29">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573C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114639A0">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906" w:type="dxa"/>
                  <w:vAlign w:val="center"/>
                </w:tcPr>
                <w:p w14:paraId="5A873E13">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累计已完成的工程价款</w:t>
                  </w:r>
                </w:p>
              </w:tc>
              <w:tc>
                <w:tcPr>
                  <w:tcW w:w="1701" w:type="dxa"/>
                  <w:vAlign w:val="center"/>
                </w:tcPr>
                <w:p w14:paraId="04010B12">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78E3740E">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428A6AF8">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1F82FB89">
                  <w:pPr>
                    <w:pStyle w:val="177"/>
                    <w:jc w:val="center"/>
                    <w:rPr>
                      <w:rFonts w:ascii="宋体" w:hAnsi="宋体"/>
                      <w:color w:val="000000" w:themeColor="text1"/>
                      <w:szCs w:val="21"/>
                      <w:highlight w:val="none"/>
                      <w14:textFill>
                        <w14:solidFill>
                          <w14:schemeClr w14:val="tx1"/>
                        </w14:solidFill>
                      </w14:textFill>
                    </w:rPr>
                  </w:pPr>
                </w:p>
              </w:tc>
            </w:tr>
            <w:tr w14:paraId="7002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012ACF4">
                  <w:pPr>
                    <w:pStyle w:val="177"/>
                    <w:jc w:val="center"/>
                    <w:rPr>
                      <w:rFonts w:ascii="宋体" w:hAnsi="宋体"/>
                      <w:color w:val="000000" w:themeColor="text1"/>
                      <w:szCs w:val="21"/>
                      <w:highlight w:val="none"/>
                      <w14:textFill>
                        <w14:solidFill>
                          <w14:schemeClr w14:val="tx1"/>
                        </w14:solidFill>
                      </w14:textFill>
                    </w:rPr>
                  </w:pPr>
                </w:p>
              </w:tc>
              <w:tc>
                <w:tcPr>
                  <w:tcW w:w="2906" w:type="dxa"/>
                  <w:vAlign w:val="center"/>
                </w:tcPr>
                <w:p w14:paraId="4FA5558F">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其中：人工费</w:t>
                  </w:r>
                </w:p>
              </w:tc>
              <w:tc>
                <w:tcPr>
                  <w:tcW w:w="1701" w:type="dxa"/>
                  <w:vAlign w:val="center"/>
                </w:tcPr>
                <w:p w14:paraId="7298100F">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548BFA8A">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49209261">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3A127801">
                  <w:pPr>
                    <w:pStyle w:val="177"/>
                    <w:jc w:val="center"/>
                    <w:rPr>
                      <w:rFonts w:ascii="宋体" w:hAnsi="宋体"/>
                      <w:color w:val="000000" w:themeColor="text1"/>
                      <w:szCs w:val="21"/>
                      <w:highlight w:val="none"/>
                      <w14:textFill>
                        <w14:solidFill>
                          <w14:schemeClr w14:val="tx1"/>
                        </w14:solidFill>
                      </w14:textFill>
                    </w:rPr>
                  </w:pPr>
                </w:p>
              </w:tc>
            </w:tr>
            <w:tr w14:paraId="2946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4B8EC3D3">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2906" w:type="dxa"/>
                  <w:vAlign w:val="center"/>
                </w:tcPr>
                <w:p w14:paraId="7E6B599D">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累计已实际支付的工程价款</w:t>
                  </w:r>
                </w:p>
              </w:tc>
              <w:tc>
                <w:tcPr>
                  <w:tcW w:w="1701" w:type="dxa"/>
                  <w:vAlign w:val="center"/>
                </w:tcPr>
                <w:p w14:paraId="5C8BB3A9">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07AB5660">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235FC3E2">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447FF43A">
                  <w:pPr>
                    <w:pStyle w:val="177"/>
                    <w:jc w:val="center"/>
                    <w:rPr>
                      <w:rFonts w:ascii="宋体" w:hAnsi="宋体"/>
                      <w:color w:val="000000" w:themeColor="text1"/>
                      <w:szCs w:val="21"/>
                      <w:highlight w:val="none"/>
                      <w14:textFill>
                        <w14:solidFill>
                          <w14:schemeClr w14:val="tx1"/>
                        </w14:solidFill>
                      </w14:textFill>
                    </w:rPr>
                  </w:pPr>
                </w:p>
              </w:tc>
            </w:tr>
            <w:tr w14:paraId="01D1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1FA0B073">
                  <w:pPr>
                    <w:pStyle w:val="177"/>
                    <w:jc w:val="center"/>
                    <w:rPr>
                      <w:rFonts w:ascii="宋体" w:hAnsi="宋体"/>
                      <w:color w:val="000000" w:themeColor="text1"/>
                      <w:szCs w:val="21"/>
                      <w:highlight w:val="none"/>
                      <w14:textFill>
                        <w14:solidFill>
                          <w14:schemeClr w14:val="tx1"/>
                        </w14:solidFill>
                      </w14:textFill>
                    </w:rPr>
                  </w:pPr>
                </w:p>
              </w:tc>
              <w:tc>
                <w:tcPr>
                  <w:tcW w:w="2906" w:type="dxa"/>
                  <w:vAlign w:val="center"/>
                </w:tcPr>
                <w:p w14:paraId="75E3AEAA">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其中：人工费</w:t>
                  </w:r>
                </w:p>
              </w:tc>
              <w:tc>
                <w:tcPr>
                  <w:tcW w:w="1701" w:type="dxa"/>
                  <w:vAlign w:val="center"/>
                </w:tcPr>
                <w:p w14:paraId="77B9E2CB">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283AE7FC">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33A76DD7">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12120828">
                  <w:pPr>
                    <w:pStyle w:val="177"/>
                    <w:jc w:val="center"/>
                    <w:rPr>
                      <w:rFonts w:ascii="宋体" w:hAnsi="宋体"/>
                      <w:color w:val="000000" w:themeColor="text1"/>
                      <w:szCs w:val="21"/>
                      <w:highlight w:val="none"/>
                      <w14:textFill>
                        <w14:solidFill>
                          <w14:schemeClr w14:val="tx1"/>
                        </w14:solidFill>
                      </w14:textFill>
                    </w:rPr>
                  </w:pPr>
                </w:p>
              </w:tc>
            </w:tr>
            <w:tr w14:paraId="43B4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104D5F4B">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2906" w:type="dxa"/>
                  <w:vAlign w:val="center"/>
                </w:tcPr>
                <w:p w14:paraId="6363DDFE">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本周期已完成的工程价款</w:t>
                  </w:r>
                </w:p>
              </w:tc>
              <w:tc>
                <w:tcPr>
                  <w:tcW w:w="1701" w:type="dxa"/>
                  <w:vAlign w:val="center"/>
                </w:tcPr>
                <w:p w14:paraId="2F450243">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727CDF13">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3694A24F">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7DC33F77">
                  <w:pPr>
                    <w:pStyle w:val="177"/>
                    <w:jc w:val="center"/>
                    <w:rPr>
                      <w:rFonts w:ascii="宋体" w:hAnsi="宋体"/>
                      <w:color w:val="000000" w:themeColor="text1"/>
                      <w:szCs w:val="21"/>
                      <w:highlight w:val="none"/>
                      <w14:textFill>
                        <w14:solidFill>
                          <w14:schemeClr w14:val="tx1"/>
                        </w14:solidFill>
                      </w14:textFill>
                    </w:rPr>
                  </w:pPr>
                </w:p>
              </w:tc>
            </w:tr>
            <w:tr w14:paraId="5021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FC89EE5">
                  <w:pPr>
                    <w:pStyle w:val="177"/>
                    <w:jc w:val="center"/>
                    <w:rPr>
                      <w:rFonts w:ascii="宋体" w:hAnsi="宋体"/>
                      <w:color w:val="000000" w:themeColor="text1"/>
                      <w:szCs w:val="21"/>
                      <w:highlight w:val="none"/>
                      <w14:textFill>
                        <w14:solidFill>
                          <w14:schemeClr w14:val="tx1"/>
                        </w14:solidFill>
                      </w14:textFill>
                    </w:rPr>
                  </w:pPr>
                </w:p>
              </w:tc>
              <w:tc>
                <w:tcPr>
                  <w:tcW w:w="2906" w:type="dxa"/>
                  <w:vAlign w:val="center"/>
                </w:tcPr>
                <w:p w14:paraId="2C5F7AE1">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其中：人工费</w:t>
                  </w:r>
                </w:p>
              </w:tc>
              <w:tc>
                <w:tcPr>
                  <w:tcW w:w="1701" w:type="dxa"/>
                  <w:vAlign w:val="center"/>
                </w:tcPr>
                <w:p w14:paraId="4EA6FB96">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5B0312FC">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2C053251">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57FE6870">
                  <w:pPr>
                    <w:pStyle w:val="177"/>
                    <w:jc w:val="center"/>
                    <w:rPr>
                      <w:rFonts w:ascii="宋体" w:hAnsi="宋体"/>
                      <w:color w:val="000000" w:themeColor="text1"/>
                      <w:szCs w:val="21"/>
                      <w:highlight w:val="none"/>
                      <w14:textFill>
                        <w14:solidFill>
                          <w14:schemeClr w14:val="tx1"/>
                        </w14:solidFill>
                      </w14:textFill>
                    </w:rPr>
                  </w:pPr>
                </w:p>
              </w:tc>
            </w:tr>
            <w:tr w14:paraId="7867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E15E072">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2906" w:type="dxa"/>
                  <w:vAlign w:val="center"/>
                </w:tcPr>
                <w:p w14:paraId="54741A1E">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本周期应扣减的金额</w:t>
                  </w:r>
                </w:p>
              </w:tc>
              <w:tc>
                <w:tcPr>
                  <w:tcW w:w="1701" w:type="dxa"/>
                  <w:vAlign w:val="center"/>
                </w:tcPr>
                <w:p w14:paraId="1955FDE3">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257150F5">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1EBA68D9">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6E8B1C18">
                  <w:pPr>
                    <w:pStyle w:val="177"/>
                    <w:jc w:val="center"/>
                    <w:rPr>
                      <w:rFonts w:ascii="宋体" w:hAnsi="宋体"/>
                      <w:color w:val="000000" w:themeColor="text1"/>
                      <w:szCs w:val="21"/>
                      <w:highlight w:val="none"/>
                      <w14:textFill>
                        <w14:solidFill>
                          <w14:schemeClr w14:val="tx1"/>
                        </w14:solidFill>
                      </w14:textFill>
                    </w:rPr>
                  </w:pPr>
                </w:p>
              </w:tc>
            </w:tr>
            <w:tr w14:paraId="5F39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283CBADA">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.1</w:t>
                  </w:r>
                </w:p>
              </w:tc>
              <w:tc>
                <w:tcPr>
                  <w:tcW w:w="2906" w:type="dxa"/>
                  <w:vAlign w:val="center"/>
                </w:tcPr>
                <w:p w14:paraId="22DC4436">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本周期实际应抵扣的预付款</w:t>
                  </w:r>
                </w:p>
              </w:tc>
              <w:tc>
                <w:tcPr>
                  <w:tcW w:w="1701" w:type="dxa"/>
                  <w:vAlign w:val="center"/>
                </w:tcPr>
                <w:p w14:paraId="395615EB">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3F93CF01">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24C0DF8A">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0CCC8D99">
                  <w:pPr>
                    <w:pStyle w:val="177"/>
                    <w:jc w:val="center"/>
                    <w:rPr>
                      <w:rFonts w:ascii="宋体" w:hAnsi="宋体"/>
                      <w:color w:val="000000" w:themeColor="text1"/>
                      <w:szCs w:val="21"/>
                      <w:highlight w:val="none"/>
                      <w14:textFill>
                        <w14:solidFill>
                          <w14:schemeClr w14:val="tx1"/>
                        </w14:solidFill>
                      </w14:textFill>
                    </w:rPr>
                  </w:pPr>
                </w:p>
              </w:tc>
            </w:tr>
            <w:tr w14:paraId="141D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1CFC7DEB">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p>
              </w:tc>
              <w:tc>
                <w:tcPr>
                  <w:tcW w:w="2906" w:type="dxa"/>
                  <w:vAlign w:val="center"/>
                </w:tcPr>
                <w:p w14:paraId="1638B6FA">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本周期应扣减的金额</w:t>
                  </w:r>
                </w:p>
              </w:tc>
              <w:tc>
                <w:tcPr>
                  <w:tcW w:w="1701" w:type="dxa"/>
                  <w:vAlign w:val="center"/>
                </w:tcPr>
                <w:p w14:paraId="52A6915C">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78F98990">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3FDE5989">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585597AA">
                  <w:pPr>
                    <w:pStyle w:val="177"/>
                    <w:jc w:val="center"/>
                    <w:rPr>
                      <w:rFonts w:ascii="宋体" w:hAnsi="宋体"/>
                      <w:color w:val="000000" w:themeColor="text1"/>
                      <w:szCs w:val="21"/>
                      <w:highlight w:val="none"/>
                      <w14:textFill>
                        <w14:solidFill>
                          <w14:schemeClr w14:val="tx1"/>
                        </w14:solidFill>
                      </w14:textFill>
                    </w:rPr>
                  </w:pPr>
                </w:p>
              </w:tc>
            </w:tr>
            <w:tr w14:paraId="5341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C9E2810">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2906" w:type="dxa"/>
                  <w:vAlign w:val="center"/>
                </w:tcPr>
                <w:p w14:paraId="1C45C0E8">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本周期应支付的合同价款</w:t>
                  </w:r>
                </w:p>
              </w:tc>
              <w:tc>
                <w:tcPr>
                  <w:tcW w:w="1701" w:type="dxa"/>
                  <w:vAlign w:val="center"/>
                </w:tcPr>
                <w:p w14:paraId="642C2191">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126B6344">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00B1F128">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33EF3919">
                  <w:pPr>
                    <w:pStyle w:val="177"/>
                    <w:jc w:val="center"/>
                    <w:rPr>
                      <w:rFonts w:ascii="宋体" w:hAnsi="宋体"/>
                      <w:color w:val="000000" w:themeColor="text1"/>
                      <w:szCs w:val="21"/>
                      <w:highlight w:val="none"/>
                      <w14:textFill>
                        <w14:solidFill>
                          <w14:schemeClr w14:val="tx1"/>
                        </w14:solidFill>
                      </w14:textFill>
                    </w:rPr>
                  </w:pPr>
                </w:p>
              </w:tc>
            </w:tr>
            <w:tr w14:paraId="5FAA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815A2BC">
                  <w:pPr>
                    <w:pStyle w:val="177"/>
                    <w:jc w:val="center"/>
                    <w:rPr>
                      <w:rFonts w:ascii="宋体" w:hAnsi="宋体"/>
                      <w:color w:val="000000" w:themeColor="text1"/>
                      <w:szCs w:val="21"/>
                      <w:highlight w:val="none"/>
                      <w14:textFill>
                        <w14:solidFill>
                          <w14:schemeClr w14:val="tx1"/>
                        </w14:solidFill>
                      </w14:textFill>
                    </w:rPr>
                  </w:pPr>
                </w:p>
              </w:tc>
              <w:tc>
                <w:tcPr>
                  <w:tcW w:w="2906" w:type="dxa"/>
                  <w:vAlign w:val="center"/>
                </w:tcPr>
                <w:p w14:paraId="33060AEF">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其中：人工费</w:t>
                  </w:r>
                </w:p>
              </w:tc>
              <w:tc>
                <w:tcPr>
                  <w:tcW w:w="1701" w:type="dxa"/>
                  <w:vAlign w:val="center"/>
                </w:tcPr>
                <w:p w14:paraId="4EAD042C">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7CC968EA">
                  <w:pPr>
                    <w:pStyle w:val="177"/>
                    <w:jc w:val="center"/>
                    <w:rPr>
                      <w:rFonts w:ascii="宋体" w:hAnsi="宋体"/>
                      <w:color w:val="000000" w:themeColor="text1"/>
                      <w:szCs w:val="21"/>
                      <w:highlight w:val="none"/>
                      <w14:textFill>
                        <w14:solidFill>
                          <w14:schemeClr w14:val="tx1"/>
                        </w14:solidFill>
                      </w14:textFill>
                    </w:rPr>
                  </w:pPr>
                </w:p>
              </w:tc>
              <w:tc>
                <w:tcPr>
                  <w:tcW w:w="1559" w:type="dxa"/>
                  <w:vAlign w:val="center"/>
                </w:tcPr>
                <w:p w14:paraId="7657E43E">
                  <w:pPr>
                    <w:pStyle w:val="177"/>
                    <w:jc w:val="center"/>
                    <w:rPr>
                      <w:rFonts w:ascii="宋体" w:hAnsi="宋体"/>
                      <w:color w:val="000000" w:themeColor="text1"/>
                      <w:szCs w:val="21"/>
                      <w:highlight w:val="none"/>
                      <w14:textFill>
                        <w14:solidFill>
                          <w14:schemeClr w14:val="tx1"/>
                        </w14:solidFill>
                      </w14:textFill>
                    </w:rPr>
                  </w:pPr>
                </w:p>
              </w:tc>
              <w:tc>
                <w:tcPr>
                  <w:tcW w:w="731" w:type="dxa"/>
                  <w:vAlign w:val="center"/>
                </w:tcPr>
                <w:p w14:paraId="184890E0">
                  <w:pPr>
                    <w:pStyle w:val="177"/>
                    <w:jc w:val="center"/>
                    <w:rPr>
                      <w:rFonts w:ascii="宋体" w:hAnsi="宋体"/>
                      <w:color w:val="000000" w:themeColor="text1"/>
                      <w:szCs w:val="21"/>
                      <w:highlight w:val="none"/>
                      <w14:textFill>
                        <w14:solidFill>
                          <w14:schemeClr w14:val="tx1"/>
                        </w14:solidFill>
                      </w14:textFill>
                    </w:rPr>
                  </w:pPr>
                </w:p>
              </w:tc>
            </w:tr>
          </w:tbl>
          <w:p w14:paraId="50A597A0">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附：上述3、4详见附件清单。</w:t>
            </w:r>
          </w:p>
          <w:p w14:paraId="2E7BBC46">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承包人（章）</w:t>
            </w:r>
          </w:p>
          <w:p w14:paraId="11DD81A0">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造价人员：</w:t>
            </w:r>
            <w:r>
              <w:rPr>
                <w:rFonts w:ascii="宋体" w:hAnsi="宋体"/>
                <w:color w:val="000000" w:themeColor="text1"/>
                <w:szCs w:val="21"/>
                <w:highlight w:val="none"/>
                <w:u w:val="single"/>
                <w14:textFill>
                  <w14:solidFill>
                    <w14:schemeClr w14:val="tx1"/>
                  </w14:solidFill>
                </w14:textFill>
              </w:rPr>
              <w:t xml:space="preserve">      </w:t>
            </w:r>
          </w:p>
          <w:p w14:paraId="672917D9">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承包人代表：</w:t>
            </w:r>
            <w:r>
              <w:rPr>
                <w:rFonts w:ascii="宋体" w:hAnsi="宋体"/>
                <w:color w:val="000000" w:themeColor="text1"/>
                <w:szCs w:val="21"/>
                <w:highlight w:val="none"/>
                <w:u w:val="single"/>
                <w14:textFill>
                  <w14:solidFill>
                    <w14:schemeClr w14:val="tx1"/>
                  </w14:solidFill>
                </w14:textFill>
              </w:rPr>
              <w:t xml:space="preserve">      </w:t>
            </w:r>
          </w:p>
          <w:p w14:paraId="79EDC2E2">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r w14:paraId="12E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12FB1D0B">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复核意见：</w:t>
            </w:r>
          </w:p>
          <w:p w14:paraId="2B11AC49">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□与实际施工情况不相符，修改意见见附件。</w:t>
            </w:r>
          </w:p>
          <w:p w14:paraId="077DF84C">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□与实际施工情况相符，具体金额由造价工程师复核。</w:t>
            </w:r>
          </w:p>
          <w:p w14:paraId="2A967D54">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监理工程师（签字）：</w:t>
            </w:r>
            <w:r>
              <w:rPr>
                <w:rFonts w:ascii="宋体" w:hAnsi="宋体"/>
                <w:color w:val="000000" w:themeColor="text1"/>
                <w:szCs w:val="21"/>
                <w:highlight w:val="none"/>
                <w:u w:val="single"/>
                <w14:textFill>
                  <w14:solidFill>
                    <w14:schemeClr w14:val="tx1"/>
                  </w14:solidFill>
                </w14:textFill>
              </w:rPr>
              <w:t xml:space="preserve">      </w:t>
            </w:r>
          </w:p>
          <w:p w14:paraId="275CD8A2">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c>
          <w:tcPr>
            <w:tcW w:w="4672" w:type="dxa"/>
            <w:vAlign w:val="center"/>
          </w:tcPr>
          <w:p w14:paraId="55217886">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复核意见：</w:t>
            </w:r>
          </w:p>
          <w:p w14:paraId="209C9F5E">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你方提出的支付申请经复核，本周期已完成工程价款为人民币（大写）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），本期间应支付金额为人民币（大写）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C545A10">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造价工程师（签字）：</w:t>
            </w:r>
            <w:r>
              <w:rPr>
                <w:rFonts w:ascii="宋体" w:hAnsi="宋体"/>
                <w:color w:val="000000" w:themeColor="text1"/>
                <w:szCs w:val="21"/>
                <w:highlight w:val="none"/>
                <w:u w:val="single"/>
                <w14:textFill>
                  <w14:solidFill>
                    <w14:schemeClr w14:val="tx1"/>
                  </w14:solidFill>
                </w14:textFill>
              </w:rPr>
              <w:t xml:space="preserve">      </w:t>
            </w:r>
          </w:p>
          <w:p w14:paraId="5964069A">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r w14:paraId="0FAF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2E74FC00">
            <w:pPr>
              <w:pStyle w:val="17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审核意见：</w:t>
            </w:r>
          </w:p>
          <w:p w14:paraId="53C02E7C">
            <w:pPr>
              <w:pStyle w:val="177"/>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□不同意。</w:t>
            </w:r>
          </w:p>
          <w:p w14:paraId="0CA81492">
            <w:pPr>
              <w:pStyle w:val="177"/>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□同意，支付时间为本表签发后的15天内。</w:t>
            </w:r>
          </w:p>
          <w:p w14:paraId="6D41AAAC">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发包人（章）：</w:t>
            </w:r>
            <w:r>
              <w:rPr>
                <w:rFonts w:ascii="宋体" w:hAnsi="宋体"/>
                <w:color w:val="000000" w:themeColor="text1"/>
                <w:szCs w:val="21"/>
                <w:highlight w:val="none"/>
                <w:u w:val="single"/>
                <w14:textFill>
                  <w14:solidFill>
                    <w14:schemeClr w14:val="tx1"/>
                  </w14:solidFill>
                </w14:textFill>
              </w:rPr>
              <w:t xml:space="preserve">      </w:t>
            </w:r>
          </w:p>
          <w:p w14:paraId="33D2B56E">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发包人代表（签字）：</w:t>
            </w:r>
            <w:r>
              <w:rPr>
                <w:rFonts w:ascii="宋体" w:hAnsi="宋体"/>
                <w:color w:val="000000" w:themeColor="text1"/>
                <w:szCs w:val="21"/>
                <w:highlight w:val="none"/>
                <w:u w:val="single"/>
                <w14:textFill>
                  <w14:solidFill>
                    <w14:schemeClr w14:val="tx1"/>
                  </w14:solidFill>
                </w14:textFill>
              </w:rPr>
              <w:t xml:space="preserve">      </w:t>
            </w:r>
          </w:p>
          <w:p w14:paraId="5ACEA241">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bl>
    <w:p w14:paraId="46AE64E7">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注：1.在选择栏中的“□”内作标识“√”。</w:t>
      </w:r>
    </w:p>
    <w:p w14:paraId="3E17C5B0">
      <w:pPr>
        <w:pStyle w:val="177"/>
        <w:spacing w:line="360" w:lineRule="auto"/>
        <w:ind w:firstLine="420" w:firstLineChars="200"/>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r>
        <w:rPr>
          <w:rFonts w:hint="eastAsia" w:ascii="宋体" w:hAnsi="宋体"/>
          <w:color w:val="000000" w:themeColor="text1"/>
          <w:szCs w:val="21"/>
          <w:highlight w:val="none"/>
          <w14:textFill>
            <w14:solidFill>
              <w14:schemeClr w14:val="tx1"/>
            </w14:solidFill>
          </w14:textFill>
        </w:rPr>
        <w:t>2.本表一式肆份，由承包人填报，发包人、监理人、造价咨询人、承包人各存壹份。</w:t>
      </w:r>
    </w:p>
    <w:p w14:paraId="5E6E01F2">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附件12</w:t>
      </w:r>
    </w:p>
    <w:p w14:paraId="0E71BFDC">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竣工结算款支付申请（核准）表</w:t>
      </w:r>
    </w:p>
    <w:p w14:paraId="780112B2">
      <w:pPr>
        <w:pStyle w:val="17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工程名称：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154E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3CA8B76F">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（发包人全称）</w:t>
            </w:r>
          </w:p>
          <w:p w14:paraId="76A45AA4">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至</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期间已完成了合同约定的工作，根据施工合同的约定，现申请支付竣工结算的工程款额为人民币（大写）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），请予核准。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60"/>
              <w:gridCol w:w="1701"/>
              <w:gridCol w:w="1701"/>
              <w:gridCol w:w="1723"/>
            </w:tblGrid>
            <w:tr w14:paraId="0D4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0811F8CF">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3260" w:type="dxa"/>
                </w:tcPr>
                <w:p w14:paraId="1CD40C72">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1701" w:type="dxa"/>
                </w:tcPr>
                <w:p w14:paraId="112F5002">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申请金额（元）</w:t>
                  </w:r>
                </w:p>
              </w:tc>
              <w:tc>
                <w:tcPr>
                  <w:tcW w:w="1701" w:type="dxa"/>
                </w:tcPr>
                <w:p w14:paraId="01882FFD">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复核金额（元）</w:t>
                  </w:r>
                </w:p>
              </w:tc>
              <w:tc>
                <w:tcPr>
                  <w:tcW w:w="1723" w:type="dxa"/>
                </w:tcPr>
                <w:p w14:paraId="7AE5BEA7">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5229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1DE65B24">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260" w:type="dxa"/>
                </w:tcPr>
                <w:p w14:paraId="547E12FF">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竣工结算合同价款总额</w:t>
                  </w:r>
                </w:p>
              </w:tc>
              <w:tc>
                <w:tcPr>
                  <w:tcW w:w="1701" w:type="dxa"/>
                </w:tcPr>
                <w:p w14:paraId="4407E1BA">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12FCC9E7">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442AC551">
                  <w:pPr>
                    <w:pStyle w:val="177"/>
                    <w:jc w:val="center"/>
                    <w:rPr>
                      <w:rFonts w:ascii="宋体" w:hAnsi="宋体"/>
                      <w:color w:val="000000" w:themeColor="text1"/>
                      <w:szCs w:val="21"/>
                      <w:highlight w:val="none"/>
                      <w14:textFill>
                        <w14:solidFill>
                          <w14:schemeClr w14:val="tx1"/>
                        </w14:solidFill>
                      </w14:textFill>
                    </w:rPr>
                  </w:pPr>
                </w:p>
              </w:tc>
            </w:tr>
            <w:tr w14:paraId="3700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1858484D">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3260" w:type="dxa"/>
                </w:tcPr>
                <w:p w14:paraId="2C8D22C9">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累计已实际支付的合同价款</w:t>
                  </w:r>
                </w:p>
              </w:tc>
              <w:tc>
                <w:tcPr>
                  <w:tcW w:w="1701" w:type="dxa"/>
                </w:tcPr>
                <w:p w14:paraId="0F996A21">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3CD124E8">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054C426B">
                  <w:pPr>
                    <w:pStyle w:val="177"/>
                    <w:jc w:val="center"/>
                    <w:rPr>
                      <w:rFonts w:ascii="宋体" w:hAnsi="宋体"/>
                      <w:color w:val="000000" w:themeColor="text1"/>
                      <w:szCs w:val="21"/>
                      <w:highlight w:val="none"/>
                      <w14:textFill>
                        <w14:solidFill>
                          <w14:schemeClr w14:val="tx1"/>
                        </w14:solidFill>
                      </w14:textFill>
                    </w:rPr>
                  </w:pPr>
                </w:p>
              </w:tc>
            </w:tr>
            <w:tr w14:paraId="75F7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5B7045C">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3260" w:type="dxa"/>
                </w:tcPr>
                <w:p w14:paraId="7B59FB82">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应预留的质量保证金</w:t>
                  </w:r>
                </w:p>
              </w:tc>
              <w:tc>
                <w:tcPr>
                  <w:tcW w:w="1701" w:type="dxa"/>
                </w:tcPr>
                <w:p w14:paraId="2D9990BF">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21E2D162">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47F36132">
                  <w:pPr>
                    <w:pStyle w:val="177"/>
                    <w:jc w:val="center"/>
                    <w:rPr>
                      <w:rFonts w:ascii="宋体" w:hAnsi="宋体"/>
                      <w:color w:val="000000" w:themeColor="text1"/>
                      <w:szCs w:val="21"/>
                      <w:highlight w:val="none"/>
                      <w14:textFill>
                        <w14:solidFill>
                          <w14:schemeClr w14:val="tx1"/>
                        </w14:solidFill>
                      </w14:textFill>
                    </w:rPr>
                  </w:pPr>
                </w:p>
              </w:tc>
            </w:tr>
            <w:tr w14:paraId="3B0D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77585E3">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3260" w:type="dxa"/>
                </w:tcPr>
                <w:p w14:paraId="35099ACB">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应支付的竣工结算款金额</w:t>
                  </w:r>
                </w:p>
              </w:tc>
              <w:tc>
                <w:tcPr>
                  <w:tcW w:w="1701" w:type="dxa"/>
                </w:tcPr>
                <w:p w14:paraId="332C8371">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0BF270DD">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5B5DF9A6">
                  <w:pPr>
                    <w:pStyle w:val="177"/>
                    <w:jc w:val="center"/>
                    <w:rPr>
                      <w:rFonts w:ascii="宋体" w:hAnsi="宋体"/>
                      <w:color w:val="000000" w:themeColor="text1"/>
                      <w:szCs w:val="21"/>
                      <w:highlight w:val="none"/>
                      <w14:textFill>
                        <w14:solidFill>
                          <w14:schemeClr w14:val="tx1"/>
                        </w14:solidFill>
                      </w14:textFill>
                    </w:rPr>
                  </w:pPr>
                </w:p>
              </w:tc>
            </w:tr>
            <w:tr w14:paraId="165D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01C69A51">
                  <w:pPr>
                    <w:pStyle w:val="177"/>
                    <w:jc w:val="center"/>
                    <w:rPr>
                      <w:rFonts w:ascii="宋体" w:hAnsi="宋体"/>
                      <w:color w:val="000000" w:themeColor="text1"/>
                      <w:szCs w:val="21"/>
                      <w:highlight w:val="none"/>
                      <w14:textFill>
                        <w14:solidFill>
                          <w14:schemeClr w14:val="tx1"/>
                        </w14:solidFill>
                      </w14:textFill>
                    </w:rPr>
                  </w:pPr>
                </w:p>
              </w:tc>
              <w:tc>
                <w:tcPr>
                  <w:tcW w:w="3260" w:type="dxa"/>
                </w:tcPr>
                <w:p w14:paraId="195918EA">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40F853FC">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1E56AED4">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03F0462C">
                  <w:pPr>
                    <w:pStyle w:val="177"/>
                    <w:jc w:val="center"/>
                    <w:rPr>
                      <w:rFonts w:ascii="宋体" w:hAnsi="宋体"/>
                      <w:color w:val="000000" w:themeColor="text1"/>
                      <w:szCs w:val="21"/>
                      <w:highlight w:val="none"/>
                      <w14:textFill>
                        <w14:solidFill>
                          <w14:schemeClr w14:val="tx1"/>
                        </w14:solidFill>
                      </w14:textFill>
                    </w:rPr>
                  </w:pPr>
                </w:p>
              </w:tc>
            </w:tr>
          </w:tbl>
          <w:p w14:paraId="0D52CD62">
            <w:pPr>
              <w:pStyle w:val="177"/>
              <w:jc w:val="left"/>
              <w:rPr>
                <w:rFonts w:ascii="宋体" w:hAnsi="宋体"/>
                <w:color w:val="000000" w:themeColor="text1"/>
                <w:szCs w:val="21"/>
                <w:highlight w:val="none"/>
                <w14:textFill>
                  <w14:solidFill>
                    <w14:schemeClr w14:val="tx1"/>
                  </w14:solidFill>
                </w14:textFill>
              </w:rPr>
            </w:pPr>
          </w:p>
          <w:p w14:paraId="11F2DDDE">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承包人（章）</w:t>
            </w:r>
          </w:p>
          <w:p w14:paraId="4876B396">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造价人员：</w:t>
            </w:r>
            <w:r>
              <w:rPr>
                <w:rFonts w:ascii="宋体" w:hAnsi="宋体"/>
                <w:color w:val="000000" w:themeColor="text1"/>
                <w:szCs w:val="21"/>
                <w:highlight w:val="none"/>
                <w:u w:val="single"/>
                <w14:textFill>
                  <w14:solidFill>
                    <w14:schemeClr w14:val="tx1"/>
                  </w14:solidFill>
                </w14:textFill>
              </w:rPr>
              <w:t xml:space="preserve">      </w:t>
            </w:r>
          </w:p>
          <w:p w14:paraId="2D819AFB">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承包人代表：</w:t>
            </w:r>
            <w:r>
              <w:rPr>
                <w:rFonts w:ascii="宋体" w:hAnsi="宋体"/>
                <w:color w:val="000000" w:themeColor="text1"/>
                <w:szCs w:val="21"/>
                <w:highlight w:val="none"/>
                <w:u w:val="single"/>
                <w14:textFill>
                  <w14:solidFill>
                    <w14:schemeClr w14:val="tx1"/>
                  </w14:solidFill>
                </w14:textFill>
              </w:rPr>
              <w:t xml:space="preserve">      </w:t>
            </w:r>
          </w:p>
          <w:p w14:paraId="5ECFE4ED">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r w14:paraId="4CF2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38410DAC">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复核意见：</w:t>
            </w:r>
          </w:p>
          <w:p w14:paraId="0FCC13DA">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□与实际施工情况不相符，修改意见见附件。</w:t>
            </w:r>
          </w:p>
          <w:p w14:paraId="5B12DA72">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□与实际施工情况相符，具体金额由造价工程师复核。</w:t>
            </w:r>
          </w:p>
          <w:p w14:paraId="750485DA">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监理工程师（签字）：</w:t>
            </w:r>
            <w:r>
              <w:rPr>
                <w:rFonts w:ascii="宋体" w:hAnsi="宋体"/>
                <w:color w:val="000000" w:themeColor="text1"/>
                <w:szCs w:val="21"/>
                <w:highlight w:val="none"/>
                <w:u w:val="single"/>
                <w14:textFill>
                  <w14:solidFill>
                    <w14:schemeClr w14:val="tx1"/>
                  </w14:solidFill>
                </w14:textFill>
              </w:rPr>
              <w:t xml:space="preserve">      </w:t>
            </w:r>
          </w:p>
          <w:p w14:paraId="311C426E">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c>
          <w:tcPr>
            <w:tcW w:w="4672" w:type="dxa"/>
            <w:vAlign w:val="center"/>
          </w:tcPr>
          <w:p w14:paraId="50209F5E">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复核意见：</w:t>
            </w:r>
          </w:p>
          <w:p w14:paraId="1AA8C1A3">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你方提出的竣工结算支付申请经复核，竣工结算款总额为人民币（大写）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），扣除前期支付以及质量保证金后应支付金额为人民币（大写）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543711A">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造价工程师（签字）：</w:t>
            </w:r>
            <w:r>
              <w:rPr>
                <w:rFonts w:ascii="宋体" w:hAnsi="宋体"/>
                <w:color w:val="000000" w:themeColor="text1"/>
                <w:szCs w:val="21"/>
                <w:highlight w:val="none"/>
                <w:u w:val="single"/>
                <w14:textFill>
                  <w14:solidFill>
                    <w14:schemeClr w14:val="tx1"/>
                  </w14:solidFill>
                </w14:textFill>
              </w:rPr>
              <w:t xml:space="preserve">      </w:t>
            </w:r>
          </w:p>
          <w:p w14:paraId="7B86B130">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r w14:paraId="2EC7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7D0C280E">
            <w:pPr>
              <w:pStyle w:val="17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审核意见：</w:t>
            </w:r>
          </w:p>
          <w:p w14:paraId="68413008">
            <w:pPr>
              <w:pStyle w:val="177"/>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□不同意。</w:t>
            </w:r>
          </w:p>
          <w:p w14:paraId="1D90EEB1">
            <w:pPr>
              <w:pStyle w:val="177"/>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□同意，支付时间为本表签发后的15天内。</w:t>
            </w:r>
          </w:p>
          <w:p w14:paraId="546136E3">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发包人（章）：</w:t>
            </w:r>
            <w:r>
              <w:rPr>
                <w:rFonts w:ascii="宋体" w:hAnsi="宋体"/>
                <w:color w:val="000000" w:themeColor="text1"/>
                <w:szCs w:val="21"/>
                <w:highlight w:val="none"/>
                <w:u w:val="single"/>
                <w14:textFill>
                  <w14:solidFill>
                    <w14:schemeClr w14:val="tx1"/>
                  </w14:solidFill>
                </w14:textFill>
              </w:rPr>
              <w:t xml:space="preserve">      </w:t>
            </w:r>
          </w:p>
          <w:p w14:paraId="587E4B01">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发包人代表（签字）：</w:t>
            </w:r>
            <w:r>
              <w:rPr>
                <w:rFonts w:ascii="宋体" w:hAnsi="宋体"/>
                <w:color w:val="000000" w:themeColor="text1"/>
                <w:szCs w:val="21"/>
                <w:highlight w:val="none"/>
                <w:u w:val="single"/>
                <w14:textFill>
                  <w14:solidFill>
                    <w14:schemeClr w14:val="tx1"/>
                  </w14:solidFill>
                </w14:textFill>
              </w:rPr>
              <w:t xml:space="preserve">      </w:t>
            </w:r>
          </w:p>
          <w:p w14:paraId="1CEB3F79">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bl>
    <w:p w14:paraId="7EB0E1A9">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注：1.在选择栏中的“□”内作标识“√”。</w:t>
      </w:r>
    </w:p>
    <w:p w14:paraId="471B8634">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2.本表一式肆份，由承包人填报，发包人、监理人、造价咨询人、承包人各存壹份。</w:t>
      </w:r>
    </w:p>
    <w:p w14:paraId="62684144">
      <w:pPr>
        <w:pStyle w:val="177"/>
        <w:spacing w:line="360" w:lineRule="auto"/>
        <w:rPr>
          <w:rFonts w:ascii="宋体" w:hAnsi="宋体"/>
          <w:color w:val="000000" w:themeColor="text1"/>
          <w:sz w:val="30"/>
          <w:szCs w:val="30"/>
          <w:highlight w:val="none"/>
          <w14:textFill>
            <w14:solidFill>
              <w14:schemeClr w14:val="tx1"/>
            </w14:solidFill>
          </w14:textFill>
        </w:rPr>
      </w:pPr>
    </w:p>
    <w:p w14:paraId="08BF94D3">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571EB94F">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附件13：</w:t>
      </w:r>
    </w:p>
    <w:p w14:paraId="2CF5CDD9">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最终结算款支付申请（核准）表</w:t>
      </w:r>
    </w:p>
    <w:p w14:paraId="1CAC0FBA">
      <w:pPr>
        <w:pStyle w:val="17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工程名称：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2A56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44" w:type="dxa"/>
            <w:gridSpan w:val="2"/>
            <w:vAlign w:val="center"/>
          </w:tcPr>
          <w:p w14:paraId="73443B8D">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（发包人全称）</w:t>
            </w:r>
          </w:p>
          <w:p w14:paraId="487E6796">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我方于</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至</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期间已完成了缺陷修复工作，根据施工合同的约定，现申请支付最终结清合同款额为人民币（大写）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），请予核准。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60"/>
              <w:gridCol w:w="1701"/>
              <w:gridCol w:w="1701"/>
              <w:gridCol w:w="1723"/>
            </w:tblGrid>
            <w:tr w14:paraId="4DFB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AD99579">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3260" w:type="dxa"/>
                </w:tcPr>
                <w:p w14:paraId="2F29B147">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1701" w:type="dxa"/>
                </w:tcPr>
                <w:p w14:paraId="29267882">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申请金额（元）</w:t>
                  </w:r>
                </w:p>
              </w:tc>
              <w:tc>
                <w:tcPr>
                  <w:tcW w:w="1701" w:type="dxa"/>
                </w:tcPr>
                <w:p w14:paraId="4307A07B">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复核金额（元）</w:t>
                  </w:r>
                </w:p>
              </w:tc>
              <w:tc>
                <w:tcPr>
                  <w:tcW w:w="1723" w:type="dxa"/>
                </w:tcPr>
                <w:p w14:paraId="6B15D872">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32B2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C927B76">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260" w:type="dxa"/>
                </w:tcPr>
                <w:p w14:paraId="5B49238B">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已预留的质量保证金</w:t>
                  </w:r>
                </w:p>
              </w:tc>
              <w:tc>
                <w:tcPr>
                  <w:tcW w:w="1701" w:type="dxa"/>
                </w:tcPr>
                <w:p w14:paraId="7476D027">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53A8CB4B">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01DFDAD8">
                  <w:pPr>
                    <w:pStyle w:val="177"/>
                    <w:jc w:val="center"/>
                    <w:rPr>
                      <w:rFonts w:ascii="宋体" w:hAnsi="宋体"/>
                      <w:color w:val="000000" w:themeColor="text1"/>
                      <w:szCs w:val="21"/>
                      <w:highlight w:val="none"/>
                      <w14:textFill>
                        <w14:solidFill>
                          <w14:schemeClr w14:val="tx1"/>
                        </w14:solidFill>
                      </w14:textFill>
                    </w:rPr>
                  </w:pPr>
                </w:p>
              </w:tc>
            </w:tr>
            <w:tr w14:paraId="76D6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0FC1F01">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3260" w:type="dxa"/>
                </w:tcPr>
                <w:p w14:paraId="170D1002">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应增加因发包人原因造成缺陷的修复金额</w:t>
                  </w:r>
                </w:p>
              </w:tc>
              <w:tc>
                <w:tcPr>
                  <w:tcW w:w="1701" w:type="dxa"/>
                </w:tcPr>
                <w:p w14:paraId="4EA92C7B">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76E881CD">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2F6AFB7F">
                  <w:pPr>
                    <w:pStyle w:val="177"/>
                    <w:jc w:val="center"/>
                    <w:rPr>
                      <w:rFonts w:ascii="宋体" w:hAnsi="宋体"/>
                      <w:color w:val="000000" w:themeColor="text1"/>
                      <w:szCs w:val="21"/>
                      <w:highlight w:val="none"/>
                      <w14:textFill>
                        <w14:solidFill>
                          <w14:schemeClr w14:val="tx1"/>
                        </w14:solidFill>
                      </w14:textFill>
                    </w:rPr>
                  </w:pPr>
                </w:p>
              </w:tc>
            </w:tr>
            <w:tr w14:paraId="0078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3984D0A">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3260" w:type="dxa"/>
                </w:tcPr>
                <w:p w14:paraId="04047214">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应扣减承包人不修复缺陷、发包人组织修复的金额</w:t>
                  </w:r>
                </w:p>
              </w:tc>
              <w:tc>
                <w:tcPr>
                  <w:tcW w:w="1701" w:type="dxa"/>
                </w:tcPr>
                <w:p w14:paraId="5A38AF8B">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4E9E1EEE">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47F7EA26">
                  <w:pPr>
                    <w:pStyle w:val="177"/>
                    <w:jc w:val="center"/>
                    <w:rPr>
                      <w:rFonts w:ascii="宋体" w:hAnsi="宋体"/>
                      <w:color w:val="000000" w:themeColor="text1"/>
                      <w:szCs w:val="21"/>
                      <w:highlight w:val="none"/>
                      <w14:textFill>
                        <w14:solidFill>
                          <w14:schemeClr w14:val="tx1"/>
                        </w14:solidFill>
                      </w14:textFill>
                    </w:rPr>
                  </w:pPr>
                </w:p>
              </w:tc>
            </w:tr>
            <w:tr w14:paraId="631E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7E02E44">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3260" w:type="dxa"/>
                </w:tcPr>
                <w:p w14:paraId="7A7A5A2D">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最终应支付的合同价款</w:t>
                  </w:r>
                </w:p>
              </w:tc>
              <w:tc>
                <w:tcPr>
                  <w:tcW w:w="1701" w:type="dxa"/>
                </w:tcPr>
                <w:p w14:paraId="1A8026B4">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04B94AB7">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6007D0CD">
                  <w:pPr>
                    <w:pStyle w:val="177"/>
                    <w:jc w:val="center"/>
                    <w:rPr>
                      <w:rFonts w:ascii="宋体" w:hAnsi="宋体"/>
                      <w:color w:val="000000" w:themeColor="text1"/>
                      <w:szCs w:val="21"/>
                      <w:highlight w:val="none"/>
                      <w14:textFill>
                        <w14:solidFill>
                          <w14:schemeClr w14:val="tx1"/>
                        </w14:solidFill>
                      </w14:textFill>
                    </w:rPr>
                  </w:pPr>
                </w:p>
              </w:tc>
            </w:tr>
            <w:tr w14:paraId="59FE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30CA55C">
                  <w:pPr>
                    <w:pStyle w:val="177"/>
                    <w:jc w:val="center"/>
                    <w:rPr>
                      <w:rFonts w:ascii="宋体" w:hAnsi="宋体"/>
                      <w:color w:val="000000" w:themeColor="text1"/>
                      <w:szCs w:val="21"/>
                      <w:highlight w:val="none"/>
                      <w14:textFill>
                        <w14:solidFill>
                          <w14:schemeClr w14:val="tx1"/>
                        </w14:solidFill>
                      </w14:textFill>
                    </w:rPr>
                  </w:pPr>
                </w:p>
              </w:tc>
              <w:tc>
                <w:tcPr>
                  <w:tcW w:w="3260" w:type="dxa"/>
                </w:tcPr>
                <w:p w14:paraId="595F21E7">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6C2A17DA">
                  <w:pPr>
                    <w:pStyle w:val="177"/>
                    <w:jc w:val="center"/>
                    <w:rPr>
                      <w:rFonts w:ascii="宋体" w:hAnsi="宋体"/>
                      <w:color w:val="000000" w:themeColor="text1"/>
                      <w:szCs w:val="21"/>
                      <w:highlight w:val="none"/>
                      <w14:textFill>
                        <w14:solidFill>
                          <w14:schemeClr w14:val="tx1"/>
                        </w14:solidFill>
                      </w14:textFill>
                    </w:rPr>
                  </w:pPr>
                </w:p>
              </w:tc>
              <w:tc>
                <w:tcPr>
                  <w:tcW w:w="1701" w:type="dxa"/>
                </w:tcPr>
                <w:p w14:paraId="597D705A">
                  <w:pPr>
                    <w:pStyle w:val="177"/>
                    <w:jc w:val="center"/>
                    <w:rPr>
                      <w:rFonts w:ascii="宋体" w:hAnsi="宋体"/>
                      <w:color w:val="000000" w:themeColor="text1"/>
                      <w:szCs w:val="21"/>
                      <w:highlight w:val="none"/>
                      <w14:textFill>
                        <w14:solidFill>
                          <w14:schemeClr w14:val="tx1"/>
                        </w14:solidFill>
                      </w14:textFill>
                    </w:rPr>
                  </w:pPr>
                </w:p>
              </w:tc>
              <w:tc>
                <w:tcPr>
                  <w:tcW w:w="1723" w:type="dxa"/>
                </w:tcPr>
                <w:p w14:paraId="4EA654E2">
                  <w:pPr>
                    <w:pStyle w:val="177"/>
                    <w:jc w:val="center"/>
                    <w:rPr>
                      <w:rFonts w:ascii="宋体" w:hAnsi="宋体"/>
                      <w:color w:val="000000" w:themeColor="text1"/>
                      <w:szCs w:val="21"/>
                      <w:highlight w:val="none"/>
                      <w14:textFill>
                        <w14:solidFill>
                          <w14:schemeClr w14:val="tx1"/>
                        </w14:solidFill>
                      </w14:textFill>
                    </w:rPr>
                  </w:pPr>
                </w:p>
              </w:tc>
            </w:tr>
          </w:tbl>
          <w:p w14:paraId="1AD8297A">
            <w:pPr>
              <w:pStyle w:val="177"/>
              <w:jc w:val="left"/>
              <w:rPr>
                <w:rFonts w:ascii="宋体" w:hAnsi="宋体"/>
                <w:color w:val="000000" w:themeColor="text1"/>
                <w:szCs w:val="21"/>
                <w:highlight w:val="none"/>
                <w14:textFill>
                  <w14:solidFill>
                    <w14:schemeClr w14:val="tx1"/>
                  </w14:solidFill>
                </w14:textFill>
              </w:rPr>
            </w:pPr>
          </w:p>
          <w:p w14:paraId="43E535B3">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承包人（章）</w:t>
            </w:r>
          </w:p>
          <w:p w14:paraId="4334738F">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造价人员：</w:t>
            </w:r>
            <w:r>
              <w:rPr>
                <w:rFonts w:ascii="宋体" w:hAnsi="宋体"/>
                <w:color w:val="000000" w:themeColor="text1"/>
                <w:szCs w:val="21"/>
                <w:highlight w:val="none"/>
                <w:u w:val="single"/>
                <w14:textFill>
                  <w14:solidFill>
                    <w14:schemeClr w14:val="tx1"/>
                  </w14:solidFill>
                </w14:textFill>
              </w:rPr>
              <w:t xml:space="preserve">      </w:t>
            </w:r>
          </w:p>
          <w:p w14:paraId="202147C4">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承包人代表：</w:t>
            </w:r>
            <w:r>
              <w:rPr>
                <w:rFonts w:ascii="宋体" w:hAnsi="宋体"/>
                <w:color w:val="000000" w:themeColor="text1"/>
                <w:szCs w:val="21"/>
                <w:highlight w:val="none"/>
                <w:u w:val="single"/>
                <w14:textFill>
                  <w14:solidFill>
                    <w14:schemeClr w14:val="tx1"/>
                  </w14:solidFill>
                </w14:textFill>
              </w:rPr>
              <w:t xml:space="preserve">      </w:t>
            </w:r>
          </w:p>
          <w:p w14:paraId="25E62607">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r w14:paraId="297A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3BAD204E">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复核意见：</w:t>
            </w:r>
          </w:p>
          <w:p w14:paraId="17B5D769">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□与实际施工情况不相符，修改意见见附件。</w:t>
            </w:r>
          </w:p>
          <w:p w14:paraId="6068ED33">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□与实际施工情况相符，具体金额由造价工程师复核。</w:t>
            </w:r>
          </w:p>
          <w:p w14:paraId="317A3603">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监理工程师（签字）：</w:t>
            </w:r>
            <w:r>
              <w:rPr>
                <w:rFonts w:ascii="宋体" w:hAnsi="宋体"/>
                <w:color w:val="000000" w:themeColor="text1"/>
                <w:szCs w:val="21"/>
                <w:highlight w:val="none"/>
                <w:u w:val="single"/>
                <w14:textFill>
                  <w14:solidFill>
                    <w14:schemeClr w14:val="tx1"/>
                  </w14:solidFill>
                </w14:textFill>
              </w:rPr>
              <w:t xml:space="preserve">      </w:t>
            </w:r>
          </w:p>
          <w:p w14:paraId="2E220FD1">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c>
          <w:tcPr>
            <w:tcW w:w="4672" w:type="dxa"/>
            <w:vAlign w:val="center"/>
          </w:tcPr>
          <w:p w14:paraId="0DD70040">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复核意见：</w:t>
            </w:r>
          </w:p>
          <w:p w14:paraId="5DC58137">
            <w:pPr>
              <w:pStyle w:val="177"/>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你方提出的支付申请经复核，最终应支付金额为人民币（大写）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DFABC6B">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造价工程师（签字）：</w:t>
            </w:r>
            <w:r>
              <w:rPr>
                <w:rFonts w:ascii="宋体" w:hAnsi="宋体"/>
                <w:color w:val="000000" w:themeColor="text1"/>
                <w:szCs w:val="21"/>
                <w:highlight w:val="none"/>
                <w:u w:val="single"/>
                <w14:textFill>
                  <w14:solidFill>
                    <w14:schemeClr w14:val="tx1"/>
                  </w14:solidFill>
                </w14:textFill>
              </w:rPr>
              <w:t xml:space="preserve">      </w:t>
            </w:r>
          </w:p>
          <w:p w14:paraId="3DA84722">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r w14:paraId="6CA8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7C24164F">
            <w:pPr>
              <w:pStyle w:val="17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审核意见：</w:t>
            </w:r>
          </w:p>
          <w:p w14:paraId="77774356">
            <w:pPr>
              <w:pStyle w:val="177"/>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□不同意。</w:t>
            </w:r>
          </w:p>
          <w:p w14:paraId="32D5112B">
            <w:pPr>
              <w:pStyle w:val="177"/>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□同意，支付时间为本表签发后的15天内。</w:t>
            </w:r>
          </w:p>
          <w:p w14:paraId="4FE19746">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发包人（章）：</w:t>
            </w:r>
            <w:r>
              <w:rPr>
                <w:rFonts w:ascii="宋体" w:hAnsi="宋体"/>
                <w:color w:val="000000" w:themeColor="text1"/>
                <w:szCs w:val="21"/>
                <w:highlight w:val="none"/>
                <w:u w:val="single"/>
                <w14:textFill>
                  <w14:solidFill>
                    <w14:schemeClr w14:val="tx1"/>
                  </w14:solidFill>
                </w14:textFill>
              </w:rPr>
              <w:t xml:space="preserve">      </w:t>
            </w:r>
          </w:p>
          <w:p w14:paraId="49D7A001">
            <w:pPr>
              <w:pStyle w:val="177"/>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发包人代表（签字）：</w:t>
            </w:r>
            <w:r>
              <w:rPr>
                <w:rFonts w:ascii="宋体" w:hAnsi="宋体"/>
                <w:color w:val="000000" w:themeColor="text1"/>
                <w:szCs w:val="21"/>
                <w:highlight w:val="none"/>
                <w:u w:val="single"/>
                <w14:textFill>
                  <w14:solidFill>
                    <w14:schemeClr w14:val="tx1"/>
                  </w14:solidFill>
                </w14:textFill>
              </w:rPr>
              <w:t xml:space="preserve">      </w:t>
            </w:r>
          </w:p>
          <w:p w14:paraId="75E174F7">
            <w:pPr>
              <w:pStyle w:val="177"/>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bl>
    <w:p w14:paraId="67051D0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注：1.在选择栏中的“□”内作标识“√”。如监理人已退场，监理工程师栏可空缺。</w:t>
      </w:r>
    </w:p>
    <w:p w14:paraId="299DC88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2.本表一式肆份，由承包人填报，发包人、监理人、造价咨询人、承包人各存壹份。</w:t>
      </w:r>
    </w:p>
    <w:p w14:paraId="6CDD55FB">
      <w:pPr>
        <w:pStyle w:val="177"/>
        <w:spacing w:line="360" w:lineRule="auto"/>
        <w:rPr>
          <w:rFonts w:ascii="宋体" w:hAnsi="宋体"/>
          <w:color w:val="000000" w:themeColor="text1"/>
          <w:sz w:val="30"/>
          <w:szCs w:val="30"/>
          <w:highlight w:val="none"/>
          <w14:textFill>
            <w14:solidFill>
              <w14:schemeClr w14:val="tx1"/>
            </w14:solidFill>
          </w14:textFill>
        </w:rPr>
      </w:pPr>
    </w:p>
    <w:p w14:paraId="6B87898B">
      <w:pPr>
        <w:pStyle w:val="177"/>
        <w:spacing w:line="360" w:lineRule="auto"/>
        <w:rPr>
          <w:rFonts w:ascii="宋体" w:hAnsi="宋体"/>
          <w:color w:val="000000" w:themeColor="text1"/>
          <w:sz w:val="30"/>
          <w:szCs w:val="30"/>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734D69A1">
      <w:pPr>
        <w:pStyle w:val="177"/>
        <w:spacing w:line="360" w:lineRule="auto"/>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附件14：</w:t>
      </w:r>
    </w:p>
    <w:p w14:paraId="5F166AB4">
      <w:pPr>
        <w:pStyle w:val="177"/>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总价合同进度款支付分解表</w:t>
      </w:r>
    </w:p>
    <w:p w14:paraId="03A6A5E3">
      <w:pPr>
        <w:pStyle w:val="177"/>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工程名称：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336"/>
        <w:gridCol w:w="2336"/>
        <w:gridCol w:w="2336"/>
      </w:tblGrid>
      <w:tr w14:paraId="3932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236DCD71">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进度款期次</w:t>
            </w:r>
          </w:p>
        </w:tc>
        <w:tc>
          <w:tcPr>
            <w:tcW w:w="2336" w:type="dxa"/>
            <w:vAlign w:val="center"/>
          </w:tcPr>
          <w:p w14:paraId="564F4773">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形象进度</w:t>
            </w:r>
          </w:p>
        </w:tc>
        <w:tc>
          <w:tcPr>
            <w:tcW w:w="2336" w:type="dxa"/>
            <w:vAlign w:val="center"/>
          </w:tcPr>
          <w:p w14:paraId="0E50EF26">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进度款付款金额（元）</w:t>
            </w:r>
          </w:p>
        </w:tc>
        <w:tc>
          <w:tcPr>
            <w:tcW w:w="2336" w:type="dxa"/>
            <w:vAlign w:val="center"/>
          </w:tcPr>
          <w:p w14:paraId="7BDD808B">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229C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6365D8C4">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第一期</w:t>
            </w:r>
          </w:p>
        </w:tc>
        <w:tc>
          <w:tcPr>
            <w:tcW w:w="2336" w:type="dxa"/>
            <w:vAlign w:val="center"/>
          </w:tcPr>
          <w:p w14:paraId="727667DE">
            <w:pPr>
              <w:pStyle w:val="177"/>
              <w:jc w:val="center"/>
              <w:rPr>
                <w:rFonts w:ascii="宋体" w:hAnsi="宋体"/>
                <w:color w:val="000000" w:themeColor="text1"/>
                <w:szCs w:val="21"/>
                <w:highlight w:val="none"/>
                <w14:textFill>
                  <w14:solidFill>
                    <w14:schemeClr w14:val="tx1"/>
                  </w14:solidFill>
                </w14:textFill>
              </w:rPr>
            </w:pPr>
          </w:p>
        </w:tc>
        <w:tc>
          <w:tcPr>
            <w:tcW w:w="2336" w:type="dxa"/>
            <w:vAlign w:val="center"/>
          </w:tcPr>
          <w:p w14:paraId="5F6C27A2">
            <w:pPr>
              <w:pStyle w:val="177"/>
              <w:jc w:val="center"/>
              <w:rPr>
                <w:rFonts w:ascii="宋体" w:hAnsi="宋体"/>
                <w:color w:val="000000" w:themeColor="text1"/>
                <w:szCs w:val="21"/>
                <w:highlight w:val="none"/>
                <w14:textFill>
                  <w14:solidFill>
                    <w14:schemeClr w14:val="tx1"/>
                  </w14:solidFill>
                </w14:textFill>
              </w:rPr>
            </w:pPr>
          </w:p>
        </w:tc>
        <w:tc>
          <w:tcPr>
            <w:tcW w:w="2336" w:type="dxa"/>
            <w:vAlign w:val="center"/>
          </w:tcPr>
          <w:p w14:paraId="51317B32">
            <w:pPr>
              <w:pStyle w:val="177"/>
              <w:jc w:val="center"/>
              <w:rPr>
                <w:rFonts w:ascii="宋体" w:hAnsi="宋体"/>
                <w:color w:val="000000" w:themeColor="text1"/>
                <w:szCs w:val="21"/>
                <w:highlight w:val="none"/>
                <w14:textFill>
                  <w14:solidFill>
                    <w14:schemeClr w14:val="tx1"/>
                  </w14:solidFill>
                </w14:textFill>
              </w:rPr>
            </w:pPr>
          </w:p>
        </w:tc>
      </w:tr>
      <w:tr w14:paraId="62FC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6867AD3F">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第二期</w:t>
            </w:r>
          </w:p>
        </w:tc>
        <w:tc>
          <w:tcPr>
            <w:tcW w:w="2336" w:type="dxa"/>
            <w:vAlign w:val="center"/>
          </w:tcPr>
          <w:p w14:paraId="01E8394E">
            <w:pPr>
              <w:pStyle w:val="177"/>
              <w:jc w:val="center"/>
              <w:rPr>
                <w:rFonts w:ascii="宋体" w:hAnsi="宋体"/>
                <w:color w:val="000000" w:themeColor="text1"/>
                <w:szCs w:val="21"/>
                <w:highlight w:val="none"/>
                <w14:textFill>
                  <w14:solidFill>
                    <w14:schemeClr w14:val="tx1"/>
                  </w14:solidFill>
                </w14:textFill>
              </w:rPr>
            </w:pPr>
          </w:p>
        </w:tc>
        <w:tc>
          <w:tcPr>
            <w:tcW w:w="2336" w:type="dxa"/>
            <w:vAlign w:val="center"/>
          </w:tcPr>
          <w:p w14:paraId="45DA1DB9">
            <w:pPr>
              <w:pStyle w:val="177"/>
              <w:jc w:val="center"/>
              <w:rPr>
                <w:rFonts w:ascii="宋体" w:hAnsi="宋体"/>
                <w:color w:val="000000" w:themeColor="text1"/>
                <w:szCs w:val="21"/>
                <w:highlight w:val="none"/>
                <w14:textFill>
                  <w14:solidFill>
                    <w14:schemeClr w14:val="tx1"/>
                  </w14:solidFill>
                </w14:textFill>
              </w:rPr>
            </w:pPr>
          </w:p>
        </w:tc>
        <w:tc>
          <w:tcPr>
            <w:tcW w:w="2336" w:type="dxa"/>
            <w:vAlign w:val="center"/>
          </w:tcPr>
          <w:p w14:paraId="03CC99FC">
            <w:pPr>
              <w:pStyle w:val="177"/>
              <w:jc w:val="center"/>
              <w:rPr>
                <w:rFonts w:ascii="宋体" w:hAnsi="宋体"/>
                <w:color w:val="000000" w:themeColor="text1"/>
                <w:szCs w:val="21"/>
                <w:highlight w:val="none"/>
                <w14:textFill>
                  <w14:solidFill>
                    <w14:schemeClr w14:val="tx1"/>
                  </w14:solidFill>
                </w14:textFill>
              </w:rPr>
            </w:pPr>
          </w:p>
        </w:tc>
      </w:tr>
      <w:tr w14:paraId="72F7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5F3E75B3">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第三期</w:t>
            </w:r>
          </w:p>
        </w:tc>
        <w:tc>
          <w:tcPr>
            <w:tcW w:w="2336" w:type="dxa"/>
            <w:vAlign w:val="center"/>
          </w:tcPr>
          <w:p w14:paraId="76908331">
            <w:pPr>
              <w:pStyle w:val="177"/>
              <w:jc w:val="center"/>
              <w:rPr>
                <w:rFonts w:ascii="宋体" w:hAnsi="宋体"/>
                <w:color w:val="000000" w:themeColor="text1"/>
                <w:szCs w:val="21"/>
                <w:highlight w:val="none"/>
                <w14:textFill>
                  <w14:solidFill>
                    <w14:schemeClr w14:val="tx1"/>
                  </w14:solidFill>
                </w14:textFill>
              </w:rPr>
            </w:pPr>
          </w:p>
        </w:tc>
        <w:tc>
          <w:tcPr>
            <w:tcW w:w="2336" w:type="dxa"/>
            <w:vAlign w:val="center"/>
          </w:tcPr>
          <w:p w14:paraId="3AEE8EBD">
            <w:pPr>
              <w:pStyle w:val="177"/>
              <w:jc w:val="center"/>
              <w:rPr>
                <w:rFonts w:ascii="宋体" w:hAnsi="宋体"/>
                <w:color w:val="000000" w:themeColor="text1"/>
                <w:szCs w:val="21"/>
                <w:highlight w:val="none"/>
                <w14:textFill>
                  <w14:solidFill>
                    <w14:schemeClr w14:val="tx1"/>
                  </w14:solidFill>
                </w14:textFill>
              </w:rPr>
            </w:pPr>
          </w:p>
        </w:tc>
        <w:tc>
          <w:tcPr>
            <w:tcW w:w="2336" w:type="dxa"/>
            <w:vAlign w:val="center"/>
          </w:tcPr>
          <w:p w14:paraId="737B0767">
            <w:pPr>
              <w:pStyle w:val="177"/>
              <w:jc w:val="center"/>
              <w:rPr>
                <w:rFonts w:ascii="宋体" w:hAnsi="宋体"/>
                <w:color w:val="000000" w:themeColor="text1"/>
                <w:szCs w:val="21"/>
                <w:highlight w:val="none"/>
                <w14:textFill>
                  <w14:solidFill>
                    <w14:schemeClr w14:val="tx1"/>
                  </w14:solidFill>
                </w14:textFill>
              </w:rPr>
            </w:pPr>
          </w:p>
        </w:tc>
      </w:tr>
      <w:tr w14:paraId="6BC9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51C80A17">
            <w:pPr>
              <w:pStyle w:val="17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336" w:type="dxa"/>
            <w:vAlign w:val="center"/>
          </w:tcPr>
          <w:p w14:paraId="49C9E19E">
            <w:pPr>
              <w:pStyle w:val="177"/>
              <w:jc w:val="center"/>
              <w:rPr>
                <w:rFonts w:ascii="宋体" w:hAnsi="宋体"/>
                <w:color w:val="000000" w:themeColor="text1"/>
                <w:szCs w:val="21"/>
                <w:highlight w:val="none"/>
                <w14:textFill>
                  <w14:solidFill>
                    <w14:schemeClr w14:val="tx1"/>
                  </w14:solidFill>
                </w14:textFill>
              </w:rPr>
            </w:pPr>
          </w:p>
        </w:tc>
        <w:tc>
          <w:tcPr>
            <w:tcW w:w="2336" w:type="dxa"/>
            <w:vAlign w:val="center"/>
          </w:tcPr>
          <w:p w14:paraId="538811D2">
            <w:pPr>
              <w:pStyle w:val="177"/>
              <w:jc w:val="center"/>
              <w:rPr>
                <w:rFonts w:ascii="宋体" w:hAnsi="宋体"/>
                <w:color w:val="000000" w:themeColor="text1"/>
                <w:szCs w:val="21"/>
                <w:highlight w:val="none"/>
                <w14:textFill>
                  <w14:solidFill>
                    <w14:schemeClr w14:val="tx1"/>
                  </w14:solidFill>
                </w14:textFill>
              </w:rPr>
            </w:pPr>
          </w:p>
        </w:tc>
        <w:tc>
          <w:tcPr>
            <w:tcW w:w="2336" w:type="dxa"/>
            <w:vAlign w:val="center"/>
          </w:tcPr>
          <w:p w14:paraId="6381FDDE">
            <w:pPr>
              <w:pStyle w:val="177"/>
              <w:jc w:val="center"/>
              <w:rPr>
                <w:rFonts w:ascii="宋体" w:hAnsi="宋体"/>
                <w:color w:val="000000" w:themeColor="text1"/>
                <w:szCs w:val="21"/>
                <w:highlight w:val="none"/>
                <w14:textFill>
                  <w14:solidFill>
                    <w14:schemeClr w14:val="tx1"/>
                  </w14:solidFill>
                </w14:textFill>
              </w:rPr>
            </w:pPr>
          </w:p>
        </w:tc>
      </w:tr>
      <w:tr w14:paraId="3AA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gridSpan w:val="2"/>
            <w:vAlign w:val="center"/>
          </w:tcPr>
          <w:p w14:paraId="05A37868">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发包人代表（签字）：</w:t>
            </w:r>
          </w:p>
          <w:p w14:paraId="2FEAEF37">
            <w:pPr>
              <w:pStyle w:val="177"/>
              <w:jc w:val="left"/>
              <w:rPr>
                <w:rFonts w:ascii="宋体" w:hAnsi="宋体"/>
                <w:color w:val="000000" w:themeColor="text1"/>
                <w:szCs w:val="21"/>
                <w:highlight w:val="none"/>
                <w14:textFill>
                  <w14:solidFill>
                    <w14:schemeClr w14:val="tx1"/>
                  </w14:solidFill>
                </w14:textFill>
              </w:rPr>
            </w:pPr>
          </w:p>
          <w:p w14:paraId="23972EA4">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p>
          <w:p w14:paraId="2E26E7E0">
            <w:pPr>
              <w:pStyle w:val="177"/>
              <w:jc w:val="left"/>
              <w:rPr>
                <w:rFonts w:ascii="宋体" w:hAnsi="宋体"/>
                <w:color w:val="000000" w:themeColor="text1"/>
                <w:szCs w:val="21"/>
                <w:highlight w:val="none"/>
                <w14:textFill>
                  <w14:solidFill>
                    <w14:schemeClr w14:val="tx1"/>
                  </w14:solidFill>
                </w14:textFill>
              </w:rPr>
            </w:pPr>
          </w:p>
          <w:p w14:paraId="36404FB0">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c>
          <w:tcPr>
            <w:tcW w:w="4672" w:type="dxa"/>
            <w:gridSpan w:val="2"/>
            <w:vAlign w:val="center"/>
          </w:tcPr>
          <w:p w14:paraId="070F3BB1">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承包人代表（签字）：</w:t>
            </w:r>
          </w:p>
          <w:p w14:paraId="5A836A7F">
            <w:pPr>
              <w:pStyle w:val="177"/>
              <w:jc w:val="left"/>
              <w:rPr>
                <w:rFonts w:ascii="宋体" w:hAnsi="宋体"/>
                <w:color w:val="000000" w:themeColor="text1"/>
                <w:szCs w:val="21"/>
                <w:highlight w:val="none"/>
                <w14:textFill>
                  <w14:solidFill>
                    <w14:schemeClr w14:val="tx1"/>
                  </w14:solidFill>
                </w14:textFill>
              </w:rPr>
            </w:pPr>
          </w:p>
          <w:p w14:paraId="6B413BA0">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承包人（公章）：</w:t>
            </w:r>
          </w:p>
          <w:p w14:paraId="246AF7F5">
            <w:pPr>
              <w:pStyle w:val="177"/>
              <w:jc w:val="left"/>
              <w:rPr>
                <w:rFonts w:ascii="宋体" w:hAnsi="宋体"/>
                <w:color w:val="000000" w:themeColor="text1"/>
                <w:szCs w:val="21"/>
                <w:highlight w:val="none"/>
                <w14:textFill>
                  <w14:solidFill>
                    <w14:schemeClr w14:val="tx1"/>
                  </w14:solidFill>
                </w14:textFill>
              </w:rPr>
            </w:pPr>
          </w:p>
          <w:p w14:paraId="07F732D0">
            <w:pPr>
              <w:pStyle w:val="177"/>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tc>
      </w:tr>
    </w:tbl>
    <w:p w14:paraId="50D0372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300014B">
      <w:pPr>
        <w:pStyle w:val="4"/>
        <w:spacing w:before="0" w:after="0" w:line="480" w:lineRule="auto"/>
        <w:jc w:val="center"/>
        <w:rPr>
          <w:rFonts w:ascii="宋体" w:hAnsi="宋体" w:eastAsia="宋体"/>
          <w:color w:val="000000" w:themeColor="text1"/>
          <w:sz w:val="24"/>
          <w:szCs w:val="24"/>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6917BA7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CEFF9B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E771A9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E35F0A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8B7FE1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A9282C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3D2BA1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8D85BB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27A0BC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794F26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7F24C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B311C5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43255CA">
      <w:pPr>
        <w:pStyle w:val="2"/>
        <w:jc w:val="center"/>
        <w:rPr>
          <w:color w:val="000000" w:themeColor="text1"/>
          <w:highlight w:val="none"/>
          <w14:textFill>
            <w14:solidFill>
              <w14:schemeClr w14:val="tx1"/>
            </w14:solidFill>
          </w14:textFill>
        </w:rPr>
      </w:pPr>
      <w:bookmarkStart w:id="1153" w:name="_Toc202377949"/>
      <w:bookmarkStart w:id="1154" w:name="_Toc13661"/>
      <w:bookmarkStart w:id="1155" w:name="_Toc145955960"/>
      <w:r>
        <w:rPr>
          <w:rFonts w:hint="eastAsia"/>
          <w:color w:val="000000" w:themeColor="text1"/>
          <w:highlight w:val="none"/>
          <w14:textFill>
            <w14:solidFill>
              <w14:schemeClr w14:val="tx1"/>
            </w14:solidFill>
          </w14:textFill>
        </w:rPr>
        <w:t>第八</w:t>
      </w:r>
      <w:r>
        <w:rPr>
          <w:rFonts w:hint="eastAsia" w:ascii="宋体" w:hAnsi="宋体" w:eastAsia="宋体"/>
          <w:color w:val="000000" w:themeColor="text1"/>
          <w:spacing w:val="100"/>
          <w:highlight w:val="none"/>
          <w14:textFill>
            <w14:solidFill>
              <w14:schemeClr w14:val="tx1"/>
            </w14:solidFill>
          </w14:textFill>
        </w:rPr>
        <w:t>章</w:t>
      </w:r>
      <w:r>
        <w:rPr>
          <w:rFonts w:hint="eastAsia"/>
          <w:color w:val="000000" w:themeColor="text1"/>
          <w:highlight w:val="none"/>
          <w14:textFill>
            <w14:solidFill>
              <w14:schemeClr w14:val="tx1"/>
            </w14:solidFill>
          </w14:textFill>
        </w:rPr>
        <w:t>质疑、投诉材料格式</w:t>
      </w:r>
      <w:bookmarkEnd w:id="1153"/>
      <w:bookmarkEnd w:id="1154"/>
      <w:bookmarkEnd w:id="1155"/>
    </w:p>
    <w:p w14:paraId="48FABB7B">
      <w:pPr>
        <w:rPr>
          <w:color w:val="000000" w:themeColor="text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219A7A90">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质疑函（格式）</w:t>
      </w:r>
    </w:p>
    <w:p w14:paraId="52D51F1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一、质疑供应商基本信息：</w:t>
      </w:r>
    </w:p>
    <w:p w14:paraId="0A687C8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质疑供应商：</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7BBF6F4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w:t>
      </w:r>
    </w:p>
    <w:p w14:paraId="672A97E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w:t>
      </w: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p>
    <w:p w14:paraId="62B5879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授权代表：</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78D9720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7CD8C10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1F9A77FF">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二、质疑项目基本情况：</w:t>
      </w:r>
    </w:p>
    <w:p w14:paraId="246A9F35">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质疑项目的名称：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w:t>
      </w:r>
    </w:p>
    <w:p w14:paraId="2587A983">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质疑项目的编号：</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w:t>
      </w:r>
    </w:p>
    <w:p w14:paraId="3ACB6993">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w:t>
      </w:r>
    </w:p>
    <w:p w14:paraId="61892A6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质疑事项：</w:t>
      </w:r>
    </w:p>
    <w:p w14:paraId="43FDC80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□采购文件，采购文件获取日期：</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w:t>
      </w:r>
    </w:p>
    <w:p w14:paraId="2C28BA3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□采购过程</w:t>
      </w:r>
    </w:p>
    <w:p w14:paraId="139650A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□成交结果</w:t>
      </w:r>
    </w:p>
    <w:p w14:paraId="40D347B5">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三、质疑事项具体内容</w:t>
      </w:r>
    </w:p>
    <w:p w14:paraId="1B859BA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质疑事项1：</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264C3CC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事实依据：</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0087028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法律依据：</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7369DEA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质疑事项2：</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59D781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p w14:paraId="1B19AF4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四、与质疑事项相关的质疑请求：</w:t>
      </w:r>
    </w:p>
    <w:p w14:paraId="37EED10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请求：</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4B1FB05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签字（签章）：</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w:t>
      </w:r>
      <w:r>
        <w:rPr>
          <w:rFonts w:hint="eastAsia" w:ascii="宋体" w:hAnsi="宋体" w:eastAsia="宋体"/>
          <w:color w:val="000000" w:themeColor="text1"/>
          <w:szCs w:val="21"/>
          <w:highlight w:val="none"/>
          <w14:textFill>
            <w14:solidFill>
              <w14:schemeClr w14:val="tx1"/>
            </w14:solidFill>
          </w14:textFill>
        </w:rPr>
        <w:t>公章：</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w:t>
      </w:r>
    </w:p>
    <w:p w14:paraId="39BBAE0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宋体" w:hAnsi="宋体" w:eastAsia="宋体"/>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年</w:t>
      </w:r>
      <w:r>
        <w:rPr>
          <w:rFonts w:ascii="宋体" w:hAnsi="宋体" w:eastAsia="宋体"/>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月</w:t>
      </w:r>
      <w:r>
        <w:rPr>
          <w:rFonts w:ascii="宋体" w:hAnsi="宋体" w:eastAsia="宋体"/>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日</w:t>
      </w:r>
    </w:p>
    <w:p w14:paraId="432FBEC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说明：</w:t>
      </w:r>
    </w:p>
    <w:p w14:paraId="621B8E81">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1.供应商提出质疑时，应提交质疑函和必要的证明材料。</w:t>
      </w:r>
    </w:p>
    <w:p w14:paraId="57A5237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8994C1">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3.质疑函的质疑事项应具体、明确，并有必要的事实依据和法律依据。</w:t>
      </w:r>
    </w:p>
    <w:p w14:paraId="05B87DAA">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4.质疑函的质疑请求应与质疑事项相关。</w:t>
      </w:r>
    </w:p>
    <w:p w14:paraId="51EA63A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5.质疑供应商为法人或者其他组织的，质疑函应由法定代表人、主要负责人，或者其授权代表签字或者盖章，并加盖公章。</w:t>
      </w:r>
    </w:p>
    <w:p w14:paraId="51967EA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sectPr>
          <w:pgSz w:w="11906" w:h="16838"/>
          <w:pgMar w:top="1440" w:right="1080" w:bottom="1440" w:left="1080" w:header="851" w:footer="992" w:gutter="0"/>
          <w:cols w:space="425" w:num="1"/>
          <w:docGrid w:type="lines" w:linePitch="312" w:charSpace="0"/>
        </w:sectPr>
      </w:pPr>
    </w:p>
    <w:p w14:paraId="15AD2C9C">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投诉书（格式）</w:t>
      </w:r>
    </w:p>
    <w:p w14:paraId="0888303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一、投诉相关主体基本情况：</w:t>
      </w:r>
    </w:p>
    <w:p w14:paraId="6CC66C3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16C5E98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w:t>
      </w: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084E4F1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法定代表人/主要负责人：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w:t>
      </w:r>
    </w:p>
    <w:p w14:paraId="739AF71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0593506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授权代表：</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w:t>
      </w: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p>
    <w:p w14:paraId="7D3674E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w:t>
      </w:r>
    </w:p>
    <w:p w14:paraId="34BD9B0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w:t>
      </w:r>
    </w:p>
    <w:p w14:paraId="7BC50B1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被投诉人1：</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w:t>
      </w:r>
    </w:p>
    <w:p w14:paraId="212D2D9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w:t>
      </w:r>
    </w:p>
    <w:p w14:paraId="2C4719C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w:t>
      </w:r>
    </w:p>
    <w:p w14:paraId="532CDC8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w:t>
      </w:r>
    </w:p>
    <w:p w14:paraId="3316EB8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被投诉人2：</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w:t>
      </w:r>
    </w:p>
    <w:p w14:paraId="0795649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p w14:paraId="74F6850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相关供应商：</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w:t>
      </w:r>
    </w:p>
    <w:p w14:paraId="16B39F6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w:t>
      </w: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5F28073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w:t>
      </w:r>
    </w:p>
    <w:p w14:paraId="09B169D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二、投诉项目基本情况：</w:t>
      </w:r>
    </w:p>
    <w:p w14:paraId="62F1BCBA">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采购项目的名称：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w:t>
      </w:r>
    </w:p>
    <w:p w14:paraId="7DB3F729">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采购项目的编号：</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w:t>
      </w:r>
    </w:p>
    <w:p w14:paraId="75E1478D">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w:t>
      </w:r>
    </w:p>
    <w:p w14:paraId="76A2F6F4">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代理机构名称：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w:t>
      </w:r>
    </w:p>
    <w:p w14:paraId="42CC671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招标文件公告：</w:t>
      </w:r>
      <w:r>
        <w:rPr>
          <w:rFonts w:hint="eastAsia" w:ascii="宋体" w:hAnsi="宋体" w:eastAsia="宋体"/>
          <w:color w:val="000000" w:themeColor="text1"/>
          <w:szCs w:val="21"/>
          <w:highlight w:val="none"/>
          <w:u w:val="single"/>
          <w14:textFill>
            <w14:solidFill>
              <w14:schemeClr w14:val="tx1"/>
            </w14:solidFill>
          </w14:textFill>
        </w:rPr>
        <w:t>是/否</w:t>
      </w:r>
      <w:r>
        <w:rPr>
          <w:rFonts w:hint="eastAsia" w:ascii="宋体" w:hAnsi="宋体" w:eastAsia="宋体"/>
          <w:color w:val="000000" w:themeColor="text1"/>
          <w:szCs w:val="21"/>
          <w:highlight w:val="none"/>
          <w14:textFill>
            <w14:solidFill>
              <w14:schemeClr w14:val="tx1"/>
            </w14:solidFill>
          </w14:textFill>
        </w:rPr>
        <w:t>公告期限：</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w:t>
      </w:r>
    </w:p>
    <w:p w14:paraId="0A171BD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采购结果公告：是/否公告期限：</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w:t>
      </w:r>
    </w:p>
    <w:p w14:paraId="1E025BD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三、质疑基本情况</w:t>
      </w:r>
    </w:p>
    <w:p w14:paraId="3E6041B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投诉人于</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日，向</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提出质疑，质疑事项为：</w:t>
      </w:r>
      <w:r>
        <w:rPr>
          <w:rFonts w:ascii="Times New Roman" w:hAnsi="Times New Roman" w:eastAsia="宋体" w:cs="Times New Roman"/>
          <w:color w:val="000000" w:themeColor="text1"/>
          <w:szCs w:val="21"/>
          <w:highlight w:val="none"/>
          <w14:textFill>
            <w14:solidFill>
              <w14:schemeClr w14:val="tx1"/>
            </w14:solidFill>
          </w14:textFill>
        </w:rPr>
        <w:t>_______________________</w:t>
      </w:r>
    </w:p>
    <w:p w14:paraId="1C66A5D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u w:val="single"/>
          <w14:textFill>
            <w14:solidFill>
              <w14:schemeClr w14:val="tx1"/>
            </w14:solidFill>
          </w14:textFill>
        </w:rPr>
        <w:t>采购人/代理机构</w:t>
      </w:r>
      <w:r>
        <w:rPr>
          <w:rFonts w:hint="eastAsia" w:ascii="宋体" w:hAnsi="宋体" w:eastAsia="宋体"/>
          <w:color w:val="000000" w:themeColor="text1"/>
          <w:szCs w:val="21"/>
          <w:highlight w:val="none"/>
          <w14:textFill>
            <w14:solidFill>
              <w14:schemeClr w14:val="tx1"/>
            </w14:solidFill>
          </w14:textFill>
        </w:rPr>
        <w:t>于</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日，就质疑事项作出了答复/没有在法定期限内作出答复。</w:t>
      </w:r>
    </w:p>
    <w:p w14:paraId="4FA5C08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四、投诉事项具体内容</w:t>
      </w:r>
    </w:p>
    <w:p w14:paraId="2115505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投诉事项1：</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w:t>
      </w:r>
    </w:p>
    <w:p w14:paraId="535808B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事实依据：</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5B2841B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法律依据：</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2E1C753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投诉事项2：</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w:t>
      </w:r>
    </w:p>
    <w:p w14:paraId="4D9A372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p w14:paraId="07A541B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五、与投诉事项相关的投诉请求：</w:t>
      </w:r>
    </w:p>
    <w:p w14:paraId="243833F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请求：</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w:t>
      </w:r>
    </w:p>
    <w:p w14:paraId="5532714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39447F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签字（签章）：</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w:t>
      </w:r>
      <w:r>
        <w:rPr>
          <w:rFonts w:hint="eastAsia" w:ascii="宋体" w:hAnsi="宋体" w:eastAsia="宋体"/>
          <w:color w:val="000000" w:themeColor="text1"/>
          <w:szCs w:val="21"/>
          <w:highlight w:val="none"/>
          <w14:textFill>
            <w14:solidFill>
              <w14:schemeClr w14:val="tx1"/>
            </w14:solidFill>
          </w14:textFill>
        </w:rPr>
        <w:t>公章：</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p>
    <w:p w14:paraId="20BCD24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0F4C39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日</w:t>
      </w:r>
    </w:p>
    <w:p w14:paraId="54BEF7B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645839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9FD0CC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说明：</w:t>
      </w:r>
    </w:p>
    <w:p w14:paraId="5C62026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1A09B46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73C6C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3.投诉书应简要列明质疑事项，质疑函、质疑答复等作为附件材料提供。</w:t>
      </w:r>
    </w:p>
    <w:p w14:paraId="61274CC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4.投诉书的投诉事项应具体、明确，并有必要的事实依据和法律依据。</w:t>
      </w:r>
    </w:p>
    <w:p w14:paraId="4A74B94A">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5.投诉书的投诉请求应与投诉事项相关。</w:t>
      </w:r>
    </w:p>
    <w:p w14:paraId="61D4BD24">
      <w:pPr>
        <w:spacing w:line="360" w:lineRule="auto"/>
        <w:ind w:firstLine="422"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6.投诉人为法人或者其他组织的，投诉书应由法定代表人、主要负责人，或者其授权代表签字或者盖章，并加盖公章。</w:t>
      </w:r>
    </w:p>
    <w:p w14:paraId="1F62C1C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EBEA76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4B70">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8340">
    <w:pPr>
      <w:pStyle w:val="26"/>
      <w:jc w:val="center"/>
    </w:pPr>
    <w:r>
      <w:fldChar w:fldCharType="begin"/>
    </w:r>
    <w:r>
      <w:instrText xml:space="preserve">PAGE   \* MERGEFORMAT</w:instrText>
    </w:r>
    <w:r>
      <w:fldChar w:fldCharType="separate"/>
    </w:r>
    <w:r>
      <w:rPr>
        <w:lang w:val="zh-CN"/>
      </w:rPr>
      <w:t>3</w:t>
    </w:r>
    <w:r>
      <w:rPr>
        <w:lang w:val="zh-CN"/>
      </w:rPr>
      <w:fldChar w:fldCharType="end"/>
    </w:r>
  </w:p>
  <w:p w14:paraId="3DAAF967">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0"/>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1"/>
      <w:numFmt w:val="decimal"/>
      <w:suff w:val="space"/>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7362DF71"/>
    <w:multiLevelType w:val="singleLevel"/>
    <w:tmpl w:val="7362DF71"/>
    <w:lvl w:ilvl="0" w:tentative="0">
      <w:start w:val="1"/>
      <w:numFmt w:val="decimal"/>
      <w:suff w:val="nothing"/>
      <w:lvlText w:val="（%1）"/>
      <w:lvlJc w:val="left"/>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2D332A"/>
    <w:rsid w:val="0B1B3AA8"/>
    <w:rsid w:val="0C0F0EA7"/>
    <w:rsid w:val="1B6C7D3E"/>
    <w:rsid w:val="25DE1BBE"/>
    <w:rsid w:val="2634179D"/>
    <w:rsid w:val="2D061416"/>
    <w:rsid w:val="31F3318F"/>
    <w:rsid w:val="34B00BC9"/>
    <w:rsid w:val="393223D3"/>
    <w:rsid w:val="4AE02689"/>
    <w:rsid w:val="4BC60D6E"/>
    <w:rsid w:val="4FAE57E7"/>
    <w:rsid w:val="52290C08"/>
    <w:rsid w:val="53317E09"/>
    <w:rsid w:val="578817AA"/>
    <w:rsid w:val="64ED3B96"/>
    <w:rsid w:val="679413D5"/>
    <w:rsid w:val="68746A68"/>
    <w:rsid w:val="68E7495C"/>
    <w:rsid w:val="69C0337A"/>
    <w:rsid w:val="6A0675D0"/>
    <w:rsid w:val="6E1C4D3E"/>
    <w:rsid w:val="78A23952"/>
    <w:rsid w:val="79CC006A"/>
    <w:rsid w:val="7C577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libri Light" w:hAnsi="Calibri Light" w:eastAsia="宋体" w:cs="宋体"/>
      <w:b/>
      <w:bCs/>
      <w:sz w:val="32"/>
      <w:szCs w:val="32"/>
    </w:rPr>
  </w:style>
  <w:style w:type="paragraph" w:styleId="4">
    <w:name w:val="heading 3"/>
    <w:basedOn w:val="1"/>
    <w:next w:val="1"/>
    <w:link w:val="49"/>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uiPriority w:val="99"/>
    <w:pPr>
      <w:keepNext/>
      <w:keepLines/>
      <w:spacing w:line="360" w:lineRule="auto"/>
      <w:outlineLvl w:val="3"/>
    </w:pPr>
    <w:rPr>
      <w:rFonts w:ascii="Arial" w:hAnsi="Arial" w:eastAsia="宋体" w:cs="Times New Roman"/>
      <w:b/>
      <w:bCs/>
      <w:sz w:val="28"/>
      <w:szCs w:val="28"/>
    </w:rPr>
  </w:style>
  <w:style w:type="paragraph" w:styleId="6">
    <w:name w:val="heading 5"/>
    <w:basedOn w:val="1"/>
    <w:next w:val="1"/>
    <w:link w:val="51"/>
    <w:qFormat/>
    <w:uiPriority w:val="99"/>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52"/>
    <w:qFormat/>
    <w:uiPriority w:val="9"/>
    <w:pPr>
      <w:keepNext/>
      <w:keepLines/>
      <w:spacing w:before="240" w:after="64" w:line="317" w:lineRule="auto"/>
      <w:outlineLvl w:val="5"/>
    </w:pPr>
    <w:rPr>
      <w:rFonts w:ascii="Cambria" w:hAnsi="Cambria" w:eastAsia="宋体" w:cs="Times New Roman"/>
      <w:b/>
      <w:bCs/>
      <w:kern w:val="0"/>
      <w:sz w:val="24"/>
      <w:szCs w:val="24"/>
      <w:lang w:val="zh-CN"/>
    </w:rPr>
  </w:style>
  <w:style w:type="paragraph" w:styleId="8">
    <w:name w:val="heading 7"/>
    <w:basedOn w:val="1"/>
    <w:next w:val="1"/>
    <w:link w:val="53"/>
    <w:qFormat/>
    <w:uiPriority w:val="9"/>
    <w:pPr>
      <w:keepNext/>
      <w:keepLines/>
      <w:spacing w:before="240" w:after="64" w:line="317" w:lineRule="auto"/>
      <w:outlineLvl w:val="6"/>
    </w:pPr>
    <w:rPr>
      <w:rFonts w:ascii="Calibri" w:hAnsi="Calibri" w:eastAsia="宋体" w:cs="Times New Roman"/>
      <w:b/>
      <w:bCs/>
      <w:kern w:val="0"/>
      <w:sz w:val="24"/>
      <w:szCs w:val="24"/>
      <w:lang w:val="zh-CN"/>
    </w:rPr>
  </w:style>
  <w:style w:type="paragraph" w:styleId="9">
    <w:name w:val="heading 8"/>
    <w:basedOn w:val="1"/>
    <w:next w:val="1"/>
    <w:link w:val="54"/>
    <w:qFormat/>
    <w:uiPriority w:val="9"/>
    <w:pPr>
      <w:keepNext/>
      <w:keepLines/>
      <w:spacing w:before="240" w:after="64" w:line="317" w:lineRule="auto"/>
      <w:outlineLvl w:val="7"/>
    </w:pPr>
    <w:rPr>
      <w:rFonts w:ascii="Cambria" w:hAnsi="Cambria" w:eastAsia="宋体" w:cs="Times New Roman"/>
      <w:kern w:val="0"/>
      <w:sz w:val="24"/>
      <w:szCs w:val="24"/>
      <w:lang w:val="zh-CN"/>
    </w:rPr>
  </w:style>
  <w:style w:type="paragraph" w:styleId="10">
    <w:name w:val="heading 9"/>
    <w:basedOn w:val="1"/>
    <w:next w:val="1"/>
    <w:link w:val="55"/>
    <w:qFormat/>
    <w:uiPriority w:val="9"/>
    <w:pPr>
      <w:keepNext/>
      <w:keepLines/>
      <w:spacing w:before="240" w:after="64" w:line="317" w:lineRule="auto"/>
      <w:outlineLvl w:val="8"/>
    </w:pPr>
    <w:rPr>
      <w:rFonts w:ascii="Cambria" w:hAnsi="Cambria" w:eastAsia="宋体" w:cs="Times New Roman"/>
      <w:kern w:val="0"/>
      <w:sz w:val="20"/>
      <w:lang w:val="zh-CN"/>
    </w:rPr>
  </w:style>
  <w:style w:type="character" w:default="1" w:styleId="40">
    <w:name w:val="Default Paragraph Font"/>
    <w:qFormat/>
    <w:uiPriority w:val="1"/>
  </w:style>
  <w:style w:type="table" w:default="1" w:styleId="38">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eastAsia="宋体" w:cs="Calibri"/>
    </w:rPr>
  </w:style>
  <w:style w:type="paragraph" w:styleId="12">
    <w:name w:val="Normal Indent"/>
    <w:basedOn w:val="1"/>
    <w:qFormat/>
    <w:uiPriority w:val="99"/>
    <w:pPr>
      <w:ind w:firstLine="420"/>
    </w:pPr>
    <w:rPr>
      <w:rFonts w:ascii="Times New Roman" w:hAnsi="Times New Roman" w:eastAsia="宋体" w:cs="Times New Roman"/>
      <w:szCs w:val="20"/>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56"/>
    <w:qFormat/>
    <w:uiPriority w:val="99"/>
    <w:pPr>
      <w:shd w:val="clear" w:color="auto" w:fill="000080"/>
    </w:pPr>
    <w:rPr>
      <w:kern w:val="0"/>
      <w:sz w:val="24"/>
      <w:szCs w:val="24"/>
      <w:shd w:val="clear" w:color="auto" w:fill="000080"/>
    </w:rPr>
  </w:style>
  <w:style w:type="paragraph" w:styleId="15">
    <w:name w:val="annotation text"/>
    <w:basedOn w:val="1"/>
    <w:link w:val="57"/>
    <w:qFormat/>
    <w:uiPriority w:val="99"/>
    <w:pPr>
      <w:jc w:val="left"/>
    </w:pPr>
  </w:style>
  <w:style w:type="paragraph" w:styleId="16">
    <w:name w:val="Body Text"/>
    <w:basedOn w:val="1"/>
    <w:next w:val="1"/>
    <w:link w:val="58"/>
    <w:qFormat/>
    <w:uiPriority w:val="99"/>
    <w:pPr>
      <w:adjustRightInd w:val="0"/>
      <w:spacing w:after="60" w:line="360" w:lineRule="atLeast"/>
      <w:ind w:left="72" w:leftChars="30" w:right="30" w:rightChars="30"/>
      <w:jc w:val="center"/>
      <w:textAlignment w:val="baseline"/>
    </w:pPr>
    <w:rPr>
      <w:rFonts w:eastAsia="宋体"/>
      <w:kern w:val="0"/>
      <w:sz w:val="22"/>
      <w:szCs w:val="20"/>
    </w:rPr>
  </w:style>
  <w:style w:type="paragraph" w:styleId="17">
    <w:name w:val="Body Text Indent"/>
    <w:basedOn w:val="1"/>
    <w:link w:val="59"/>
    <w:qFormat/>
    <w:uiPriority w:val="99"/>
    <w:pPr>
      <w:spacing w:before="240" w:line="360" w:lineRule="auto"/>
      <w:ind w:firstLine="552" w:firstLineChars="263"/>
    </w:pPr>
    <w:rPr>
      <w:rFonts w:ascii="宋体" w:eastAsia="宋体" w:cs="宋体"/>
      <w:kern w:val="0"/>
      <w:sz w:val="20"/>
      <w:szCs w:val="21"/>
    </w:rPr>
  </w:style>
  <w:style w:type="paragraph" w:styleId="18">
    <w:name w:val="index 4"/>
    <w:basedOn w:val="1"/>
    <w:next w:val="1"/>
    <w:qFormat/>
    <w:uiPriority w:val="99"/>
    <w:pPr>
      <w:ind w:left="600" w:leftChars="600"/>
    </w:pPr>
    <w:rPr>
      <w:rFonts w:ascii="Calibri" w:hAnsi="Calibri" w:eastAsia="宋体" w:cs="Times New Roman"/>
    </w:rPr>
  </w:style>
  <w:style w:type="paragraph" w:styleId="19">
    <w:name w:val="toc 5"/>
    <w:basedOn w:val="1"/>
    <w:next w:val="1"/>
    <w:qFormat/>
    <w:uiPriority w:val="39"/>
    <w:pPr>
      <w:ind w:left="1680" w:leftChars="800"/>
    </w:pPr>
    <w:rPr>
      <w:rFonts w:ascii="Calibri" w:hAnsi="Calibri" w:eastAsia="宋体" w:cs="Calibri"/>
    </w:rPr>
  </w:style>
  <w:style w:type="paragraph" w:styleId="20">
    <w:name w:val="toc 3"/>
    <w:basedOn w:val="1"/>
    <w:next w:val="1"/>
    <w:qFormat/>
    <w:uiPriority w:val="39"/>
    <w:pPr>
      <w:ind w:left="840" w:leftChars="400"/>
    </w:pPr>
  </w:style>
  <w:style w:type="paragraph" w:styleId="21">
    <w:name w:val="Plain Text"/>
    <w:basedOn w:val="1"/>
    <w:link w:val="60"/>
    <w:qFormat/>
    <w:uiPriority w:val="0"/>
    <w:rPr>
      <w:rFonts w:ascii="宋体" w:hAnsi="Courier New" w:eastAsia="宋体" w:cs="宋体"/>
      <w:kern w:val="0"/>
      <w:sz w:val="24"/>
      <w:szCs w:val="24"/>
    </w:rPr>
  </w:style>
  <w:style w:type="paragraph" w:styleId="22">
    <w:name w:val="toc 8"/>
    <w:basedOn w:val="1"/>
    <w:next w:val="1"/>
    <w:qFormat/>
    <w:uiPriority w:val="39"/>
    <w:pPr>
      <w:ind w:left="2940" w:leftChars="1400"/>
    </w:pPr>
    <w:rPr>
      <w:rFonts w:ascii="Calibri" w:hAnsi="Calibri" w:eastAsia="宋体" w:cs="Calibri"/>
    </w:rPr>
  </w:style>
  <w:style w:type="paragraph" w:styleId="23">
    <w:name w:val="Date"/>
    <w:basedOn w:val="1"/>
    <w:next w:val="1"/>
    <w:link w:val="61"/>
    <w:qFormat/>
    <w:uiPriority w:val="99"/>
    <w:pPr>
      <w:ind w:left="100" w:leftChars="2500"/>
    </w:pPr>
    <w:rPr>
      <w:kern w:val="0"/>
      <w:sz w:val="24"/>
      <w:szCs w:val="24"/>
    </w:rPr>
  </w:style>
  <w:style w:type="paragraph" w:styleId="24">
    <w:name w:val="Body Text Indent 2"/>
    <w:basedOn w:val="1"/>
    <w:link w:val="62"/>
    <w:qFormat/>
    <w:uiPriority w:val="99"/>
    <w:pPr>
      <w:spacing w:after="120" w:line="480" w:lineRule="auto"/>
      <w:ind w:left="420" w:leftChars="200"/>
    </w:pPr>
    <w:rPr>
      <w:kern w:val="0"/>
      <w:sz w:val="24"/>
      <w:szCs w:val="24"/>
    </w:rPr>
  </w:style>
  <w:style w:type="paragraph" w:styleId="25">
    <w:name w:val="Balloon Text"/>
    <w:basedOn w:val="1"/>
    <w:link w:val="63"/>
    <w:qFormat/>
    <w:uiPriority w:val="99"/>
    <w:rPr>
      <w:sz w:val="18"/>
      <w:szCs w:val="18"/>
    </w:rPr>
  </w:style>
  <w:style w:type="paragraph" w:styleId="26">
    <w:name w:val="footer"/>
    <w:basedOn w:val="1"/>
    <w:link w:val="64"/>
    <w:qFormat/>
    <w:uiPriority w:val="99"/>
    <w:pPr>
      <w:tabs>
        <w:tab w:val="center" w:pos="4153"/>
        <w:tab w:val="right" w:pos="8306"/>
      </w:tabs>
      <w:snapToGrid w:val="0"/>
      <w:jc w:val="left"/>
    </w:pPr>
    <w:rPr>
      <w:sz w:val="18"/>
      <w:szCs w:val="18"/>
    </w:rPr>
  </w:style>
  <w:style w:type="paragraph" w:styleId="27">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39"/>
    <w:pPr>
      <w:ind w:left="1260" w:leftChars="600"/>
    </w:pPr>
    <w:rPr>
      <w:rFonts w:ascii="Calibri" w:hAnsi="Calibri" w:eastAsia="宋体" w:cs="Calibri"/>
    </w:rPr>
  </w:style>
  <w:style w:type="paragraph" w:styleId="30">
    <w:name w:val="Subtitle"/>
    <w:basedOn w:val="1"/>
    <w:next w:val="1"/>
    <w:link w:val="66"/>
    <w:qFormat/>
    <w:uiPriority w:val="11"/>
    <w:pPr>
      <w:spacing w:before="240" w:after="60" w:line="312" w:lineRule="auto"/>
      <w:jc w:val="center"/>
      <w:outlineLvl w:val="1"/>
    </w:pPr>
    <w:rPr>
      <w:rFonts w:ascii="Cambria" w:hAnsi="Cambria" w:cs="Times New Roman"/>
      <w:b/>
      <w:bCs/>
      <w:kern w:val="28"/>
      <w:sz w:val="32"/>
      <w:szCs w:val="32"/>
    </w:rPr>
  </w:style>
  <w:style w:type="paragraph" w:styleId="31">
    <w:name w:val="footnote text"/>
    <w:basedOn w:val="1"/>
    <w:link w:val="67"/>
    <w:qFormat/>
    <w:uiPriority w:val="99"/>
    <w:pPr>
      <w:adjustRightInd w:val="0"/>
      <w:spacing w:line="312" w:lineRule="atLeast"/>
      <w:jc w:val="left"/>
      <w:textAlignment w:val="baseline"/>
    </w:pPr>
    <w:rPr>
      <w:kern w:val="0"/>
      <w:sz w:val="18"/>
      <w:szCs w:val="18"/>
    </w:rPr>
  </w:style>
  <w:style w:type="paragraph" w:styleId="32">
    <w:name w:val="toc 6"/>
    <w:basedOn w:val="1"/>
    <w:next w:val="1"/>
    <w:qFormat/>
    <w:uiPriority w:val="39"/>
    <w:pPr>
      <w:ind w:left="2100" w:leftChars="1000"/>
    </w:pPr>
    <w:rPr>
      <w:rFonts w:ascii="Calibri" w:hAnsi="Calibri" w:eastAsia="宋体" w:cs="Calibri"/>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rPr>
      <w:rFonts w:ascii="Calibri" w:hAnsi="Calibri" w:eastAsia="宋体" w:cs="Calibri"/>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Title"/>
    <w:basedOn w:val="1"/>
    <w:next w:val="1"/>
    <w:link w:val="68"/>
    <w:qFormat/>
    <w:uiPriority w:val="99"/>
    <w:pPr>
      <w:spacing w:before="240" w:after="60"/>
      <w:jc w:val="center"/>
      <w:outlineLvl w:val="0"/>
    </w:pPr>
    <w:rPr>
      <w:rFonts w:ascii="Cambria" w:hAnsi="Cambria" w:cs="Cambria"/>
      <w:b/>
      <w:bCs/>
      <w:kern w:val="0"/>
      <w:sz w:val="32"/>
      <w:szCs w:val="32"/>
    </w:rPr>
  </w:style>
  <w:style w:type="paragraph" w:styleId="37">
    <w:name w:val="annotation subject"/>
    <w:basedOn w:val="15"/>
    <w:next w:val="15"/>
    <w:link w:val="69"/>
    <w:qFormat/>
    <w:uiPriority w:val="99"/>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basedOn w:val="40"/>
    <w:qFormat/>
    <w:uiPriority w:val="99"/>
  </w:style>
  <w:style w:type="character" w:styleId="43">
    <w:name w:val="FollowedHyperlink"/>
    <w:qFormat/>
    <w:uiPriority w:val="99"/>
    <w:rPr>
      <w:color w:val="800080"/>
      <w:u w:val="single"/>
    </w:rPr>
  </w:style>
  <w:style w:type="character" w:styleId="44">
    <w:name w:val="Emphasis"/>
    <w:qFormat/>
    <w:uiPriority w:val="99"/>
    <w:rPr>
      <w:i/>
      <w:iCs/>
    </w:rPr>
  </w:style>
  <w:style w:type="character" w:styleId="45">
    <w:name w:val="Hyperlink"/>
    <w:basedOn w:val="40"/>
    <w:qFormat/>
    <w:uiPriority w:val="99"/>
    <w:rPr>
      <w:color w:val="0563C1"/>
      <w:u w:val="single"/>
    </w:rPr>
  </w:style>
  <w:style w:type="character" w:styleId="46">
    <w:name w:val="annotation reference"/>
    <w:basedOn w:val="40"/>
    <w:qFormat/>
    <w:uiPriority w:val="99"/>
    <w:rPr>
      <w:sz w:val="21"/>
      <w:szCs w:val="21"/>
    </w:rPr>
  </w:style>
  <w:style w:type="character" w:customStyle="1" w:styleId="47">
    <w:name w:val="标题 1 Char"/>
    <w:basedOn w:val="40"/>
    <w:link w:val="2"/>
    <w:qFormat/>
    <w:uiPriority w:val="9"/>
    <w:rPr>
      <w:b/>
      <w:bCs/>
      <w:kern w:val="44"/>
      <w:sz w:val="44"/>
      <w:szCs w:val="44"/>
    </w:rPr>
  </w:style>
  <w:style w:type="character" w:customStyle="1" w:styleId="48">
    <w:name w:val="标题 2 Char"/>
    <w:basedOn w:val="40"/>
    <w:link w:val="3"/>
    <w:qFormat/>
    <w:uiPriority w:val="9"/>
    <w:rPr>
      <w:rFonts w:ascii="Calibri Light" w:hAnsi="Calibri Light" w:eastAsia="宋体" w:cs="宋体"/>
      <w:b/>
      <w:bCs/>
      <w:sz w:val="32"/>
      <w:szCs w:val="32"/>
    </w:rPr>
  </w:style>
  <w:style w:type="character" w:customStyle="1" w:styleId="49">
    <w:name w:val="标题 3 Char"/>
    <w:basedOn w:val="40"/>
    <w:link w:val="4"/>
    <w:qFormat/>
    <w:uiPriority w:val="9"/>
    <w:rPr>
      <w:b/>
      <w:bCs/>
      <w:sz w:val="32"/>
      <w:szCs w:val="32"/>
    </w:rPr>
  </w:style>
  <w:style w:type="character" w:customStyle="1" w:styleId="50">
    <w:name w:val="标题 4 Char"/>
    <w:basedOn w:val="40"/>
    <w:link w:val="5"/>
    <w:qFormat/>
    <w:uiPriority w:val="99"/>
    <w:rPr>
      <w:rFonts w:ascii="Arial" w:hAnsi="Arial" w:eastAsia="宋体" w:cs="Times New Roman"/>
      <w:b/>
      <w:bCs/>
      <w:kern w:val="2"/>
      <w:sz w:val="28"/>
      <w:szCs w:val="28"/>
    </w:rPr>
  </w:style>
  <w:style w:type="character" w:customStyle="1" w:styleId="51">
    <w:name w:val="标题 5 Char"/>
    <w:basedOn w:val="40"/>
    <w:link w:val="6"/>
    <w:qFormat/>
    <w:uiPriority w:val="99"/>
    <w:rPr>
      <w:rFonts w:ascii="Calibri" w:hAnsi="Calibri" w:eastAsia="宋体" w:cs="Times New Roman"/>
      <w:b/>
      <w:bCs/>
      <w:kern w:val="2"/>
      <w:sz w:val="28"/>
      <w:szCs w:val="28"/>
    </w:rPr>
  </w:style>
  <w:style w:type="character" w:customStyle="1" w:styleId="52">
    <w:name w:val="标题 6 Char"/>
    <w:basedOn w:val="40"/>
    <w:link w:val="7"/>
    <w:qFormat/>
    <w:uiPriority w:val="9"/>
    <w:rPr>
      <w:rFonts w:ascii="Cambria" w:hAnsi="Cambria" w:eastAsia="宋体" w:cs="Times New Roman"/>
      <w:b/>
      <w:bCs/>
      <w:sz w:val="24"/>
      <w:szCs w:val="24"/>
      <w:lang w:val="zh-CN" w:eastAsia="zh-CN"/>
    </w:rPr>
  </w:style>
  <w:style w:type="character" w:customStyle="1" w:styleId="53">
    <w:name w:val="标题 7 Char"/>
    <w:basedOn w:val="40"/>
    <w:link w:val="8"/>
    <w:qFormat/>
    <w:uiPriority w:val="9"/>
    <w:rPr>
      <w:rFonts w:ascii="Calibri" w:hAnsi="Calibri" w:eastAsia="宋体" w:cs="Times New Roman"/>
      <w:b/>
      <w:bCs/>
      <w:sz w:val="24"/>
      <w:szCs w:val="24"/>
      <w:lang w:val="zh-CN" w:eastAsia="zh-CN"/>
    </w:rPr>
  </w:style>
  <w:style w:type="character" w:customStyle="1" w:styleId="54">
    <w:name w:val="标题 8 Char"/>
    <w:basedOn w:val="40"/>
    <w:link w:val="9"/>
    <w:qFormat/>
    <w:uiPriority w:val="9"/>
    <w:rPr>
      <w:rFonts w:ascii="Cambria" w:hAnsi="Cambria" w:eastAsia="宋体" w:cs="Times New Roman"/>
      <w:sz w:val="24"/>
      <w:szCs w:val="24"/>
      <w:lang w:val="zh-CN" w:eastAsia="zh-CN"/>
    </w:rPr>
  </w:style>
  <w:style w:type="character" w:customStyle="1" w:styleId="55">
    <w:name w:val="标题 9 Char"/>
    <w:basedOn w:val="40"/>
    <w:link w:val="10"/>
    <w:qFormat/>
    <w:uiPriority w:val="9"/>
    <w:rPr>
      <w:rFonts w:ascii="Cambria" w:hAnsi="Cambria" w:eastAsia="宋体" w:cs="Times New Roman"/>
      <w:szCs w:val="22"/>
      <w:lang w:val="zh-CN" w:eastAsia="zh-CN"/>
    </w:rPr>
  </w:style>
  <w:style w:type="character" w:customStyle="1" w:styleId="56">
    <w:name w:val="文档结构图 Char"/>
    <w:link w:val="14"/>
    <w:qFormat/>
    <w:uiPriority w:val="99"/>
    <w:rPr>
      <w:sz w:val="24"/>
      <w:szCs w:val="24"/>
      <w:shd w:val="clear" w:color="auto" w:fill="000080"/>
    </w:rPr>
  </w:style>
  <w:style w:type="character" w:customStyle="1" w:styleId="57">
    <w:name w:val="批注文字 Char"/>
    <w:basedOn w:val="40"/>
    <w:link w:val="15"/>
    <w:qFormat/>
    <w:uiPriority w:val="99"/>
  </w:style>
  <w:style w:type="character" w:customStyle="1" w:styleId="58">
    <w:name w:val="正文文本 Char"/>
    <w:link w:val="16"/>
    <w:qFormat/>
    <w:uiPriority w:val="99"/>
    <w:rPr>
      <w:rFonts w:eastAsia="宋体"/>
      <w:sz w:val="22"/>
    </w:rPr>
  </w:style>
  <w:style w:type="character" w:customStyle="1" w:styleId="59">
    <w:name w:val="正文文本缩进 Char"/>
    <w:link w:val="17"/>
    <w:qFormat/>
    <w:uiPriority w:val="99"/>
    <w:rPr>
      <w:rFonts w:ascii="宋体" w:eastAsia="宋体" w:cs="宋体"/>
      <w:szCs w:val="21"/>
    </w:rPr>
  </w:style>
  <w:style w:type="character" w:customStyle="1" w:styleId="60">
    <w:name w:val="纯文本 Char"/>
    <w:link w:val="21"/>
    <w:qFormat/>
    <w:uiPriority w:val="0"/>
    <w:rPr>
      <w:rFonts w:ascii="宋体" w:hAnsi="Courier New" w:eastAsia="宋体" w:cs="宋体"/>
      <w:sz w:val="24"/>
      <w:szCs w:val="24"/>
    </w:rPr>
  </w:style>
  <w:style w:type="character" w:customStyle="1" w:styleId="61">
    <w:name w:val="日期 Char"/>
    <w:link w:val="23"/>
    <w:qFormat/>
    <w:uiPriority w:val="99"/>
    <w:rPr>
      <w:sz w:val="24"/>
      <w:szCs w:val="24"/>
    </w:rPr>
  </w:style>
  <w:style w:type="character" w:customStyle="1" w:styleId="62">
    <w:name w:val="正文文本缩进 2 Char"/>
    <w:link w:val="24"/>
    <w:qFormat/>
    <w:uiPriority w:val="99"/>
    <w:rPr>
      <w:sz w:val="24"/>
      <w:szCs w:val="24"/>
    </w:rPr>
  </w:style>
  <w:style w:type="character" w:customStyle="1" w:styleId="63">
    <w:name w:val="批注框文本 Char"/>
    <w:basedOn w:val="40"/>
    <w:link w:val="25"/>
    <w:qFormat/>
    <w:uiPriority w:val="99"/>
    <w:rPr>
      <w:sz w:val="18"/>
      <w:szCs w:val="18"/>
    </w:rPr>
  </w:style>
  <w:style w:type="character" w:customStyle="1" w:styleId="64">
    <w:name w:val="页脚 Char"/>
    <w:basedOn w:val="40"/>
    <w:link w:val="26"/>
    <w:qFormat/>
    <w:uiPriority w:val="99"/>
    <w:rPr>
      <w:sz w:val="18"/>
      <w:szCs w:val="18"/>
    </w:rPr>
  </w:style>
  <w:style w:type="character" w:customStyle="1" w:styleId="65">
    <w:name w:val="页眉 Char"/>
    <w:basedOn w:val="40"/>
    <w:link w:val="27"/>
    <w:qFormat/>
    <w:uiPriority w:val="99"/>
    <w:rPr>
      <w:sz w:val="18"/>
      <w:szCs w:val="18"/>
    </w:rPr>
  </w:style>
  <w:style w:type="character" w:customStyle="1" w:styleId="66">
    <w:name w:val="副标题 Char"/>
    <w:link w:val="30"/>
    <w:qFormat/>
    <w:uiPriority w:val="11"/>
    <w:rPr>
      <w:rFonts w:ascii="Cambria" w:hAnsi="Cambria" w:cs="Times New Roman"/>
      <w:b/>
      <w:bCs/>
      <w:kern w:val="28"/>
      <w:sz w:val="32"/>
      <w:szCs w:val="32"/>
    </w:rPr>
  </w:style>
  <w:style w:type="character" w:customStyle="1" w:styleId="67">
    <w:name w:val="脚注文本 Char"/>
    <w:link w:val="31"/>
    <w:qFormat/>
    <w:uiPriority w:val="99"/>
    <w:rPr>
      <w:sz w:val="18"/>
      <w:szCs w:val="18"/>
    </w:rPr>
  </w:style>
  <w:style w:type="character" w:customStyle="1" w:styleId="68">
    <w:name w:val="标题 Char"/>
    <w:link w:val="36"/>
    <w:qFormat/>
    <w:uiPriority w:val="99"/>
    <w:rPr>
      <w:rFonts w:ascii="Cambria" w:hAnsi="Cambria" w:cs="Cambria"/>
      <w:b/>
      <w:bCs/>
      <w:sz w:val="32"/>
      <w:szCs w:val="32"/>
    </w:rPr>
  </w:style>
  <w:style w:type="character" w:customStyle="1" w:styleId="69">
    <w:name w:val="批注主题 Char"/>
    <w:basedOn w:val="57"/>
    <w:link w:val="37"/>
    <w:qFormat/>
    <w:uiPriority w:val="99"/>
    <w:rPr>
      <w:b/>
      <w:bCs/>
    </w:rPr>
  </w:style>
  <w:style w:type="character" w:customStyle="1" w:styleId="70">
    <w:name w:val="批注文字 Char2"/>
    <w:qFormat/>
    <w:uiPriority w:val="99"/>
    <w:rPr>
      <w:rFonts w:eastAsia="宋体"/>
      <w:kern w:val="2"/>
      <w:sz w:val="24"/>
      <w:szCs w:val="24"/>
      <w:lang w:val="en-US" w:eastAsia="zh-CN"/>
    </w:rPr>
  </w:style>
  <w:style w:type="paragraph" w:customStyle="1" w:styleId="71">
    <w:name w:val="修订1"/>
    <w:qFormat/>
    <w:uiPriority w:val="99"/>
    <w:rPr>
      <w:rFonts w:ascii="Calibri" w:hAnsi="Calibri" w:eastAsia="宋体" w:cs="宋体"/>
      <w:kern w:val="2"/>
      <w:sz w:val="21"/>
      <w:szCs w:val="22"/>
      <w:lang w:val="en-US" w:eastAsia="zh-CN" w:bidi="ar-SA"/>
    </w:rPr>
  </w:style>
  <w:style w:type="paragraph" w:customStyle="1" w:styleId="7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修订2"/>
    <w:qFormat/>
    <w:uiPriority w:val="99"/>
    <w:rPr>
      <w:rFonts w:ascii="Calibri" w:hAnsi="Calibri" w:eastAsia="宋体" w:cs="宋体"/>
      <w:kern w:val="2"/>
      <w:sz w:val="21"/>
      <w:szCs w:val="22"/>
      <w:lang w:val="en-US" w:eastAsia="zh-CN" w:bidi="ar-SA"/>
    </w:rPr>
  </w:style>
  <w:style w:type="paragraph" w:customStyle="1" w:styleId="7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批注文字 Char Char"/>
    <w:qFormat/>
    <w:uiPriority w:val="99"/>
    <w:rPr>
      <w:rFonts w:ascii="宋体" w:hAnsi="Times New Roman" w:eastAsia="宋体" w:cs="宋体"/>
      <w:sz w:val="20"/>
      <w:szCs w:val="20"/>
    </w:rPr>
  </w:style>
  <w:style w:type="character" w:customStyle="1" w:styleId="77">
    <w:name w:val="Heading 3 Char_0bc8ab12-e538-4f34-9c1b-bd733864369c"/>
    <w:qFormat/>
    <w:uiPriority w:val="99"/>
    <w:rPr>
      <w:b/>
      <w:bCs/>
      <w:kern w:val="2"/>
      <w:sz w:val="32"/>
      <w:szCs w:val="32"/>
    </w:rPr>
  </w:style>
  <w:style w:type="character" w:customStyle="1" w:styleId="78">
    <w:name w:val="Heading 2 Char_bc077b30-2f69-4eff-8f74-1fa245249453"/>
    <w:qFormat/>
    <w:uiPriority w:val="99"/>
    <w:rPr>
      <w:rFonts w:ascii="Arial" w:hAnsi="Arial" w:eastAsia="黑体" w:cs="Arial"/>
      <w:b/>
      <w:bCs/>
      <w:kern w:val="2"/>
      <w:sz w:val="32"/>
      <w:szCs w:val="32"/>
      <w:lang w:val="en-US" w:eastAsia="zh-CN"/>
    </w:rPr>
  </w:style>
  <w:style w:type="character" w:customStyle="1" w:styleId="79">
    <w:name w:val="Balloon Text Char"/>
    <w:qFormat/>
    <w:uiPriority w:val="99"/>
    <w:rPr>
      <w:sz w:val="18"/>
      <w:szCs w:val="18"/>
    </w:rPr>
  </w:style>
  <w:style w:type="character" w:customStyle="1" w:styleId="80">
    <w:name w:val="文档结构图 Char1"/>
    <w:qFormat/>
    <w:uiPriority w:val="99"/>
    <w:rPr>
      <w:rFonts w:ascii="宋体" w:hAnsi="Times New Roman" w:eastAsia="宋体" w:cs="宋体"/>
      <w:sz w:val="18"/>
      <w:szCs w:val="18"/>
    </w:rPr>
  </w:style>
  <w:style w:type="character" w:customStyle="1" w:styleId="81">
    <w:name w:val="文档结构图 Char2"/>
    <w:basedOn w:val="40"/>
    <w:qFormat/>
    <w:uiPriority w:val="99"/>
    <w:rPr>
      <w:rFonts w:ascii="Microsoft YaHei UI" w:eastAsia="Microsoft YaHei UI"/>
      <w:kern w:val="2"/>
      <w:sz w:val="18"/>
      <w:szCs w:val="18"/>
    </w:rPr>
  </w:style>
  <w:style w:type="character" w:customStyle="1" w:styleId="82">
    <w:name w:val="Footnote Text Char"/>
    <w:qFormat/>
    <w:uiPriority w:val="99"/>
    <w:rPr>
      <w:rFonts w:eastAsia="宋体"/>
      <w:sz w:val="18"/>
      <w:szCs w:val="18"/>
      <w:lang w:val="en-US" w:eastAsia="zh-CN"/>
    </w:rPr>
  </w:style>
  <w:style w:type="character" w:customStyle="1" w:styleId="83">
    <w:name w:val="Char Char21"/>
    <w:qFormat/>
    <w:uiPriority w:val="99"/>
    <w:rPr>
      <w:rFonts w:ascii="Arial" w:hAnsi="Arial" w:eastAsia="黑体" w:cs="Arial"/>
      <w:b/>
      <w:bCs/>
      <w:sz w:val="32"/>
      <w:szCs w:val="32"/>
    </w:rPr>
  </w:style>
  <w:style w:type="character" w:customStyle="1" w:styleId="84">
    <w:name w:val="批注文字 Char1"/>
    <w:qFormat/>
    <w:uiPriority w:val="99"/>
    <w:rPr>
      <w:rFonts w:ascii="Times New Roman" w:hAnsi="Times New Roman" w:eastAsia="宋体" w:cs="Times New Roman"/>
      <w:sz w:val="24"/>
      <w:szCs w:val="24"/>
    </w:rPr>
  </w:style>
  <w:style w:type="character" w:customStyle="1" w:styleId="85">
    <w:name w:val="Body Text Indent Char"/>
    <w:qFormat/>
    <w:uiPriority w:val="99"/>
    <w:rPr>
      <w:rFonts w:ascii="宋体" w:hAnsi="宋体" w:eastAsia="宋体" w:cs="宋体"/>
      <w:kern w:val="2"/>
      <w:sz w:val="21"/>
      <w:szCs w:val="21"/>
      <w:lang w:val="en-US" w:eastAsia="zh-CN"/>
    </w:rPr>
  </w:style>
  <w:style w:type="character" w:customStyle="1" w:styleId="86">
    <w:name w:val="不明显参考1"/>
    <w:qFormat/>
    <w:uiPriority w:val="99"/>
    <w:rPr>
      <w:smallCaps/>
      <w:color w:val="auto"/>
      <w:u w:val="single"/>
    </w:rPr>
  </w:style>
  <w:style w:type="character" w:customStyle="1" w:styleId="87">
    <w:name w:val="Heading 4 Char_2341f5f9-244a-49ef-af59-9ce8abd25604"/>
    <w:qFormat/>
    <w:uiPriority w:val="99"/>
    <w:rPr>
      <w:rFonts w:ascii="Arial" w:hAnsi="Arial" w:eastAsia="宋体" w:cs="Arial"/>
      <w:b/>
      <w:bCs/>
      <w:kern w:val="2"/>
      <w:sz w:val="28"/>
      <w:szCs w:val="28"/>
      <w:lang w:val="en-US" w:eastAsia="zh-CN"/>
    </w:rPr>
  </w:style>
  <w:style w:type="character" w:customStyle="1" w:styleId="88">
    <w:name w:val="Char Char20"/>
    <w:qFormat/>
    <w:uiPriority w:val="99"/>
    <w:rPr>
      <w:rFonts w:ascii="Times New Roman" w:hAnsi="Times New Roman" w:eastAsia="宋体" w:cs="Times New Roman"/>
      <w:b/>
      <w:bCs/>
      <w:sz w:val="32"/>
      <w:szCs w:val="32"/>
    </w:rPr>
  </w:style>
  <w:style w:type="character" w:customStyle="1" w:styleId="89">
    <w:name w:val="Comment Subject Char"/>
    <w:qFormat/>
    <w:uiPriority w:val="99"/>
    <w:rPr>
      <w:b/>
      <w:bCs/>
      <w:sz w:val="24"/>
      <w:szCs w:val="24"/>
    </w:rPr>
  </w:style>
  <w:style w:type="character" w:customStyle="1" w:styleId="90">
    <w:name w:val="Heading 1 Char_2fdc1ecf-6629-46d8-bd7f-c6c0f8e57834"/>
    <w:qFormat/>
    <w:uiPriority w:val="99"/>
    <w:rPr>
      <w:rFonts w:eastAsia="宋体"/>
      <w:b/>
      <w:bCs/>
      <w:kern w:val="44"/>
      <w:sz w:val="44"/>
      <w:szCs w:val="44"/>
      <w:lang w:val="en-US" w:eastAsia="zh-CN"/>
    </w:rPr>
  </w:style>
  <w:style w:type="character" w:customStyle="1" w:styleId="91">
    <w:name w:val="批注框文本 Char1"/>
    <w:qFormat/>
    <w:uiPriority w:val="99"/>
    <w:rPr>
      <w:rFonts w:ascii="Times New Roman" w:hAnsi="Times New Roman" w:eastAsia="宋体" w:cs="Times New Roman"/>
      <w:sz w:val="18"/>
      <w:szCs w:val="18"/>
    </w:rPr>
  </w:style>
  <w:style w:type="character" w:customStyle="1" w:styleId="92">
    <w:name w:val="标题 Char1"/>
    <w:basedOn w:val="40"/>
    <w:qFormat/>
    <w:uiPriority w:val="99"/>
    <w:rPr>
      <w:rFonts w:ascii="Calibri Light" w:hAnsi="Calibri Light" w:eastAsia="宋体" w:cs="宋体"/>
      <w:b/>
      <w:bCs/>
      <w:kern w:val="2"/>
      <w:sz w:val="32"/>
      <w:szCs w:val="32"/>
    </w:rPr>
  </w:style>
  <w:style w:type="character" w:customStyle="1" w:styleId="93">
    <w:name w:val="Char Char6"/>
    <w:qFormat/>
    <w:uiPriority w:val="99"/>
    <w:rPr>
      <w:rFonts w:eastAsia="宋体"/>
      <w:b/>
      <w:bCs/>
      <w:kern w:val="44"/>
      <w:sz w:val="44"/>
      <w:szCs w:val="44"/>
      <w:lang w:val="en-US" w:eastAsia="zh-CN"/>
    </w:rPr>
  </w:style>
  <w:style w:type="character" w:customStyle="1" w:styleId="94">
    <w:name w:val="Char Char18"/>
    <w:qFormat/>
    <w:uiPriority w:val="99"/>
    <w:rPr>
      <w:rFonts w:ascii="Times New Roman" w:hAnsi="Times New Roman" w:eastAsia="宋体" w:cs="Times New Roman"/>
      <w:b/>
      <w:bCs/>
      <w:sz w:val="28"/>
      <w:szCs w:val="28"/>
    </w:rPr>
  </w:style>
  <w:style w:type="character" w:customStyle="1" w:styleId="95">
    <w:name w:val="Body Text Indent 2 Char"/>
    <w:qFormat/>
    <w:uiPriority w:val="99"/>
    <w:rPr>
      <w:rFonts w:eastAsia="宋体"/>
      <w:kern w:val="2"/>
      <w:sz w:val="24"/>
      <w:szCs w:val="24"/>
      <w:lang w:val="en-US" w:eastAsia="zh-CN"/>
    </w:rPr>
  </w:style>
  <w:style w:type="character" w:customStyle="1" w:styleId="96">
    <w:name w:val="Comment Text Char1"/>
    <w:qFormat/>
    <w:uiPriority w:val="99"/>
    <w:rPr>
      <w:sz w:val="24"/>
      <w:szCs w:val="24"/>
    </w:rPr>
  </w:style>
  <w:style w:type="character" w:customStyle="1" w:styleId="97">
    <w:name w:val="正文文本 Char1"/>
    <w:qFormat/>
    <w:uiPriority w:val="99"/>
    <w:rPr>
      <w:kern w:val="2"/>
      <w:sz w:val="22"/>
      <w:szCs w:val="22"/>
    </w:rPr>
  </w:style>
  <w:style w:type="character" w:customStyle="1" w:styleId="98">
    <w:name w:val="标题5 Char Char"/>
    <w:link w:val="99"/>
    <w:qFormat/>
    <w:uiPriority w:val="99"/>
    <w:rPr>
      <w:rFonts w:ascii="Arial" w:hAnsi="Arial" w:cs="Arial"/>
      <w:b/>
      <w:bCs/>
      <w:sz w:val="32"/>
      <w:szCs w:val="32"/>
    </w:rPr>
  </w:style>
  <w:style w:type="paragraph" w:customStyle="1" w:styleId="99">
    <w:name w:val="标题5"/>
    <w:basedOn w:val="4"/>
    <w:link w:val="98"/>
    <w:qFormat/>
    <w:uiPriority w:val="99"/>
    <w:pPr>
      <w:spacing w:line="413" w:lineRule="auto"/>
    </w:pPr>
    <w:rPr>
      <w:rFonts w:ascii="Arial" w:hAnsi="Arial" w:cs="Arial"/>
      <w:kern w:val="0"/>
    </w:rPr>
  </w:style>
  <w:style w:type="character" w:customStyle="1" w:styleId="100">
    <w:name w:val="批注主题 Char1"/>
    <w:qFormat/>
    <w:uiPriority w:val="99"/>
    <w:rPr>
      <w:rFonts w:ascii="Times New Roman" w:hAnsi="Times New Roman" w:eastAsia="宋体" w:cs="Times New Roman"/>
      <w:b/>
      <w:bCs/>
      <w:sz w:val="24"/>
      <w:szCs w:val="24"/>
    </w:rPr>
  </w:style>
  <w:style w:type="character" w:customStyle="1" w:styleId="101">
    <w:name w:val="Char Char24"/>
    <w:qFormat/>
    <w:uiPriority w:val="99"/>
    <w:rPr>
      <w:rFonts w:eastAsia="宋体"/>
      <w:b/>
      <w:bCs/>
      <w:kern w:val="44"/>
      <w:sz w:val="44"/>
      <w:szCs w:val="44"/>
      <w:lang w:val="en-US" w:eastAsia="zh-CN"/>
    </w:rPr>
  </w:style>
  <w:style w:type="character" w:customStyle="1" w:styleId="102">
    <w:name w:val="Footer Char_f919cd91-eb35-4353-bc59-300dcbba211f"/>
    <w:qFormat/>
    <w:uiPriority w:val="99"/>
    <w:rPr>
      <w:rFonts w:eastAsia="宋体"/>
      <w:kern w:val="2"/>
      <w:sz w:val="18"/>
      <w:szCs w:val="18"/>
      <w:lang w:val="en-US" w:eastAsia="zh-CN"/>
    </w:rPr>
  </w:style>
  <w:style w:type="character" w:customStyle="1" w:styleId="103">
    <w:name w:val="Char Char9"/>
    <w:qFormat/>
    <w:uiPriority w:val="99"/>
    <w:rPr>
      <w:rFonts w:eastAsia="宋体"/>
      <w:b/>
      <w:bCs/>
      <w:kern w:val="44"/>
      <w:sz w:val="44"/>
      <w:szCs w:val="44"/>
      <w:lang w:val="en-US" w:eastAsia="zh-CN"/>
    </w:rPr>
  </w:style>
  <w:style w:type="character" w:customStyle="1" w:styleId="104">
    <w:name w:val="正文文本 Char2"/>
    <w:basedOn w:val="40"/>
    <w:qFormat/>
    <w:uiPriority w:val="99"/>
    <w:rPr>
      <w:kern w:val="2"/>
      <w:sz w:val="21"/>
      <w:szCs w:val="22"/>
    </w:rPr>
  </w:style>
  <w:style w:type="character" w:customStyle="1" w:styleId="105">
    <w:name w:val="Heading 3 Char1"/>
    <w:qFormat/>
    <w:uiPriority w:val="99"/>
    <w:rPr>
      <w:rFonts w:eastAsia="宋体"/>
      <w:b/>
      <w:bCs/>
      <w:kern w:val="2"/>
      <w:sz w:val="32"/>
      <w:szCs w:val="32"/>
      <w:lang w:val="en-US" w:eastAsia="zh-CN"/>
    </w:rPr>
  </w:style>
  <w:style w:type="character" w:customStyle="1" w:styleId="106">
    <w:name w:val="Document Map Char"/>
    <w:qFormat/>
    <w:uiPriority w:val="99"/>
    <w:rPr>
      <w:rFonts w:eastAsia="宋体"/>
      <w:kern w:val="2"/>
      <w:sz w:val="24"/>
      <w:szCs w:val="24"/>
      <w:lang w:val="en-US" w:eastAsia="zh-CN"/>
    </w:rPr>
  </w:style>
  <w:style w:type="character" w:customStyle="1" w:styleId="107">
    <w:name w:val="副标题 Char1"/>
    <w:basedOn w:val="40"/>
    <w:qFormat/>
    <w:uiPriority w:val="11"/>
    <w:rPr>
      <w:rFonts w:ascii="Calibri Light" w:hAnsi="Calibri Light" w:eastAsia="宋体" w:cs="宋体"/>
      <w:b/>
      <w:bCs/>
      <w:kern w:val="28"/>
      <w:sz w:val="32"/>
      <w:szCs w:val="32"/>
    </w:rPr>
  </w:style>
  <w:style w:type="character" w:customStyle="1" w:styleId="108">
    <w:name w:val="Char Char22"/>
    <w:qFormat/>
    <w:uiPriority w:val="99"/>
    <w:rPr>
      <w:rFonts w:ascii="Times New Roman" w:hAnsi="Times New Roman" w:eastAsia="宋体" w:cs="Times New Roman"/>
      <w:b/>
      <w:bCs/>
      <w:kern w:val="44"/>
      <w:sz w:val="44"/>
      <w:szCs w:val="44"/>
    </w:rPr>
  </w:style>
  <w:style w:type="character" w:customStyle="1" w:styleId="109">
    <w:name w:val="明显引用 Char"/>
    <w:link w:val="110"/>
    <w:qFormat/>
    <w:uiPriority w:val="99"/>
    <w:rPr>
      <w:b/>
      <w:bCs/>
      <w:i/>
      <w:iCs/>
      <w:color w:val="4F81BD"/>
    </w:rPr>
  </w:style>
  <w:style w:type="paragraph" w:customStyle="1" w:styleId="110">
    <w:name w:val="明显引用1"/>
    <w:basedOn w:val="1"/>
    <w:next w:val="1"/>
    <w:link w:val="109"/>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11">
    <w:name w:val="标题4 Char Char"/>
    <w:link w:val="112"/>
    <w:qFormat/>
    <w:uiPriority w:val="99"/>
    <w:rPr>
      <w:rFonts w:ascii="Arial" w:hAnsi="Arial" w:cs="Arial"/>
      <w:b/>
      <w:bCs/>
      <w:sz w:val="32"/>
      <w:szCs w:val="32"/>
    </w:rPr>
  </w:style>
  <w:style w:type="paragraph" w:customStyle="1" w:styleId="112">
    <w:name w:val="标题4"/>
    <w:basedOn w:val="3"/>
    <w:next w:val="18"/>
    <w:link w:val="111"/>
    <w:qFormat/>
    <w:uiPriority w:val="99"/>
    <w:pPr>
      <w:spacing w:before="60" w:after="60" w:line="413" w:lineRule="auto"/>
    </w:pPr>
    <w:rPr>
      <w:rFonts w:ascii="Arial" w:hAnsi="Arial" w:eastAsia="宋体" w:cs="Arial"/>
      <w:kern w:val="0"/>
    </w:rPr>
  </w:style>
  <w:style w:type="character" w:customStyle="1" w:styleId="113">
    <w:name w:val="Header Char_9bef8b84-2eb5-4f4d-811d-5a026cebed77"/>
    <w:qFormat/>
    <w:uiPriority w:val="99"/>
    <w:rPr>
      <w:rFonts w:eastAsia="宋体"/>
      <w:kern w:val="2"/>
      <w:sz w:val="18"/>
      <w:szCs w:val="18"/>
      <w:lang w:val="en-US" w:eastAsia="zh-CN"/>
    </w:rPr>
  </w:style>
  <w:style w:type="character" w:customStyle="1" w:styleId="114">
    <w:name w:val="明显引用 Char1"/>
    <w:qFormat/>
    <w:uiPriority w:val="99"/>
    <w:rPr>
      <w:rFonts w:ascii="Times New Roman" w:hAnsi="Times New Roman" w:eastAsia="宋体" w:cs="Times New Roman"/>
      <w:b/>
      <w:bCs/>
      <w:i/>
      <w:iCs/>
      <w:color w:val="4F81BD"/>
      <w:sz w:val="24"/>
      <w:szCs w:val="24"/>
    </w:rPr>
  </w:style>
  <w:style w:type="character" w:customStyle="1" w:styleId="115">
    <w:name w:val="Comment Text Char"/>
    <w:qFormat/>
    <w:uiPriority w:val="99"/>
    <w:rPr>
      <w:sz w:val="24"/>
      <w:szCs w:val="24"/>
    </w:rPr>
  </w:style>
  <w:style w:type="character" w:customStyle="1" w:styleId="116">
    <w:name w:val="明显参考1"/>
    <w:qFormat/>
    <w:uiPriority w:val="99"/>
    <w:rPr>
      <w:b/>
      <w:bCs/>
      <w:smallCaps/>
      <w:color w:val="auto"/>
      <w:spacing w:val="5"/>
      <w:u w:val="single"/>
    </w:rPr>
  </w:style>
  <w:style w:type="character" w:customStyle="1" w:styleId="117">
    <w:name w:val="明显强调1"/>
    <w:qFormat/>
    <w:uiPriority w:val="99"/>
    <w:rPr>
      <w:b/>
      <w:bCs/>
      <w:i/>
      <w:iCs/>
      <w:color w:val="4F81BD"/>
    </w:rPr>
  </w:style>
  <w:style w:type="character" w:customStyle="1" w:styleId="118">
    <w:name w:val="引用 Char1"/>
    <w:qFormat/>
    <w:uiPriority w:val="99"/>
    <w:rPr>
      <w:rFonts w:ascii="Times New Roman" w:hAnsi="Times New Roman" w:eastAsia="宋体" w:cs="Times New Roman"/>
      <w:i/>
      <w:iCs/>
      <w:color w:val="000000"/>
      <w:sz w:val="24"/>
      <w:szCs w:val="24"/>
    </w:rPr>
  </w:style>
  <w:style w:type="character" w:customStyle="1" w:styleId="119">
    <w:name w:val="引用 Char"/>
    <w:link w:val="120"/>
    <w:qFormat/>
    <w:uiPriority w:val="99"/>
    <w:rPr>
      <w:i/>
      <w:iCs/>
      <w:color w:val="000000"/>
    </w:rPr>
  </w:style>
  <w:style w:type="paragraph" w:customStyle="1" w:styleId="120">
    <w:name w:val="引用1"/>
    <w:basedOn w:val="1"/>
    <w:next w:val="1"/>
    <w:link w:val="119"/>
    <w:qFormat/>
    <w:uiPriority w:val="99"/>
    <w:rPr>
      <w:i/>
      <w:iCs/>
      <w:color w:val="000000"/>
      <w:kern w:val="0"/>
      <w:sz w:val="20"/>
      <w:szCs w:val="20"/>
    </w:rPr>
  </w:style>
  <w:style w:type="character" w:customStyle="1" w:styleId="121">
    <w:name w:val="标题 Char2"/>
    <w:qFormat/>
    <w:uiPriority w:val="99"/>
    <w:rPr>
      <w:rFonts w:ascii="Cambria" w:hAnsi="Cambria" w:eastAsia="宋体" w:cs="Cambria"/>
      <w:b/>
      <w:bCs/>
      <w:sz w:val="32"/>
      <w:szCs w:val="32"/>
    </w:rPr>
  </w:style>
  <w:style w:type="character" w:customStyle="1" w:styleId="122">
    <w:name w:val="Char Char23"/>
    <w:qFormat/>
    <w:uiPriority w:val="99"/>
    <w:rPr>
      <w:rFonts w:eastAsia="宋体"/>
      <w:b/>
      <w:bCs/>
      <w:kern w:val="44"/>
      <w:sz w:val="44"/>
      <w:szCs w:val="44"/>
      <w:lang w:val="en-US" w:eastAsia="zh-CN"/>
    </w:rPr>
  </w:style>
  <w:style w:type="character" w:customStyle="1" w:styleId="123">
    <w:name w:val="Plain Text Char"/>
    <w:qFormat/>
    <w:uiPriority w:val="99"/>
    <w:rPr>
      <w:rFonts w:ascii="宋体" w:hAnsi="Courier New" w:eastAsia="宋体" w:cs="宋体"/>
      <w:sz w:val="24"/>
      <w:szCs w:val="24"/>
    </w:rPr>
  </w:style>
  <w:style w:type="character" w:customStyle="1" w:styleId="124">
    <w:name w:val="Char Char91"/>
    <w:qFormat/>
    <w:uiPriority w:val="99"/>
    <w:rPr>
      <w:rFonts w:eastAsia="宋体"/>
      <w:b/>
      <w:bCs/>
      <w:kern w:val="44"/>
      <w:sz w:val="44"/>
      <w:szCs w:val="44"/>
      <w:lang w:val="en-US" w:eastAsia="zh-CN"/>
    </w:rPr>
  </w:style>
  <w:style w:type="character" w:customStyle="1" w:styleId="125">
    <w:name w:val="纯文本 Char1"/>
    <w:qFormat/>
    <w:uiPriority w:val="99"/>
    <w:rPr>
      <w:rFonts w:ascii="宋体" w:hAnsi="Courier New" w:eastAsia="宋体" w:cs="宋体"/>
      <w:sz w:val="21"/>
      <w:szCs w:val="21"/>
    </w:rPr>
  </w:style>
  <w:style w:type="character" w:customStyle="1" w:styleId="126">
    <w:name w:val="Char Char181"/>
    <w:qFormat/>
    <w:uiPriority w:val="99"/>
    <w:rPr>
      <w:b/>
      <w:bCs/>
      <w:kern w:val="44"/>
      <w:sz w:val="44"/>
      <w:szCs w:val="44"/>
    </w:rPr>
  </w:style>
  <w:style w:type="character" w:customStyle="1" w:styleId="127">
    <w:name w:val="Heading 5 Char_45b77bc7-5e85-4bbc-a169-0b741c24a003"/>
    <w:qFormat/>
    <w:uiPriority w:val="99"/>
    <w:rPr>
      <w:rFonts w:eastAsia="宋体"/>
      <w:b/>
      <w:bCs/>
      <w:kern w:val="2"/>
      <w:sz w:val="28"/>
      <w:szCs w:val="28"/>
      <w:lang w:val="en-US" w:eastAsia="zh-CN"/>
    </w:rPr>
  </w:style>
  <w:style w:type="character" w:customStyle="1" w:styleId="128">
    <w:name w:val="Char Char19"/>
    <w:qFormat/>
    <w:uiPriority w:val="99"/>
    <w:rPr>
      <w:rFonts w:ascii="Arial" w:hAnsi="Arial" w:eastAsia="宋体" w:cs="Arial"/>
      <w:b/>
      <w:bCs/>
      <w:sz w:val="28"/>
      <w:szCs w:val="28"/>
    </w:rPr>
  </w:style>
  <w:style w:type="character" w:customStyle="1" w:styleId="129">
    <w:name w:val="纯文本 Char2"/>
    <w:basedOn w:val="40"/>
    <w:qFormat/>
    <w:uiPriority w:val="0"/>
    <w:rPr>
      <w:rFonts w:ascii="宋体" w:hAnsi="Courier New" w:eastAsia="宋体" w:cs="Courier New"/>
      <w:kern w:val="2"/>
      <w:sz w:val="21"/>
      <w:szCs w:val="21"/>
    </w:rPr>
  </w:style>
  <w:style w:type="character" w:customStyle="1" w:styleId="130">
    <w:name w:val="日期 Char1"/>
    <w:qFormat/>
    <w:uiPriority w:val="99"/>
    <w:rPr>
      <w:rFonts w:ascii="Times New Roman" w:hAnsi="Times New Roman" w:eastAsia="宋体" w:cs="Times New Roman"/>
      <w:sz w:val="24"/>
      <w:szCs w:val="24"/>
    </w:rPr>
  </w:style>
  <w:style w:type="character" w:customStyle="1" w:styleId="131">
    <w:name w:val="脚注文本 Char1"/>
    <w:basedOn w:val="40"/>
    <w:qFormat/>
    <w:uiPriority w:val="99"/>
    <w:rPr>
      <w:kern w:val="2"/>
      <w:sz w:val="18"/>
      <w:szCs w:val="18"/>
    </w:rPr>
  </w:style>
  <w:style w:type="character" w:customStyle="1" w:styleId="132">
    <w:name w:val="正文文本缩进 2 Char1"/>
    <w:basedOn w:val="40"/>
    <w:qFormat/>
    <w:uiPriority w:val="99"/>
    <w:rPr>
      <w:kern w:val="2"/>
      <w:sz w:val="21"/>
      <w:szCs w:val="22"/>
    </w:rPr>
  </w:style>
  <w:style w:type="character" w:customStyle="1" w:styleId="133">
    <w:name w:val="Date Char"/>
    <w:qFormat/>
    <w:uiPriority w:val="99"/>
    <w:rPr>
      <w:rFonts w:eastAsia="宋体"/>
      <w:kern w:val="2"/>
      <w:sz w:val="24"/>
      <w:szCs w:val="24"/>
      <w:lang w:val="en-US" w:eastAsia="zh-CN"/>
    </w:rPr>
  </w:style>
  <w:style w:type="character" w:customStyle="1" w:styleId="134">
    <w:name w:val="Title Char_9d182ac3-9527-41ac-abaa-e5e1c095072e"/>
    <w:qFormat/>
    <w:uiPriority w:val="99"/>
    <w:rPr>
      <w:rFonts w:ascii="Cambria" w:hAnsi="Cambria" w:cs="Cambria"/>
      <w:b/>
      <w:bCs/>
      <w:sz w:val="32"/>
      <w:szCs w:val="32"/>
    </w:rPr>
  </w:style>
  <w:style w:type="character" w:customStyle="1" w:styleId="135">
    <w:name w:val="正文文本缩进 Char1"/>
    <w:basedOn w:val="40"/>
    <w:qFormat/>
    <w:uiPriority w:val="99"/>
    <w:rPr>
      <w:kern w:val="2"/>
      <w:sz w:val="21"/>
      <w:szCs w:val="22"/>
    </w:rPr>
  </w:style>
  <w:style w:type="character" w:customStyle="1" w:styleId="136">
    <w:name w:val="书籍标题1"/>
    <w:qFormat/>
    <w:uiPriority w:val="99"/>
    <w:rPr>
      <w:b/>
      <w:bCs/>
      <w:smallCaps/>
      <w:spacing w:val="5"/>
    </w:rPr>
  </w:style>
  <w:style w:type="character" w:customStyle="1" w:styleId="137">
    <w:name w:val="不明显强调1"/>
    <w:qFormat/>
    <w:uiPriority w:val="99"/>
    <w:rPr>
      <w:i/>
      <w:iCs/>
      <w:color w:val="808080"/>
    </w:rPr>
  </w:style>
  <w:style w:type="character" w:customStyle="1" w:styleId="138">
    <w:name w:val="日期 Char2"/>
    <w:basedOn w:val="40"/>
    <w:qFormat/>
    <w:uiPriority w:val="99"/>
    <w:rPr>
      <w:kern w:val="2"/>
      <w:sz w:val="21"/>
      <w:szCs w:val="22"/>
    </w:rPr>
  </w:style>
  <w:style w:type="character" w:customStyle="1" w:styleId="139">
    <w:name w:val="textcontents"/>
    <w:qFormat/>
    <w:uiPriority w:val="99"/>
  </w:style>
  <w:style w:type="paragraph" w:customStyle="1" w:styleId="140">
    <w:name w:val="样式1"/>
    <w:basedOn w:val="1"/>
    <w:next w:val="5"/>
    <w:qFormat/>
    <w:uiPriority w:val="99"/>
    <w:pPr>
      <w:spacing w:line="360" w:lineRule="auto"/>
      <w:ind w:firstLine="420" w:firstLineChars="200"/>
    </w:pPr>
    <w:rPr>
      <w:rFonts w:ascii="宋体" w:hAnsi="宋体" w:eastAsia="宋体" w:cs="宋体"/>
    </w:rPr>
  </w:style>
  <w:style w:type="paragraph" w:customStyle="1" w:styleId="141">
    <w:name w:val="Default"/>
    <w:next w:val="1"/>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42">
    <w:name w:val="Char Char Char Char Char Char Char"/>
    <w:basedOn w:val="1"/>
    <w:qFormat/>
    <w:uiPriority w:val="99"/>
    <w:pPr>
      <w:widowControl/>
      <w:spacing w:after="160" w:line="240" w:lineRule="exact"/>
      <w:jc w:val="left"/>
    </w:pPr>
    <w:rPr>
      <w:rFonts w:ascii="Calibri" w:hAnsi="Calibri" w:eastAsia="宋体" w:cs="Times New Roman"/>
    </w:rPr>
  </w:style>
  <w:style w:type="paragraph" w:customStyle="1" w:styleId="143">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5">
    <w:name w:val="TOC 标题1"/>
    <w:basedOn w:val="2"/>
    <w:next w:val="1"/>
    <w:qFormat/>
    <w:uiPriority w:val="99"/>
    <w:pPr>
      <w:spacing w:line="576" w:lineRule="auto"/>
      <w:outlineLvl w:val="9"/>
    </w:pPr>
    <w:rPr>
      <w:rFonts w:ascii="Calibri" w:hAnsi="Calibri" w:eastAsia="黑体" w:cs="Calibri"/>
      <w:lang w:val="zh-CN"/>
    </w:rPr>
  </w:style>
  <w:style w:type="paragraph" w:customStyle="1" w:styleId="146">
    <w:name w:val="空半行"/>
    <w:basedOn w:val="1"/>
    <w:qFormat/>
    <w:uiPriority w:val="99"/>
    <w:pPr>
      <w:adjustRightInd w:val="0"/>
      <w:spacing w:line="120" w:lineRule="exact"/>
      <w:textAlignment w:val="baseline"/>
    </w:pPr>
    <w:rPr>
      <w:rFonts w:ascii="Calibri" w:hAnsi="Calibri" w:eastAsia="仿宋_GB2312" w:cs="Times New Roman"/>
      <w:color w:val="FFFFFF"/>
      <w:kern w:val="0"/>
      <w:sz w:val="30"/>
      <w:szCs w:val="30"/>
    </w:rPr>
  </w:style>
  <w:style w:type="paragraph" w:customStyle="1" w:styleId="147">
    <w:name w:val="p0"/>
    <w:basedOn w:val="1"/>
    <w:qFormat/>
    <w:uiPriority w:val="99"/>
    <w:pPr>
      <w:widowControl/>
    </w:pPr>
    <w:rPr>
      <w:rFonts w:ascii="Calibri" w:hAnsi="Calibri" w:eastAsia="宋体" w:cs="Calibri"/>
      <w:kern w:val="0"/>
    </w:rPr>
  </w:style>
  <w:style w:type="paragraph" w:customStyle="1" w:styleId="148">
    <w:name w:val="Char"/>
    <w:basedOn w:val="1"/>
    <w:qFormat/>
    <w:uiPriority w:val="99"/>
    <w:pPr>
      <w:widowControl/>
      <w:spacing w:after="160" w:line="240" w:lineRule="exact"/>
      <w:jc w:val="left"/>
    </w:pPr>
    <w:rPr>
      <w:rFonts w:ascii="Calibri" w:hAnsi="Calibri" w:eastAsia="宋体" w:cs="Times New Roman"/>
    </w:rPr>
  </w:style>
  <w:style w:type="paragraph" w:customStyle="1" w:styleId="149">
    <w:name w:val="1"/>
    <w:basedOn w:val="1"/>
    <w:next w:val="1"/>
    <w:qFormat/>
    <w:uiPriority w:val="99"/>
    <w:rPr>
      <w:rFonts w:ascii="Calibri" w:hAnsi="Calibri" w:eastAsia="宋体" w:cs="Times New Roman"/>
    </w:rPr>
  </w:style>
  <w:style w:type="paragraph" w:customStyle="1" w:styleId="150">
    <w:name w:val="列出段落2"/>
    <w:basedOn w:val="1"/>
    <w:qFormat/>
    <w:uiPriority w:val="99"/>
    <w:pPr>
      <w:ind w:firstLine="420" w:firstLineChars="200"/>
    </w:pPr>
    <w:rPr>
      <w:rFonts w:ascii="Calibri" w:hAnsi="Calibri" w:eastAsia="宋体" w:cs="Calibri"/>
    </w:rPr>
  </w:style>
  <w:style w:type="paragraph" w:customStyle="1" w:styleId="15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2">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53">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54">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5">
    <w:name w:val="标题 Char3"/>
    <w:basedOn w:val="40"/>
    <w:qFormat/>
    <w:uiPriority w:val="99"/>
    <w:rPr>
      <w:rFonts w:ascii="Calibri Light" w:hAnsi="Calibri Light" w:eastAsia="宋体" w:cs="宋体"/>
      <w:b/>
      <w:bCs/>
      <w:sz w:val="32"/>
      <w:szCs w:val="32"/>
    </w:rPr>
  </w:style>
  <w:style w:type="paragraph" w:customStyle="1" w:styleId="156">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styleId="157">
    <w:name w:val="List Paragraph"/>
    <w:basedOn w:val="1"/>
    <w:qFormat/>
    <w:uiPriority w:val="34"/>
    <w:pPr>
      <w:ind w:firstLine="420" w:firstLineChars="200"/>
    </w:pPr>
    <w:rPr>
      <w:rFonts w:ascii="Calibri" w:hAnsi="Calibri" w:eastAsia="宋体" w:cs="Times New Roman"/>
    </w:rPr>
  </w:style>
  <w:style w:type="paragraph" w:customStyle="1" w:styleId="158">
    <w:name w:val="列出段落1"/>
    <w:basedOn w:val="1"/>
    <w:qFormat/>
    <w:uiPriority w:val="99"/>
    <w:pPr>
      <w:ind w:firstLine="420" w:firstLineChars="200"/>
    </w:pPr>
    <w:rPr>
      <w:rFonts w:ascii="Calibri" w:hAnsi="Calibri" w:eastAsia="宋体" w:cs="Calibri"/>
    </w:rPr>
  </w:style>
  <w:style w:type="paragraph" w:customStyle="1" w:styleId="15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60">
    <w:name w:val="Char1"/>
    <w:basedOn w:val="1"/>
    <w:qFormat/>
    <w:uiPriority w:val="99"/>
    <w:pPr>
      <w:widowControl/>
      <w:spacing w:after="160" w:line="240" w:lineRule="exact"/>
      <w:jc w:val="left"/>
    </w:pPr>
    <w:rPr>
      <w:rFonts w:ascii="Calibri" w:hAnsi="Calibri" w:eastAsia="宋体" w:cs="Times New Roman"/>
    </w:rPr>
  </w:style>
  <w:style w:type="paragraph" w:customStyle="1" w:styleId="161">
    <w:name w:val="_Style 37"/>
    <w:basedOn w:val="1"/>
    <w:next w:val="1"/>
    <w:qFormat/>
    <w:uiPriority w:val="99"/>
    <w:rPr>
      <w:rFonts w:ascii="Calibri" w:hAnsi="Calibri" w:eastAsia="宋体" w:cs="Times New Roman"/>
    </w:rPr>
  </w:style>
  <w:style w:type="paragraph" w:customStyle="1" w:styleId="162">
    <w:name w:val="样式 标题 3 + (中文) 黑体 小四 非加粗 段前: 7.8 磅 段后: 0 磅 行距: 固定值 20 磅"/>
    <w:basedOn w:val="4"/>
    <w:qFormat/>
    <w:uiPriority w:val="99"/>
    <w:pPr>
      <w:spacing w:before="0" w:after="0" w:line="400" w:lineRule="exact"/>
    </w:pPr>
    <w:rPr>
      <w:rFonts w:ascii="Calibri" w:hAnsi="Calibri" w:eastAsia="黑体" w:cs="Times New Roman"/>
      <w:b w:val="0"/>
      <w:bCs w:val="0"/>
      <w:lang w:val="zh-CN"/>
    </w:rPr>
  </w:style>
  <w:style w:type="character" w:customStyle="1" w:styleId="163">
    <w:name w:val="fontstyle01"/>
    <w:qFormat/>
    <w:uiPriority w:val="0"/>
    <w:rPr>
      <w:rFonts w:hint="eastAsia" w:ascii="宋体" w:hAnsi="宋体" w:eastAsia="宋体"/>
      <w:color w:val="000000"/>
      <w:sz w:val="22"/>
      <w:szCs w:val="22"/>
    </w:rPr>
  </w:style>
  <w:style w:type="character" w:customStyle="1" w:styleId="164">
    <w:name w:val="fontstyle21"/>
    <w:qFormat/>
    <w:uiPriority w:val="0"/>
    <w:rPr>
      <w:rFonts w:hint="default" w:ascii="Times New Roman" w:hAnsi="Times New Roman" w:cs="Times New Roman"/>
      <w:b/>
      <w:bCs/>
      <w:color w:val="000000"/>
      <w:sz w:val="22"/>
      <w:szCs w:val="22"/>
    </w:rPr>
  </w:style>
  <w:style w:type="character" w:customStyle="1" w:styleId="165">
    <w:name w:val="fontstyle31"/>
    <w:qFormat/>
    <w:uiPriority w:val="0"/>
    <w:rPr>
      <w:rFonts w:hint="eastAsia" w:ascii="黑体" w:hAnsi="黑体" w:eastAsia="黑体"/>
      <w:color w:val="000000"/>
      <w:sz w:val="28"/>
      <w:szCs w:val="28"/>
    </w:rPr>
  </w:style>
  <w:style w:type="character" w:customStyle="1" w:styleId="166">
    <w:name w:val="fontstyle41"/>
    <w:qFormat/>
    <w:uiPriority w:val="0"/>
    <w:rPr>
      <w:rFonts w:hint="default" w:ascii="Times New Roman" w:hAnsi="Times New Roman" w:cs="Times New Roman"/>
      <w:color w:val="000000"/>
      <w:sz w:val="18"/>
      <w:szCs w:val="18"/>
    </w:rPr>
  </w:style>
  <w:style w:type="character" w:customStyle="1" w:styleId="167">
    <w:name w:val="fontstyle51"/>
    <w:qFormat/>
    <w:uiPriority w:val="0"/>
    <w:rPr>
      <w:rFonts w:hint="eastAsia" w:ascii="楷体" w:hAnsi="楷体" w:eastAsia="楷体"/>
      <w:color w:val="000000"/>
      <w:sz w:val="22"/>
      <w:szCs w:val="22"/>
    </w:rPr>
  </w:style>
  <w:style w:type="paragraph" w:styleId="16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超链接_0"/>
    <w:qFormat/>
    <w:uiPriority w:val="99"/>
    <w:rPr>
      <w:rFonts w:ascii="Calibri" w:hAnsi="Calibri"/>
      <w:color w:val="0000FF"/>
      <w:u w:val="single"/>
    </w:rPr>
  </w:style>
  <w:style w:type="paragraph" w:customStyle="1" w:styleId="170">
    <w:name w:val="标题 2_0"/>
    <w:basedOn w:val="72"/>
    <w:next w:val="72"/>
    <w:link w:val="171"/>
    <w:qFormat/>
    <w:uiPriority w:val="9"/>
    <w:pPr>
      <w:keepNext/>
      <w:keepLines/>
      <w:spacing w:before="260" w:after="260" w:line="412" w:lineRule="auto"/>
      <w:outlineLvl w:val="1"/>
    </w:pPr>
    <w:rPr>
      <w:rFonts w:ascii="Arial" w:hAnsi="Arial" w:eastAsia="黑体"/>
      <w:b/>
      <w:sz w:val="32"/>
      <w:szCs w:val="20"/>
    </w:rPr>
  </w:style>
  <w:style w:type="character" w:customStyle="1" w:styleId="171">
    <w:name w:val="标题 2 Char_0"/>
    <w:link w:val="170"/>
    <w:qFormat/>
    <w:uiPriority w:val="9"/>
    <w:rPr>
      <w:rFonts w:ascii="Arial" w:hAnsi="Arial" w:eastAsia="黑体" w:cs="Times New Roman"/>
      <w:b/>
      <w:kern w:val="2"/>
      <w:sz w:val="32"/>
    </w:rPr>
  </w:style>
  <w:style w:type="paragraph" w:customStyle="1" w:styleId="172">
    <w:name w:val="标题 3_0"/>
    <w:basedOn w:val="72"/>
    <w:next w:val="72"/>
    <w:link w:val="173"/>
    <w:qFormat/>
    <w:uiPriority w:val="9"/>
    <w:pPr>
      <w:keepNext/>
      <w:keepLines/>
      <w:spacing w:before="260" w:after="260" w:line="416" w:lineRule="auto"/>
      <w:outlineLvl w:val="2"/>
    </w:pPr>
    <w:rPr>
      <w:b/>
      <w:bCs/>
      <w:sz w:val="32"/>
      <w:szCs w:val="32"/>
    </w:rPr>
  </w:style>
  <w:style w:type="character" w:customStyle="1" w:styleId="173">
    <w:name w:val="标题 3 Char_0"/>
    <w:link w:val="172"/>
    <w:qFormat/>
    <w:uiPriority w:val="9"/>
    <w:rPr>
      <w:rFonts w:ascii="Calibri" w:hAnsi="Calibri" w:eastAsia="宋体" w:cs="Times New Roman"/>
      <w:b/>
      <w:bCs/>
      <w:kern w:val="2"/>
      <w:sz w:val="32"/>
      <w:szCs w:val="32"/>
    </w:rPr>
  </w:style>
  <w:style w:type="paragraph" w:customStyle="1" w:styleId="17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Normal_0"/>
    <w:qFormat/>
    <w:uiPriority w:val="0"/>
    <w:rPr>
      <w:rFonts w:ascii="Times New Roman" w:hAnsi="Times New Roman" w:eastAsia="Times New Roman" w:cs="Times New Roman"/>
      <w:sz w:val="24"/>
      <w:szCs w:val="24"/>
      <w:lang w:val="en-US" w:eastAsia="zh-CN" w:bidi="ar-SA"/>
    </w:rPr>
  </w:style>
  <w:style w:type="paragraph" w:customStyle="1" w:styleId="17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修订3"/>
    <w:qFormat/>
    <w:uiPriority w:val="99"/>
    <w:rPr>
      <w:rFonts w:ascii="Calibri" w:hAnsi="Calibri" w:eastAsia="宋体" w:cs="宋体"/>
      <w:kern w:val="2"/>
      <w:sz w:val="21"/>
      <w:szCs w:val="22"/>
      <w:lang w:val="en-US" w:eastAsia="zh-CN" w:bidi="ar-SA"/>
    </w:rPr>
  </w:style>
  <w:style w:type="paragraph" w:customStyle="1" w:styleId="179">
    <w:name w:val="Char Char Char3"/>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80">
    <w:name w:val="表格文字"/>
    <w:basedOn w:val="1"/>
    <w:qFormat/>
    <w:uiPriority w:val="0"/>
    <w:pPr>
      <w:adjustRightInd w:val="0"/>
      <w:spacing w:line="420" w:lineRule="atLeast"/>
      <w:jc w:val="left"/>
    </w:pPr>
    <w:rPr>
      <w:kern w:val="0"/>
    </w:rPr>
  </w:style>
  <w:style w:type="paragraph" w:customStyle="1" w:styleId="181">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2">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76832-c89c-45b1-819e-e36945fb81db}">
  <ds:schemaRefs/>
</ds:datastoreItem>
</file>

<file path=customXml/itemProps3.xml><?xml version="1.0" encoding="utf-8"?>
<ds:datastoreItem xmlns:ds="http://schemas.openxmlformats.org/officeDocument/2006/customXml" ds:itemID="{BE88CE19-5267-43B7-84A1-7E17F82BF39C}">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157</Pages>
  <Words>3032</Words>
  <Characters>3739</Characters>
  <Paragraphs>3719</Paragraphs>
  <TotalTime>1</TotalTime>
  <ScaleCrop>false</ScaleCrop>
  <LinksUpToDate>false</LinksUpToDate>
  <CharactersWithSpaces>3764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2025-07-07T09:10:00Z</dcterms:created>
  <dc:creator>Windows 用户</dc:creator>
  <cp:lastModifiedBy>黄婷</cp:lastModifiedBy>
  <cp:lastPrinted>2025-09-09T02:48:00Z</cp:lastPrinted>
  <dcterms:modified xsi:type="dcterms:W3CDTF">2025-09-09T08:54:49Z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341CF8370EBD498EBB17461B456DA4DC_13</vt:lpwstr>
  </property>
  <property fmtid="{D5CDD505-2E9C-101B-9397-08002B2CF9AE}" pid="4" name="KSOTemplateDocerSaveRecord">
    <vt:lpwstr>eyJoZGlkIjoiMDNkYmQ3ZTE0YzYzZmRhMDc4M2ZhMDYxMjIxZjgyMmQiLCJ1c2VySWQiOiI0NTMzMjA1MzAifQ==</vt:lpwstr>
  </property>
</Properties>
</file>